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45" w:rsidRDefault="00072545" w:rsidP="00072545">
      <w:pPr>
        <w:pStyle w:val="Sinespaciado"/>
        <w:rPr>
          <w:rFonts w:asciiTheme="minorHAnsi" w:hAnsiTheme="minorHAnsi"/>
          <w:b/>
          <w:sz w:val="22"/>
        </w:rPr>
      </w:pPr>
    </w:p>
    <w:p w:rsidR="00072545" w:rsidRDefault="00072545" w:rsidP="00072545">
      <w:pPr>
        <w:pStyle w:val="Sinespaciado"/>
        <w:rPr>
          <w:rFonts w:asciiTheme="minorHAnsi" w:hAnsiTheme="minorHAnsi"/>
          <w:b/>
          <w:sz w:val="22"/>
        </w:rPr>
      </w:pPr>
    </w:p>
    <w:p w:rsidR="00072545" w:rsidRDefault="00072545" w:rsidP="00C00559">
      <w:pPr>
        <w:pStyle w:val="Sinespaciado"/>
        <w:jc w:val="center"/>
        <w:rPr>
          <w:rFonts w:asciiTheme="minorHAnsi" w:hAnsiTheme="minorHAnsi"/>
          <w:b/>
          <w:sz w:val="32"/>
          <w:szCs w:val="32"/>
        </w:rPr>
      </w:pPr>
      <w:r w:rsidRPr="00C00559">
        <w:rPr>
          <w:rFonts w:asciiTheme="minorHAnsi" w:hAnsiTheme="minorHAnsi"/>
          <w:b/>
          <w:sz w:val="32"/>
          <w:szCs w:val="32"/>
        </w:rPr>
        <w:t>Dietas</w:t>
      </w:r>
      <w:r w:rsidR="00C00559" w:rsidRPr="00C00559">
        <w:rPr>
          <w:rFonts w:asciiTheme="minorHAnsi" w:hAnsiTheme="minorHAnsi"/>
          <w:b/>
          <w:sz w:val="32"/>
          <w:szCs w:val="32"/>
        </w:rPr>
        <w:t xml:space="preserve"> de</w:t>
      </w:r>
      <w:r w:rsidRPr="00C00559">
        <w:rPr>
          <w:rFonts w:asciiTheme="minorHAnsi" w:hAnsiTheme="minorHAnsi"/>
          <w:b/>
          <w:sz w:val="32"/>
          <w:szCs w:val="32"/>
        </w:rPr>
        <w:t xml:space="preserve"> Miembros de Junta Directiva</w:t>
      </w:r>
    </w:p>
    <w:p w:rsidR="00C00559" w:rsidRPr="00C00559" w:rsidRDefault="00C00559" w:rsidP="00C00559">
      <w:pPr>
        <w:pStyle w:val="Sinespaciado"/>
        <w:jc w:val="center"/>
        <w:rPr>
          <w:rFonts w:asciiTheme="minorHAnsi" w:hAnsiTheme="minorHAnsi"/>
          <w:b/>
          <w:sz w:val="32"/>
          <w:szCs w:val="32"/>
        </w:rPr>
      </w:pPr>
    </w:p>
    <w:p w:rsidR="00C00559" w:rsidRDefault="00C00559" w:rsidP="00072545">
      <w:pPr>
        <w:pStyle w:val="Sinespaciado"/>
        <w:rPr>
          <w:rFonts w:asciiTheme="minorHAnsi" w:hAnsiTheme="minorHAnsi"/>
          <w:sz w:val="22"/>
        </w:rPr>
      </w:pPr>
    </w:p>
    <w:p w:rsidR="00072545" w:rsidRDefault="00C00559" w:rsidP="00C00559">
      <w:pPr>
        <w:rPr>
          <w:rFonts w:asciiTheme="minorHAnsi" w:hAnsiTheme="minorHAnsi"/>
          <w:sz w:val="22"/>
        </w:rPr>
      </w:pPr>
      <w:r w:rsidRPr="00C00559">
        <w:rPr>
          <w:rFonts w:asciiTheme="minorHAnsi" w:hAnsiTheme="minorHAnsi"/>
          <w:sz w:val="22"/>
        </w:rPr>
        <w:t>De acuerdo con el Artículo 23 de la ley del Sistema Financiero Nacional para la Vivienda N° 7052, del 13 de noviembre del 1986, por  cada sesión a la que asistan, los miembros de la Junta Directiva tendrán derecho a devengar una dieta por una suma igual a la establecida por los bancos del Estado, con un máximo de ocho sesiones mensuales pagadas, como única remuneración que podrán percibir por el desempeño de sus funciones como directores.</w:t>
      </w:r>
      <w:r>
        <w:rPr>
          <w:rFonts w:asciiTheme="minorHAnsi" w:hAnsiTheme="minorHAnsi"/>
          <w:sz w:val="22"/>
        </w:rPr>
        <w:t xml:space="preserve">  </w:t>
      </w:r>
      <w:r w:rsidRPr="00C00559">
        <w:rPr>
          <w:rFonts w:asciiTheme="minorHAnsi" w:hAnsiTheme="minorHAnsi"/>
          <w:sz w:val="22"/>
        </w:rPr>
        <w:t xml:space="preserve">El Monto de dicha dieta al día de hoy es </w:t>
      </w:r>
      <w:r w:rsidR="0072696C">
        <w:rPr>
          <w:rFonts w:asciiTheme="minorHAnsi" w:hAnsiTheme="minorHAnsi"/>
          <w:sz w:val="22"/>
        </w:rPr>
        <w:t>¢209.615</w:t>
      </w:r>
      <w:r w:rsidR="005E498A">
        <w:rPr>
          <w:rFonts w:asciiTheme="minorHAnsi" w:hAnsiTheme="minorHAnsi"/>
          <w:sz w:val="22"/>
        </w:rPr>
        <w:t>.</w:t>
      </w:r>
    </w:p>
    <w:p w:rsidR="00C00559" w:rsidRDefault="00C00559" w:rsidP="00C0055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En el siguiente cuadro se aprecia el monto que cada director recibe de forma individual por participar en las sesiones:</w:t>
      </w:r>
    </w:p>
    <w:p w:rsidR="00072545" w:rsidRDefault="00072545" w:rsidP="00072545">
      <w:pPr>
        <w:pStyle w:val="Sinespaciado"/>
        <w:rPr>
          <w:rFonts w:asciiTheme="minorHAnsi" w:hAnsiTheme="minorHAnsi"/>
          <w:sz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51"/>
        <w:gridCol w:w="2537"/>
      </w:tblGrid>
      <w:tr w:rsidR="00072545" w:rsidRPr="00072545" w:rsidTr="00C00559">
        <w:trPr>
          <w:trHeight w:val="319"/>
          <w:jc w:val="center"/>
        </w:trPr>
        <w:tc>
          <w:tcPr>
            <w:tcW w:w="4851" w:type="dxa"/>
          </w:tcPr>
          <w:p w:rsidR="00072545" w:rsidRPr="00072545" w:rsidRDefault="00072545" w:rsidP="00072545">
            <w:pPr>
              <w:pStyle w:val="Sinespaciado"/>
              <w:jc w:val="center"/>
              <w:rPr>
                <w:rFonts w:asciiTheme="minorHAnsi" w:hAnsiTheme="minorHAnsi"/>
                <w:b/>
                <w:sz w:val="22"/>
              </w:rPr>
            </w:pPr>
            <w:r w:rsidRPr="00072545">
              <w:rPr>
                <w:rFonts w:asciiTheme="minorHAnsi" w:hAnsiTheme="minorHAnsi"/>
                <w:b/>
                <w:sz w:val="22"/>
              </w:rPr>
              <w:t>Miembro de Junta Directica</w:t>
            </w:r>
          </w:p>
        </w:tc>
        <w:tc>
          <w:tcPr>
            <w:tcW w:w="2537" w:type="dxa"/>
          </w:tcPr>
          <w:p w:rsidR="00072545" w:rsidRPr="00072545" w:rsidRDefault="00072545" w:rsidP="00072545">
            <w:pPr>
              <w:pStyle w:val="Sinespaciado"/>
              <w:jc w:val="center"/>
              <w:rPr>
                <w:rFonts w:asciiTheme="minorHAnsi" w:hAnsiTheme="minorHAnsi"/>
                <w:b/>
                <w:sz w:val="22"/>
              </w:rPr>
            </w:pPr>
            <w:r w:rsidRPr="00072545">
              <w:rPr>
                <w:rFonts w:asciiTheme="minorHAnsi" w:hAnsiTheme="minorHAnsi"/>
                <w:b/>
                <w:sz w:val="22"/>
              </w:rPr>
              <w:t>Monto dieta</w:t>
            </w:r>
          </w:p>
        </w:tc>
      </w:tr>
      <w:tr w:rsidR="00072545" w:rsidTr="00C00559">
        <w:trPr>
          <w:trHeight w:val="338"/>
          <w:jc w:val="center"/>
        </w:trPr>
        <w:tc>
          <w:tcPr>
            <w:tcW w:w="4851" w:type="dxa"/>
          </w:tcPr>
          <w:p w:rsidR="00072545" w:rsidRPr="00751F66" w:rsidRDefault="00072545" w:rsidP="00751F66">
            <w:pPr>
              <w:pStyle w:val="Sinespaciado"/>
              <w:jc w:val="both"/>
              <w:rPr>
                <w:rFonts w:asciiTheme="minorHAnsi" w:hAnsiTheme="minorHAnsi"/>
                <w:sz w:val="22"/>
              </w:rPr>
            </w:pPr>
            <w:r w:rsidRPr="00751F66">
              <w:rPr>
                <w:rFonts w:asciiTheme="minorHAnsi" w:hAnsiTheme="minorHAnsi"/>
                <w:sz w:val="22"/>
              </w:rPr>
              <w:t>Alvarado Herrera Guillermo</w:t>
            </w:r>
          </w:p>
        </w:tc>
        <w:tc>
          <w:tcPr>
            <w:tcW w:w="2537" w:type="dxa"/>
          </w:tcPr>
          <w:p w:rsidR="00072545" w:rsidRDefault="0072696C" w:rsidP="003C33A3">
            <w:pPr>
              <w:pStyle w:val="Sinespaciad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¢209.615</w:t>
            </w:r>
          </w:p>
        </w:tc>
      </w:tr>
      <w:tr w:rsidR="0072696C" w:rsidTr="00C00559">
        <w:trPr>
          <w:trHeight w:val="319"/>
          <w:jc w:val="center"/>
        </w:trPr>
        <w:tc>
          <w:tcPr>
            <w:tcW w:w="4851" w:type="dxa"/>
          </w:tcPr>
          <w:p w:rsidR="0072696C" w:rsidRPr="00751F66" w:rsidRDefault="0072696C" w:rsidP="002D5CB7">
            <w:pPr>
              <w:pStyle w:val="Sinespaciado"/>
              <w:jc w:val="both"/>
              <w:rPr>
                <w:rFonts w:asciiTheme="minorHAnsi" w:hAnsiTheme="minorHAnsi"/>
                <w:sz w:val="22"/>
              </w:rPr>
            </w:pPr>
            <w:r w:rsidRPr="00751F66">
              <w:rPr>
                <w:rFonts w:asciiTheme="minorHAnsi" w:hAnsiTheme="minorHAnsi"/>
                <w:sz w:val="22"/>
              </w:rPr>
              <w:t xml:space="preserve">Campos Gómez Irene </w:t>
            </w:r>
          </w:p>
        </w:tc>
        <w:tc>
          <w:tcPr>
            <w:tcW w:w="2537" w:type="dxa"/>
          </w:tcPr>
          <w:p w:rsidR="0072696C" w:rsidRDefault="0072696C" w:rsidP="0072696C">
            <w:pPr>
              <w:jc w:val="center"/>
            </w:pPr>
            <w:r w:rsidRPr="003641B3">
              <w:rPr>
                <w:rFonts w:asciiTheme="minorHAnsi" w:hAnsiTheme="minorHAnsi"/>
                <w:sz w:val="22"/>
              </w:rPr>
              <w:t>¢209.615</w:t>
            </w:r>
          </w:p>
        </w:tc>
      </w:tr>
      <w:tr w:rsidR="0072696C" w:rsidTr="00C00559">
        <w:trPr>
          <w:trHeight w:val="338"/>
          <w:jc w:val="center"/>
        </w:trPr>
        <w:tc>
          <w:tcPr>
            <w:tcW w:w="4851" w:type="dxa"/>
          </w:tcPr>
          <w:p w:rsidR="0072696C" w:rsidRPr="00751F66" w:rsidRDefault="0072696C" w:rsidP="00751F66">
            <w:pPr>
              <w:pStyle w:val="Sinespaciado"/>
              <w:jc w:val="both"/>
              <w:rPr>
                <w:rFonts w:asciiTheme="minorHAnsi" w:hAnsiTheme="minorHAnsi"/>
                <w:sz w:val="22"/>
              </w:rPr>
            </w:pPr>
            <w:r w:rsidRPr="00751F66">
              <w:rPr>
                <w:rFonts w:asciiTheme="minorHAnsi" w:hAnsiTheme="minorHAnsi"/>
                <w:bCs/>
                <w:sz w:val="22"/>
              </w:rPr>
              <w:t>Carranza González Jorge</w:t>
            </w:r>
          </w:p>
        </w:tc>
        <w:tc>
          <w:tcPr>
            <w:tcW w:w="2537" w:type="dxa"/>
          </w:tcPr>
          <w:p w:rsidR="0072696C" w:rsidRDefault="0072696C" w:rsidP="0072696C">
            <w:pPr>
              <w:jc w:val="center"/>
            </w:pPr>
            <w:r w:rsidRPr="003641B3">
              <w:rPr>
                <w:rFonts w:asciiTheme="minorHAnsi" w:hAnsiTheme="minorHAnsi"/>
                <w:sz w:val="22"/>
              </w:rPr>
              <w:t>¢209.615</w:t>
            </w:r>
          </w:p>
        </w:tc>
      </w:tr>
      <w:tr w:rsidR="0072696C" w:rsidTr="00C00559">
        <w:trPr>
          <w:trHeight w:val="319"/>
          <w:jc w:val="center"/>
        </w:trPr>
        <w:tc>
          <w:tcPr>
            <w:tcW w:w="4851" w:type="dxa"/>
          </w:tcPr>
          <w:p w:rsidR="0072696C" w:rsidRPr="00751F66" w:rsidRDefault="0072696C" w:rsidP="002D5CB7">
            <w:pPr>
              <w:pStyle w:val="Sinespaciado"/>
              <w:jc w:val="both"/>
              <w:rPr>
                <w:rFonts w:asciiTheme="minorHAnsi" w:hAnsiTheme="minorHAnsi"/>
                <w:sz w:val="22"/>
              </w:rPr>
            </w:pPr>
            <w:r w:rsidRPr="00751F66">
              <w:rPr>
                <w:rFonts w:asciiTheme="minorHAnsi" w:hAnsiTheme="minorHAnsi"/>
                <w:sz w:val="22"/>
              </w:rPr>
              <w:t xml:space="preserve">Chavarría Núñez Dania </w:t>
            </w:r>
          </w:p>
        </w:tc>
        <w:tc>
          <w:tcPr>
            <w:tcW w:w="2537" w:type="dxa"/>
          </w:tcPr>
          <w:p w:rsidR="0072696C" w:rsidRDefault="0072696C" w:rsidP="0072696C">
            <w:pPr>
              <w:jc w:val="center"/>
            </w:pPr>
            <w:r w:rsidRPr="003641B3">
              <w:rPr>
                <w:rFonts w:asciiTheme="minorHAnsi" w:hAnsiTheme="minorHAnsi"/>
                <w:sz w:val="22"/>
              </w:rPr>
              <w:t>¢209.615</w:t>
            </w:r>
          </w:p>
        </w:tc>
      </w:tr>
      <w:tr w:rsidR="0072696C" w:rsidTr="00C00559">
        <w:trPr>
          <w:trHeight w:val="338"/>
          <w:jc w:val="center"/>
        </w:trPr>
        <w:tc>
          <w:tcPr>
            <w:tcW w:w="4851" w:type="dxa"/>
          </w:tcPr>
          <w:p w:rsidR="0072696C" w:rsidRPr="00751F66" w:rsidRDefault="0072696C" w:rsidP="00751F66">
            <w:pPr>
              <w:pStyle w:val="Sinespaciado"/>
              <w:jc w:val="both"/>
              <w:rPr>
                <w:rFonts w:asciiTheme="minorHAnsi" w:hAnsiTheme="minorHAnsi"/>
                <w:sz w:val="22"/>
              </w:rPr>
            </w:pPr>
            <w:r w:rsidRPr="00751F66">
              <w:rPr>
                <w:rFonts w:asciiTheme="minorHAnsi" w:hAnsiTheme="minorHAnsi"/>
                <w:bCs/>
                <w:sz w:val="22"/>
              </w:rPr>
              <w:t>Pérez Gutiérrez Marian</w:t>
            </w:r>
          </w:p>
        </w:tc>
        <w:tc>
          <w:tcPr>
            <w:tcW w:w="2537" w:type="dxa"/>
          </w:tcPr>
          <w:p w:rsidR="0072696C" w:rsidRDefault="0072696C" w:rsidP="0072696C">
            <w:pPr>
              <w:jc w:val="center"/>
            </w:pPr>
            <w:r w:rsidRPr="003641B3">
              <w:rPr>
                <w:rFonts w:asciiTheme="minorHAnsi" w:hAnsiTheme="minorHAnsi"/>
                <w:sz w:val="22"/>
              </w:rPr>
              <w:t>¢209.615</w:t>
            </w:r>
          </w:p>
        </w:tc>
      </w:tr>
      <w:tr w:rsidR="0072696C" w:rsidTr="00C00559">
        <w:trPr>
          <w:trHeight w:val="338"/>
          <w:jc w:val="center"/>
        </w:trPr>
        <w:tc>
          <w:tcPr>
            <w:tcW w:w="4851" w:type="dxa"/>
          </w:tcPr>
          <w:p w:rsidR="0072696C" w:rsidRPr="00751F66" w:rsidRDefault="0072696C" w:rsidP="00751F66">
            <w:pPr>
              <w:pStyle w:val="Sinespaciado"/>
              <w:jc w:val="both"/>
              <w:rPr>
                <w:rFonts w:asciiTheme="minorHAnsi" w:hAnsiTheme="minorHAnsi"/>
                <w:sz w:val="22"/>
              </w:rPr>
            </w:pPr>
            <w:r w:rsidRPr="00751F66">
              <w:rPr>
                <w:rFonts w:asciiTheme="minorHAnsi" w:hAnsiTheme="minorHAnsi"/>
                <w:bCs/>
                <w:sz w:val="22"/>
              </w:rPr>
              <w:t>Pérez Venegas Kenneth</w:t>
            </w:r>
          </w:p>
        </w:tc>
        <w:tc>
          <w:tcPr>
            <w:tcW w:w="2537" w:type="dxa"/>
          </w:tcPr>
          <w:p w:rsidR="0072696C" w:rsidRDefault="0072696C" w:rsidP="0072696C">
            <w:pPr>
              <w:jc w:val="center"/>
            </w:pPr>
            <w:r w:rsidRPr="003641B3">
              <w:rPr>
                <w:rFonts w:asciiTheme="minorHAnsi" w:hAnsiTheme="minorHAnsi"/>
                <w:sz w:val="22"/>
              </w:rPr>
              <w:t>¢209.615</w:t>
            </w:r>
          </w:p>
        </w:tc>
      </w:tr>
      <w:tr w:rsidR="0072696C" w:rsidTr="00C00559">
        <w:trPr>
          <w:trHeight w:val="319"/>
          <w:jc w:val="center"/>
        </w:trPr>
        <w:tc>
          <w:tcPr>
            <w:tcW w:w="4851" w:type="dxa"/>
          </w:tcPr>
          <w:p w:rsidR="0072696C" w:rsidRPr="00751F66" w:rsidRDefault="0072696C" w:rsidP="00751F66">
            <w:pPr>
              <w:pStyle w:val="Sinespaciado"/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751F66">
              <w:rPr>
                <w:rFonts w:asciiTheme="minorHAnsi" w:hAnsiTheme="minorHAnsi"/>
                <w:sz w:val="22"/>
              </w:rPr>
              <w:t>Ulibarri</w:t>
            </w:r>
            <w:proofErr w:type="spellEnd"/>
            <w:r w:rsidRPr="00751F66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751F66">
              <w:rPr>
                <w:rFonts w:asciiTheme="minorHAnsi" w:hAnsiTheme="minorHAnsi"/>
                <w:sz w:val="22"/>
              </w:rPr>
              <w:t>Pernús</w:t>
            </w:r>
            <w:proofErr w:type="spellEnd"/>
            <w:r w:rsidRPr="00751F66">
              <w:rPr>
                <w:rFonts w:asciiTheme="minorHAnsi" w:hAnsiTheme="minorHAnsi"/>
                <w:sz w:val="22"/>
              </w:rPr>
              <w:t xml:space="preserve"> Eloísa</w:t>
            </w:r>
          </w:p>
        </w:tc>
        <w:tc>
          <w:tcPr>
            <w:tcW w:w="2537" w:type="dxa"/>
          </w:tcPr>
          <w:p w:rsidR="0072696C" w:rsidRDefault="0072696C" w:rsidP="0072696C">
            <w:pPr>
              <w:jc w:val="center"/>
            </w:pPr>
            <w:r w:rsidRPr="003641B3">
              <w:rPr>
                <w:rFonts w:asciiTheme="minorHAnsi" w:hAnsiTheme="minorHAnsi"/>
                <w:sz w:val="22"/>
              </w:rPr>
              <w:t>¢209.615</w:t>
            </w:r>
          </w:p>
        </w:tc>
      </w:tr>
    </w:tbl>
    <w:p w:rsidR="00072545" w:rsidRPr="00E62D82" w:rsidRDefault="00072545" w:rsidP="00072545">
      <w:pPr>
        <w:pStyle w:val="Sinespaciad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:rsidR="000135EE" w:rsidRDefault="000135EE"/>
    <w:p w:rsidR="00C00559" w:rsidRDefault="00C00559">
      <w:bookmarkStart w:id="0" w:name="_GoBack"/>
      <w:bookmarkEnd w:id="0"/>
    </w:p>
    <w:sectPr w:rsidR="00C0055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506" w:rsidRDefault="00E25506" w:rsidP="00C00559">
      <w:pPr>
        <w:spacing w:after="0" w:line="240" w:lineRule="auto"/>
      </w:pPr>
      <w:r>
        <w:separator/>
      </w:r>
    </w:p>
  </w:endnote>
  <w:endnote w:type="continuationSeparator" w:id="0">
    <w:p w:rsidR="00E25506" w:rsidRDefault="00E25506" w:rsidP="00C0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559" w:rsidRPr="00C00559" w:rsidRDefault="00C00559" w:rsidP="00C00559">
    <w:pPr>
      <w:pStyle w:val="Piedepgina"/>
    </w:pPr>
    <w:r>
      <w:rPr>
        <w:noProof/>
        <w:lang w:eastAsia="es-CR"/>
      </w:rPr>
      <w:drawing>
        <wp:inline distT="0" distB="0" distL="0" distR="0">
          <wp:extent cx="5612130" cy="280035"/>
          <wp:effectExtent l="0" t="0" r="7620" b="571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tilloGene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280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506" w:rsidRDefault="00E25506" w:rsidP="00C00559">
      <w:pPr>
        <w:spacing w:after="0" w:line="240" w:lineRule="auto"/>
      </w:pPr>
      <w:r>
        <w:separator/>
      </w:r>
    </w:p>
  </w:footnote>
  <w:footnote w:type="continuationSeparator" w:id="0">
    <w:p w:rsidR="00E25506" w:rsidRDefault="00E25506" w:rsidP="00C00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559" w:rsidRDefault="00C00559">
    <w:pPr>
      <w:pStyle w:val="Encabezado"/>
    </w:pPr>
    <w:r>
      <w:rPr>
        <w:noProof/>
        <w:lang w:eastAsia="es-CR"/>
      </w:rPr>
      <w:drawing>
        <wp:inline distT="0" distB="0" distL="0" distR="0">
          <wp:extent cx="5612130" cy="606425"/>
          <wp:effectExtent l="0" t="0" r="7620" b="317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BANH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45"/>
    <w:rsid w:val="0001059C"/>
    <w:rsid w:val="000135EE"/>
    <w:rsid w:val="00072545"/>
    <w:rsid w:val="00194DAA"/>
    <w:rsid w:val="002D5CB7"/>
    <w:rsid w:val="004568C4"/>
    <w:rsid w:val="00467A32"/>
    <w:rsid w:val="005022FF"/>
    <w:rsid w:val="005E498A"/>
    <w:rsid w:val="0072696C"/>
    <w:rsid w:val="00751F66"/>
    <w:rsid w:val="007A60BF"/>
    <w:rsid w:val="007D4EDC"/>
    <w:rsid w:val="009C08A7"/>
    <w:rsid w:val="00B468C0"/>
    <w:rsid w:val="00C00559"/>
    <w:rsid w:val="00E25506"/>
    <w:rsid w:val="00E6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5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7254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7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005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559"/>
  </w:style>
  <w:style w:type="paragraph" w:styleId="Piedepgina">
    <w:name w:val="footer"/>
    <w:basedOn w:val="Normal"/>
    <w:link w:val="PiedepginaCar"/>
    <w:uiPriority w:val="99"/>
    <w:unhideWhenUsed/>
    <w:rsid w:val="00C005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559"/>
  </w:style>
  <w:style w:type="paragraph" w:styleId="Textodeglobo">
    <w:name w:val="Balloon Text"/>
    <w:basedOn w:val="Normal"/>
    <w:link w:val="TextodegloboCar"/>
    <w:uiPriority w:val="99"/>
    <w:semiHidden/>
    <w:unhideWhenUsed/>
    <w:rsid w:val="00C0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559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751F66"/>
    <w:rPr>
      <w:b/>
      <w:bCs/>
    </w:rPr>
  </w:style>
  <w:style w:type="character" w:customStyle="1" w:styleId="spelle">
    <w:name w:val="spelle"/>
    <w:basedOn w:val="Fuentedeprrafopredeter"/>
    <w:rsid w:val="00751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5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7254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7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005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559"/>
  </w:style>
  <w:style w:type="paragraph" w:styleId="Piedepgina">
    <w:name w:val="footer"/>
    <w:basedOn w:val="Normal"/>
    <w:link w:val="PiedepginaCar"/>
    <w:uiPriority w:val="99"/>
    <w:unhideWhenUsed/>
    <w:rsid w:val="00C005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559"/>
  </w:style>
  <w:style w:type="paragraph" w:styleId="Textodeglobo">
    <w:name w:val="Balloon Text"/>
    <w:basedOn w:val="Normal"/>
    <w:link w:val="TextodegloboCar"/>
    <w:uiPriority w:val="99"/>
    <w:semiHidden/>
    <w:unhideWhenUsed/>
    <w:rsid w:val="00C0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559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751F66"/>
    <w:rPr>
      <w:b/>
      <w:bCs/>
    </w:rPr>
  </w:style>
  <w:style w:type="character" w:customStyle="1" w:styleId="spelle">
    <w:name w:val="spelle"/>
    <w:basedOn w:val="Fuentedeprrafopredeter"/>
    <w:rsid w:val="00751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 Morales Ramírez</dc:creator>
  <cp:lastModifiedBy>Borbón Jiménez Isabel</cp:lastModifiedBy>
  <cp:revision>2</cp:revision>
  <dcterms:created xsi:type="dcterms:W3CDTF">2019-06-04T22:29:00Z</dcterms:created>
  <dcterms:modified xsi:type="dcterms:W3CDTF">2019-06-04T22:29:00Z</dcterms:modified>
</cp:coreProperties>
</file>