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96A7" w14:textId="77777777" w:rsidR="00FA4CCB" w:rsidRDefault="00FA4CCB">
      <w:pPr>
        <w:pStyle w:val="Ttulo"/>
        <w:ind w:right="51"/>
        <w:rPr>
          <w:rFonts w:cs="Arial"/>
        </w:rPr>
      </w:pPr>
      <w:r>
        <w:rPr>
          <w:rFonts w:cs="Arial"/>
        </w:rPr>
        <w:t>BANCO HIPOTECARIO DE LA VIVIENDA</w:t>
      </w:r>
    </w:p>
    <w:p w14:paraId="663F41F5" w14:textId="77777777" w:rsidR="00FA4CCB" w:rsidRDefault="00FA4CCB">
      <w:pPr>
        <w:spacing w:line="360" w:lineRule="auto"/>
        <w:ind w:right="51"/>
        <w:jc w:val="center"/>
        <w:rPr>
          <w:rFonts w:cs="Arial"/>
          <w:b/>
          <w:sz w:val="22"/>
          <w:u w:val="single"/>
        </w:rPr>
      </w:pPr>
      <w:r>
        <w:rPr>
          <w:rFonts w:cs="Arial"/>
          <w:b/>
          <w:sz w:val="22"/>
          <w:u w:val="single"/>
        </w:rPr>
        <w:t>JUNTA DIRECTIVA</w:t>
      </w:r>
    </w:p>
    <w:p w14:paraId="23D24FAD" w14:textId="77777777" w:rsidR="00FA4CCB" w:rsidRDefault="00FA4CCB">
      <w:pPr>
        <w:spacing w:line="360" w:lineRule="auto"/>
        <w:ind w:right="51"/>
        <w:jc w:val="center"/>
        <w:rPr>
          <w:rFonts w:cs="Arial"/>
          <w:b/>
          <w:sz w:val="22"/>
          <w:u w:val="single"/>
        </w:rPr>
      </w:pPr>
    </w:p>
    <w:p w14:paraId="56475EC9" w14:textId="7A27D3B5"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BF1940">
        <w:rPr>
          <w:rFonts w:cs="Arial"/>
          <w:b/>
          <w:sz w:val="22"/>
          <w:u w:val="single"/>
        </w:rPr>
        <w:t>46</w:t>
      </w:r>
      <w:r>
        <w:rPr>
          <w:rFonts w:cs="Arial"/>
          <w:b/>
          <w:sz w:val="22"/>
          <w:u w:val="single"/>
        </w:rPr>
        <w:t>-</w:t>
      </w:r>
      <w:r w:rsidR="005F2BC7">
        <w:rPr>
          <w:rFonts w:cs="Arial"/>
          <w:b/>
          <w:sz w:val="22"/>
          <w:u w:val="single"/>
        </w:rPr>
        <w:t>2022</w:t>
      </w:r>
    </w:p>
    <w:p w14:paraId="0B0C350A" w14:textId="79AF9B92" w:rsidR="00FA4CCB" w:rsidRDefault="00FA4CCB">
      <w:pPr>
        <w:spacing w:line="360" w:lineRule="auto"/>
        <w:ind w:right="51"/>
        <w:jc w:val="center"/>
        <w:rPr>
          <w:rFonts w:cs="Arial"/>
          <w:b/>
          <w:sz w:val="22"/>
          <w:u w:val="single"/>
        </w:rPr>
      </w:pPr>
      <w:r>
        <w:rPr>
          <w:rFonts w:cs="Arial"/>
          <w:b/>
          <w:sz w:val="22"/>
          <w:u w:val="single"/>
        </w:rPr>
        <w:t xml:space="preserve">DEL </w:t>
      </w:r>
      <w:r w:rsidR="00BF1940">
        <w:rPr>
          <w:rFonts w:cs="Arial"/>
          <w:b/>
          <w:sz w:val="22"/>
          <w:u w:val="single"/>
        </w:rPr>
        <w:t>05</w:t>
      </w:r>
      <w:r>
        <w:rPr>
          <w:rFonts w:cs="Arial"/>
          <w:b/>
          <w:sz w:val="22"/>
          <w:u w:val="single"/>
        </w:rPr>
        <w:t xml:space="preserve"> DE </w:t>
      </w:r>
      <w:r w:rsidR="00BF1940">
        <w:rPr>
          <w:rFonts w:cs="Arial"/>
          <w:b/>
          <w:sz w:val="22"/>
          <w:u w:val="single"/>
        </w:rPr>
        <w:t>SETIEMBRE</w:t>
      </w:r>
      <w:r>
        <w:rPr>
          <w:rFonts w:cs="Arial"/>
          <w:b/>
          <w:sz w:val="22"/>
          <w:u w:val="single"/>
        </w:rPr>
        <w:t xml:space="preserve"> DE </w:t>
      </w:r>
      <w:r w:rsidR="005F2BC7">
        <w:rPr>
          <w:rFonts w:cs="Arial"/>
          <w:b/>
          <w:sz w:val="22"/>
          <w:u w:val="single"/>
        </w:rPr>
        <w:t>2022</w:t>
      </w:r>
    </w:p>
    <w:p w14:paraId="6E5B895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8AFA33F" w14:textId="77777777" w:rsidR="00FA4CCB" w:rsidRDefault="00FA4CCB">
      <w:pPr>
        <w:spacing w:line="360" w:lineRule="auto"/>
        <w:ind w:right="51"/>
        <w:jc w:val="center"/>
        <w:rPr>
          <w:rFonts w:cs="Arial"/>
          <w:b/>
          <w:sz w:val="22"/>
          <w:u w:val="single"/>
        </w:rPr>
      </w:pPr>
    </w:p>
    <w:p w14:paraId="151671FE" w14:textId="08A3833B" w:rsidR="008D0318"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CF2485">
        <w:rPr>
          <w:rFonts w:cs="Arial"/>
          <w:sz w:val="22"/>
        </w:rPr>
        <w:t>Se</w:t>
      </w:r>
      <w:r w:rsidR="009449EE">
        <w:rPr>
          <w:rFonts w:cs="Arial"/>
          <w:sz w:val="22"/>
        </w:rPr>
        <w:t xml:space="preserve"> inicia la sesión a las diecis</w:t>
      </w:r>
      <w:r w:rsidR="00D55D7C">
        <w:rPr>
          <w:rFonts w:cs="Arial"/>
          <w:sz w:val="22"/>
        </w:rPr>
        <w:t>éis</w:t>
      </w:r>
      <w:r w:rsidR="009449EE">
        <w:rPr>
          <w:rFonts w:cs="Arial"/>
          <w:sz w:val="22"/>
        </w:rPr>
        <w:t xml:space="preserve"> horas, 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Eloísa Ulibarri Pernús, Vicepresidenta; Guillermo Alvarado Herrera,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p>
    <w:p w14:paraId="191FE967" w14:textId="77777777" w:rsidR="00AD4F06" w:rsidRDefault="00AD4F06" w:rsidP="0066494B">
      <w:pPr>
        <w:spacing w:line="360" w:lineRule="auto"/>
        <w:jc w:val="both"/>
        <w:rPr>
          <w:rFonts w:cs="Arial"/>
          <w:sz w:val="22"/>
        </w:rPr>
      </w:pPr>
    </w:p>
    <w:p w14:paraId="7849DCDF" w14:textId="1500347C"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43B1F">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6D058396" w14:textId="77777777" w:rsidR="006321F4" w:rsidRPr="00D14EAF" w:rsidRDefault="006321F4" w:rsidP="006321F4">
      <w:pPr>
        <w:spacing w:line="360" w:lineRule="auto"/>
        <w:jc w:val="both"/>
        <w:rPr>
          <w:rFonts w:cs="Arial"/>
          <w:b/>
          <w:sz w:val="22"/>
        </w:rPr>
      </w:pPr>
      <w:r w:rsidRPr="00D14EAF">
        <w:rPr>
          <w:rFonts w:cs="Arial"/>
          <w:b/>
          <w:sz w:val="22"/>
        </w:rPr>
        <w:t>************</w:t>
      </w:r>
    </w:p>
    <w:p w14:paraId="079606E9" w14:textId="77777777" w:rsidR="00FA4CCB" w:rsidRDefault="00FA4CCB" w:rsidP="0066494B">
      <w:pPr>
        <w:spacing w:line="360" w:lineRule="auto"/>
        <w:jc w:val="both"/>
        <w:rPr>
          <w:rFonts w:cs="Arial"/>
          <w:sz w:val="22"/>
        </w:rPr>
      </w:pPr>
    </w:p>
    <w:p w14:paraId="2193BE09" w14:textId="77777777" w:rsidR="00FA4CCB" w:rsidRDefault="00FA4CCB" w:rsidP="0066494B">
      <w:pPr>
        <w:pStyle w:val="Ttulo4"/>
        <w:spacing w:line="360" w:lineRule="auto"/>
        <w:jc w:val="both"/>
        <w:rPr>
          <w:rFonts w:cs="Arial"/>
        </w:rPr>
      </w:pPr>
      <w:r>
        <w:rPr>
          <w:rFonts w:cs="Arial"/>
        </w:rPr>
        <w:t>Asuntos conocidos en la presente sesión</w:t>
      </w:r>
    </w:p>
    <w:p w14:paraId="3BEE2B3F" w14:textId="77777777" w:rsidR="00FA4CCB" w:rsidRDefault="00FA4CCB" w:rsidP="0066494B">
      <w:pPr>
        <w:spacing w:line="360" w:lineRule="auto"/>
        <w:jc w:val="both"/>
        <w:rPr>
          <w:rFonts w:cs="Arial"/>
          <w:b/>
          <w:sz w:val="22"/>
        </w:rPr>
      </w:pPr>
    </w:p>
    <w:p w14:paraId="3AFDF0C5"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5AA19997" w14:textId="77777777" w:rsidR="009C3F99" w:rsidRPr="004311FD" w:rsidRDefault="009C3F99" w:rsidP="004311FD">
      <w:pPr>
        <w:pStyle w:val="Prrafodelista"/>
        <w:numPr>
          <w:ilvl w:val="0"/>
          <w:numId w:val="18"/>
        </w:numPr>
        <w:spacing w:line="360" w:lineRule="auto"/>
        <w:ind w:left="567" w:hanging="567"/>
        <w:jc w:val="both"/>
        <w:rPr>
          <w:rFonts w:cs="Arial"/>
          <w:sz w:val="22"/>
        </w:rPr>
      </w:pPr>
      <w:r w:rsidRPr="004311FD">
        <w:rPr>
          <w:rFonts w:cs="Arial"/>
          <w:sz w:val="22"/>
          <w:lang w:val="es-ES_tradnl"/>
        </w:rPr>
        <w:t>Lectura y aprobación de las actas N° 42-2022 del 22/08/2022 y N° 43-2022 del 25/08/2022.</w:t>
      </w:r>
    </w:p>
    <w:p w14:paraId="64FDB12E" w14:textId="56DF2377" w:rsidR="009C3F99" w:rsidRPr="004311FD" w:rsidRDefault="009C3F99" w:rsidP="004311FD">
      <w:pPr>
        <w:pStyle w:val="Prrafodelista"/>
        <w:numPr>
          <w:ilvl w:val="0"/>
          <w:numId w:val="18"/>
        </w:numPr>
        <w:spacing w:line="360" w:lineRule="auto"/>
        <w:ind w:left="567" w:hanging="567"/>
        <w:jc w:val="both"/>
        <w:rPr>
          <w:rFonts w:cs="Arial"/>
          <w:sz w:val="22"/>
        </w:rPr>
      </w:pPr>
      <w:r w:rsidRPr="004311FD">
        <w:rPr>
          <w:rFonts w:cs="Arial"/>
          <w:sz w:val="22"/>
        </w:rPr>
        <w:t>Solicitud de aprobación de 7 bonos extraordinarios individuales.</w:t>
      </w:r>
    </w:p>
    <w:p w14:paraId="06F15FCB" w14:textId="3D551230" w:rsidR="009C3F99" w:rsidRPr="004311FD" w:rsidRDefault="009C3F99" w:rsidP="004311FD">
      <w:pPr>
        <w:pStyle w:val="Prrafodelista"/>
        <w:numPr>
          <w:ilvl w:val="0"/>
          <w:numId w:val="18"/>
        </w:numPr>
        <w:spacing w:line="360" w:lineRule="auto"/>
        <w:ind w:left="567" w:hanging="567"/>
        <w:jc w:val="both"/>
        <w:rPr>
          <w:rFonts w:cs="Arial"/>
          <w:sz w:val="22"/>
          <w:lang w:val="es-ES_tradnl"/>
        </w:rPr>
      </w:pPr>
      <w:r w:rsidRPr="004311FD">
        <w:rPr>
          <w:rFonts w:cs="Arial"/>
          <w:sz w:val="22"/>
          <w:lang w:val="es-ES_tradnl"/>
        </w:rPr>
        <w:t>Propuesta de redistribución del presupuesto 2022 del FOSUVI.</w:t>
      </w:r>
    </w:p>
    <w:p w14:paraId="67BB397B" w14:textId="27EF43F8" w:rsidR="009C3F99" w:rsidRPr="004311FD" w:rsidRDefault="009C3F99" w:rsidP="004311FD">
      <w:pPr>
        <w:pStyle w:val="Prrafodelista"/>
        <w:numPr>
          <w:ilvl w:val="0"/>
          <w:numId w:val="18"/>
        </w:numPr>
        <w:spacing w:line="360" w:lineRule="auto"/>
        <w:ind w:left="567" w:hanging="567"/>
        <w:jc w:val="both"/>
        <w:rPr>
          <w:rFonts w:cs="Arial"/>
          <w:sz w:val="22"/>
          <w:lang w:val="es-ES_tradnl"/>
        </w:rPr>
      </w:pPr>
      <w:r w:rsidRPr="004311FD">
        <w:rPr>
          <w:rFonts w:cs="Arial"/>
          <w:sz w:val="22"/>
          <w:lang w:val="es-ES_tradnl"/>
        </w:rPr>
        <w:t xml:space="preserve">Criterio legal sobre el financiamiento adicional por </w:t>
      </w:r>
      <w:r w:rsidRPr="004311FD">
        <w:rPr>
          <w:rFonts w:cs="Arial"/>
          <w:sz w:val="22"/>
        </w:rPr>
        <w:t>ajuste de precios en proyectos tramitados en la modalidad S-002</w:t>
      </w:r>
      <w:r w:rsidRPr="004311FD">
        <w:rPr>
          <w:rFonts w:cs="Arial"/>
          <w:sz w:val="22"/>
          <w:lang w:val="es-ES_tradnl"/>
        </w:rPr>
        <w:t>.</w:t>
      </w:r>
    </w:p>
    <w:p w14:paraId="4F8A2996" w14:textId="3ED4C0D8" w:rsidR="009C3F99" w:rsidRPr="004311FD" w:rsidRDefault="009C3F99" w:rsidP="004311FD">
      <w:pPr>
        <w:pStyle w:val="Prrafodelista"/>
        <w:numPr>
          <w:ilvl w:val="0"/>
          <w:numId w:val="18"/>
        </w:numPr>
        <w:spacing w:line="360" w:lineRule="auto"/>
        <w:ind w:left="567" w:hanging="567"/>
        <w:jc w:val="both"/>
        <w:rPr>
          <w:rFonts w:cs="Arial"/>
          <w:sz w:val="22"/>
          <w:lang w:val="es-ES_tradnl"/>
        </w:rPr>
      </w:pPr>
      <w:r w:rsidRPr="004311FD">
        <w:rPr>
          <w:rFonts w:cs="Arial"/>
          <w:sz w:val="22"/>
          <w:lang w:val="es-ES_tradnl"/>
        </w:rPr>
        <w:t>Análisis y propuesta sobre solicitud presentada por la empresa Construcciones Modulares de Costa Rica, para la autorización de financiamiento adicional del proyecto Santa Luisa II.</w:t>
      </w:r>
    </w:p>
    <w:p w14:paraId="1E6043A3" w14:textId="021BF9FD" w:rsidR="007749FC" w:rsidRPr="004311FD" w:rsidRDefault="009C3F99" w:rsidP="004311FD">
      <w:pPr>
        <w:pStyle w:val="Prrafodelista"/>
        <w:numPr>
          <w:ilvl w:val="0"/>
          <w:numId w:val="18"/>
        </w:numPr>
        <w:spacing w:line="360" w:lineRule="auto"/>
        <w:ind w:left="567" w:hanging="567"/>
        <w:jc w:val="both"/>
        <w:rPr>
          <w:rFonts w:cs="Arial"/>
          <w:sz w:val="22"/>
          <w:lang w:val="es-ES_tradnl"/>
        </w:rPr>
      </w:pPr>
      <w:r w:rsidRPr="004311FD">
        <w:rPr>
          <w:rFonts w:cs="Arial"/>
          <w:sz w:val="22"/>
          <w:lang w:val="es-ES_tradnl"/>
        </w:rPr>
        <w:t>Análisis y discusión de oficio de la Fundación Costa Rica – Canadá, solicitando que se retire el llamado de atención por los atrasos en la formalización de un caso del proyecto Cartagena, y pidiendo que se autorice el pago de los honorarios y la comisión del último caso formalizado.</w:t>
      </w:r>
    </w:p>
    <w:p w14:paraId="0652014E" w14:textId="4C61A2DA" w:rsidR="009C3F99" w:rsidRPr="004311FD" w:rsidRDefault="00553129" w:rsidP="004311FD">
      <w:pPr>
        <w:pStyle w:val="Prrafodelista"/>
        <w:numPr>
          <w:ilvl w:val="0"/>
          <w:numId w:val="18"/>
        </w:numPr>
        <w:spacing w:line="360" w:lineRule="auto"/>
        <w:ind w:left="567" w:hanging="567"/>
        <w:jc w:val="both"/>
        <w:rPr>
          <w:rFonts w:cs="Arial"/>
          <w:sz w:val="22"/>
        </w:rPr>
      </w:pPr>
      <w:r w:rsidRPr="004311FD">
        <w:rPr>
          <w:rFonts w:cs="Arial"/>
          <w:sz w:val="22"/>
        </w:rPr>
        <w:lastRenderedPageBreak/>
        <w:t>Información sobre la recepción del informe de la Contraloría General de la República, sobre la inversión de recursos de la Cuenta General en el FONAVI.</w:t>
      </w:r>
    </w:p>
    <w:p w14:paraId="55670611" w14:textId="77777777" w:rsidR="00553129" w:rsidRPr="004311FD" w:rsidRDefault="00553129" w:rsidP="004311FD">
      <w:pPr>
        <w:pStyle w:val="Prrafodelista"/>
        <w:numPr>
          <w:ilvl w:val="0"/>
          <w:numId w:val="18"/>
        </w:numPr>
        <w:spacing w:line="360" w:lineRule="auto"/>
        <w:ind w:left="567" w:hanging="567"/>
        <w:jc w:val="both"/>
        <w:rPr>
          <w:rFonts w:cs="Arial"/>
          <w:sz w:val="22"/>
        </w:rPr>
      </w:pPr>
      <w:r w:rsidRPr="004311FD">
        <w:rPr>
          <w:rFonts w:cs="Arial"/>
          <w:sz w:val="22"/>
        </w:rPr>
        <w:t>Comunicación del Director Carazo Campos, sobre próxima salida del país.</w:t>
      </w:r>
    </w:p>
    <w:p w14:paraId="0DE56039" w14:textId="3F06F0F4" w:rsidR="00944E75" w:rsidRPr="004311FD" w:rsidRDefault="00944E75" w:rsidP="004311FD">
      <w:pPr>
        <w:pStyle w:val="Prrafodelista"/>
        <w:numPr>
          <w:ilvl w:val="0"/>
          <w:numId w:val="18"/>
        </w:numPr>
        <w:spacing w:line="360" w:lineRule="auto"/>
        <w:ind w:left="567" w:hanging="567"/>
        <w:jc w:val="both"/>
        <w:rPr>
          <w:rFonts w:cs="Arial"/>
          <w:sz w:val="22"/>
        </w:rPr>
      </w:pPr>
      <w:r w:rsidRPr="004311FD">
        <w:rPr>
          <w:rFonts w:cs="Arial"/>
          <w:sz w:val="22"/>
        </w:rPr>
        <w:t>Comunicación de la Directora Ulibarri Pernús, sobre próxima salida del país</w:t>
      </w:r>
      <w:r w:rsidR="00BE7BC3" w:rsidRPr="004311FD">
        <w:rPr>
          <w:rFonts w:cs="Arial"/>
          <w:sz w:val="22"/>
        </w:rPr>
        <w:t xml:space="preserve"> y solicitudes sobre el estudio de modernización institucional, el Plan Estratégico Institucional y el proceso de fusión entre instituciones del sector vivienda.</w:t>
      </w:r>
    </w:p>
    <w:p w14:paraId="58B166D3" w14:textId="7DC3345A" w:rsidR="00553129" w:rsidRPr="004311FD" w:rsidRDefault="00944E75" w:rsidP="004311FD">
      <w:pPr>
        <w:pStyle w:val="Prrafodelista"/>
        <w:numPr>
          <w:ilvl w:val="0"/>
          <w:numId w:val="18"/>
        </w:numPr>
        <w:spacing w:line="360" w:lineRule="auto"/>
        <w:ind w:left="567" w:hanging="567"/>
        <w:jc w:val="both"/>
        <w:rPr>
          <w:rFonts w:cs="Arial"/>
          <w:sz w:val="22"/>
        </w:rPr>
      </w:pPr>
      <w:r w:rsidRPr="004311FD">
        <w:rPr>
          <w:rFonts w:cs="Arial"/>
          <w:sz w:val="22"/>
        </w:rPr>
        <w:t xml:space="preserve">Solicitud de informe sobre acuerdos pendientes de atender y </w:t>
      </w:r>
      <w:r w:rsidR="00373CF7" w:rsidRPr="004311FD">
        <w:rPr>
          <w:rFonts w:cs="Arial"/>
          <w:sz w:val="22"/>
        </w:rPr>
        <w:t>para conocer las ofertas recibidas por los interesados en ocupar los puestos de subgerentes.</w:t>
      </w:r>
    </w:p>
    <w:p w14:paraId="4D93D492" w14:textId="4DA62CCE" w:rsidR="00553129" w:rsidRPr="004311FD" w:rsidRDefault="00BE7BC3" w:rsidP="004311FD">
      <w:pPr>
        <w:pStyle w:val="Prrafodelista"/>
        <w:numPr>
          <w:ilvl w:val="0"/>
          <w:numId w:val="18"/>
        </w:numPr>
        <w:spacing w:line="360" w:lineRule="auto"/>
        <w:ind w:left="567" w:hanging="567"/>
        <w:jc w:val="both"/>
        <w:rPr>
          <w:rFonts w:cs="Arial"/>
          <w:sz w:val="22"/>
        </w:rPr>
      </w:pPr>
      <w:r w:rsidRPr="004311FD">
        <w:rPr>
          <w:rFonts w:cs="Arial"/>
          <w:sz w:val="22"/>
        </w:rPr>
        <w:t>Solicitud de informe sobre las improbaciones del Presupuesto Ordinario 2022 y comentario sobre el proceso de fusión entre instituciones del sector vivienda.</w:t>
      </w:r>
    </w:p>
    <w:p w14:paraId="0202639B" w14:textId="77777777" w:rsidR="006321F4" w:rsidRPr="00D14EAF" w:rsidRDefault="006321F4" w:rsidP="006321F4">
      <w:pPr>
        <w:spacing w:line="360" w:lineRule="auto"/>
        <w:jc w:val="both"/>
        <w:rPr>
          <w:rFonts w:cs="Arial"/>
          <w:b/>
          <w:sz w:val="22"/>
        </w:rPr>
      </w:pPr>
      <w:r w:rsidRPr="00D14EAF">
        <w:rPr>
          <w:rFonts w:cs="Arial"/>
          <w:b/>
          <w:sz w:val="22"/>
        </w:rPr>
        <w:t>************</w:t>
      </w:r>
    </w:p>
    <w:p w14:paraId="30B3D08E" w14:textId="77777777" w:rsidR="007F614F" w:rsidRPr="00AB2826" w:rsidRDefault="007F614F" w:rsidP="002D0146">
      <w:pPr>
        <w:spacing w:line="360" w:lineRule="auto"/>
        <w:jc w:val="both"/>
        <w:rPr>
          <w:rFonts w:cs="Arial"/>
          <w:b/>
          <w:sz w:val="22"/>
          <w:szCs w:val="22"/>
          <w:u w:val="single"/>
          <w:lang w:val="es-ES_tradnl"/>
        </w:rPr>
      </w:pPr>
    </w:p>
    <w:p w14:paraId="7D54A79C" w14:textId="73DEEDC3"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F1A13" w:rsidRPr="00AF1A13">
        <w:rPr>
          <w:rFonts w:cs="Arial"/>
          <w:b/>
          <w:bCs/>
          <w:sz w:val="22"/>
          <w:u w:val="single"/>
          <w:lang w:val="es-ES_tradnl"/>
        </w:rPr>
        <w:t>Lectura y aprobación de las actas N° 42-2022 del 22/08/2022 y N° 43-2022 del 25/08/2022</w:t>
      </w:r>
    </w:p>
    <w:p w14:paraId="33AEFC37" w14:textId="77777777" w:rsidR="00FA4CCB" w:rsidRDefault="00FA4CCB" w:rsidP="002D0146">
      <w:pPr>
        <w:spacing w:line="360" w:lineRule="auto"/>
        <w:jc w:val="both"/>
        <w:rPr>
          <w:rFonts w:cs="Arial"/>
          <w:sz w:val="22"/>
          <w:szCs w:val="22"/>
        </w:rPr>
      </w:pPr>
    </w:p>
    <w:p w14:paraId="5B0E9D39" w14:textId="3CFC6B11"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E14A40">
        <w:rPr>
          <w:rFonts w:cs="Arial"/>
          <w:sz w:val="22"/>
          <w:u w:val="single"/>
          <w:lang w:val="es-ES_tradnl"/>
        </w:rPr>
        <w:t>1</w:t>
      </w:r>
      <w:r w:rsidRPr="0039311E">
        <w:rPr>
          <w:rFonts w:cs="Arial"/>
          <w:sz w:val="22"/>
          <w:u w:val="single"/>
          <w:lang w:val="es-ES_tradnl"/>
        </w:rPr>
        <w:t>:</w:t>
      </w:r>
      <w:r w:rsidR="00E14A40">
        <w:rPr>
          <w:rFonts w:cs="Arial"/>
          <w:sz w:val="22"/>
          <w:u w:val="single"/>
          <w:lang w:val="es-ES_tradnl"/>
        </w:rPr>
        <w:t>12</w:t>
      </w:r>
      <w:r>
        <w:rPr>
          <w:rFonts w:cs="Arial"/>
          <w:sz w:val="22"/>
          <w:lang w:val="es-ES_tradnl"/>
        </w:rPr>
        <w:t xml:space="preserve"> </w:t>
      </w:r>
      <w:r w:rsidR="00E14A40">
        <w:rPr>
          <w:rFonts w:cs="Arial"/>
          <w:sz w:val="22"/>
          <w:lang w:val="es-ES_tradnl"/>
        </w:rPr>
        <w:t>Una vez conocido y aprobado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6C6AAA">
        <w:rPr>
          <w:rFonts w:cs="Arial"/>
          <w:sz w:val="22"/>
          <w:lang w:val="es-ES_tradnl"/>
        </w:rPr>
        <w:t>42</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6C6AAA">
        <w:rPr>
          <w:rFonts w:cs="Arial"/>
          <w:sz w:val="22"/>
          <w:lang w:val="es-ES_tradnl"/>
        </w:rPr>
        <w:t>22</w:t>
      </w:r>
      <w:r>
        <w:rPr>
          <w:rFonts w:cs="Arial"/>
          <w:sz w:val="22"/>
          <w:lang w:val="es-ES_tradnl"/>
        </w:rPr>
        <w:t xml:space="preserve"> de </w:t>
      </w:r>
      <w:r w:rsidR="006C6AAA">
        <w:rPr>
          <w:rFonts w:cs="Arial"/>
          <w:sz w:val="22"/>
          <w:lang w:val="es-ES_tradnl"/>
        </w:rPr>
        <w:t>agosto</w:t>
      </w:r>
      <w:r>
        <w:rPr>
          <w:rFonts w:cs="Arial"/>
          <w:sz w:val="22"/>
          <w:lang w:val="es-ES_tradnl"/>
        </w:rPr>
        <w:t xml:space="preserve"> de </w:t>
      </w:r>
      <w:r w:rsidR="005F2BC7">
        <w:rPr>
          <w:rFonts w:cs="Arial"/>
          <w:sz w:val="22"/>
          <w:lang w:val="es-ES_tradnl"/>
        </w:rPr>
        <w:t>2022</w:t>
      </w:r>
      <w:r>
        <w:rPr>
          <w:rFonts w:cs="Arial"/>
          <w:sz w:val="22"/>
          <w:lang w:val="es-ES_tradnl"/>
        </w:rPr>
        <w:t>.</w:t>
      </w:r>
    </w:p>
    <w:p w14:paraId="5AB28C57" w14:textId="77777777" w:rsidR="009D03FE" w:rsidRDefault="009D03FE" w:rsidP="002D0146">
      <w:pPr>
        <w:spacing w:line="360" w:lineRule="auto"/>
        <w:jc w:val="both"/>
        <w:rPr>
          <w:rFonts w:cs="Arial"/>
          <w:sz w:val="22"/>
          <w:szCs w:val="22"/>
        </w:rPr>
      </w:pPr>
    </w:p>
    <w:p w14:paraId="0EBED062" w14:textId="563D087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14A40">
        <w:rPr>
          <w:rFonts w:cs="Arial"/>
          <w:sz w:val="22"/>
          <w:u w:val="single"/>
          <w:lang w:val="es-ES_tradnl"/>
        </w:rPr>
        <w:t>13:45</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494CECDC" w14:textId="77777777" w:rsidR="00E97960" w:rsidRDefault="00E97960" w:rsidP="009D03FE">
      <w:pPr>
        <w:spacing w:line="360" w:lineRule="auto"/>
        <w:jc w:val="both"/>
        <w:rPr>
          <w:rFonts w:cs="Arial"/>
          <w:sz w:val="22"/>
          <w:lang w:val="es-ES_tradnl"/>
        </w:rPr>
      </w:pPr>
    </w:p>
    <w:p w14:paraId="272782AC" w14:textId="47A0F605"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E14A40">
        <w:rPr>
          <w:rFonts w:cs="Arial"/>
          <w:sz w:val="22"/>
          <w:u w:val="single"/>
          <w:lang w:val="es-ES_tradnl"/>
        </w:rPr>
        <w:t>15</w:t>
      </w:r>
      <w:r w:rsidRPr="0039311E">
        <w:rPr>
          <w:rFonts w:cs="Arial"/>
          <w:sz w:val="22"/>
          <w:u w:val="single"/>
          <w:lang w:val="es-ES_tradnl"/>
        </w:rPr>
        <w:t>:</w:t>
      </w:r>
      <w:r w:rsidR="00E14A40">
        <w:rPr>
          <w:rFonts w:cs="Arial"/>
          <w:sz w:val="22"/>
          <w:u w:val="single"/>
          <w:lang w:val="es-ES_tradnl"/>
        </w:rPr>
        <w:t>25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6C6AAA">
        <w:rPr>
          <w:rFonts w:cs="Arial"/>
          <w:sz w:val="22"/>
          <w:lang w:val="es-ES_tradnl"/>
        </w:rPr>
        <w:t>extra</w:t>
      </w:r>
      <w:r>
        <w:rPr>
          <w:rFonts w:cs="Arial"/>
          <w:sz w:val="22"/>
          <w:lang w:val="es-ES_tradnl"/>
        </w:rPr>
        <w:t xml:space="preserve">ordinaria N° </w:t>
      </w:r>
      <w:r w:rsidR="008E0DC2">
        <w:rPr>
          <w:rFonts w:cs="Arial"/>
          <w:sz w:val="22"/>
          <w:lang w:val="es-ES_tradnl"/>
        </w:rPr>
        <w:t>43</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8E0DC2">
        <w:rPr>
          <w:rFonts w:cs="Arial"/>
          <w:sz w:val="22"/>
          <w:lang w:val="es-ES_tradnl"/>
        </w:rPr>
        <w:t>25</w:t>
      </w:r>
      <w:r>
        <w:rPr>
          <w:rFonts w:cs="Arial"/>
          <w:sz w:val="22"/>
          <w:lang w:val="es-ES_tradnl"/>
        </w:rPr>
        <w:t xml:space="preserve"> de </w:t>
      </w:r>
      <w:r w:rsidR="008E0DC2">
        <w:rPr>
          <w:rFonts w:cs="Arial"/>
          <w:sz w:val="22"/>
          <w:lang w:val="es-ES_tradnl"/>
        </w:rPr>
        <w:t>agosto</w:t>
      </w:r>
      <w:r>
        <w:rPr>
          <w:rFonts w:cs="Arial"/>
          <w:sz w:val="22"/>
          <w:lang w:val="es-ES_tradnl"/>
        </w:rPr>
        <w:t xml:space="preserve"> de </w:t>
      </w:r>
      <w:r w:rsidR="005F2BC7">
        <w:rPr>
          <w:rFonts w:cs="Arial"/>
          <w:sz w:val="22"/>
          <w:lang w:val="es-ES_tradnl"/>
        </w:rPr>
        <w:t>2022</w:t>
      </w:r>
      <w:r>
        <w:rPr>
          <w:rFonts w:cs="Arial"/>
          <w:sz w:val="22"/>
          <w:lang w:val="es-ES_tradnl"/>
        </w:rPr>
        <w:t>.</w:t>
      </w:r>
    </w:p>
    <w:p w14:paraId="6CE4DDE5" w14:textId="23218557" w:rsidR="008E0DC2" w:rsidRDefault="008E0DC2" w:rsidP="00E97960">
      <w:pPr>
        <w:spacing w:line="360" w:lineRule="auto"/>
        <w:jc w:val="both"/>
        <w:rPr>
          <w:rFonts w:cs="Arial"/>
          <w:sz w:val="22"/>
          <w:lang w:val="es-ES_tradnl"/>
        </w:rPr>
      </w:pPr>
    </w:p>
    <w:p w14:paraId="66FD82E8" w14:textId="75EBA436" w:rsidR="00FB116A" w:rsidRDefault="008E0DC2" w:rsidP="00FB116A">
      <w:pPr>
        <w:spacing w:line="360" w:lineRule="auto"/>
        <w:jc w:val="both"/>
        <w:rPr>
          <w:rFonts w:cs="Arial"/>
          <w:sz w:val="22"/>
          <w:lang w:val="es-ES_tradnl"/>
        </w:rPr>
      </w:pPr>
      <w:r w:rsidRPr="0039311E">
        <w:rPr>
          <w:rFonts w:cs="Arial"/>
          <w:sz w:val="22"/>
          <w:u w:val="single"/>
          <w:lang w:val="es-ES_tradnl"/>
        </w:rPr>
        <w:t xml:space="preserve">Minuto </w:t>
      </w:r>
      <w:r w:rsidR="006C378D">
        <w:rPr>
          <w:rFonts w:cs="Arial"/>
          <w:sz w:val="22"/>
          <w:u w:val="single"/>
          <w:lang w:val="es-ES_tradnl"/>
        </w:rPr>
        <w:t>24</w:t>
      </w:r>
      <w:r w:rsidRPr="0039311E">
        <w:rPr>
          <w:rFonts w:cs="Arial"/>
          <w:sz w:val="22"/>
          <w:u w:val="single"/>
          <w:lang w:val="es-ES_tradnl"/>
        </w:rPr>
        <w:t>:</w:t>
      </w:r>
      <w:r w:rsidR="006C378D">
        <w:rPr>
          <w:rFonts w:cs="Arial"/>
          <w:sz w:val="22"/>
          <w:u w:val="single"/>
          <w:lang w:val="es-ES_tradnl"/>
        </w:rPr>
        <w:t>56</w:t>
      </w:r>
      <w:r>
        <w:rPr>
          <w:rFonts w:cs="Arial"/>
          <w:sz w:val="22"/>
          <w:lang w:val="es-ES_tradnl"/>
        </w:rPr>
        <w:t xml:space="preserve"> Luego de conocer lo resuelto en dicha sesión (acuerdo N° 4), con respecto al caso de </w:t>
      </w:r>
      <w:r w:rsidRPr="008E0DC2">
        <w:rPr>
          <w:rFonts w:cs="Arial"/>
          <w:sz w:val="22"/>
          <w:lang w:val="es-ES_tradnl"/>
        </w:rPr>
        <w:t>un lote que se encuentra en una servidumbre de 5 metros de ancho y que no está inscrita en el Registro</w:t>
      </w:r>
      <w:r>
        <w:rPr>
          <w:rFonts w:cs="Arial"/>
          <w:sz w:val="22"/>
          <w:lang w:val="es-ES_tradnl"/>
        </w:rPr>
        <w:t>, se acuerda solicitar a la A</w:t>
      </w:r>
      <w:r w:rsidR="00FB116A">
        <w:rPr>
          <w:rFonts w:cs="Arial"/>
          <w:sz w:val="22"/>
          <w:lang w:val="es-ES_tradnl"/>
        </w:rPr>
        <w:t xml:space="preserve">dministración </w:t>
      </w:r>
      <w:r>
        <w:rPr>
          <w:rFonts w:cs="Arial"/>
          <w:sz w:val="22"/>
          <w:lang w:val="es-ES_tradnl"/>
        </w:rPr>
        <w:t xml:space="preserve">que remita a los miembros de esta </w:t>
      </w:r>
      <w:r w:rsidRPr="008E0DC2">
        <w:rPr>
          <w:rFonts w:cs="Arial"/>
          <w:sz w:val="22"/>
          <w:lang w:val="es-ES_tradnl"/>
        </w:rPr>
        <w:t>Junta Directiva</w:t>
      </w:r>
      <w:r>
        <w:rPr>
          <w:rFonts w:cs="Arial"/>
          <w:sz w:val="22"/>
          <w:lang w:val="es-ES_tradnl"/>
        </w:rPr>
        <w:t>, para su valoración en una próxima sesión,</w:t>
      </w:r>
      <w:r w:rsidR="00FB116A">
        <w:rPr>
          <w:rFonts w:cs="Arial"/>
          <w:sz w:val="22"/>
          <w:lang w:val="es-ES_tradnl"/>
        </w:rPr>
        <w:t xml:space="preserve"> el criterio legal </w:t>
      </w:r>
      <w:r w:rsidR="00FB116A" w:rsidRPr="00FB116A">
        <w:rPr>
          <w:rFonts w:cs="Arial"/>
          <w:sz w:val="22"/>
          <w:lang w:val="es-CR"/>
        </w:rPr>
        <w:t>sobre las constituciones y uso de las servidumbres de paso o áreas de acceso excepcionales</w:t>
      </w:r>
      <w:r w:rsidR="00FB116A">
        <w:rPr>
          <w:rFonts w:cs="Arial"/>
          <w:sz w:val="22"/>
          <w:lang w:val="es-CR"/>
        </w:rPr>
        <w:t>,</w:t>
      </w:r>
      <w:r w:rsidR="00FB116A" w:rsidRPr="00FB116A">
        <w:rPr>
          <w:rFonts w:cs="Arial"/>
          <w:sz w:val="22"/>
          <w:lang w:val="es-CR"/>
        </w:rPr>
        <w:t xml:space="preserve"> en terrenos para uso residencial tramitados bajo la modalidad de bono individuales</w:t>
      </w:r>
      <w:r w:rsidR="00AF1A13">
        <w:rPr>
          <w:rFonts w:cs="Arial"/>
          <w:sz w:val="22"/>
          <w:lang w:val="es-CR"/>
        </w:rPr>
        <w:t xml:space="preserve">.  Lo anterior, según se consigna en el </w:t>
      </w:r>
      <w:r w:rsidR="00AF1A13" w:rsidRPr="00AF1A13">
        <w:rPr>
          <w:rFonts w:cs="Arial"/>
          <w:b/>
          <w:bCs/>
          <w:sz w:val="22"/>
          <w:lang w:val="es-CR"/>
        </w:rPr>
        <w:t>Acuerdo N° 1</w:t>
      </w:r>
      <w:r w:rsidR="00AF1A13">
        <w:rPr>
          <w:rFonts w:cs="Arial"/>
          <w:sz w:val="22"/>
          <w:lang w:val="es-CR"/>
        </w:rPr>
        <w:t xml:space="preserve"> que se anexa a esta minuta.</w:t>
      </w:r>
    </w:p>
    <w:p w14:paraId="31CCD6A7" w14:textId="77777777" w:rsidR="00E97960" w:rsidRDefault="00E97960" w:rsidP="00E97960">
      <w:pPr>
        <w:spacing w:line="360" w:lineRule="auto"/>
        <w:jc w:val="both"/>
        <w:rPr>
          <w:rFonts w:cs="Arial"/>
          <w:sz w:val="22"/>
          <w:szCs w:val="22"/>
        </w:rPr>
      </w:pPr>
    </w:p>
    <w:p w14:paraId="1A539A2A" w14:textId="457F0B6B" w:rsidR="00E97960" w:rsidRDefault="00E97960"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6C378D">
        <w:rPr>
          <w:rFonts w:cs="Arial"/>
          <w:sz w:val="22"/>
          <w:u w:val="single"/>
          <w:lang w:val="es-ES_tradnl"/>
        </w:rPr>
        <w:t>27</w:t>
      </w:r>
      <w:r w:rsidRPr="00A25DB7">
        <w:rPr>
          <w:rFonts w:cs="Arial"/>
          <w:sz w:val="22"/>
          <w:u w:val="single"/>
          <w:lang w:val="es-ES_tradnl"/>
        </w:rPr>
        <w:t>:</w:t>
      </w:r>
      <w:r w:rsidR="006C378D">
        <w:rPr>
          <w:rFonts w:cs="Arial"/>
          <w:sz w:val="22"/>
          <w:u w:val="single"/>
          <w:lang w:val="es-ES_tradnl"/>
        </w:rPr>
        <w:t>07</w:t>
      </w:r>
      <w:r>
        <w:rPr>
          <w:rFonts w:cs="Arial"/>
          <w:sz w:val="22"/>
          <w:lang w:val="es-ES_tradnl"/>
        </w:rPr>
        <w:t xml:space="preserve"> Hechas las enmiendas pertinentes al acta y la minuta en discusión, se aprueban en forma unánime por parte de los señores Directores.</w:t>
      </w:r>
    </w:p>
    <w:p w14:paraId="144DFA67" w14:textId="77777777" w:rsidR="007749FC" w:rsidRPr="00D14EAF" w:rsidRDefault="007749FC" w:rsidP="007749FC">
      <w:pPr>
        <w:spacing w:line="360" w:lineRule="auto"/>
        <w:jc w:val="both"/>
        <w:rPr>
          <w:rFonts w:cs="Arial"/>
          <w:b/>
          <w:sz w:val="22"/>
        </w:rPr>
      </w:pPr>
      <w:r w:rsidRPr="00D14EAF">
        <w:rPr>
          <w:rFonts w:cs="Arial"/>
          <w:b/>
          <w:sz w:val="22"/>
        </w:rPr>
        <w:t>************</w:t>
      </w:r>
    </w:p>
    <w:p w14:paraId="0E8BFD4A" w14:textId="77777777" w:rsidR="00FA4CCB" w:rsidRDefault="00FA4CCB" w:rsidP="002D0146">
      <w:pPr>
        <w:spacing w:line="360" w:lineRule="auto"/>
        <w:jc w:val="both"/>
        <w:rPr>
          <w:rFonts w:cs="Arial"/>
          <w:b/>
          <w:sz w:val="22"/>
          <w:szCs w:val="22"/>
          <w:u w:val="single"/>
          <w:lang w:val="es-ES_tradnl"/>
        </w:rPr>
      </w:pPr>
    </w:p>
    <w:p w14:paraId="2B80B861" w14:textId="68A60F7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AF1A13" w:rsidRPr="00AF1A13">
        <w:rPr>
          <w:rFonts w:cs="Arial"/>
          <w:b/>
          <w:bCs/>
          <w:sz w:val="22"/>
          <w:u w:val="single"/>
        </w:rPr>
        <w:t>Solicitud de aprobación de 7 bonos extraordinarios individuales</w:t>
      </w:r>
    </w:p>
    <w:p w14:paraId="042E396F" w14:textId="77777777" w:rsidR="009D03FE" w:rsidRDefault="009D03FE" w:rsidP="009D03FE">
      <w:pPr>
        <w:spacing w:line="360" w:lineRule="auto"/>
        <w:jc w:val="both"/>
        <w:rPr>
          <w:rFonts w:cs="Arial"/>
          <w:sz w:val="22"/>
          <w:szCs w:val="22"/>
        </w:rPr>
      </w:pPr>
    </w:p>
    <w:p w14:paraId="741567AA" w14:textId="7C222035" w:rsidR="006C6AAA" w:rsidRDefault="006C6AAA" w:rsidP="006C6AAA">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2</w:t>
      </w:r>
      <w:r w:rsidR="001F64C2">
        <w:rPr>
          <w:rFonts w:cs="Arial"/>
          <w:sz w:val="22"/>
          <w:u w:val="single"/>
          <w:lang w:val="es-ES_tradnl"/>
        </w:rPr>
        <w:t>7</w:t>
      </w:r>
      <w:r w:rsidRPr="0039311E">
        <w:rPr>
          <w:rFonts w:cs="Arial"/>
          <w:sz w:val="22"/>
          <w:u w:val="single"/>
          <w:lang w:val="es-ES_tradnl"/>
        </w:rPr>
        <w:t>:</w:t>
      </w:r>
      <w:r w:rsidR="001F64C2">
        <w:rPr>
          <w:rFonts w:cs="Arial"/>
          <w:sz w:val="22"/>
          <w:u w:val="single"/>
          <w:lang w:val="es-ES_tradnl"/>
        </w:rPr>
        <w:t>22</w:t>
      </w:r>
      <w:r>
        <w:rPr>
          <w:rFonts w:cs="Arial"/>
          <w:sz w:val="22"/>
          <w:lang w:val="es-ES_tradnl"/>
        </w:rPr>
        <w:t xml:space="preserve"> </w:t>
      </w:r>
      <w:r>
        <w:rPr>
          <w:rFonts w:cs="Arial"/>
          <w:sz w:val="22"/>
          <w:szCs w:val="22"/>
          <w:lang w:val="es-ES_tradnl"/>
        </w:rPr>
        <w:t>Se conoce el oficio</w:t>
      </w:r>
      <w:r>
        <w:rPr>
          <w:rFonts w:cs="Arial"/>
          <w:bCs/>
          <w:sz w:val="22"/>
          <w:szCs w:val="22"/>
          <w:lang w:val="es-ES_tradnl"/>
        </w:rPr>
        <w:t xml:space="preserve"> </w:t>
      </w:r>
      <w:r>
        <w:rPr>
          <w:rFonts w:cs="Arial"/>
          <w:bCs/>
          <w:sz w:val="22"/>
          <w:szCs w:val="22"/>
          <w:lang w:val="es-CR"/>
        </w:rPr>
        <w:t>GG-ME-1093-2022 del 02 de setiembre de 2022</w:t>
      </w:r>
      <w:r>
        <w:rPr>
          <w:rFonts w:cs="Arial"/>
          <w:bCs/>
          <w:sz w:val="22"/>
          <w:szCs w:val="22"/>
        </w:rPr>
        <w:t xml:space="preserve">, por medio del cual, la Gerencia General remite y avala el informe </w:t>
      </w:r>
      <w:r>
        <w:rPr>
          <w:rFonts w:cs="Arial"/>
          <w:sz w:val="22"/>
          <w:szCs w:val="22"/>
          <w:lang w:val="es-CR"/>
        </w:rPr>
        <w:t xml:space="preserve">DF-OF-0928-2022 de la Dirección FOSUVI, </w:t>
      </w:r>
      <w:r>
        <w:rPr>
          <w:rFonts w:cs="Arial"/>
          <w:bCs/>
          <w:sz w:val="22"/>
          <w:szCs w:val="22"/>
        </w:rPr>
        <w:t xml:space="preserve">que contiene un resumen de los resultados de los estudios efectuados a las solicitudes de </w:t>
      </w:r>
      <w:r>
        <w:rPr>
          <w:rFonts w:cs="Arial"/>
          <w:bCs/>
          <w:sz w:val="22"/>
          <w:lang w:val="es-CR"/>
        </w:rPr>
        <w:t xml:space="preserve">Grupo Mutual Alajuela – La Vivienda </w:t>
      </w:r>
      <w:r>
        <w:rPr>
          <w:rFonts w:cs="Arial"/>
          <w:bCs/>
          <w:sz w:val="22"/>
          <w:lang w:val="es-ES_tradnl"/>
        </w:rPr>
        <w:t>de Ahorro y Préstamo</w:t>
      </w:r>
      <w:r>
        <w:rPr>
          <w:rFonts w:cs="Arial"/>
          <w:bCs/>
          <w:sz w:val="22"/>
          <w:szCs w:val="22"/>
        </w:rPr>
        <w:t>, I</w:t>
      </w:r>
      <w:r w:rsidR="000F546B">
        <w:rPr>
          <w:rFonts w:cs="Arial"/>
          <w:bCs/>
          <w:sz w:val="22"/>
          <w:szCs w:val="22"/>
        </w:rPr>
        <w:t>nstituto Nacional de Vivienda y Urbanismo</w:t>
      </w:r>
      <w:r>
        <w:rPr>
          <w:rFonts w:cs="Arial"/>
          <w:bCs/>
          <w:sz w:val="22"/>
          <w:szCs w:val="22"/>
        </w:rPr>
        <w:t>, Banco de Costa Rica y Coopealianza, R.L.</w:t>
      </w:r>
      <w:r>
        <w:rPr>
          <w:rFonts w:cs="Arial"/>
          <w:bCs/>
          <w:sz w:val="22"/>
          <w:szCs w:val="22"/>
          <w:lang w:val="es-ES_tradnl"/>
        </w:rPr>
        <w:t>,</w:t>
      </w:r>
      <w:r>
        <w:rPr>
          <w:rFonts w:cs="Arial"/>
          <w:bCs/>
          <w:sz w:val="22"/>
          <w:lang w:val="es-CR"/>
        </w:rPr>
        <w:t xml:space="preserve"> para financiar siete</w:t>
      </w:r>
      <w:r>
        <w:rPr>
          <w:rFonts w:cs="Arial"/>
          <w:bCs/>
          <w:sz w:val="22"/>
          <w:szCs w:val="22"/>
          <w:lang w:val="es-CR"/>
        </w:rPr>
        <w:t xml:space="preserve"> </w:t>
      </w:r>
      <w:r>
        <w:rPr>
          <w:rFonts w:cs="Arial"/>
          <w:bCs/>
          <w:sz w:val="22"/>
          <w:szCs w:val="22"/>
        </w:rPr>
        <w:t>operaciones individuales de Bono Familiar de Vivienda, por situación de extrema necesidad, al amparo del artículo 59 de la Ley del Sistema Financiero Nacional para la Vivienda.  Dichos documentos se adjuntan al expediente del acta.</w:t>
      </w:r>
    </w:p>
    <w:p w14:paraId="7436D3E0" w14:textId="77777777" w:rsidR="006C6AAA" w:rsidRDefault="006C6AAA" w:rsidP="006C6AAA">
      <w:pPr>
        <w:spacing w:line="360" w:lineRule="auto"/>
        <w:jc w:val="both"/>
        <w:rPr>
          <w:rFonts w:cs="Arial"/>
          <w:bCs/>
          <w:sz w:val="22"/>
          <w:szCs w:val="22"/>
        </w:rPr>
      </w:pPr>
    </w:p>
    <w:p w14:paraId="766B2099" w14:textId="1D8B481F" w:rsidR="006C6AAA" w:rsidRDefault="006C6AAA" w:rsidP="006C6AAA">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w:t>
      </w:r>
      <w:r w:rsidR="004313CF">
        <w:rPr>
          <w:rFonts w:cs="Arial"/>
          <w:sz w:val="22"/>
          <w:szCs w:val="22"/>
        </w:rPr>
        <w:t xml:space="preserve">los </w:t>
      </w:r>
      <w:r>
        <w:rPr>
          <w:rFonts w:cs="Arial"/>
          <w:sz w:val="22"/>
          <w:szCs w:val="22"/>
        </w:rPr>
        <w:t>sigui</w:t>
      </w:r>
      <w:r w:rsidR="004313CF">
        <w:rPr>
          <w:rFonts w:cs="Arial"/>
          <w:sz w:val="22"/>
          <w:szCs w:val="22"/>
        </w:rPr>
        <w:t>entes cuatro temas, se incorporan a la sesión el Lic. Walter Bolaños Rojas, funcionario de la Dirección FOSUVI; y la arquitecta Mariella Salas Rodríguez, jefa del Departamento Técnico, quien presenta el</w:t>
      </w:r>
      <w:r w:rsidRPr="00437EF8">
        <w:rPr>
          <w:rFonts w:cs="Arial"/>
          <w:bCs/>
          <w:sz w:val="22"/>
          <w:szCs w:val="22"/>
        </w:rPr>
        <w:t xml:space="preserve"> detalle de las referidas solicitudes de financiamiento</w:t>
      </w:r>
      <w:r w:rsidR="004313CF">
        <w:rPr>
          <w:rFonts w:cs="Arial"/>
          <w:bCs/>
          <w:sz w:val="22"/>
          <w:szCs w:val="22"/>
        </w:rPr>
        <w:t xml:space="preserve">, </w:t>
      </w:r>
      <w:r w:rsidRPr="00437EF8">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B59FF5E" w14:textId="77777777" w:rsidR="006C6AAA" w:rsidRDefault="006C6AAA" w:rsidP="006C6AAA">
      <w:pPr>
        <w:spacing w:line="360" w:lineRule="auto"/>
        <w:jc w:val="both"/>
        <w:rPr>
          <w:rFonts w:cs="Arial"/>
          <w:sz w:val="22"/>
          <w:lang w:val="es-ES_tradnl"/>
        </w:rPr>
      </w:pPr>
    </w:p>
    <w:p w14:paraId="56A68F8A" w14:textId="3783B9DC" w:rsidR="006C6AAA" w:rsidRDefault="006C6AAA" w:rsidP="006C6AAA">
      <w:pPr>
        <w:spacing w:line="360" w:lineRule="auto"/>
        <w:jc w:val="both"/>
        <w:rPr>
          <w:rFonts w:cs="Arial"/>
          <w:sz w:val="22"/>
          <w:lang w:val="es-ES_tradnl"/>
        </w:rPr>
      </w:pPr>
      <w:r w:rsidRPr="00A21797">
        <w:rPr>
          <w:rFonts w:cs="Arial"/>
          <w:bCs/>
          <w:sz w:val="22"/>
          <w:szCs w:val="22"/>
          <w:u w:val="single"/>
        </w:rPr>
        <w:t xml:space="preserve">Minuto </w:t>
      </w:r>
      <w:r w:rsidR="00CE6A9D">
        <w:rPr>
          <w:rFonts w:cs="Arial"/>
          <w:bCs/>
          <w:sz w:val="22"/>
          <w:szCs w:val="22"/>
          <w:u w:val="single"/>
        </w:rPr>
        <w:t>31</w:t>
      </w:r>
      <w:r w:rsidRPr="00A21797">
        <w:rPr>
          <w:rFonts w:cs="Arial"/>
          <w:bCs/>
          <w:sz w:val="22"/>
          <w:szCs w:val="22"/>
          <w:u w:val="single"/>
        </w:rPr>
        <w:t>:</w:t>
      </w:r>
      <w:r>
        <w:rPr>
          <w:rFonts w:cs="Arial"/>
          <w:bCs/>
          <w:sz w:val="22"/>
          <w:szCs w:val="22"/>
          <w:u w:val="single"/>
        </w:rPr>
        <w:t>25</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conforme lo recomienda la Administración y según se indica en el </w:t>
      </w:r>
      <w:r>
        <w:rPr>
          <w:rFonts w:cs="Arial"/>
          <w:b/>
          <w:sz w:val="22"/>
          <w:szCs w:val="22"/>
        </w:rPr>
        <w:t>A</w:t>
      </w:r>
      <w:r w:rsidRPr="00ED0EF0">
        <w:rPr>
          <w:rFonts w:cs="Arial"/>
          <w:b/>
          <w:sz w:val="22"/>
          <w:szCs w:val="22"/>
        </w:rPr>
        <w:t xml:space="preserve">cuerdo N° </w:t>
      </w:r>
      <w:r>
        <w:rPr>
          <w:rFonts w:cs="Arial"/>
          <w:b/>
          <w:sz w:val="22"/>
          <w:szCs w:val="22"/>
        </w:rPr>
        <w:t xml:space="preserve">2 </w:t>
      </w:r>
      <w:r>
        <w:rPr>
          <w:rFonts w:cs="Arial"/>
          <w:sz w:val="22"/>
          <w:szCs w:val="22"/>
        </w:rPr>
        <w:t>que se anexa a esta minuta.</w:t>
      </w:r>
    </w:p>
    <w:p w14:paraId="37554F5C" w14:textId="77777777" w:rsidR="009D03FE" w:rsidRPr="00D14EAF" w:rsidRDefault="009D03FE" w:rsidP="009D03FE">
      <w:pPr>
        <w:spacing w:line="360" w:lineRule="auto"/>
        <w:jc w:val="both"/>
        <w:rPr>
          <w:rFonts w:cs="Arial"/>
          <w:b/>
          <w:sz w:val="22"/>
        </w:rPr>
      </w:pPr>
      <w:r w:rsidRPr="00D14EAF">
        <w:rPr>
          <w:rFonts w:cs="Arial"/>
          <w:b/>
          <w:sz w:val="22"/>
        </w:rPr>
        <w:t>************</w:t>
      </w:r>
    </w:p>
    <w:p w14:paraId="5ED23B23" w14:textId="77777777" w:rsidR="00D13B6B" w:rsidRDefault="00D13B6B" w:rsidP="002D0146">
      <w:pPr>
        <w:spacing w:line="360" w:lineRule="auto"/>
        <w:jc w:val="both"/>
        <w:rPr>
          <w:rFonts w:cs="Arial"/>
          <w:b/>
          <w:bCs/>
          <w:sz w:val="22"/>
          <w:szCs w:val="22"/>
          <w:u w:val="single"/>
          <w:lang w:val="es-ES_tradnl"/>
        </w:rPr>
      </w:pPr>
    </w:p>
    <w:p w14:paraId="423388D4" w14:textId="44B19D9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AF1A13" w:rsidRPr="00AF1A13">
        <w:rPr>
          <w:rFonts w:cs="Arial"/>
          <w:b/>
          <w:bCs/>
          <w:sz w:val="22"/>
          <w:u w:val="single"/>
          <w:lang w:val="es-ES_tradnl"/>
        </w:rPr>
        <w:t>Propuesta de redistribución del presupuesto 2022 del FOSUVI</w:t>
      </w:r>
    </w:p>
    <w:p w14:paraId="4E15020F" w14:textId="77777777" w:rsidR="009D03FE" w:rsidRDefault="009D03FE" w:rsidP="009D03FE">
      <w:pPr>
        <w:spacing w:line="360" w:lineRule="auto"/>
        <w:jc w:val="both"/>
        <w:rPr>
          <w:rFonts w:cs="Arial"/>
          <w:sz w:val="22"/>
          <w:szCs w:val="22"/>
        </w:rPr>
      </w:pPr>
    </w:p>
    <w:p w14:paraId="01099F18" w14:textId="7243F6B1" w:rsidR="00CE6A9D" w:rsidRDefault="009D03FE" w:rsidP="00CE6A9D">
      <w:pPr>
        <w:spacing w:line="360" w:lineRule="auto"/>
        <w:jc w:val="both"/>
        <w:rPr>
          <w:rFonts w:cs="Arial"/>
          <w:sz w:val="22"/>
          <w:lang w:val="es-CR"/>
        </w:rPr>
      </w:pPr>
      <w:r w:rsidRPr="0039311E">
        <w:rPr>
          <w:rFonts w:cs="Arial"/>
          <w:sz w:val="22"/>
          <w:u w:val="single"/>
          <w:lang w:val="es-ES_tradnl"/>
        </w:rPr>
        <w:lastRenderedPageBreak/>
        <w:t xml:space="preserve">Minuto </w:t>
      </w:r>
      <w:r w:rsidR="00CE6A9D">
        <w:rPr>
          <w:rFonts w:cs="Arial"/>
          <w:sz w:val="22"/>
          <w:u w:val="single"/>
          <w:lang w:val="es-ES_tradnl"/>
        </w:rPr>
        <w:t>31</w:t>
      </w:r>
      <w:r w:rsidRPr="0039311E">
        <w:rPr>
          <w:rFonts w:cs="Arial"/>
          <w:sz w:val="22"/>
          <w:u w:val="single"/>
          <w:lang w:val="es-ES_tradnl"/>
        </w:rPr>
        <w:t>:</w:t>
      </w:r>
      <w:r w:rsidR="00CE6A9D">
        <w:rPr>
          <w:rFonts w:cs="Arial"/>
          <w:sz w:val="22"/>
          <w:u w:val="single"/>
          <w:lang w:val="es-ES_tradnl"/>
        </w:rPr>
        <w:t>55</w:t>
      </w:r>
      <w:r>
        <w:rPr>
          <w:rFonts w:cs="Arial"/>
          <w:sz w:val="22"/>
          <w:lang w:val="es-ES_tradnl"/>
        </w:rPr>
        <w:t xml:space="preserve"> Se conoce el oficio</w:t>
      </w:r>
      <w:r w:rsidR="00CE6A9D">
        <w:rPr>
          <w:rFonts w:cs="Arial"/>
          <w:sz w:val="22"/>
          <w:lang w:val="es-ES_tradnl"/>
        </w:rPr>
        <w:t xml:space="preserve"> </w:t>
      </w:r>
      <w:r w:rsidR="00CE6A9D" w:rsidRPr="009F7291">
        <w:rPr>
          <w:rFonts w:cs="Arial"/>
          <w:sz w:val="22"/>
          <w:szCs w:val="22"/>
        </w:rPr>
        <w:t>GG-ME-</w:t>
      </w:r>
      <w:r w:rsidR="00CE6A9D">
        <w:rPr>
          <w:rFonts w:cs="Arial"/>
          <w:sz w:val="22"/>
          <w:szCs w:val="22"/>
        </w:rPr>
        <w:t>1092</w:t>
      </w:r>
      <w:r w:rsidR="00CE6A9D" w:rsidRPr="009F7291">
        <w:rPr>
          <w:rFonts w:cs="Arial"/>
          <w:sz w:val="22"/>
          <w:szCs w:val="22"/>
        </w:rPr>
        <w:t>-20</w:t>
      </w:r>
      <w:r w:rsidR="00CE6A9D">
        <w:rPr>
          <w:rFonts w:cs="Arial"/>
          <w:sz w:val="22"/>
          <w:szCs w:val="22"/>
        </w:rPr>
        <w:t>22</w:t>
      </w:r>
      <w:r w:rsidR="00CE6A9D" w:rsidRPr="009F7291">
        <w:rPr>
          <w:rFonts w:cs="Arial"/>
          <w:sz w:val="22"/>
          <w:szCs w:val="22"/>
        </w:rPr>
        <w:t xml:space="preserve"> </w:t>
      </w:r>
      <w:r w:rsidR="00CE6A9D" w:rsidRPr="00BB303F">
        <w:rPr>
          <w:rFonts w:cs="Arial"/>
          <w:sz w:val="22"/>
        </w:rPr>
        <w:t xml:space="preserve">del </w:t>
      </w:r>
      <w:r w:rsidR="00CE6A9D">
        <w:rPr>
          <w:rFonts w:cs="Arial"/>
          <w:sz w:val="22"/>
        </w:rPr>
        <w:t>02 de setiembre</w:t>
      </w:r>
      <w:r w:rsidR="00CE6A9D" w:rsidRPr="00BB303F">
        <w:rPr>
          <w:rFonts w:cs="Arial"/>
          <w:sz w:val="22"/>
        </w:rPr>
        <w:t xml:space="preserve"> de 20</w:t>
      </w:r>
      <w:r w:rsidR="00CE6A9D">
        <w:rPr>
          <w:rFonts w:cs="Arial"/>
          <w:sz w:val="22"/>
        </w:rPr>
        <w:t>22</w:t>
      </w:r>
      <w:r w:rsidR="00CE6A9D" w:rsidRPr="00BB303F">
        <w:rPr>
          <w:rFonts w:cs="Arial"/>
          <w:sz w:val="22"/>
        </w:rPr>
        <w:t xml:space="preserve">, mediante el cual, la </w:t>
      </w:r>
      <w:r w:rsidR="00CE6A9D" w:rsidRPr="000568A0">
        <w:rPr>
          <w:rFonts w:cs="Arial"/>
          <w:sz w:val="22"/>
          <w:szCs w:val="22"/>
        </w:rPr>
        <w:t>Gerencia General</w:t>
      </w:r>
      <w:r w:rsidR="00CE6A9D" w:rsidRPr="00BB303F">
        <w:rPr>
          <w:rFonts w:cs="Arial"/>
          <w:sz w:val="22"/>
        </w:rPr>
        <w:t xml:space="preserve"> remite y avala el informe </w:t>
      </w:r>
      <w:r w:rsidR="00CE6A9D" w:rsidRPr="00BB303F">
        <w:rPr>
          <w:rFonts w:cs="Arial"/>
          <w:sz w:val="22"/>
          <w:szCs w:val="22"/>
        </w:rPr>
        <w:t>DF-OF-</w:t>
      </w:r>
      <w:r w:rsidR="00CE6A9D">
        <w:rPr>
          <w:rFonts w:cs="Arial"/>
          <w:sz w:val="22"/>
          <w:szCs w:val="22"/>
        </w:rPr>
        <w:t>0927</w:t>
      </w:r>
      <w:r w:rsidR="00CE6A9D" w:rsidRPr="00BB303F">
        <w:rPr>
          <w:rFonts w:cs="Arial"/>
          <w:sz w:val="22"/>
          <w:szCs w:val="22"/>
        </w:rPr>
        <w:t>-20</w:t>
      </w:r>
      <w:r w:rsidR="00CE6A9D">
        <w:rPr>
          <w:rFonts w:cs="Arial"/>
          <w:sz w:val="22"/>
          <w:szCs w:val="22"/>
        </w:rPr>
        <w:t>22</w:t>
      </w:r>
      <w:r w:rsidR="00CE6A9D" w:rsidRPr="00BB303F">
        <w:rPr>
          <w:rFonts w:cs="Arial"/>
          <w:sz w:val="22"/>
          <w:szCs w:val="22"/>
        </w:rPr>
        <w:t xml:space="preserve"> de la Dirección FOSUVI, que contiene una </w:t>
      </w:r>
      <w:r w:rsidR="00CE6A9D" w:rsidRPr="00BB303F">
        <w:rPr>
          <w:rFonts w:cs="Arial"/>
          <w:sz w:val="22"/>
        </w:rPr>
        <w:t xml:space="preserve">propuesta </w:t>
      </w:r>
      <w:r w:rsidR="00CE6A9D" w:rsidRPr="00596E67">
        <w:rPr>
          <w:rFonts w:cs="Arial"/>
          <w:sz w:val="22"/>
          <w:lang w:val="es-CR"/>
        </w:rPr>
        <w:t>para redistribu</w:t>
      </w:r>
      <w:r w:rsidR="00CE6A9D">
        <w:rPr>
          <w:rFonts w:cs="Arial"/>
          <w:sz w:val="22"/>
          <w:lang w:val="es-CR"/>
        </w:rPr>
        <w:t>ir, entre las entidades autorizadas,</w:t>
      </w:r>
      <w:r w:rsidR="00CE6A9D" w:rsidRPr="00596E67">
        <w:rPr>
          <w:rFonts w:cs="Arial"/>
          <w:sz w:val="22"/>
          <w:lang w:val="es-CR"/>
        </w:rPr>
        <w:t xml:space="preserve"> los recursos </w:t>
      </w:r>
      <w:r w:rsidR="00CE6A9D" w:rsidRPr="00C57E3A">
        <w:rPr>
          <w:rFonts w:cs="Arial"/>
          <w:sz w:val="22"/>
          <w:lang w:val="es-CR"/>
        </w:rPr>
        <w:t>disponibles del Presupuesto 202</w:t>
      </w:r>
      <w:r w:rsidR="00CE6A9D">
        <w:rPr>
          <w:rFonts w:cs="Arial"/>
          <w:sz w:val="22"/>
          <w:lang w:val="es-CR"/>
        </w:rPr>
        <w:t xml:space="preserve">2 del FOSUVI, con el fin de </w:t>
      </w:r>
      <w:r w:rsidR="00CE6A9D" w:rsidRPr="00005CDA">
        <w:rPr>
          <w:rFonts w:cs="Arial"/>
          <w:sz w:val="22"/>
          <w:lang w:val="es-CR"/>
        </w:rPr>
        <w:t xml:space="preserve">ajustar </w:t>
      </w:r>
      <w:r w:rsidR="00CE6A9D">
        <w:rPr>
          <w:rFonts w:cs="Arial"/>
          <w:sz w:val="22"/>
          <w:lang w:val="es-CR"/>
        </w:rPr>
        <w:t>l</w:t>
      </w:r>
      <w:r w:rsidR="00CE6A9D" w:rsidRPr="00005CDA">
        <w:rPr>
          <w:rFonts w:cs="Arial"/>
          <w:sz w:val="22"/>
          <w:lang w:val="es-CR"/>
        </w:rPr>
        <w:t>a disponibilidad presupuestaria</w:t>
      </w:r>
      <w:r w:rsidR="00CE6A9D">
        <w:rPr>
          <w:rFonts w:cs="Arial"/>
          <w:sz w:val="22"/>
          <w:lang w:val="es-CR"/>
        </w:rPr>
        <w:t xml:space="preserve"> </w:t>
      </w:r>
      <w:r w:rsidR="00CE6A9D" w:rsidRPr="00005CDA">
        <w:rPr>
          <w:rFonts w:cs="Arial"/>
          <w:sz w:val="22"/>
          <w:lang w:val="es-CR"/>
        </w:rPr>
        <w:t xml:space="preserve">para maximizar </w:t>
      </w:r>
      <w:r w:rsidR="00CE6A9D">
        <w:rPr>
          <w:rFonts w:cs="Arial"/>
          <w:sz w:val="22"/>
          <w:lang w:val="es-CR"/>
        </w:rPr>
        <w:t>l</w:t>
      </w:r>
      <w:r w:rsidR="00CE6A9D" w:rsidRPr="00005CDA">
        <w:rPr>
          <w:rFonts w:cs="Arial"/>
          <w:sz w:val="22"/>
          <w:lang w:val="es-CR"/>
        </w:rPr>
        <w:t>a colocaci</w:t>
      </w:r>
      <w:r w:rsidR="00CE6A9D">
        <w:rPr>
          <w:rFonts w:cs="Arial"/>
          <w:sz w:val="22"/>
          <w:lang w:val="es-CR"/>
        </w:rPr>
        <w:t>ó</w:t>
      </w:r>
      <w:r w:rsidR="00CE6A9D" w:rsidRPr="00005CDA">
        <w:rPr>
          <w:rFonts w:cs="Arial"/>
          <w:sz w:val="22"/>
          <w:lang w:val="es-CR"/>
        </w:rPr>
        <w:t xml:space="preserve">n de los recursos en lo que resta del </w:t>
      </w:r>
      <w:r w:rsidR="00CE6A9D">
        <w:rPr>
          <w:rFonts w:cs="Arial"/>
          <w:sz w:val="22"/>
          <w:lang w:val="es-CR"/>
        </w:rPr>
        <w:t>presente año.</w:t>
      </w:r>
      <w:r w:rsidR="00CE6A9D" w:rsidRPr="007B66F2">
        <w:rPr>
          <w:rFonts w:cs="Arial"/>
          <w:sz w:val="22"/>
          <w:lang w:val="es-CR"/>
        </w:rPr>
        <w:t xml:space="preserve"> </w:t>
      </w:r>
      <w:r w:rsidR="00CE6A9D">
        <w:rPr>
          <w:rFonts w:cs="Arial"/>
          <w:sz w:val="22"/>
          <w:lang w:val="es-CR"/>
        </w:rPr>
        <w:t xml:space="preserve"> Dichos documentos se adjuntan al expediente del acta.</w:t>
      </w:r>
    </w:p>
    <w:p w14:paraId="69291C28" w14:textId="77777777" w:rsidR="00CE6A9D" w:rsidRDefault="00CE6A9D" w:rsidP="00CE6A9D">
      <w:pPr>
        <w:spacing w:line="360" w:lineRule="auto"/>
        <w:jc w:val="both"/>
        <w:rPr>
          <w:rFonts w:cs="Arial"/>
          <w:sz w:val="22"/>
          <w:lang w:val="es-CR"/>
        </w:rPr>
      </w:pPr>
    </w:p>
    <w:p w14:paraId="692A0C76" w14:textId="173E0CF8" w:rsidR="00CE6A9D" w:rsidRPr="00BB303F" w:rsidRDefault="00CE6A9D" w:rsidP="00CE6A9D">
      <w:pPr>
        <w:spacing w:line="360" w:lineRule="auto"/>
        <w:jc w:val="both"/>
        <w:rPr>
          <w:rFonts w:cs="Arial"/>
          <w:color w:val="000000"/>
          <w:sz w:val="22"/>
          <w:szCs w:val="22"/>
        </w:rPr>
      </w:pPr>
      <w:r>
        <w:rPr>
          <w:rFonts w:cs="Arial"/>
          <w:sz w:val="22"/>
          <w:lang w:val="es-CR"/>
        </w:rPr>
        <w:t xml:space="preserve">Luego de una introducción al tema por parte del Gerente General, </w:t>
      </w:r>
      <w:r w:rsidR="000F546B">
        <w:rPr>
          <w:rFonts w:cs="Arial"/>
          <w:sz w:val="22"/>
          <w:lang w:val="es-CR"/>
        </w:rPr>
        <w:t xml:space="preserve">el licenciado Bolaños Rojas </w:t>
      </w:r>
      <w:r>
        <w:rPr>
          <w:rFonts w:cs="Arial"/>
          <w:sz w:val="22"/>
          <w:lang w:val="es-CR"/>
        </w:rPr>
        <w:t>expone el contenido del citado informe</w:t>
      </w:r>
      <w:r w:rsidR="000F546B">
        <w:rPr>
          <w:rFonts w:cs="Arial"/>
          <w:sz w:val="22"/>
          <w:lang w:val="es-CR"/>
        </w:rPr>
        <w:t>,</w:t>
      </w:r>
      <w:r>
        <w:rPr>
          <w:rFonts w:cs="Arial"/>
          <w:sz w:val="22"/>
          <w:lang w:val="es-CR"/>
        </w:rPr>
        <w:t xml:space="preserve"> presenta</w:t>
      </w:r>
      <w:r w:rsidR="000F546B">
        <w:rPr>
          <w:rFonts w:cs="Arial"/>
          <w:sz w:val="22"/>
          <w:lang w:val="es-CR"/>
        </w:rPr>
        <w:t>ndo</w:t>
      </w:r>
      <w:r>
        <w:rPr>
          <w:rFonts w:cs="Arial"/>
          <w:sz w:val="22"/>
          <w:lang w:val="es-CR"/>
        </w:rPr>
        <w:t xml:space="preserve"> la justificación y </w:t>
      </w:r>
      <w:r>
        <w:rPr>
          <w:rFonts w:cs="Arial"/>
          <w:sz w:val="22"/>
        </w:rPr>
        <w:t>los alcances de la referida propuesta, al tiempo que atiende las consultas que al respecto plantean varios señores Directores, destacando</w:t>
      </w:r>
      <w:r w:rsidRPr="00BB303F">
        <w:rPr>
          <w:rFonts w:cs="Arial"/>
          <w:color w:val="000000"/>
          <w:sz w:val="22"/>
          <w:szCs w:val="22"/>
        </w:rPr>
        <w:t xml:space="preserve"> que</w:t>
      </w:r>
      <w:r>
        <w:rPr>
          <w:rFonts w:cs="Arial"/>
          <w:color w:val="000000"/>
          <w:sz w:val="22"/>
          <w:szCs w:val="22"/>
        </w:rPr>
        <w:t xml:space="preserve"> esta reasignación de fondos se fundamenta en los resultados del </w:t>
      </w:r>
      <w:r w:rsidRPr="00BB303F">
        <w:rPr>
          <w:rFonts w:cs="Arial"/>
          <w:color w:val="000000"/>
          <w:sz w:val="22"/>
          <w:szCs w:val="22"/>
        </w:rPr>
        <w:t xml:space="preserve">estudio </w:t>
      </w:r>
      <w:r>
        <w:rPr>
          <w:rFonts w:cs="Arial"/>
          <w:color w:val="000000"/>
          <w:sz w:val="22"/>
          <w:szCs w:val="22"/>
        </w:rPr>
        <w:t xml:space="preserve">efectuado </w:t>
      </w:r>
      <w:r w:rsidRPr="00BB303F">
        <w:rPr>
          <w:rFonts w:cs="Arial"/>
          <w:color w:val="000000"/>
          <w:sz w:val="22"/>
          <w:szCs w:val="22"/>
        </w:rPr>
        <w:t xml:space="preserve">a la ejecución </w:t>
      </w:r>
      <w:r>
        <w:rPr>
          <w:rFonts w:cs="Arial"/>
          <w:color w:val="000000"/>
          <w:sz w:val="22"/>
          <w:szCs w:val="22"/>
        </w:rPr>
        <w:t>a</w:t>
      </w:r>
      <w:r w:rsidRPr="00BB303F">
        <w:rPr>
          <w:rFonts w:cs="Arial"/>
          <w:color w:val="000000"/>
          <w:sz w:val="22"/>
          <w:szCs w:val="22"/>
        </w:rPr>
        <w:t xml:space="preserve"> </w:t>
      </w:r>
      <w:r w:rsidRPr="00596E67">
        <w:rPr>
          <w:rFonts w:cs="Arial"/>
          <w:sz w:val="22"/>
          <w:lang w:val="es-CR"/>
        </w:rPr>
        <w:t>los recursos asignados para los programas de bono ordinario</w:t>
      </w:r>
      <w:r>
        <w:rPr>
          <w:rFonts w:cs="Arial"/>
          <w:sz w:val="22"/>
          <w:lang w:val="es-CR"/>
        </w:rPr>
        <w:t xml:space="preserve"> y</w:t>
      </w:r>
      <w:r w:rsidRPr="00596E67">
        <w:rPr>
          <w:rFonts w:cs="Arial"/>
          <w:sz w:val="22"/>
          <w:lang w:val="es-CR"/>
        </w:rPr>
        <w:t xml:space="preserve"> artículo 59</w:t>
      </w:r>
      <w:r w:rsidR="000F546B">
        <w:rPr>
          <w:rFonts w:cs="Arial"/>
          <w:sz w:val="22"/>
          <w:lang w:val="es-CR"/>
        </w:rPr>
        <w:t xml:space="preserve"> del</w:t>
      </w:r>
      <w:r w:rsidRPr="00596E67">
        <w:rPr>
          <w:rFonts w:cs="Arial"/>
          <w:sz w:val="22"/>
          <w:lang w:val="es-CR"/>
        </w:rPr>
        <w:t xml:space="preserve"> Presupuesto </w:t>
      </w:r>
      <w:r>
        <w:rPr>
          <w:rFonts w:cs="Arial"/>
          <w:sz w:val="22"/>
          <w:lang w:val="es-CR"/>
        </w:rPr>
        <w:t>202</w:t>
      </w:r>
      <w:r w:rsidR="000F546B">
        <w:rPr>
          <w:rFonts w:cs="Arial"/>
          <w:sz w:val="22"/>
          <w:lang w:val="es-CR"/>
        </w:rPr>
        <w:t>2</w:t>
      </w:r>
      <w:r>
        <w:rPr>
          <w:rFonts w:cs="Arial"/>
          <w:sz w:val="22"/>
          <w:lang w:val="es-CR"/>
        </w:rPr>
        <w:t xml:space="preserve"> del </w:t>
      </w:r>
      <w:r w:rsidRPr="00596E67">
        <w:rPr>
          <w:rFonts w:cs="Arial"/>
          <w:sz w:val="22"/>
          <w:lang w:val="es-CR"/>
        </w:rPr>
        <w:t>FOSUVI, considera</w:t>
      </w:r>
      <w:r>
        <w:rPr>
          <w:rFonts w:cs="Arial"/>
          <w:sz w:val="22"/>
          <w:lang w:val="es-CR"/>
        </w:rPr>
        <w:t>ndo</w:t>
      </w:r>
      <w:r w:rsidRPr="00596E67">
        <w:rPr>
          <w:rFonts w:cs="Arial"/>
          <w:sz w:val="22"/>
          <w:lang w:val="es-CR"/>
        </w:rPr>
        <w:t xml:space="preserve"> la ejecución presupuestaria que se tiene a la fecha, así como la distribución de recursos pendientes de asignar</w:t>
      </w:r>
      <w:r w:rsidRPr="00BB303F">
        <w:rPr>
          <w:rFonts w:cs="Arial"/>
          <w:color w:val="000000"/>
          <w:sz w:val="22"/>
          <w:szCs w:val="22"/>
        </w:rPr>
        <w:t>, con el fin de ajustar la distribución presupuestaria de</w:t>
      </w:r>
      <w:r>
        <w:rPr>
          <w:rFonts w:cs="Arial"/>
          <w:color w:val="000000"/>
          <w:sz w:val="22"/>
          <w:szCs w:val="22"/>
        </w:rPr>
        <w:t xml:space="preserve"> los fondos.</w:t>
      </w:r>
    </w:p>
    <w:p w14:paraId="0D2CFFAF" w14:textId="3ED458E8" w:rsidR="00CE6A9D" w:rsidRDefault="00CE6A9D" w:rsidP="00CE6A9D">
      <w:pPr>
        <w:spacing w:line="360" w:lineRule="auto"/>
        <w:jc w:val="both"/>
        <w:rPr>
          <w:rFonts w:cs="Arial"/>
          <w:sz w:val="22"/>
        </w:rPr>
      </w:pPr>
    </w:p>
    <w:p w14:paraId="7363A241" w14:textId="7343EFE3" w:rsidR="004F0195" w:rsidRDefault="00096814" w:rsidP="00CE6A9D">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40</w:t>
      </w:r>
      <w:r w:rsidRPr="00A25DB7">
        <w:rPr>
          <w:rFonts w:cs="Arial"/>
          <w:sz w:val="22"/>
          <w:u w:val="single"/>
          <w:lang w:val="es-ES_tradnl"/>
        </w:rPr>
        <w:t>:</w:t>
      </w:r>
      <w:r>
        <w:rPr>
          <w:rFonts w:cs="Arial"/>
          <w:sz w:val="22"/>
          <w:u w:val="single"/>
          <w:lang w:val="es-ES_tradnl"/>
        </w:rPr>
        <w:t>15</w:t>
      </w:r>
      <w:r>
        <w:rPr>
          <w:rFonts w:cs="Arial"/>
          <w:sz w:val="22"/>
          <w:lang w:val="es-ES_tradnl"/>
        </w:rPr>
        <w:t xml:space="preserve"> </w:t>
      </w:r>
      <w:r w:rsidR="007E2DC6">
        <w:rPr>
          <w:rFonts w:cs="Arial"/>
          <w:sz w:val="22"/>
          <w:lang w:val="es-ES_tradnl"/>
        </w:rPr>
        <w:t xml:space="preserve">El licenciado Bolaños Rojas atiende varias consultas e inquietudes de los señores sobre la propuesta de la </w:t>
      </w:r>
      <w:r w:rsidR="007E2DC6" w:rsidRPr="007E2DC6">
        <w:rPr>
          <w:rFonts w:cs="Arial"/>
          <w:sz w:val="22"/>
          <w:szCs w:val="22"/>
          <w:lang w:val="es-ES_tradnl"/>
        </w:rPr>
        <w:t>Administración</w:t>
      </w:r>
      <w:r w:rsidR="007E2DC6">
        <w:rPr>
          <w:rFonts w:cs="Arial"/>
          <w:sz w:val="22"/>
          <w:szCs w:val="22"/>
          <w:lang w:val="es-ES_tradnl"/>
        </w:rPr>
        <w:t xml:space="preserve">, particularmente con respecto a la </w:t>
      </w:r>
      <w:r w:rsidR="00FA539B">
        <w:rPr>
          <w:rFonts w:cs="Arial"/>
          <w:sz w:val="22"/>
          <w:szCs w:val="22"/>
          <w:lang w:val="es-ES_tradnl"/>
        </w:rPr>
        <w:t>baja ejecución presupuestaria de algunas entidades autorizadas</w:t>
      </w:r>
      <w:r w:rsidR="00E72369">
        <w:rPr>
          <w:rFonts w:cs="Arial"/>
          <w:sz w:val="22"/>
          <w:szCs w:val="22"/>
          <w:lang w:val="es-ES_tradnl"/>
        </w:rPr>
        <w:t xml:space="preserve">, la necesidad de conocer el estado de los proyectos de vivienda que se encuentran en trámite, las razones por las cuales se le incorporan nuevos recursos a entidades que no han ejecutado todo el presupuesto, </w:t>
      </w:r>
      <w:r w:rsidR="005A63B8">
        <w:rPr>
          <w:rFonts w:cs="Arial"/>
          <w:sz w:val="22"/>
          <w:szCs w:val="22"/>
          <w:lang w:val="es-ES_tradnl"/>
        </w:rPr>
        <w:t xml:space="preserve">la cantidad de casos individuales (ordinarios y del artículo 59) que están en trámite en las entidades autorizadas y en el BANHVI, </w:t>
      </w:r>
      <w:r w:rsidR="004F3752">
        <w:rPr>
          <w:rFonts w:cs="Arial"/>
          <w:sz w:val="22"/>
          <w:szCs w:val="22"/>
          <w:lang w:val="es-ES_tradnl"/>
        </w:rPr>
        <w:t xml:space="preserve">y </w:t>
      </w:r>
      <w:r w:rsidR="00BA0552">
        <w:rPr>
          <w:rFonts w:cs="Arial"/>
          <w:sz w:val="22"/>
          <w:szCs w:val="22"/>
          <w:lang w:val="es-ES_tradnl"/>
        </w:rPr>
        <w:t>el criterio de las entidades autorizadas sobre la redistribución que se propone</w:t>
      </w:r>
      <w:r w:rsidR="004F3752">
        <w:rPr>
          <w:rFonts w:cs="Arial"/>
          <w:sz w:val="22"/>
          <w:szCs w:val="22"/>
          <w:lang w:val="es-ES_tradnl"/>
        </w:rPr>
        <w:t>.</w:t>
      </w:r>
    </w:p>
    <w:p w14:paraId="58EFDBC3" w14:textId="5FA43625" w:rsidR="00A262CA" w:rsidRDefault="00A262CA" w:rsidP="00CE6A9D">
      <w:pPr>
        <w:spacing w:line="360" w:lineRule="auto"/>
        <w:jc w:val="both"/>
        <w:rPr>
          <w:rFonts w:cs="Arial"/>
          <w:sz w:val="22"/>
          <w:szCs w:val="22"/>
          <w:lang w:val="es-ES_tradnl"/>
        </w:rPr>
      </w:pPr>
    </w:p>
    <w:p w14:paraId="2C88E612" w14:textId="65EB26C0" w:rsidR="00A41D86" w:rsidRDefault="00A41D86" w:rsidP="00CE6A9D">
      <w:pPr>
        <w:spacing w:line="360" w:lineRule="auto"/>
        <w:jc w:val="both"/>
        <w:rPr>
          <w:rFonts w:cs="Arial"/>
          <w:sz w:val="22"/>
          <w:szCs w:val="22"/>
          <w:lang w:val="es-ES_tradnl"/>
        </w:rPr>
      </w:pPr>
      <w:r>
        <w:rPr>
          <w:rFonts w:cs="Arial"/>
          <w:sz w:val="22"/>
          <w:szCs w:val="22"/>
          <w:lang w:val="es-ES_tradnl"/>
        </w:rPr>
        <w:t xml:space="preserve">De conformidad con el análisis que se realiza al respecto, los señores Directores concuerdan en la conveniencia, de previo a resolver la solicitud que ahora se conoce, de contar con información actualizada sobre </w:t>
      </w:r>
      <w:r w:rsidRPr="00A41D86">
        <w:rPr>
          <w:rFonts w:cs="Arial"/>
          <w:sz w:val="22"/>
          <w:szCs w:val="22"/>
          <w:lang w:val="es-ES_tradnl"/>
        </w:rPr>
        <w:t>el balance presupuestario del FOSUVI para el año 2022</w:t>
      </w:r>
      <w:r w:rsidR="005E758D">
        <w:rPr>
          <w:rFonts w:cs="Arial"/>
          <w:sz w:val="22"/>
          <w:szCs w:val="22"/>
          <w:lang w:val="es-ES_tradnl"/>
        </w:rPr>
        <w:t>.</w:t>
      </w:r>
    </w:p>
    <w:p w14:paraId="5DD47AF3" w14:textId="77777777" w:rsidR="00A41D86" w:rsidRDefault="00A41D86" w:rsidP="00CE6A9D">
      <w:pPr>
        <w:spacing w:line="360" w:lineRule="auto"/>
        <w:jc w:val="both"/>
        <w:rPr>
          <w:rFonts w:cs="Arial"/>
          <w:sz w:val="22"/>
          <w:szCs w:val="22"/>
          <w:lang w:val="es-ES_tradnl"/>
        </w:rPr>
      </w:pPr>
    </w:p>
    <w:p w14:paraId="39BE1BC8" w14:textId="7D5FC491" w:rsidR="00A41D86" w:rsidRDefault="005E758D" w:rsidP="00CE6A9D">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86</w:t>
      </w:r>
      <w:r w:rsidRPr="00A25DB7">
        <w:rPr>
          <w:rFonts w:cs="Arial"/>
          <w:sz w:val="22"/>
          <w:u w:val="single"/>
          <w:lang w:val="es-ES_tradnl"/>
        </w:rPr>
        <w:t>:</w:t>
      </w:r>
      <w:r>
        <w:rPr>
          <w:rFonts w:cs="Arial"/>
          <w:sz w:val="22"/>
          <w:u w:val="single"/>
          <w:lang w:val="es-ES_tradnl"/>
        </w:rPr>
        <w:t>00</w:t>
      </w:r>
      <w:r>
        <w:rPr>
          <w:rFonts w:cs="Arial"/>
          <w:sz w:val="22"/>
          <w:lang w:val="es-ES_tradnl"/>
        </w:rPr>
        <w:t xml:space="preserve"> Complementariamente, </w:t>
      </w:r>
      <w:r>
        <w:rPr>
          <w:rFonts w:cs="Arial"/>
          <w:sz w:val="22"/>
          <w:szCs w:val="22"/>
          <w:lang w:val="es-ES_tradnl"/>
        </w:rPr>
        <w:t>se estima oportuno g</w:t>
      </w:r>
      <w:r w:rsidR="00A41D86">
        <w:rPr>
          <w:rFonts w:cs="Arial"/>
          <w:sz w:val="22"/>
          <w:szCs w:val="22"/>
          <w:lang w:val="es-ES_tradnl"/>
        </w:rPr>
        <w:t xml:space="preserve">irar instrucciones a la Dirección FOSUVI, para </w:t>
      </w:r>
      <w:r w:rsidR="00A41D86" w:rsidRPr="004F0195">
        <w:rPr>
          <w:rFonts w:cs="Arial"/>
          <w:sz w:val="22"/>
          <w:lang w:val="es-ES_tradnl"/>
        </w:rPr>
        <w:t xml:space="preserve">que quincenalmente informe a esta Junta Directiva, sobre la gestión del Departamento de Análisis y Control, con respecto a las solicitudes individuales de bono ordinario y al amparo del artículo 59 de la Ley 7052, indicando la cantidad de solicitudes </w:t>
      </w:r>
      <w:r w:rsidR="00A41D86" w:rsidRPr="004F0195">
        <w:rPr>
          <w:rFonts w:cs="Arial"/>
          <w:sz w:val="22"/>
          <w:lang w:val="es-ES_tradnl"/>
        </w:rPr>
        <w:lastRenderedPageBreak/>
        <w:t>que han ingresado en el período y el número de casos revisados, así como el detalle de</w:t>
      </w:r>
      <w:r w:rsidR="00A41D86" w:rsidRPr="004F0195">
        <w:rPr>
          <w:rFonts w:cs="Arial"/>
          <w:sz w:val="22"/>
          <w:lang w:val="es-CR"/>
        </w:rPr>
        <w:t xml:space="preserve"> la antigüedad de los expedientes pendientes de revisar.</w:t>
      </w:r>
    </w:p>
    <w:p w14:paraId="6E2F51C8" w14:textId="68458252" w:rsidR="004F3752" w:rsidRDefault="004F3752" w:rsidP="00CE6A9D">
      <w:pPr>
        <w:spacing w:line="360" w:lineRule="auto"/>
        <w:jc w:val="both"/>
        <w:rPr>
          <w:rFonts w:cs="Arial"/>
          <w:sz w:val="22"/>
          <w:szCs w:val="22"/>
          <w:lang w:val="es-ES_tradnl"/>
        </w:rPr>
      </w:pPr>
    </w:p>
    <w:p w14:paraId="1E1360AB" w14:textId="4A429B3D" w:rsidR="004F0195" w:rsidRDefault="00DC34D7" w:rsidP="004F0195">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94</w:t>
      </w:r>
      <w:r w:rsidRPr="00A25DB7">
        <w:rPr>
          <w:rFonts w:cs="Arial"/>
          <w:sz w:val="22"/>
          <w:u w:val="single"/>
          <w:lang w:val="es-ES_tradnl"/>
        </w:rPr>
        <w:t>:</w:t>
      </w:r>
      <w:r>
        <w:rPr>
          <w:rFonts w:cs="Arial"/>
          <w:sz w:val="22"/>
          <w:u w:val="single"/>
          <w:lang w:val="es-ES_tradnl"/>
        </w:rPr>
        <w:t>55</w:t>
      </w:r>
      <w:r>
        <w:rPr>
          <w:rFonts w:cs="Arial"/>
          <w:sz w:val="22"/>
          <w:lang w:val="es-ES_tradnl"/>
        </w:rPr>
        <w:t xml:space="preserve"> </w:t>
      </w:r>
      <w:r w:rsidR="00A41D86">
        <w:rPr>
          <w:rFonts w:cs="Arial"/>
          <w:sz w:val="22"/>
          <w:szCs w:val="22"/>
          <w:lang w:val="es-ES_tradnl"/>
        </w:rPr>
        <w:t xml:space="preserve">Adicionalmente, se </w:t>
      </w:r>
      <w:r w:rsidR="005E758D">
        <w:rPr>
          <w:rFonts w:cs="Arial"/>
          <w:sz w:val="22"/>
          <w:szCs w:val="22"/>
          <w:lang w:val="es-ES_tradnl"/>
        </w:rPr>
        <w:t xml:space="preserve">resuelve </w:t>
      </w:r>
      <w:r w:rsidR="00A41D86">
        <w:rPr>
          <w:rFonts w:cs="Arial"/>
          <w:sz w:val="22"/>
          <w:szCs w:val="22"/>
          <w:lang w:val="es-ES_tradnl"/>
        </w:rPr>
        <w:t xml:space="preserve">girar instrucciones a la </w:t>
      </w:r>
      <w:r w:rsidR="00A41D86" w:rsidRPr="00A41D86">
        <w:rPr>
          <w:rFonts w:cs="Arial"/>
          <w:sz w:val="22"/>
          <w:szCs w:val="22"/>
          <w:lang w:val="es-CR"/>
        </w:rPr>
        <w:t>Gerencia General</w:t>
      </w:r>
      <w:r w:rsidR="00A41D86">
        <w:rPr>
          <w:rFonts w:cs="Arial"/>
          <w:sz w:val="22"/>
          <w:szCs w:val="22"/>
          <w:lang w:val="es-CR"/>
        </w:rPr>
        <w:t xml:space="preserve">, </w:t>
      </w:r>
      <w:r w:rsidR="005E758D">
        <w:rPr>
          <w:rFonts w:cs="Arial"/>
          <w:sz w:val="22"/>
          <w:szCs w:val="22"/>
          <w:lang w:val="es-CR"/>
        </w:rPr>
        <w:t xml:space="preserve">para que </w:t>
      </w:r>
      <w:r w:rsidR="004F0195">
        <w:rPr>
          <w:rFonts w:cs="Arial"/>
          <w:sz w:val="22"/>
          <w:szCs w:val="22"/>
          <w:lang w:val="es-CR"/>
        </w:rPr>
        <w:t xml:space="preserve">elabore y presente a esta </w:t>
      </w:r>
      <w:r w:rsidR="004F0195" w:rsidRPr="007A49E8">
        <w:rPr>
          <w:rFonts w:cs="Arial"/>
          <w:sz w:val="22"/>
          <w:szCs w:val="22"/>
          <w:lang w:val="es-ES_tradnl"/>
        </w:rPr>
        <w:t>Junta Directiva</w:t>
      </w:r>
      <w:r w:rsidR="004F0195">
        <w:rPr>
          <w:rFonts w:cs="Arial"/>
          <w:sz w:val="22"/>
          <w:szCs w:val="22"/>
          <w:lang w:val="es-ES_tradnl"/>
        </w:rPr>
        <w:t xml:space="preserve">, una propuesta de reuniones entre este Órgano Colegiado y las autoridades de las entidades que tienen mayor participación en el </w:t>
      </w:r>
      <w:r w:rsidR="004F0195" w:rsidRPr="00B06577">
        <w:rPr>
          <w:rFonts w:cs="Arial"/>
          <w:sz w:val="22"/>
          <w:szCs w:val="22"/>
          <w:lang w:val="es-ES_tradnl"/>
        </w:rPr>
        <w:t>Sistema Financiero Nacional para la Vivienda</w:t>
      </w:r>
      <w:r w:rsidR="004F0195">
        <w:rPr>
          <w:rFonts w:cs="Arial"/>
          <w:sz w:val="22"/>
          <w:szCs w:val="22"/>
          <w:lang w:val="es-ES_tradnl"/>
        </w:rPr>
        <w:t>, con el objetivo de intercambiar criterios, intereses y propósitos para los próximos años.</w:t>
      </w:r>
    </w:p>
    <w:p w14:paraId="784A595C" w14:textId="52FB4DED" w:rsidR="00DC34D7" w:rsidRDefault="00DC34D7" w:rsidP="004F0195">
      <w:pPr>
        <w:spacing w:line="360" w:lineRule="auto"/>
        <w:jc w:val="both"/>
        <w:rPr>
          <w:rFonts w:cs="Arial"/>
          <w:sz w:val="22"/>
          <w:szCs w:val="22"/>
          <w:lang w:val="es-ES_tradnl"/>
        </w:rPr>
      </w:pPr>
    </w:p>
    <w:p w14:paraId="0DE9657A" w14:textId="53E4AFBC" w:rsidR="00DC34D7" w:rsidRDefault="00DC34D7" w:rsidP="004F0195">
      <w:pPr>
        <w:spacing w:line="360" w:lineRule="auto"/>
        <w:jc w:val="both"/>
        <w:rPr>
          <w:rFonts w:cs="Arial"/>
          <w:sz w:val="22"/>
          <w:szCs w:val="22"/>
          <w:lang w:val="es-ES_tradnl"/>
        </w:rPr>
      </w:pPr>
      <w:r>
        <w:rPr>
          <w:rFonts w:cs="Arial"/>
          <w:sz w:val="22"/>
          <w:szCs w:val="22"/>
          <w:lang w:val="es-ES_tradnl"/>
        </w:rPr>
        <w:t xml:space="preserve">Lo anterior, según se consigna en los </w:t>
      </w:r>
      <w:r w:rsidRPr="00D51B2B">
        <w:rPr>
          <w:rFonts w:cs="Arial"/>
          <w:b/>
          <w:bCs/>
          <w:sz w:val="22"/>
          <w:szCs w:val="22"/>
          <w:lang w:val="es-ES_tradnl"/>
        </w:rPr>
        <w:t xml:space="preserve">acuerdos </w:t>
      </w:r>
      <w:r w:rsidR="00D51B2B" w:rsidRPr="00D51B2B">
        <w:rPr>
          <w:rFonts w:cs="Arial"/>
          <w:b/>
          <w:bCs/>
          <w:sz w:val="22"/>
          <w:szCs w:val="22"/>
          <w:lang w:val="es-ES_tradnl"/>
        </w:rPr>
        <w:t xml:space="preserve">N° 3 </w:t>
      </w:r>
      <w:r w:rsidR="00D51B2B" w:rsidRPr="00D51B2B">
        <w:rPr>
          <w:rFonts w:cs="Arial"/>
          <w:sz w:val="22"/>
          <w:szCs w:val="22"/>
          <w:lang w:val="es-ES_tradnl"/>
        </w:rPr>
        <w:t xml:space="preserve">y </w:t>
      </w:r>
      <w:r w:rsidR="00D51B2B" w:rsidRPr="00D51B2B">
        <w:rPr>
          <w:rFonts w:cs="Arial"/>
          <w:b/>
          <w:bCs/>
          <w:sz w:val="22"/>
          <w:szCs w:val="22"/>
          <w:lang w:val="es-ES_tradnl"/>
        </w:rPr>
        <w:t>N° 4</w:t>
      </w:r>
      <w:r w:rsidR="00D51B2B">
        <w:rPr>
          <w:rFonts w:cs="Arial"/>
          <w:sz w:val="22"/>
          <w:szCs w:val="22"/>
          <w:lang w:val="es-ES_tradnl"/>
        </w:rPr>
        <w:t xml:space="preserve"> que se anexan a esta minuta.</w:t>
      </w:r>
      <w:r w:rsidR="00D51B2B" w:rsidRPr="00D51B2B">
        <w:rPr>
          <w:rFonts w:cs="Arial"/>
          <w:sz w:val="22"/>
          <w:szCs w:val="22"/>
        </w:rPr>
        <w:t xml:space="preserve"> </w:t>
      </w:r>
      <w:r w:rsidR="00D51B2B">
        <w:rPr>
          <w:rFonts w:cs="Arial"/>
          <w:sz w:val="22"/>
          <w:szCs w:val="22"/>
        </w:rPr>
        <w:t>Acto seguido, se retira de la sesión el licenciado Bolaños Rojas.</w:t>
      </w:r>
    </w:p>
    <w:p w14:paraId="73833CDF" w14:textId="77777777" w:rsidR="009D03FE" w:rsidRPr="00D14EAF" w:rsidRDefault="009D03FE" w:rsidP="009D03FE">
      <w:pPr>
        <w:spacing w:line="360" w:lineRule="auto"/>
        <w:jc w:val="both"/>
        <w:rPr>
          <w:rFonts w:cs="Arial"/>
          <w:b/>
          <w:sz w:val="22"/>
        </w:rPr>
      </w:pPr>
      <w:r w:rsidRPr="00D14EAF">
        <w:rPr>
          <w:rFonts w:cs="Arial"/>
          <w:b/>
          <w:sz w:val="22"/>
        </w:rPr>
        <w:t>************</w:t>
      </w:r>
    </w:p>
    <w:p w14:paraId="0CC337AB" w14:textId="77777777" w:rsidR="009D03FE" w:rsidRDefault="009D03FE" w:rsidP="009D03FE">
      <w:pPr>
        <w:spacing w:line="360" w:lineRule="auto"/>
        <w:jc w:val="both"/>
        <w:rPr>
          <w:rFonts w:cs="Arial"/>
          <w:b/>
          <w:bCs/>
          <w:sz w:val="22"/>
          <w:szCs w:val="22"/>
          <w:u w:val="single"/>
          <w:lang w:val="es-ES_tradnl"/>
        </w:rPr>
      </w:pPr>
    </w:p>
    <w:p w14:paraId="383B49F4" w14:textId="4624838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AF1A13" w:rsidRPr="00AF1A13">
        <w:rPr>
          <w:rFonts w:cs="Arial"/>
          <w:b/>
          <w:bCs/>
          <w:sz w:val="22"/>
          <w:u w:val="single"/>
          <w:lang w:val="es-ES_tradnl"/>
        </w:rPr>
        <w:t xml:space="preserve">Criterio legal sobre el financiamiento adicional por </w:t>
      </w:r>
      <w:r w:rsidR="00AF1A13" w:rsidRPr="00AF1A13">
        <w:rPr>
          <w:rFonts w:cs="Arial"/>
          <w:b/>
          <w:bCs/>
          <w:sz w:val="22"/>
          <w:u w:val="single"/>
        </w:rPr>
        <w:t>ajuste de precios en proyectos tramitados en la modalidad S-002</w:t>
      </w:r>
    </w:p>
    <w:p w14:paraId="5590DD45" w14:textId="77777777" w:rsidR="009D03FE" w:rsidRDefault="009D03FE" w:rsidP="009D03FE">
      <w:pPr>
        <w:spacing w:line="360" w:lineRule="auto"/>
        <w:jc w:val="both"/>
        <w:rPr>
          <w:rFonts w:cs="Arial"/>
          <w:sz w:val="22"/>
          <w:szCs w:val="22"/>
        </w:rPr>
      </w:pPr>
    </w:p>
    <w:p w14:paraId="5EE6E302" w14:textId="3E6F6887" w:rsidR="00555C19" w:rsidRPr="00555C19" w:rsidRDefault="009D03FE" w:rsidP="00555C19">
      <w:pPr>
        <w:spacing w:line="360" w:lineRule="auto"/>
        <w:jc w:val="both"/>
        <w:rPr>
          <w:rFonts w:cs="Arial"/>
          <w:sz w:val="22"/>
          <w:szCs w:val="22"/>
          <w:lang w:val="es-CR"/>
        </w:rPr>
      </w:pPr>
      <w:r w:rsidRPr="0039311E">
        <w:rPr>
          <w:rFonts w:cs="Arial"/>
          <w:sz w:val="22"/>
          <w:u w:val="single"/>
          <w:lang w:val="es-ES_tradnl"/>
        </w:rPr>
        <w:t xml:space="preserve">Minuto </w:t>
      </w:r>
      <w:r w:rsidR="00ED4DFE">
        <w:rPr>
          <w:rFonts w:cs="Arial"/>
          <w:sz w:val="22"/>
          <w:u w:val="single"/>
          <w:lang w:val="es-ES_tradnl"/>
        </w:rPr>
        <w:t>97</w:t>
      </w:r>
      <w:r w:rsidRPr="0039311E">
        <w:rPr>
          <w:rFonts w:cs="Arial"/>
          <w:sz w:val="22"/>
          <w:u w:val="single"/>
          <w:lang w:val="es-ES_tradnl"/>
        </w:rPr>
        <w:t>:</w:t>
      </w:r>
      <w:r w:rsidR="00ED4DFE">
        <w:rPr>
          <w:rFonts w:cs="Arial"/>
          <w:sz w:val="22"/>
          <w:u w:val="single"/>
          <w:lang w:val="es-ES_tradnl"/>
        </w:rPr>
        <w:t>15</w:t>
      </w:r>
      <w:r>
        <w:rPr>
          <w:rFonts w:cs="Arial"/>
          <w:sz w:val="22"/>
          <w:lang w:val="es-ES_tradnl"/>
        </w:rPr>
        <w:t xml:space="preserve"> Se conoce el oficio </w:t>
      </w:r>
      <w:r w:rsidR="00096814">
        <w:rPr>
          <w:rFonts w:cs="Arial"/>
          <w:sz w:val="22"/>
          <w:lang w:val="es-ES_tradnl"/>
        </w:rPr>
        <w:t xml:space="preserve">AL-OF-062-2022 del </w:t>
      </w:r>
      <w:r w:rsidR="007E2DC6">
        <w:rPr>
          <w:rFonts w:cs="Arial"/>
          <w:sz w:val="22"/>
          <w:lang w:val="es-ES_tradnl"/>
        </w:rPr>
        <w:t xml:space="preserve">16 de junio de 2022, mediante el cual, atendiendo lo dispuesto en el acuerdo N° 13 de </w:t>
      </w:r>
      <w:r w:rsidR="007E2DC6" w:rsidRPr="007E2DC6">
        <w:rPr>
          <w:rFonts w:cs="Arial"/>
          <w:sz w:val="22"/>
          <w:szCs w:val="22"/>
          <w:lang w:val="es-CR"/>
        </w:rPr>
        <w:t>la sesión 21-2021</w:t>
      </w:r>
      <w:r w:rsidR="007E2DC6">
        <w:rPr>
          <w:rFonts w:cs="Arial"/>
          <w:sz w:val="22"/>
          <w:szCs w:val="22"/>
          <w:lang w:val="es-CR"/>
        </w:rPr>
        <w:t>,</w:t>
      </w:r>
      <w:r w:rsidR="007E2DC6" w:rsidRPr="007E2DC6">
        <w:rPr>
          <w:rFonts w:cs="Arial"/>
          <w:sz w:val="22"/>
          <w:szCs w:val="22"/>
          <w:lang w:val="es-CR"/>
        </w:rPr>
        <w:t xml:space="preserve"> del 15 de abril </w:t>
      </w:r>
      <w:r w:rsidR="007E2DC6">
        <w:rPr>
          <w:rFonts w:cs="Arial"/>
          <w:sz w:val="22"/>
          <w:szCs w:val="22"/>
          <w:lang w:val="es-CR"/>
        </w:rPr>
        <w:t xml:space="preserve">de 2022, la Asesoría Legal </w:t>
      </w:r>
      <w:r w:rsidR="00555C19">
        <w:rPr>
          <w:rFonts w:cs="Arial"/>
          <w:sz w:val="22"/>
          <w:szCs w:val="22"/>
          <w:lang w:val="es-CR"/>
        </w:rPr>
        <w:t xml:space="preserve">remite dictamen sobre la posibilidad jurídica de </w:t>
      </w:r>
      <w:proofErr w:type="gramStart"/>
      <w:r w:rsidR="00555C19">
        <w:rPr>
          <w:rFonts w:cs="Arial"/>
          <w:sz w:val="22"/>
          <w:szCs w:val="22"/>
          <w:lang w:val="es-CR"/>
        </w:rPr>
        <w:t>que</w:t>
      </w:r>
      <w:proofErr w:type="gramEnd"/>
      <w:r w:rsidR="00555C19">
        <w:rPr>
          <w:rFonts w:cs="Arial"/>
          <w:sz w:val="22"/>
          <w:szCs w:val="22"/>
          <w:lang w:val="es-CR"/>
        </w:rPr>
        <w:t xml:space="preserve"> </w:t>
      </w:r>
      <w:r w:rsidR="00555C19" w:rsidRPr="00555C19">
        <w:rPr>
          <w:rFonts w:cs="Arial"/>
          <w:sz w:val="22"/>
          <w:szCs w:val="22"/>
          <w:lang w:val="es-CR"/>
        </w:rPr>
        <w:t>en los contratos para los proyectos de compra de lotes urbanizados y construcción de viviendas, se incluya la cláusula de reajuste de precios</w:t>
      </w:r>
      <w:r w:rsidR="00555C19">
        <w:rPr>
          <w:rFonts w:cs="Arial"/>
          <w:sz w:val="22"/>
          <w:szCs w:val="22"/>
          <w:lang w:val="es-CR"/>
        </w:rPr>
        <w:t>.  Dicho documento se adjunta al expediente del acta.</w:t>
      </w:r>
    </w:p>
    <w:p w14:paraId="1293DFC8" w14:textId="52F2F12F" w:rsidR="007E2DC6" w:rsidRDefault="007E2DC6" w:rsidP="007E2DC6">
      <w:pPr>
        <w:spacing w:line="360" w:lineRule="auto"/>
        <w:jc w:val="both"/>
        <w:rPr>
          <w:rFonts w:cs="Arial"/>
          <w:sz w:val="22"/>
          <w:szCs w:val="22"/>
          <w:lang w:val="es-CR"/>
        </w:rPr>
      </w:pPr>
    </w:p>
    <w:p w14:paraId="4A7F01E7" w14:textId="2D9DAA11" w:rsidR="000E2DEC" w:rsidRDefault="000E2DEC" w:rsidP="007E2DC6">
      <w:pPr>
        <w:spacing w:line="360" w:lineRule="auto"/>
        <w:jc w:val="both"/>
        <w:rPr>
          <w:rFonts w:cs="Arial"/>
          <w:sz w:val="22"/>
          <w:szCs w:val="22"/>
          <w:lang w:val="es-CR"/>
        </w:rPr>
      </w:pPr>
      <w:r>
        <w:rPr>
          <w:rFonts w:cs="Arial"/>
          <w:sz w:val="22"/>
          <w:szCs w:val="22"/>
          <w:lang w:val="es-CR"/>
        </w:rPr>
        <w:t xml:space="preserve">Para atender eventuales consultas sobre </w:t>
      </w:r>
      <w:r w:rsidR="00150D69">
        <w:rPr>
          <w:rFonts w:cs="Arial"/>
          <w:sz w:val="22"/>
          <w:szCs w:val="22"/>
          <w:lang w:val="es-CR"/>
        </w:rPr>
        <w:t>éste y el siguiente</w:t>
      </w:r>
      <w:r>
        <w:rPr>
          <w:rFonts w:cs="Arial"/>
          <w:sz w:val="22"/>
          <w:szCs w:val="22"/>
          <w:lang w:val="es-CR"/>
        </w:rPr>
        <w:t xml:space="preserve"> tema, se incorpora a la sesión el licenciado Carlos Castro Miranda, asistente de la </w:t>
      </w:r>
      <w:r w:rsidRPr="000E2DEC">
        <w:rPr>
          <w:rFonts w:cs="Arial"/>
          <w:sz w:val="22"/>
          <w:szCs w:val="22"/>
          <w:lang w:val="es-CR"/>
        </w:rPr>
        <w:t>Gerencia General</w:t>
      </w:r>
      <w:r>
        <w:rPr>
          <w:rFonts w:cs="Arial"/>
          <w:sz w:val="22"/>
          <w:szCs w:val="22"/>
          <w:lang w:val="es-CR"/>
        </w:rPr>
        <w:t>.</w:t>
      </w:r>
    </w:p>
    <w:p w14:paraId="060B7939" w14:textId="77777777" w:rsidR="000E2DEC" w:rsidRDefault="000E2DEC" w:rsidP="007E2DC6">
      <w:pPr>
        <w:spacing w:line="360" w:lineRule="auto"/>
        <w:jc w:val="both"/>
        <w:rPr>
          <w:rFonts w:cs="Arial"/>
          <w:sz w:val="22"/>
          <w:szCs w:val="22"/>
          <w:lang w:val="es-CR"/>
        </w:rPr>
      </w:pPr>
    </w:p>
    <w:p w14:paraId="74D9DA5C" w14:textId="222A84D1" w:rsidR="007E2DC6" w:rsidRDefault="00555C19" w:rsidP="007E2DC6">
      <w:pPr>
        <w:spacing w:line="360" w:lineRule="auto"/>
        <w:jc w:val="both"/>
        <w:rPr>
          <w:rFonts w:cs="Arial"/>
          <w:sz w:val="22"/>
          <w:szCs w:val="22"/>
        </w:rPr>
      </w:pPr>
      <w:r>
        <w:rPr>
          <w:rFonts w:cs="Arial"/>
          <w:sz w:val="22"/>
          <w:szCs w:val="22"/>
        </w:rPr>
        <w:t>La licenciada Masís Calderón expone el contenido de</w:t>
      </w:r>
      <w:r w:rsidR="00282671">
        <w:rPr>
          <w:rFonts w:cs="Arial"/>
          <w:sz w:val="22"/>
          <w:szCs w:val="22"/>
        </w:rPr>
        <w:t xml:space="preserve">l citado dictamen, </w:t>
      </w:r>
      <w:r w:rsidR="000E2DEC">
        <w:rPr>
          <w:rFonts w:cs="Arial"/>
          <w:sz w:val="22"/>
          <w:szCs w:val="22"/>
        </w:rPr>
        <w:t>concluyendo, en lo conducente, lo siguiente:</w:t>
      </w:r>
    </w:p>
    <w:p w14:paraId="37E09B31" w14:textId="3EAE776D" w:rsidR="00096814" w:rsidRDefault="00096814" w:rsidP="00AB10BF">
      <w:pPr>
        <w:jc w:val="both"/>
        <w:rPr>
          <w:rFonts w:cs="Arial"/>
          <w:sz w:val="22"/>
          <w:szCs w:val="22"/>
        </w:rPr>
      </w:pPr>
    </w:p>
    <w:p w14:paraId="366573B4" w14:textId="11250A49" w:rsidR="00096814" w:rsidRPr="00044513" w:rsidRDefault="000E2DEC" w:rsidP="00AB10BF">
      <w:pPr>
        <w:jc w:val="both"/>
        <w:rPr>
          <w:rFonts w:cs="Arial"/>
          <w:i/>
          <w:iCs/>
          <w:sz w:val="22"/>
          <w:szCs w:val="22"/>
          <w:lang w:val="es-CR"/>
        </w:rPr>
      </w:pPr>
      <w:r w:rsidRPr="00044513">
        <w:rPr>
          <w:rFonts w:cs="Arial"/>
          <w:i/>
          <w:iCs/>
          <w:sz w:val="22"/>
          <w:szCs w:val="22"/>
          <w:lang w:val="es-CR"/>
        </w:rPr>
        <w:t>“</w:t>
      </w:r>
      <w:proofErr w:type="gramStart"/>
      <w:r w:rsidR="00096814" w:rsidRPr="00096814">
        <w:rPr>
          <w:rFonts w:cs="Arial"/>
          <w:i/>
          <w:iCs/>
          <w:sz w:val="22"/>
          <w:szCs w:val="22"/>
          <w:lang w:val="es-CR"/>
        </w:rPr>
        <w:t>En razón del</w:t>
      </w:r>
      <w:proofErr w:type="gramEnd"/>
      <w:r w:rsidR="00096814" w:rsidRPr="00096814">
        <w:rPr>
          <w:rFonts w:cs="Arial"/>
          <w:i/>
          <w:iCs/>
          <w:sz w:val="22"/>
          <w:szCs w:val="22"/>
          <w:lang w:val="es-CR"/>
        </w:rPr>
        <w:t xml:space="preserve"> principio de legalidad, el cual se encuentra fundamentado en los artículos 11 de la Constitución Política y 11 de la Ley General de la Administración Pública (LGAP), así como lo contemplado en el artículo 16 de la Ley General de la Administración Pública, donde no solo se regula el accionar discrecional, sino que lo hace restrictivamente al imponer como límites: las reglas unívocas de la ciencia o de la técnica y los principios de elementales de justicia, lógica o conveniencia.</w:t>
      </w:r>
    </w:p>
    <w:p w14:paraId="11862EE6" w14:textId="77777777" w:rsidR="007E2DC6" w:rsidRPr="00096814" w:rsidRDefault="007E2DC6" w:rsidP="00AB10BF">
      <w:pPr>
        <w:jc w:val="both"/>
        <w:rPr>
          <w:rFonts w:cs="Arial"/>
          <w:i/>
          <w:iCs/>
          <w:sz w:val="22"/>
          <w:szCs w:val="22"/>
          <w:lang w:val="es-CR"/>
        </w:rPr>
      </w:pPr>
    </w:p>
    <w:p w14:paraId="46285528" w14:textId="6D14997A" w:rsidR="00096814" w:rsidRPr="00044513" w:rsidRDefault="00096814" w:rsidP="00AB10BF">
      <w:pPr>
        <w:jc w:val="both"/>
        <w:rPr>
          <w:rFonts w:cs="Arial"/>
          <w:i/>
          <w:iCs/>
          <w:sz w:val="22"/>
          <w:szCs w:val="22"/>
        </w:rPr>
      </w:pPr>
      <w:r w:rsidRPr="00044513">
        <w:rPr>
          <w:rFonts w:cs="Arial"/>
          <w:i/>
          <w:iCs/>
          <w:sz w:val="22"/>
          <w:szCs w:val="22"/>
          <w:lang w:val="es-CR"/>
        </w:rPr>
        <w:t xml:space="preserve">Además, considerando que se trata de un contrato de financiamiento donde los desarrolladores deben asumir los riesgos potenciales, con el monto otorgado como parte </w:t>
      </w:r>
      <w:r w:rsidRPr="00044513">
        <w:rPr>
          <w:rFonts w:cs="Arial"/>
          <w:i/>
          <w:iCs/>
          <w:sz w:val="22"/>
          <w:szCs w:val="22"/>
          <w:lang w:val="es-CR"/>
        </w:rPr>
        <w:lastRenderedPageBreak/>
        <w:t>del financiamiento, para lo cual han debido prever la totalidad de los costos asociados, las contingencias normales y previsibles por incrementos inflacionarios y otras circunstancias previsibles.</w:t>
      </w:r>
    </w:p>
    <w:p w14:paraId="059755DE" w14:textId="419C2F7A" w:rsidR="00096814" w:rsidRPr="00044513" w:rsidRDefault="00096814" w:rsidP="00AB10BF">
      <w:pPr>
        <w:jc w:val="both"/>
        <w:rPr>
          <w:rFonts w:cs="Arial"/>
          <w:i/>
          <w:iCs/>
          <w:sz w:val="22"/>
          <w:szCs w:val="22"/>
        </w:rPr>
      </w:pPr>
    </w:p>
    <w:p w14:paraId="4F28BAE9" w14:textId="5CEFD7C1" w:rsidR="00096814" w:rsidRPr="00044513" w:rsidRDefault="00096814" w:rsidP="00AB10BF">
      <w:pPr>
        <w:jc w:val="both"/>
        <w:rPr>
          <w:rFonts w:cs="Arial"/>
          <w:i/>
          <w:iCs/>
          <w:sz w:val="22"/>
          <w:szCs w:val="22"/>
          <w:lang w:val="es-CR"/>
        </w:rPr>
      </w:pPr>
      <w:r w:rsidRPr="00096814">
        <w:rPr>
          <w:rFonts w:cs="Arial"/>
          <w:i/>
          <w:iCs/>
          <w:sz w:val="22"/>
          <w:szCs w:val="22"/>
          <w:lang w:val="es-CR"/>
        </w:rPr>
        <w:t>A partir de lo resuelto por la jurisprudencia de la Contraloría General de la República, la Sala Primera de la Corte Suprema de Justicia y el Tribunal Contencioso Administrativo antes expuesta que reconoce que la inaplicabilidad del régimen contractualista administrativo no es sinónimo de la imposibilidad de mantener el equilibro en las prestaciones de las partes, incluso en contratos privados.</w:t>
      </w:r>
    </w:p>
    <w:p w14:paraId="7834F089" w14:textId="77777777" w:rsidR="00096814" w:rsidRPr="00096814" w:rsidRDefault="00096814" w:rsidP="00AB10BF">
      <w:pPr>
        <w:jc w:val="both"/>
        <w:rPr>
          <w:rFonts w:cs="Arial"/>
          <w:i/>
          <w:iCs/>
          <w:sz w:val="22"/>
          <w:szCs w:val="22"/>
          <w:lang w:val="es-CR"/>
        </w:rPr>
      </w:pPr>
    </w:p>
    <w:p w14:paraId="1F9ABC51" w14:textId="77777777" w:rsidR="007E2DC6" w:rsidRPr="00044513" w:rsidRDefault="00096814" w:rsidP="00AB10BF">
      <w:pPr>
        <w:jc w:val="both"/>
        <w:rPr>
          <w:rFonts w:cs="Arial"/>
          <w:i/>
          <w:iCs/>
          <w:sz w:val="22"/>
          <w:szCs w:val="22"/>
          <w:lang w:val="es-CR"/>
        </w:rPr>
      </w:pPr>
      <w:r w:rsidRPr="00096814">
        <w:rPr>
          <w:rFonts w:cs="Arial"/>
          <w:i/>
          <w:iCs/>
          <w:sz w:val="22"/>
          <w:szCs w:val="22"/>
          <w:lang w:val="es-CR"/>
        </w:rPr>
        <w:t>Es claro que el BANHVI puede valorar a partir de criterios de la técnica y la ciencia, aplicando métodos o procedimientos que consideren las diferencias entre los proyectos habitacionales tipo S02, consideraciones tales como tamaño del proyecto (número de casas) y el tiempo para su desarrollo; los ajustes o actualizaciones al financiamiento bajo circunstancias muy excepcionales relacionadas a situaciones imprevisibles y que el desarrollador no hubiera podido prever en la presentación de la propuesta del proyecto, de manera que ponga en riesgo la culminación de las obras que buscan satisfacer un fin social.</w:t>
      </w:r>
    </w:p>
    <w:p w14:paraId="689769BD" w14:textId="32FC9988" w:rsidR="00096814" w:rsidRPr="00096814" w:rsidRDefault="00096814" w:rsidP="00AB10BF">
      <w:pPr>
        <w:jc w:val="both"/>
        <w:rPr>
          <w:rFonts w:cs="Arial"/>
          <w:i/>
          <w:iCs/>
          <w:sz w:val="22"/>
          <w:szCs w:val="22"/>
          <w:lang w:val="es-CR"/>
        </w:rPr>
      </w:pPr>
      <w:r w:rsidRPr="00096814">
        <w:rPr>
          <w:rFonts w:cs="Arial"/>
          <w:i/>
          <w:iCs/>
          <w:sz w:val="22"/>
          <w:szCs w:val="22"/>
          <w:lang w:val="es-CR"/>
        </w:rPr>
        <w:t xml:space="preserve"> </w:t>
      </w:r>
    </w:p>
    <w:p w14:paraId="1FD63157" w14:textId="789802B4" w:rsidR="00096814" w:rsidRPr="00044513" w:rsidRDefault="00096814" w:rsidP="00AB10BF">
      <w:pPr>
        <w:jc w:val="both"/>
        <w:rPr>
          <w:rFonts w:cs="Arial"/>
          <w:i/>
          <w:iCs/>
          <w:sz w:val="22"/>
          <w:szCs w:val="22"/>
        </w:rPr>
      </w:pPr>
      <w:r w:rsidRPr="00044513">
        <w:rPr>
          <w:rFonts w:cs="Arial"/>
          <w:i/>
          <w:iCs/>
          <w:sz w:val="22"/>
          <w:szCs w:val="22"/>
          <w:lang w:val="es-CR"/>
        </w:rPr>
        <w:t>Claro está que las afectaciones al costo del proyecto deben ser tratadas como un financiamiento adicional por incrementos en los costos de los insumos y no como un ajuste de precios, para lo cual se deben tomar una serie de medidas que permitan identificar de una manera más exacta y puntual las eventuales afectaciones a los costos incluidos en el presupuesto del proyecto, para lo cual incluso la administración debe valorar como parte del análisis y aprobación de los proyectos, el solicitar un presupuesto más detallado donde se puedan al menos identificar aquellos costos que tienen una incidencia más grande en el desarrollo de este.</w:t>
      </w:r>
      <w:r w:rsidR="000E2DEC" w:rsidRPr="00044513">
        <w:rPr>
          <w:rFonts w:cs="Arial"/>
          <w:i/>
          <w:iCs/>
          <w:sz w:val="22"/>
          <w:szCs w:val="22"/>
          <w:lang w:val="es-CR"/>
        </w:rPr>
        <w:t>”</w:t>
      </w:r>
    </w:p>
    <w:p w14:paraId="55B75757" w14:textId="759E8543" w:rsidR="00096814" w:rsidRDefault="00096814" w:rsidP="009D03FE">
      <w:pPr>
        <w:spacing w:line="360" w:lineRule="auto"/>
        <w:jc w:val="both"/>
        <w:rPr>
          <w:rFonts w:cs="Arial"/>
          <w:sz w:val="22"/>
          <w:szCs w:val="22"/>
        </w:rPr>
      </w:pPr>
    </w:p>
    <w:p w14:paraId="591698DB" w14:textId="0D96C64D" w:rsidR="000E2DEC" w:rsidRDefault="00044513" w:rsidP="009D03FE">
      <w:pPr>
        <w:spacing w:line="360" w:lineRule="auto"/>
        <w:jc w:val="both"/>
        <w:rPr>
          <w:rFonts w:cs="Arial"/>
          <w:sz w:val="22"/>
          <w:szCs w:val="22"/>
        </w:rPr>
      </w:pPr>
      <w:r w:rsidRPr="00A25DB7">
        <w:rPr>
          <w:rFonts w:cs="Arial"/>
          <w:sz w:val="22"/>
          <w:u w:val="single"/>
          <w:lang w:val="es-ES_tradnl"/>
        </w:rPr>
        <w:t xml:space="preserve">Minuto </w:t>
      </w:r>
      <w:r w:rsidR="00BB057D">
        <w:rPr>
          <w:rFonts w:cs="Arial"/>
          <w:sz w:val="22"/>
          <w:u w:val="single"/>
          <w:lang w:val="es-ES_tradnl"/>
        </w:rPr>
        <w:t>115</w:t>
      </w:r>
      <w:r w:rsidRPr="00A25DB7">
        <w:rPr>
          <w:rFonts w:cs="Arial"/>
          <w:sz w:val="22"/>
          <w:u w:val="single"/>
          <w:lang w:val="es-ES_tradnl"/>
        </w:rPr>
        <w:t>:</w:t>
      </w:r>
      <w:r w:rsidR="00BB057D">
        <w:rPr>
          <w:rFonts w:cs="Arial"/>
          <w:sz w:val="22"/>
          <w:u w:val="single"/>
          <w:lang w:val="es-ES_tradnl"/>
        </w:rPr>
        <w:t>47</w:t>
      </w:r>
      <w:r>
        <w:rPr>
          <w:rFonts w:cs="Arial"/>
          <w:sz w:val="22"/>
          <w:lang w:val="es-ES_tradnl"/>
        </w:rPr>
        <w:t xml:space="preserve"> </w:t>
      </w:r>
      <w:r w:rsidR="00BB057D">
        <w:rPr>
          <w:rFonts w:cs="Arial"/>
          <w:sz w:val="22"/>
          <w:lang w:val="es-ES_tradnl"/>
        </w:rPr>
        <w:t xml:space="preserve">La </w:t>
      </w:r>
      <w:r w:rsidR="00BB057D" w:rsidRPr="00BB057D">
        <w:rPr>
          <w:rFonts w:cs="Arial"/>
          <w:sz w:val="22"/>
          <w:lang w:val="es-ES_tradnl"/>
        </w:rPr>
        <w:t>Junta Directiva</w:t>
      </w:r>
      <w:r w:rsidR="00BB057D">
        <w:rPr>
          <w:rFonts w:cs="Arial"/>
          <w:sz w:val="22"/>
          <w:lang w:val="es-ES_tradnl"/>
        </w:rPr>
        <w:t xml:space="preserve"> da por conocido el referido dictamen de la Asesoría Legal.</w:t>
      </w:r>
    </w:p>
    <w:p w14:paraId="1576DF48" w14:textId="77777777" w:rsidR="009D03FE" w:rsidRPr="00D14EAF" w:rsidRDefault="009D03FE" w:rsidP="009D03FE">
      <w:pPr>
        <w:spacing w:line="360" w:lineRule="auto"/>
        <w:jc w:val="both"/>
        <w:rPr>
          <w:rFonts w:cs="Arial"/>
          <w:b/>
          <w:sz w:val="22"/>
        </w:rPr>
      </w:pPr>
      <w:r w:rsidRPr="00D14EAF">
        <w:rPr>
          <w:rFonts w:cs="Arial"/>
          <w:b/>
          <w:sz w:val="22"/>
        </w:rPr>
        <w:t>************</w:t>
      </w:r>
    </w:p>
    <w:p w14:paraId="0C60771F" w14:textId="77777777" w:rsidR="009D03FE" w:rsidRDefault="009D03FE" w:rsidP="009D03FE">
      <w:pPr>
        <w:spacing w:line="360" w:lineRule="auto"/>
        <w:jc w:val="both"/>
        <w:rPr>
          <w:rFonts w:cs="Arial"/>
          <w:b/>
          <w:sz w:val="22"/>
          <w:szCs w:val="22"/>
          <w:u w:val="single"/>
          <w:lang w:val="es-ES_tradnl"/>
        </w:rPr>
      </w:pPr>
    </w:p>
    <w:p w14:paraId="6BC688F2" w14:textId="128E820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AF1A13" w:rsidRPr="00AF1A13">
        <w:rPr>
          <w:rFonts w:cs="Arial"/>
          <w:b/>
          <w:bCs/>
          <w:sz w:val="22"/>
          <w:u w:val="single"/>
          <w:lang w:val="es-ES_tradnl"/>
        </w:rPr>
        <w:t>Análisis y propuesta sobre solicitud presentada por la empresa Construcciones Modulares de Costa Rica, para la autorización de financiamiento adicional del proyecto Santa Luisa II</w:t>
      </w:r>
    </w:p>
    <w:p w14:paraId="3A809DF5" w14:textId="77777777" w:rsidR="009D03FE" w:rsidRDefault="009D03FE" w:rsidP="009D03FE">
      <w:pPr>
        <w:spacing w:line="360" w:lineRule="auto"/>
        <w:jc w:val="both"/>
        <w:rPr>
          <w:rFonts w:cs="Arial"/>
          <w:sz w:val="22"/>
          <w:szCs w:val="22"/>
        </w:rPr>
      </w:pPr>
    </w:p>
    <w:p w14:paraId="5A5968D5" w14:textId="5B99A182"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BB057D">
        <w:rPr>
          <w:rFonts w:cs="Arial"/>
          <w:sz w:val="22"/>
          <w:u w:val="single"/>
          <w:lang w:val="es-ES_tradnl"/>
        </w:rPr>
        <w:t>11</w:t>
      </w:r>
      <w:r w:rsidR="00DF1988">
        <w:rPr>
          <w:rFonts w:cs="Arial"/>
          <w:sz w:val="22"/>
          <w:u w:val="single"/>
          <w:lang w:val="es-ES_tradnl"/>
        </w:rPr>
        <w:t>6</w:t>
      </w:r>
      <w:r w:rsidRPr="0039311E">
        <w:rPr>
          <w:rFonts w:cs="Arial"/>
          <w:sz w:val="22"/>
          <w:u w:val="single"/>
          <w:lang w:val="es-ES_tradnl"/>
        </w:rPr>
        <w:t>:</w:t>
      </w:r>
      <w:r w:rsidR="00DF1988">
        <w:rPr>
          <w:rFonts w:cs="Arial"/>
          <w:sz w:val="22"/>
          <w:u w:val="single"/>
          <w:lang w:val="es-ES_tradnl"/>
        </w:rPr>
        <w:t>09</w:t>
      </w:r>
      <w:r>
        <w:rPr>
          <w:rFonts w:cs="Arial"/>
          <w:sz w:val="22"/>
          <w:lang w:val="es-ES_tradnl"/>
        </w:rPr>
        <w:t xml:space="preserve"> Se conoce el oficio </w:t>
      </w:r>
      <w:r w:rsidR="00DF1988">
        <w:rPr>
          <w:rFonts w:cs="Arial"/>
          <w:sz w:val="22"/>
          <w:szCs w:val="22"/>
          <w:lang w:val="es-CR"/>
        </w:rPr>
        <w:t xml:space="preserve">GG-OF-1097-2022, del 02 de setiembre de 2022, mediante el cual, atendiendo lo requerido por esta </w:t>
      </w:r>
      <w:r w:rsidR="00DF1988" w:rsidRPr="00DF1988">
        <w:rPr>
          <w:rFonts w:cs="Arial"/>
          <w:sz w:val="22"/>
          <w:szCs w:val="22"/>
          <w:lang w:val="es-ES_tradnl"/>
        </w:rPr>
        <w:t>Junta Directiva</w:t>
      </w:r>
      <w:r w:rsidR="00DF1988">
        <w:rPr>
          <w:rFonts w:cs="Arial"/>
          <w:sz w:val="22"/>
          <w:szCs w:val="22"/>
          <w:lang w:val="es-ES_tradnl"/>
        </w:rPr>
        <w:t xml:space="preserve"> </w:t>
      </w:r>
      <w:r w:rsidR="00DF1988">
        <w:rPr>
          <w:rFonts w:cs="Arial"/>
          <w:sz w:val="22"/>
          <w:szCs w:val="22"/>
          <w:lang w:val="es-CR"/>
        </w:rPr>
        <w:t xml:space="preserve">en el acuerdo N° 7 de la sesión 18-2022, del 07 de marzo de 2022, la </w:t>
      </w:r>
      <w:r w:rsidR="00DF1988" w:rsidRPr="00DF1988">
        <w:rPr>
          <w:rFonts w:cs="Arial"/>
          <w:sz w:val="22"/>
          <w:szCs w:val="22"/>
          <w:lang w:val="es-CR"/>
        </w:rPr>
        <w:t>Gerencia General</w:t>
      </w:r>
      <w:r w:rsidR="00DF1988">
        <w:rPr>
          <w:rFonts w:cs="Arial"/>
          <w:sz w:val="22"/>
          <w:szCs w:val="22"/>
          <w:lang w:val="es-CR"/>
        </w:rPr>
        <w:t xml:space="preserve"> remite los resultados del estudio efectuado a la solicitud de la empresa Construcciones Modulares de Costa Rica S.A., para que se le autorice un </w:t>
      </w:r>
      <w:r w:rsidR="00DF1988" w:rsidRPr="0046424F">
        <w:rPr>
          <w:rFonts w:cs="Arial"/>
          <w:sz w:val="22"/>
          <w:szCs w:val="22"/>
          <w:lang w:val="es-CR"/>
        </w:rPr>
        <w:t>financiamiento adicional por</w:t>
      </w:r>
      <w:r w:rsidR="00DF1988">
        <w:rPr>
          <w:rFonts w:cs="Arial"/>
          <w:sz w:val="22"/>
          <w:szCs w:val="22"/>
          <w:lang w:val="es-CR"/>
        </w:rPr>
        <w:t xml:space="preserve"> </w:t>
      </w:r>
      <w:r w:rsidR="00DF1988" w:rsidRPr="0046424F">
        <w:rPr>
          <w:rFonts w:cs="Arial"/>
          <w:sz w:val="22"/>
          <w:szCs w:val="22"/>
          <w:lang w:val="es-CR"/>
        </w:rPr>
        <w:t>incrementos en los costos d</w:t>
      </w:r>
      <w:r w:rsidR="00DF1988">
        <w:rPr>
          <w:rFonts w:cs="Arial"/>
          <w:sz w:val="22"/>
          <w:szCs w:val="22"/>
          <w:lang w:val="es-CR"/>
        </w:rPr>
        <w:t>e</w:t>
      </w:r>
      <w:r w:rsidR="00DF1988" w:rsidRPr="0046424F">
        <w:rPr>
          <w:rFonts w:cs="Arial"/>
          <w:sz w:val="22"/>
          <w:szCs w:val="22"/>
          <w:lang w:val="es-CR"/>
        </w:rPr>
        <w:t xml:space="preserve"> los insumos en </w:t>
      </w:r>
      <w:r w:rsidR="00DF1988">
        <w:rPr>
          <w:rFonts w:cs="Arial"/>
          <w:sz w:val="22"/>
          <w:szCs w:val="22"/>
          <w:lang w:val="es-CR"/>
        </w:rPr>
        <w:t>el</w:t>
      </w:r>
      <w:r w:rsidR="00DF1988" w:rsidRPr="0046424F">
        <w:rPr>
          <w:rFonts w:cs="Arial"/>
          <w:sz w:val="22"/>
          <w:szCs w:val="22"/>
          <w:lang w:val="es-CR"/>
        </w:rPr>
        <w:t xml:space="preserve"> proyecto Santa Luisa II</w:t>
      </w:r>
      <w:r w:rsidR="00DF1988">
        <w:rPr>
          <w:rFonts w:cs="Arial"/>
          <w:sz w:val="22"/>
          <w:szCs w:val="22"/>
          <w:lang w:val="es-CR"/>
        </w:rPr>
        <w:t xml:space="preserve">. Adjunta la </w:t>
      </w:r>
      <w:r w:rsidR="00DF1988" w:rsidRPr="00DF1988">
        <w:rPr>
          <w:rFonts w:cs="Arial"/>
          <w:sz w:val="22"/>
          <w:szCs w:val="22"/>
          <w:lang w:val="es-CR"/>
        </w:rPr>
        <w:t>Gerencia General</w:t>
      </w:r>
      <w:r w:rsidR="00DF1988">
        <w:rPr>
          <w:rFonts w:cs="Arial"/>
          <w:sz w:val="22"/>
          <w:szCs w:val="22"/>
          <w:lang w:val="es-CR"/>
        </w:rPr>
        <w:t xml:space="preserve"> al citado informe, el dictamen que al respecto ha emitido la asesoría Legal con el oficio AL-OF-062-2022, del 16 de junio de 2022.   Dichos documentos se adjuntan al expediente del acta.</w:t>
      </w:r>
    </w:p>
    <w:p w14:paraId="07CD59E8" w14:textId="6BFEDD77" w:rsidR="0046424F" w:rsidRDefault="0046424F" w:rsidP="009D03FE">
      <w:pPr>
        <w:spacing w:line="360" w:lineRule="auto"/>
        <w:jc w:val="both"/>
        <w:rPr>
          <w:rFonts w:cs="Arial"/>
          <w:sz w:val="22"/>
          <w:szCs w:val="22"/>
        </w:rPr>
      </w:pPr>
    </w:p>
    <w:p w14:paraId="2B83034F" w14:textId="20F98291" w:rsidR="0046424F" w:rsidRDefault="00C91FDB" w:rsidP="009D03FE">
      <w:pPr>
        <w:spacing w:line="360" w:lineRule="auto"/>
        <w:jc w:val="both"/>
        <w:rPr>
          <w:rFonts w:cs="Arial"/>
          <w:sz w:val="22"/>
          <w:szCs w:val="22"/>
        </w:rPr>
      </w:pPr>
      <w:r>
        <w:rPr>
          <w:rFonts w:cs="Arial"/>
          <w:sz w:val="22"/>
          <w:szCs w:val="22"/>
        </w:rPr>
        <w:lastRenderedPageBreak/>
        <w:t>Luego de una introducción</w:t>
      </w:r>
      <w:r w:rsidR="00FB2DA5">
        <w:rPr>
          <w:rFonts w:cs="Arial"/>
          <w:sz w:val="22"/>
          <w:szCs w:val="22"/>
        </w:rPr>
        <w:t xml:space="preserve"> al tema por parte del Gerente General, el licenciado Castro Miranda expone los antecedentes, los alcances y los resultados contenidos en el citado informe, concluyendo y recomendando, en lo conducente, lo siguiente:</w:t>
      </w:r>
    </w:p>
    <w:p w14:paraId="3D81887A" w14:textId="2D5D8C42" w:rsidR="0046424F" w:rsidRPr="007A2ABF" w:rsidRDefault="0046424F" w:rsidP="009D03FE">
      <w:pPr>
        <w:spacing w:line="360" w:lineRule="auto"/>
        <w:jc w:val="both"/>
        <w:rPr>
          <w:rFonts w:cs="Arial"/>
          <w:i/>
          <w:iCs/>
          <w:sz w:val="22"/>
          <w:szCs w:val="22"/>
        </w:rPr>
      </w:pPr>
    </w:p>
    <w:p w14:paraId="47B58AA6" w14:textId="26B7B95F" w:rsidR="0046424F" w:rsidRPr="0046424F" w:rsidRDefault="00FB2DA5" w:rsidP="0046424F">
      <w:pPr>
        <w:spacing w:line="360" w:lineRule="auto"/>
        <w:jc w:val="both"/>
        <w:rPr>
          <w:rFonts w:cs="Arial"/>
          <w:i/>
          <w:iCs/>
          <w:sz w:val="22"/>
          <w:szCs w:val="22"/>
          <w:lang w:val="es-CR"/>
        </w:rPr>
      </w:pPr>
      <w:r w:rsidRPr="007A2ABF">
        <w:rPr>
          <w:rFonts w:cs="Arial"/>
          <w:i/>
          <w:iCs/>
          <w:sz w:val="22"/>
          <w:szCs w:val="22"/>
          <w:lang w:val="es-CR"/>
        </w:rPr>
        <w:t>“</w:t>
      </w:r>
      <w:r w:rsidR="0046424F" w:rsidRPr="0046424F">
        <w:rPr>
          <w:rFonts w:cs="Arial"/>
          <w:i/>
          <w:iCs/>
          <w:sz w:val="22"/>
          <w:szCs w:val="22"/>
          <w:lang w:val="es-CR"/>
        </w:rPr>
        <w:t>Considerando que el financiamiento adicional por aumento de precios para los proyectos</w:t>
      </w:r>
      <w:r w:rsidR="0046424F" w:rsidRPr="007A2ABF">
        <w:rPr>
          <w:rFonts w:cs="Arial"/>
          <w:i/>
          <w:iCs/>
          <w:sz w:val="22"/>
          <w:szCs w:val="22"/>
          <w:lang w:val="es-CR"/>
        </w:rPr>
        <w:t xml:space="preserve"> </w:t>
      </w:r>
      <w:r w:rsidR="0046424F" w:rsidRPr="0046424F">
        <w:rPr>
          <w:rFonts w:cs="Arial"/>
          <w:i/>
          <w:iCs/>
          <w:sz w:val="22"/>
          <w:szCs w:val="22"/>
          <w:lang w:val="es-CR"/>
        </w:rPr>
        <w:t xml:space="preserve">financiados bajo modalidad </w:t>
      </w:r>
      <w:r w:rsidR="0046424F" w:rsidRPr="007A2ABF">
        <w:rPr>
          <w:rFonts w:cs="Arial"/>
          <w:i/>
          <w:iCs/>
          <w:sz w:val="22"/>
          <w:szCs w:val="22"/>
          <w:lang w:val="es-CR"/>
        </w:rPr>
        <w:t>S</w:t>
      </w:r>
      <w:r w:rsidR="0046424F" w:rsidRPr="0046424F">
        <w:rPr>
          <w:rFonts w:cs="Arial"/>
          <w:i/>
          <w:iCs/>
          <w:sz w:val="22"/>
          <w:szCs w:val="22"/>
          <w:lang w:val="es-CR"/>
        </w:rPr>
        <w:t>-002 ayudar</w:t>
      </w:r>
      <w:r w:rsidR="0046424F" w:rsidRPr="007A2ABF">
        <w:rPr>
          <w:rFonts w:cs="Arial"/>
          <w:i/>
          <w:iCs/>
          <w:sz w:val="22"/>
          <w:szCs w:val="22"/>
          <w:lang w:val="es-CR"/>
        </w:rPr>
        <w:t>í</w:t>
      </w:r>
      <w:r w:rsidR="0046424F" w:rsidRPr="0046424F">
        <w:rPr>
          <w:rFonts w:cs="Arial"/>
          <w:i/>
          <w:iCs/>
          <w:sz w:val="22"/>
          <w:szCs w:val="22"/>
          <w:lang w:val="es-CR"/>
        </w:rPr>
        <w:t>a a fortalecer el equilibrio econ</w:t>
      </w:r>
      <w:r w:rsidR="0046424F" w:rsidRPr="007A2ABF">
        <w:rPr>
          <w:rFonts w:cs="Arial"/>
          <w:i/>
          <w:iCs/>
          <w:sz w:val="22"/>
          <w:szCs w:val="22"/>
          <w:lang w:val="es-CR"/>
        </w:rPr>
        <w:t>ó</w:t>
      </w:r>
      <w:r w:rsidR="0046424F" w:rsidRPr="0046424F">
        <w:rPr>
          <w:rFonts w:cs="Arial"/>
          <w:i/>
          <w:iCs/>
          <w:sz w:val="22"/>
          <w:szCs w:val="22"/>
          <w:lang w:val="es-CR"/>
        </w:rPr>
        <w:t>mico de las</w:t>
      </w:r>
      <w:r w:rsidR="0046424F" w:rsidRPr="007A2ABF">
        <w:rPr>
          <w:rFonts w:cs="Arial"/>
          <w:i/>
          <w:iCs/>
          <w:sz w:val="22"/>
          <w:szCs w:val="22"/>
          <w:lang w:val="es-CR"/>
        </w:rPr>
        <w:t xml:space="preserve"> </w:t>
      </w:r>
      <w:r w:rsidR="0046424F" w:rsidRPr="0046424F">
        <w:rPr>
          <w:rFonts w:cs="Arial"/>
          <w:i/>
          <w:iCs/>
          <w:sz w:val="22"/>
          <w:szCs w:val="22"/>
          <w:lang w:val="es-CR"/>
        </w:rPr>
        <w:t>empresas que actualmente trabajan en el desarrollo de proyectos de inter</w:t>
      </w:r>
      <w:r w:rsidR="0046424F" w:rsidRPr="007A2ABF">
        <w:rPr>
          <w:rFonts w:cs="Arial"/>
          <w:i/>
          <w:iCs/>
          <w:sz w:val="22"/>
          <w:szCs w:val="22"/>
          <w:lang w:val="es-CR"/>
        </w:rPr>
        <w:t>é</w:t>
      </w:r>
      <w:r w:rsidR="0046424F" w:rsidRPr="0046424F">
        <w:rPr>
          <w:rFonts w:cs="Arial"/>
          <w:i/>
          <w:iCs/>
          <w:sz w:val="22"/>
          <w:szCs w:val="22"/>
          <w:lang w:val="es-CR"/>
        </w:rPr>
        <w:t>s social y,</w:t>
      </w:r>
      <w:r w:rsidR="0046424F" w:rsidRPr="007A2ABF">
        <w:rPr>
          <w:rFonts w:cs="Arial"/>
          <w:i/>
          <w:iCs/>
          <w:sz w:val="22"/>
          <w:szCs w:val="22"/>
          <w:lang w:val="es-CR"/>
        </w:rPr>
        <w:t xml:space="preserve"> </w:t>
      </w:r>
      <w:r w:rsidR="0046424F" w:rsidRPr="0046424F">
        <w:rPr>
          <w:rFonts w:cs="Arial"/>
          <w:i/>
          <w:iCs/>
          <w:sz w:val="22"/>
          <w:szCs w:val="22"/>
          <w:lang w:val="es-CR"/>
        </w:rPr>
        <w:t>principalmente, lo establecido en el acuerdo de aprobaci</w:t>
      </w:r>
      <w:r w:rsidR="0046424F" w:rsidRPr="007A2ABF">
        <w:rPr>
          <w:rFonts w:cs="Arial"/>
          <w:i/>
          <w:iCs/>
          <w:sz w:val="22"/>
          <w:szCs w:val="22"/>
          <w:lang w:val="es-CR"/>
        </w:rPr>
        <w:t>ó</w:t>
      </w:r>
      <w:r w:rsidR="0046424F" w:rsidRPr="0046424F">
        <w:rPr>
          <w:rFonts w:cs="Arial"/>
          <w:i/>
          <w:iCs/>
          <w:sz w:val="22"/>
          <w:szCs w:val="22"/>
          <w:lang w:val="es-CR"/>
        </w:rPr>
        <w:t>n del financiamiento y el criterio</w:t>
      </w:r>
      <w:r w:rsidR="0046424F" w:rsidRPr="007A2ABF">
        <w:rPr>
          <w:rFonts w:cs="Arial"/>
          <w:i/>
          <w:iCs/>
          <w:sz w:val="22"/>
          <w:szCs w:val="22"/>
          <w:lang w:val="es-CR"/>
        </w:rPr>
        <w:t xml:space="preserve"> </w:t>
      </w:r>
      <w:r w:rsidR="0046424F" w:rsidRPr="0046424F">
        <w:rPr>
          <w:rFonts w:cs="Arial"/>
          <w:i/>
          <w:iCs/>
          <w:sz w:val="22"/>
          <w:szCs w:val="22"/>
          <w:lang w:val="es-CR"/>
        </w:rPr>
        <w:t xml:space="preserve">emitido por </w:t>
      </w:r>
      <w:r w:rsidR="0046424F" w:rsidRPr="007A2ABF">
        <w:rPr>
          <w:rFonts w:cs="Arial"/>
          <w:i/>
          <w:iCs/>
          <w:sz w:val="22"/>
          <w:szCs w:val="22"/>
          <w:lang w:val="es-CR"/>
        </w:rPr>
        <w:t>l</w:t>
      </w:r>
      <w:r w:rsidR="0046424F" w:rsidRPr="0046424F">
        <w:rPr>
          <w:rFonts w:cs="Arial"/>
          <w:i/>
          <w:iCs/>
          <w:sz w:val="22"/>
          <w:szCs w:val="22"/>
          <w:lang w:val="es-CR"/>
        </w:rPr>
        <w:t>a Asesor</w:t>
      </w:r>
      <w:r w:rsidR="0046424F" w:rsidRPr="007A2ABF">
        <w:rPr>
          <w:rFonts w:cs="Arial"/>
          <w:i/>
          <w:iCs/>
          <w:sz w:val="22"/>
          <w:szCs w:val="22"/>
          <w:lang w:val="es-CR"/>
        </w:rPr>
        <w:t>í</w:t>
      </w:r>
      <w:r w:rsidR="0046424F" w:rsidRPr="0046424F">
        <w:rPr>
          <w:rFonts w:cs="Arial"/>
          <w:i/>
          <w:iCs/>
          <w:sz w:val="22"/>
          <w:szCs w:val="22"/>
          <w:lang w:val="es-CR"/>
        </w:rPr>
        <w:t>a Legal del Banco, este Despacho no encuentra objeci</w:t>
      </w:r>
      <w:r w:rsidR="0046424F" w:rsidRPr="007A2ABF">
        <w:rPr>
          <w:rFonts w:cs="Arial"/>
          <w:i/>
          <w:iCs/>
          <w:sz w:val="22"/>
          <w:szCs w:val="22"/>
          <w:lang w:val="es-CR"/>
        </w:rPr>
        <w:t>ó</w:t>
      </w:r>
      <w:r w:rsidR="0046424F" w:rsidRPr="0046424F">
        <w:rPr>
          <w:rFonts w:cs="Arial"/>
          <w:i/>
          <w:iCs/>
          <w:sz w:val="22"/>
          <w:szCs w:val="22"/>
          <w:lang w:val="es-CR"/>
        </w:rPr>
        <w:t>n para qu</w:t>
      </w:r>
      <w:r w:rsidR="0046424F" w:rsidRPr="007A2ABF">
        <w:rPr>
          <w:rFonts w:cs="Arial"/>
          <w:i/>
          <w:iCs/>
          <w:sz w:val="22"/>
          <w:szCs w:val="22"/>
          <w:lang w:val="es-CR"/>
        </w:rPr>
        <w:t>e</w:t>
      </w:r>
      <w:r w:rsidR="0046424F" w:rsidRPr="0046424F">
        <w:rPr>
          <w:rFonts w:cs="Arial"/>
          <w:i/>
          <w:iCs/>
          <w:sz w:val="22"/>
          <w:szCs w:val="22"/>
          <w:lang w:val="es-CR"/>
        </w:rPr>
        <w:t xml:space="preserve"> </w:t>
      </w:r>
      <w:r w:rsidR="0046424F" w:rsidRPr="007A2ABF">
        <w:rPr>
          <w:rFonts w:cs="Arial"/>
          <w:i/>
          <w:iCs/>
          <w:sz w:val="22"/>
          <w:szCs w:val="22"/>
          <w:lang w:val="es-CR"/>
        </w:rPr>
        <w:t>l</w:t>
      </w:r>
      <w:r w:rsidR="0046424F" w:rsidRPr="0046424F">
        <w:rPr>
          <w:rFonts w:cs="Arial"/>
          <w:i/>
          <w:iCs/>
          <w:sz w:val="22"/>
          <w:szCs w:val="22"/>
          <w:lang w:val="es-CR"/>
        </w:rPr>
        <w:t>a</w:t>
      </w:r>
      <w:r w:rsidR="0046424F" w:rsidRPr="007A2ABF">
        <w:rPr>
          <w:rFonts w:cs="Arial"/>
          <w:i/>
          <w:iCs/>
          <w:sz w:val="22"/>
          <w:szCs w:val="22"/>
          <w:lang w:val="es-CR"/>
        </w:rPr>
        <w:t xml:space="preserve"> </w:t>
      </w:r>
      <w:r w:rsidR="0046424F" w:rsidRPr="0046424F">
        <w:rPr>
          <w:rFonts w:cs="Arial"/>
          <w:i/>
          <w:iCs/>
          <w:sz w:val="22"/>
          <w:szCs w:val="22"/>
          <w:lang w:val="es-CR"/>
        </w:rPr>
        <w:t>empresa Construcciones Modulares de Costa Rica S.A.</w:t>
      </w:r>
      <w:r w:rsidR="0046424F" w:rsidRPr="007A2ABF">
        <w:rPr>
          <w:rFonts w:cs="Arial"/>
          <w:i/>
          <w:iCs/>
          <w:sz w:val="22"/>
          <w:szCs w:val="22"/>
          <w:lang w:val="es-CR"/>
        </w:rPr>
        <w:t>,</w:t>
      </w:r>
      <w:r w:rsidR="0046424F" w:rsidRPr="0046424F">
        <w:rPr>
          <w:rFonts w:cs="Arial"/>
          <w:i/>
          <w:iCs/>
          <w:sz w:val="22"/>
          <w:szCs w:val="22"/>
          <w:lang w:val="es-CR"/>
        </w:rPr>
        <w:t xml:space="preserve"> a trav</w:t>
      </w:r>
      <w:r w:rsidR="0046424F" w:rsidRPr="007A2ABF">
        <w:rPr>
          <w:rFonts w:cs="Arial"/>
          <w:i/>
          <w:iCs/>
          <w:sz w:val="22"/>
          <w:szCs w:val="22"/>
          <w:lang w:val="es-CR"/>
        </w:rPr>
        <w:t>é</w:t>
      </w:r>
      <w:r w:rsidR="0046424F" w:rsidRPr="0046424F">
        <w:rPr>
          <w:rFonts w:cs="Arial"/>
          <w:i/>
          <w:iCs/>
          <w:sz w:val="22"/>
          <w:szCs w:val="22"/>
          <w:lang w:val="es-CR"/>
        </w:rPr>
        <w:t xml:space="preserve">s de </w:t>
      </w:r>
      <w:r w:rsidR="0046424F" w:rsidRPr="007A2ABF">
        <w:rPr>
          <w:rFonts w:cs="Arial"/>
          <w:i/>
          <w:iCs/>
          <w:sz w:val="22"/>
          <w:szCs w:val="22"/>
          <w:lang w:val="es-CR"/>
        </w:rPr>
        <w:t>l</w:t>
      </w:r>
      <w:r w:rsidR="0046424F" w:rsidRPr="0046424F">
        <w:rPr>
          <w:rFonts w:cs="Arial"/>
          <w:i/>
          <w:iCs/>
          <w:sz w:val="22"/>
          <w:szCs w:val="22"/>
          <w:lang w:val="es-CR"/>
        </w:rPr>
        <w:t>a entidad autorizada</w:t>
      </w:r>
      <w:r w:rsidR="0046424F" w:rsidRPr="007A2ABF">
        <w:rPr>
          <w:rFonts w:cs="Arial"/>
          <w:i/>
          <w:iCs/>
          <w:sz w:val="22"/>
          <w:szCs w:val="22"/>
          <w:lang w:val="es-CR"/>
        </w:rPr>
        <w:t xml:space="preserve">, </w:t>
      </w:r>
      <w:r w:rsidR="0046424F" w:rsidRPr="0046424F">
        <w:rPr>
          <w:rFonts w:cs="Arial"/>
          <w:i/>
          <w:iCs/>
          <w:sz w:val="22"/>
          <w:szCs w:val="22"/>
          <w:lang w:val="es-CR"/>
        </w:rPr>
        <w:t>Grupo Mutual Alajuela La Vivienda</w:t>
      </w:r>
      <w:r w:rsidR="0046424F" w:rsidRPr="007A2ABF">
        <w:rPr>
          <w:rFonts w:cs="Arial"/>
          <w:i/>
          <w:iCs/>
          <w:sz w:val="22"/>
          <w:szCs w:val="22"/>
          <w:lang w:val="es-CR"/>
        </w:rPr>
        <w:t>,</w:t>
      </w:r>
      <w:r w:rsidR="0046424F" w:rsidRPr="0046424F">
        <w:rPr>
          <w:rFonts w:cs="Arial"/>
          <w:i/>
          <w:iCs/>
          <w:sz w:val="22"/>
          <w:szCs w:val="22"/>
          <w:lang w:val="es-CR"/>
        </w:rPr>
        <w:t xml:space="preserve"> presente una solicitud de financiamiento adicional por</w:t>
      </w:r>
      <w:r w:rsidR="0046424F" w:rsidRPr="007A2ABF">
        <w:rPr>
          <w:rFonts w:cs="Arial"/>
          <w:i/>
          <w:iCs/>
          <w:sz w:val="22"/>
          <w:szCs w:val="22"/>
          <w:lang w:val="es-CR"/>
        </w:rPr>
        <w:t xml:space="preserve"> </w:t>
      </w:r>
      <w:r w:rsidR="0046424F" w:rsidRPr="0046424F">
        <w:rPr>
          <w:rFonts w:cs="Arial"/>
          <w:i/>
          <w:iCs/>
          <w:sz w:val="22"/>
          <w:szCs w:val="22"/>
          <w:lang w:val="es-CR"/>
        </w:rPr>
        <w:t>incrementos en los costos d</w:t>
      </w:r>
      <w:r w:rsidR="0046424F" w:rsidRPr="007A2ABF">
        <w:rPr>
          <w:rFonts w:cs="Arial"/>
          <w:i/>
          <w:iCs/>
          <w:sz w:val="22"/>
          <w:szCs w:val="22"/>
          <w:lang w:val="es-CR"/>
        </w:rPr>
        <w:t>e</w:t>
      </w:r>
      <w:r w:rsidR="0046424F" w:rsidRPr="0046424F">
        <w:rPr>
          <w:rFonts w:cs="Arial"/>
          <w:i/>
          <w:iCs/>
          <w:sz w:val="22"/>
          <w:szCs w:val="22"/>
          <w:lang w:val="es-CR"/>
        </w:rPr>
        <w:t xml:space="preserve"> los insumos en </w:t>
      </w:r>
      <w:r w:rsidR="0046424F" w:rsidRPr="007A2ABF">
        <w:rPr>
          <w:rFonts w:cs="Arial"/>
          <w:i/>
          <w:iCs/>
          <w:sz w:val="22"/>
          <w:szCs w:val="22"/>
          <w:lang w:val="es-CR"/>
        </w:rPr>
        <w:t>el</w:t>
      </w:r>
      <w:r w:rsidR="0046424F" w:rsidRPr="0046424F">
        <w:rPr>
          <w:rFonts w:cs="Arial"/>
          <w:i/>
          <w:iCs/>
          <w:sz w:val="22"/>
          <w:szCs w:val="22"/>
          <w:lang w:val="es-CR"/>
        </w:rPr>
        <w:t xml:space="preserve"> proyecto Santa Luisa II, </w:t>
      </w:r>
      <w:r w:rsidR="0046424F" w:rsidRPr="007A2ABF">
        <w:rPr>
          <w:rFonts w:cs="Arial"/>
          <w:i/>
          <w:iCs/>
          <w:sz w:val="22"/>
          <w:szCs w:val="22"/>
          <w:lang w:val="es-CR"/>
        </w:rPr>
        <w:t>lo</w:t>
      </w:r>
      <w:r w:rsidR="0046424F" w:rsidRPr="0046424F">
        <w:rPr>
          <w:rFonts w:cs="Arial"/>
          <w:i/>
          <w:iCs/>
          <w:sz w:val="22"/>
          <w:szCs w:val="22"/>
          <w:lang w:val="es-CR"/>
        </w:rPr>
        <w:t xml:space="preserve"> anterior en virtud</w:t>
      </w:r>
      <w:r w:rsidR="0046424F" w:rsidRPr="007A2ABF">
        <w:rPr>
          <w:rFonts w:cs="Arial"/>
          <w:i/>
          <w:iCs/>
          <w:sz w:val="22"/>
          <w:szCs w:val="22"/>
          <w:lang w:val="es-CR"/>
        </w:rPr>
        <w:t xml:space="preserve"> </w:t>
      </w:r>
      <w:r w:rsidR="0046424F" w:rsidRPr="0046424F">
        <w:rPr>
          <w:rFonts w:cs="Arial"/>
          <w:i/>
          <w:iCs/>
          <w:sz w:val="22"/>
          <w:szCs w:val="22"/>
          <w:lang w:val="es-CR"/>
        </w:rPr>
        <w:t>de garantizar el equilibrio econ</w:t>
      </w:r>
      <w:r w:rsidR="0046424F" w:rsidRPr="007A2ABF">
        <w:rPr>
          <w:rFonts w:cs="Arial"/>
          <w:i/>
          <w:iCs/>
          <w:sz w:val="22"/>
          <w:szCs w:val="22"/>
          <w:lang w:val="es-CR"/>
        </w:rPr>
        <w:t>ó</w:t>
      </w:r>
      <w:r w:rsidR="0046424F" w:rsidRPr="0046424F">
        <w:rPr>
          <w:rFonts w:cs="Arial"/>
          <w:i/>
          <w:iCs/>
          <w:sz w:val="22"/>
          <w:szCs w:val="22"/>
          <w:lang w:val="es-CR"/>
        </w:rPr>
        <w:t xml:space="preserve">mico del contrato y por cuanto en los </w:t>
      </w:r>
      <w:r w:rsidR="0046424F" w:rsidRPr="007A2ABF">
        <w:rPr>
          <w:rFonts w:cs="Arial"/>
          <w:i/>
          <w:iCs/>
          <w:sz w:val="22"/>
          <w:szCs w:val="22"/>
          <w:lang w:val="es-CR"/>
        </w:rPr>
        <w:t>ú</w:t>
      </w:r>
      <w:r w:rsidR="0046424F" w:rsidRPr="0046424F">
        <w:rPr>
          <w:rFonts w:cs="Arial"/>
          <w:i/>
          <w:iCs/>
          <w:sz w:val="22"/>
          <w:szCs w:val="22"/>
          <w:lang w:val="es-CR"/>
        </w:rPr>
        <w:t>ltimos meses se han</w:t>
      </w:r>
      <w:r w:rsidR="0046424F" w:rsidRPr="007A2ABF">
        <w:rPr>
          <w:rFonts w:cs="Arial"/>
          <w:i/>
          <w:iCs/>
          <w:sz w:val="22"/>
          <w:szCs w:val="22"/>
          <w:lang w:val="es-CR"/>
        </w:rPr>
        <w:t xml:space="preserve"> </w:t>
      </w:r>
      <w:r w:rsidR="0046424F" w:rsidRPr="0046424F">
        <w:rPr>
          <w:rFonts w:cs="Arial"/>
          <w:i/>
          <w:iCs/>
          <w:sz w:val="22"/>
          <w:szCs w:val="22"/>
          <w:lang w:val="es-CR"/>
        </w:rPr>
        <w:t xml:space="preserve">venido presentando circunstancias muy excepcionales relacionadas a incrementos </w:t>
      </w:r>
      <w:r w:rsidR="0046424F" w:rsidRPr="007A2ABF">
        <w:rPr>
          <w:rFonts w:cs="Arial"/>
          <w:i/>
          <w:iCs/>
          <w:sz w:val="22"/>
          <w:szCs w:val="22"/>
          <w:lang w:val="es-CR"/>
        </w:rPr>
        <w:t>e</w:t>
      </w:r>
      <w:r w:rsidR="0046424F" w:rsidRPr="0046424F">
        <w:rPr>
          <w:rFonts w:cs="Arial"/>
          <w:i/>
          <w:iCs/>
          <w:sz w:val="22"/>
          <w:szCs w:val="22"/>
          <w:lang w:val="es-CR"/>
        </w:rPr>
        <w:t>n los</w:t>
      </w:r>
      <w:r w:rsidR="0046424F" w:rsidRPr="007A2ABF">
        <w:rPr>
          <w:rFonts w:cs="Arial"/>
          <w:i/>
          <w:iCs/>
          <w:sz w:val="22"/>
          <w:szCs w:val="22"/>
          <w:lang w:val="es-CR"/>
        </w:rPr>
        <w:t xml:space="preserve"> </w:t>
      </w:r>
      <w:r w:rsidR="0046424F" w:rsidRPr="0046424F">
        <w:rPr>
          <w:rFonts w:cs="Arial"/>
          <w:i/>
          <w:iCs/>
          <w:sz w:val="22"/>
          <w:szCs w:val="22"/>
          <w:lang w:val="es-CR"/>
        </w:rPr>
        <w:t xml:space="preserve">costos de </w:t>
      </w:r>
      <w:r w:rsidR="0046424F" w:rsidRPr="007A2ABF">
        <w:rPr>
          <w:rFonts w:cs="Arial"/>
          <w:i/>
          <w:iCs/>
          <w:sz w:val="22"/>
          <w:szCs w:val="22"/>
          <w:lang w:val="es-CR"/>
        </w:rPr>
        <w:t>l</w:t>
      </w:r>
      <w:r w:rsidR="0046424F" w:rsidRPr="0046424F">
        <w:rPr>
          <w:rFonts w:cs="Arial"/>
          <w:i/>
          <w:iCs/>
          <w:sz w:val="22"/>
          <w:szCs w:val="22"/>
          <w:lang w:val="es-CR"/>
        </w:rPr>
        <w:t>a construcci</w:t>
      </w:r>
      <w:r w:rsidR="0046424F" w:rsidRPr="007A2ABF">
        <w:rPr>
          <w:rFonts w:cs="Arial"/>
          <w:i/>
          <w:iCs/>
          <w:sz w:val="22"/>
          <w:szCs w:val="22"/>
          <w:lang w:val="es-CR"/>
        </w:rPr>
        <w:t>ó</w:t>
      </w:r>
      <w:r w:rsidR="0046424F" w:rsidRPr="0046424F">
        <w:rPr>
          <w:rFonts w:cs="Arial"/>
          <w:i/>
          <w:iCs/>
          <w:sz w:val="22"/>
          <w:szCs w:val="22"/>
          <w:lang w:val="es-CR"/>
        </w:rPr>
        <w:t xml:space="preserve">n y que el desarrollador no hubiera podido prever en </w:t>
      </w:r>
      <w:r w:rsidR="0046424F" w:rsidRPr="007A2ABF">
        <w:rPr>
          <w:rFonts w:cs="Arial"/>
          <w:i/>
          <w:iCs/>
          <w:sz w:val="22"/>
          <w:szCs w:val="22"/>
          <w:lang w:val="es-CR"/>
        </w:rPr>
        <w:t>l</w:t>
      </w:r>
      <w:r w:rsidR="0046424F" w:rsidRPr="0046424F">
        <w:rPr>
          <w:rFonts w:cs="Arial"/>
          <w:i/>
          <w:iCs/>
          <w:sz w:val="22"/>
          <w:szCs w:val="22"/>
          <w:lang w:val="es-CR"/>
        </w:rPr>
        <w:t>a presenta</w:t>
      </w:r>
      <w:r w:rsidR="0046424F" w:rsidRPr="007A2ABF">
        <w:rPr>
          <w:rFonts w:cs="Arial"/>
          <w:i/>
          <w:iCs/>
          <w:sz w:val="22"/>
          <w:szCs w:val="22"/>
          <w:lang w:val="es-CR"/>
        </w:rPr>
        <w:t>ción de l</w:t>
      </w:r>
      <w:r w:rsidR="0046424F" w:rsidRPr="0046424F">
        <w:rPr>
          <w:rFonts w:cs="Arial"/>
          <w:i/>
          <w:iCs/>
          <w:sz w:val="22"/>
          <w:szCs w:val="22"/>
          <w:lang w:val="es-CR"/>
        </w:rPr>
        <w:t>a propuesta del proyecto.</w:t>
      </w:r>
    </w:p>
    <w:p w14:paraId="4F7437D6" w14:textId="77777777" w:rsidR="0046424F" w:rsidRPr="007A2ABF" w:rsidRDefault="0046424F" w:rsidP="0046424F">
      <w:pPr>
        <w:spacing w:line="360" w:lineRule="auto"/>
        <w:jc w:val="both"/>
        <w:rPr>
          <w:rFonts w:cs="Arial"/>
          <w:i/>
          <w:iCs/>
          <w:sz w:val="22"/>
          <w:szCs w:val="22"/>
          <w:lang w:val="es-CR"/>
        </w:rPr>
      </w:pPr>
    </w:p>
    <w:p w14:paraId="78DA94F1" w14:textId="5AF3EBB6" w:rsidR="0046424F" w:rsidRPr="007A2ABF" w:rsidRDefault="0046424F" w:rsidP="0046424F">
      <w:pPr>
        <w:spacing w:line="360" w:lineRule="auto"/>
        <w:jc w:val="both"/>
        <w:rPr>
          <w:rFonts w:cs="Arial"/>
          <w:i/>
          <w:iCs/>
          <w:sz w:val="22"/>
          <w:szCs w:val="22"/>
        </w:rPr>
      </w:pPr>
      <w:r w:rsidRPr="0046424F">
        <w:rPr>
          <w:rFonts w:cs="Arial"/>
          <w:i/>
          <w:iCs/>
          <w:sz w:val="22"/>
          <w:szCs w:val="22"/>
          <w:lang w:val="es-CR"/>
        </w:rPr>
        <w:t xml:space="preserve">En ese sentido </w:t>
      </w:r>
      <w:r w:rsidRPr="007A2ABF">
        <w:rPr>
          <w:rFonts w:cs="Arial"/>
          <w:i/>
          <w:iCs/>
          <w:sz w:val="22"/>
          <w:szCs w:val="22"/>
          <w:lang w:val="es-CR"/>
        </w:rPr>
        <w:t>l</w:t>
      </w:r>
      <w:r w:rsidRPr="0046424F">
        <w:rPr>
          <w:rFonts w:cs="Arial"/>
          <w:i/>
          <w:iCs/>
          <w:sz w:val="22"/>
          <w:szCs w:val="22"/>
          <w:lang w:val="es-CR"/>
        </w:rPr>
        <w:t>a entidad autorizada Grupo Mutual Alajuela La Vivienda</w:t>
      </w:r>
      <w:r w:rsidRPr="007A2ABF">
        <w:rPr>
          <w:rFonts w:cs="Arial"/>
          <w:i/>
          <w:iCs/>
          <w:sz w:val="22"/>
          <w:szCs w:val="22"/>
          <w:lang w:val="es-CR"/>
        </w:rPr>
        <w:t>,</w:t>
      </w:r>
      <w:r w:rsidRPr="0046424F">
        <w:rPr>
          <w:rFonts w:cs="Arial"/>
          <w:i/>
          <w:iCs/>
          <w:sz w:val="22"/>
          <w:szCs w:val="22"/>
          <w:lang w:val="es-CR"/>
        </w:rPr>
        <w:t xml:space="preserve"> deber</w:t>
      </w:r>
      <w:r w:rsidRPr="007A2ABF">
        <w:rPr>
          <w:rFonts w:cs="Arial"/>
          <w:i/>
          <w:iCs/>
          <w:sz w:val="22"/>
          <w:szCs w:val="22"/>
          <w:lang w:val="es-CR"/>
        </w:rPr>
        <w:t>á</w:t>
      </w:r>
      <w:r w:rsidRPr="0046424F">
        <w:rPr>
          <w:rFonts w:cs="Arial"/>
          <w:i/>
          <w:iCs/>
          <w:sz w:val="22"/>
          <w:szCs w:val="22"/>
          <w:lang w:val="es-CR"/>
        </w:rPr>
        <w:t xml:space="preserve"> presentar a</w:t>
      </w:r>
      <w:r w:rsidRPr="007A2ABF">
        <w:rPr>
          <w:rFonts w:cs="Arial"/>
          <w:i/>
          <w:iCs/>
          <w:sz w:val="22"/>
          <w:szCs w:val="22"/>
          <w:lang w:val="es-CR"/>
        </w:rPr>
        <w:t xml:space="preserve"> la </w:t>
      </w:r>
      <w:r w:rsidRPr="0046424F">
        <w:rPr>
          <w:rFonts w:cs="Arial"/>
          <w:i/>
          <w:iCs/>
          <w:sz w:val="22"/>
          <w:szCs w:val="22"/>
          <w:lang w:val="es-CR"/>
        </w:rPr>
        <w:t>Direc</w:t>
      </w:r>
      <w:r w:rsidRPr="007A2ABF">
        <w:rPr>
          <w:rFonts w:cs="Arial"/>
          <w:i/>
          <w:iCs/>
          <w:sz w:val="22"/>
          <w:szCs w:val="22"/>
          <w:lang w:val="es-CR"/>
        </w:rPr>
        <w:t xml:space="preserve">ción </w:t>
      </w:r>
      <w:r w:rsidRPr="0046424F">
        <w:rPr>
          <w:rFonts w:cs="Arial"/>
          <w:i/>
          <w:iCs/>
          <w:sz w:val="22"/>
          <w:szCs w:val="22"/>
          <w:lang w:val="es-CR"/>
        </w:rPr>
        <w:t xml:space="preserve">FOSUVI </w:t>
      </w:r>
      <w:r w:rsidRPr="007A2ABF">
        <w:rPr>
          <w:rFonts w:cs="Arial"/>
          <w:i/>
          <w:iCs/>
          <w:sz w:val="22"/>
          <w:szCs w:val="22"/>
          <w:lang w:val="es-CR"/>
        </w:rPr>
        <w:t>l</w:t>
      </w:r>
      <w:r w:rsidRPr="0046424F">
        <w:rPr>
          <w:rFonts w:cs="Arial"/>
          <w:i/>
          <w:iCs/>
          <w:sz w:val="22"/>
          <w:szCs w:val="22"/>
          <w:lang w:val="es-CR"/>
        </w:rPr>
        <w:t xml:space="preserve">a solicitud de financiamiento adicional de acuerdo con </w:t>
      </w:r>
      <w:r w:rsidRPr="007A2ABF">
        <w:rPr>
          <w:rFonts w:cs="Arial"/>
          <w:i/>
          <w:iCs/>
          <w:sz w:val="22"/>
          <w:szCs w:val="22"/>
          <w:lang w:val="es-CR"/>
        </w:rPr>
        <w:t>l</w:t>
      </w:r>
      <w:r w:rsidRPr="0046424F">
        <w:rPr>
          <w:rFonts w:cs="Arial"/>
          <w:i/>
          <w:iCs/>
          <w:sz w:val="22"/>
          <w:szCs w:val="22"/>
          <w:lang w:val="es-CR"/>
        </w:rPr>
        <w:t>a normativa</w:t>
      </w:r>
      <w:r w:rsidRPr="007A2ABF">
        <w:rPr>
          <w:rFonts w:cs="Arial"/>
          <w:i/>
          <w:iCs/>
          <w:sz w:val="22"/>
          <w:szCs w:val="22"/>
          <w:lang w:val="es-CR"/>
        </w:rPr>
        <w:t xml:space="preserve"> </w:t>
      </w:r>
      <w:r w:rsidRPr="0046424F">
        <w:rPr>
          <w:rFonts w:cs="Arial"/>
          <w:i/>
          <w:iCs/>
          <w:sz w:val="22"/>
          <w:szCs w:val="22"/>
          <w:lang w:val="es-CR"/>
        </w:rPr>
        <w:t>destinada para tal fin, tomando en consideraci</w:t>
      </w:r>
      <w:r w:rsidRPr="007A2ABF">
        <w:rPr>
          <w:rFonts w:cs="Arial"/>
          <w:i/>
          <w:iCs/>
          <w:sz w:val="22"/>
          <w:szCs w:val="22"/>
          <w:lang w:val="es-CR"/>
        </w:rPr>
        <w:t>ó</w:t>
      </w:r>
      <w:r w:rsidRPr="0046424F">
        <w:rPr>
          <w:rFonts w:cs="Arial"/>
          <w:i/>
          <w:iCs/>
          <w:sz w:val="22"/>
          <w:szCs w:val="22"/>
          <w:lang w:val="es-CR"/>
        </w:rPr>
        <w:t>n que para poder recomendar un</w:t>
      </w:r>
      <w:r w:rsidRPr="007A2ABF">
        <w:rPr>
          <w:rFonts w:cs="Arial"/>
          <w:i/>
          <w:iCs/>
          <w:sz w:val="22"/>
          <w:szCs w:val="22"/>
          <w:lang w:val="es-CR"/>
        </w:rPr>
        <w:t xml:space="preserve"> </w:t>
      </w:r>
      <w:r w:rsidRPr="0046424F">
        <w:rPr>
          <w:rFonts w:cs="Arial"/>
          <w:i/>
          <w:iCs/>
          <w:sz w:val="22"/>
          <w:szCs w:val="22"/>
          <w:lang w:val="es-CR"/>
        </w:rPr>
        <w:t xml:space="preserve">financiamiento adicional ante </w:t>
      </w:r>
      <w:r w:rsidRPr="007A2ABF">
        <w:rPr>
          <w:rFonts w:cs="Arial"/>
          <w:i/>
          <w:iCs/>
          <w:sz w:val="22"/>
          <w:szCs w:val="22"/>
          <w:lang w:val="es-CR"/>
        </w:rPr>
        <w:t>l</w:t>
      </w:r>
      <w:r w:rsidRPr="0046424F">
        <w:rPr>
          <w:rFonts w:cs="Arial"/>
          <w:i/>
          <w:iCs/>
          <w:sz w:val="22"/>
          <w:szCs w:val="22"/>
          <w:lang w:val="es-CR"/>
        </w:rPr>
        <w:t>a Junta Directiva es necesario ten</w:t>
      </w:r>
      <w:r w:rsidRPr="007A2ABF">
        <w:rPr>
          <w:rFonts w:cs="Arial"/>
          <w:i/>
          <w:iCs/>
          <w:sz w:val="22"/>
          <w:szCs w:val="22"/>
          <w:lang w:val="es-CR"/>
        </w:rPr>
        <w:t>e</w:t>
      </w:r>
      <w:r w:rsidRPr="0046424F">
        <w:rPr>
          <w:rFonts w:cs="Arial"/>
          <w:i/>
          <w:iCs/>
          <w:sz w:val="22"/>
          <w:szCs w:val="22"/>
          <w:lang w:val="es-CR"/>
        </w:rPr>
        <w:t>r el contrato de</w:t>
      </w:r>
      <w:r w:rsidRPr="007A2ABF">
        <w:rPr>
          <w:rFonts w:cs="Arial"/>
          <w:i/>
          <w:iCs/>
          <w:sz w:val="22"/>
          <w:szCs w:val="22"/>
          <w:lang w:val="es-CR"/>
        </w:rPr>
        <w:t xml:space="preserve"> administración de recursos y el contrato de obra determinada vigentes.</w:t>
      </w:r>
      <w:r w:rsidR="007A2ABF" w:rsidRPr="007A2ABF">
        <w:rPr>
          <w:rFonts w:cs="Arial"/>
          <w:i/>
          <w:iCs/>
          <w:sz w:val="22"/>
          <w:szCs w:val="22"/>
          <w:lang w:val="es-CR"/>
        </w:rPr>
        <w:t>”</w:t>
      </w:r>
    </w:p>
    <w:p w14:paraId="7514BC27" w14:textId="024EA247" w:rsidR="0046424F" w:rsidRDefault="0046424F" w:rsidP="009D03FE">
      <w:pPr>
        <w:spacing w:line="360" w:lineRule="auto"/>
        <w:jc w:val="both"/>
        <w:rPr>
          <w:rFonts w:cs="Arial"/>
          <w:sz w:val="22"/>
          <w:szCs w:val="22"/>
        </w:rPr>
      </w:pPr>
    </w:p>
    <w:p w14:paraId="1DB42C7A" w14:textId="4F7F5636" w:rsidR="007A2ABF" w:rsidRDefault="004A4077"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118</w:t>
      </w:r>
      <w:r w:rsidRPr="00A25DB7">
        <w:rPr>
          <w:rFonts w:cs="Arial"/>
          <w:sz w:val="22"/>
          <w:u w:val="single"/>
          <w:lang w:val="es-ES_tradnl"/>
        </w:rPr>
        <w:t>:</w:t>
      </w:r>
      <w:r>
        <w:rPr>
          <w:rFonts w:cs="Arial"/>
          <w:sz w:val="22"/>
          <w:u w:val="single"/>
          <w:lang w:val="es-ES_tradnl"/>
        </w:rPr>
        <w:t>45</w:t>
      </w:r>
      <w:r>
        <w:rPr>
          <w:rFonts w:cs="Arial"/>
          <w:sz w:val="22"/>
          <w:lang w:val="es-ES_tradnl"/>
        </w:rPr>
        <w:t xml:space="preserve"> </w:t>
      </w:r>
      <w:r w:rsidR="00186766">
        <w:rPr>
          <w:rFonts w:cs="Arial"/>
          <w:sz w:val="22"/>
          <w:lang w:val="es-ES_tradnl"/>
        </w:rPr>
        <w:t xml:space="preserve">Se conoce y </w:t>
      </w:r>
      <w:r w:rsidR="000D6E19">
        <w:rPr>
          <w:rFonts w:cs="Arial"/>
          <w:sz w:val="22"/>
          <w:lang w:val="es-ES_tradnl"/>
        </w:rPr>
        <w:t>analiza</w:t>
      </w:r>
      <w:r w:rsidR="00186766">
        <w:rPr>
          <w:rFonts w:cs="Arial"/>
          <w:sz w:val="22"/>
          <w:lang w:val="es-ES_tradnl"/>
        </w:rPr>
        <w:t xml:space="preserve"> una inquietud de la Directora Ulibarri Pernús, en el sentido que debido a que los casos de proyectos S-002</w:t>
      </w:r>
      <w:r w:rsidR="000D6E19">
        <w:rPr>
          <w:rFonts w:cs="Arial"/>
          <w:sz w:val="22"/>
          <w:lang w:val="es-ES_tradnl"/>
        </w:rPr>
        <w:t>, igual que los casos individuales,</w:t>
      </w:r>
      <w:r w:rsidR="00186766">
        <w:rPr>
          <w:rFonts w:cs="Arial"/>
          <w:sz w:val="22"/>
          <w:lang w:val="es-ES_tradnl"/>
        </w:rPr>
        <w:t xml:space="preserve"> se formalizan de previo al giro de los recursos, </w:t>
      </w:r>
      <w:r w:rsidR="00325635">
        <w:rPr>
          <w:rFonts w:cs="Arial"/>
          <w:sz w:val="22"/>
          <w:lang w:val="es-ES_tradnl"/>
        </w:rPr>
        <w:t>entonces el otorgamiento de un financiamiento adicional por incremento en los costos vendría a constituirse en un segundo bono de vivienda, lo cual este Banco no está autorizado a otorgar, salvo las excepciones que establece la Ley 7052.</w:t>
      </w:r>
    </w:p>
    <w:p w14:paraId="7EB7A078" w14:textId="28E38329" w:rsidR="00325635" w:rsidRDefault="00325635" w:rsidP="009D03FE">
      <w:pPr>
        <w:spacing w:line="360" w:lineRule="auto"/>
        <w:jc w:val="both"/>
        <w:rPr>
          <w:rFonts w:cs="Arial"/>
          <w:sz w:val="22"/>
          <w:lang w:val="es-ES_tradnl"/>
        </w:rPr>
      </w:pPr>
    </w:p>
    <w:p w14:paraId="3B2B7C09" w14:textId="0FDFB5DA" w:rsidR="00B15BA9" w:rsidRDefault="00B15BA9" w:rsidP="009D03FE">
      <w:pPr>
        <w:spacing w:line="360" w:lineRule="auto"/>
        <w:jc w:val="both"/>
        <w:rPr>
          <w:rFonts w:cs="Arial"/>
          <w:sz w:val="22"/>
          <w:szCs w:val="22"/>
          <w:lang w:val="es-ES_tradnl"/>
        </w:rPr>
      </w:pPr>
      <w:r>
        <w:rPr>
          <w:rFonts w:cs="Arial"/>
          <w:sz w:val="22"/>
          <w:lang w:val="es-ES_tradnl"/>
        </w:rPr>
        <w:t>A</w:t>
      </w:r>
      <w:r w:rsidR="00F27E2C">
        <w:rPr>
          <w:rFonts w:cs="Arial"/>
          <w:sz w:val="22"/>
          <w:lang w:val="es-ES_tradnl"/>
        </w:rPr>
        <w:t xml:space="preserve">dicionalmente, el Director Alvarado Herrera se refiere a la falta de coherencia institucional que, en su criterio, se ha evidenciado en los últimos meses, debido a que en diciembre de 2021 se rechazó esta misma solicitud de la empresa desarrolladora, señalando que no se contaba con un procedimiento normado para </w:t>
      </w:r>
      <w:r w:rsidR="00AB5B7D">
        <w:rPr>
          <w:rFonts w:cs="Arial"/>
          <w:sz w:val="22"/>
          <w:lang w:val="es-ES_tradnl"/>
        </w:rPr>
        <w:t xml:space="preserve">otorgar financiamientos adicionales por </w:t>
      </w:r>
      <w:r w:rsidR="00AB5B7D">
        <w:rPr>
          <w:rFonts w:cs="Arial"/>
          <w:sz w:val="22"/>
          <w:lang w:val="es-ES_tradnl"/>
        </w:rPr>
        <w:lastRenderedPageBreak/>
        <w:t>incremento de costos en los proyectos S-002.</w:t>
      </w:r>
      <w:r w:rsidR="00F27E2C">
        <w:rPr>
          <w:rFonts w:cs="Arial"/>
          <w:sz w:val="22"/>
          <w:lang w:val="es-ES_tradnl"/>
        </w:rPr>
        <w:t xml:space="preserve">  Este rechaz</w:t>
      </w:r>
      <w:r w:rsidR="009703E1">
        <w:rPr>
          <w:rFonts w:cs="Arial"/>
          <w:sz w:val="22"/>
          <w:lang w:val="es-ES_tradnl"/>
        </w:rPr>
        <w:t>o</w:t>
      </w:r>
      <w:r w:rsidR="00F27E2C">
        <w:rPr>
          <w:rFonts w:cs="Arial"/>
          <w:sz w:val="22"/>
          <w:lang w:val="es-ES_tradnl"/>
        </w:rPr>
        <w:t xml:space="preserve"> se reiteró en febrero del año en curso bajo los mismos argumentos y</w:t>
      </w:r>
      <w:r w:rsidR="00AB5B7D">
        <w:rPr>
          <w:rFonts w:cs="Arial"/>
          <w:sz w:val="22"/>
          <w:lang w:val="es-ES_tradnl"/>
        </w:rPr>
        <w:t>, sin embargo,</w:t>
      </w:r>
      <w:r w:rsidR="00F27E2C">
        <w:rPr>
          <w:rFonts w:cs="Arial"/>
          <w:sz w:val="22"/>
          <w:lang w:val="es-ES_tradnl"/>
        </w:rPr>
        <w:t xml:space="preserve"> ahora, seis meses después, sin que esta </w:t>
      </w:r>
      <w:r w:rsidR="00F27E2C" w:rsidRPr="00F27E2C">
        <w:rPr>
          <w:rFonts w:cs="Arial"/>
          <w:sz w:val="22"/>
          <w:lang w:val="es-ES_tradnl"/>
        </w:rPr>
        <w:t>Junta Directiva</w:t>
      </w:r>
      <w:r w:rsidR="00F27E2C">
        <w:rPr>
          <w:rFonts w:cs="Arial"/>
          <w:sz w:val="22"/>
          <w:lang w:val="es-ES_tradnl"/>
        </w:rPr>
        <w:t xml:space="preserve"> haya conocido </w:t>
      </w:r>
      <w:r w:rsidR="00AB5B7D">
        <w:rPr>
          <w:rFonts w:cs="Arial"/>
          <w:sz w:val="22"/>
          <w:lang w:val="es-ES_tradnl"/>
        </w:rPr>
        <w:t>el</w:t>
      </w:r>
      <w:r w:rsidR="00F27E2C">
        <w:rPr>
          <w:rFonts w:cs="Arial"/>
          <w:sz w:val="22"/>
          <w:lang w:val="es-ES_tradnl"/>
        </w:rPr>
        <w:t xml:space="preserve"> procedimiento </w:t>
      </w:r>
      <w:r w:rsidR="00AB5B7D">
        <w:rPr>
          <w:rFonts w:cs="Arial"/>
          <w:sz w:val="22"/>
          <w:lang w:val="es-ES_tradnl"/>
        </w:rPr>
        <w:t xml:space="preserve">que mencionó la </w:t>
      </w:r>
      <w:r w:rsidR="00AB5B7D" w:rsidRPr="00AB5B7D">
        <w:rPr>
          <w:rFonts w:cs="Arial"/>
          <w:sz w:val="22"/>
          <w:szCs w:val="22"/>
          <w:lang w:val="es-ES_tradnl"/>
        </w:rPr>
        <w:t>Administración</w:t>
      </w:r>
      <w:r w:rsidR="00AB5B7D">
        <w:rPr>
          <w:rFonts w:cs="Arial"/>
          <w:sz w:val="22"/>
          <w:szCs w:val="22"/>
          <w:lang w:val="es-ES_tradnl"/>
        </w:rPr>
        <w:t xml:space="preserve"> en dos oportunidades, </w:t>
      </w:r>
      <w:r w:rsidR="00F27E2C">
        <w:rPr>
          <w:rFonts w:cs="Arial"/>
          <w:sz w:val="22"/>
          <w:lang w:val="es-ES_tradnl"/>
        </w:rPr>
        <w:t xml:space="preserve">se dice que </w:t>
      </w:r>
      <w:r w:rsidR="00AB5B7D">
        <w:rPr>
          <w:rFonts w:cs="Arial"/>
          <w:sz w:val="22"/>
          <w:lang w:val="es-ES_tradnl"/>
        </w:rPr>
        <w:t>sí es legalmente viable resolver este tipo de solicitudes.  Y a esta evidente falta de coherencia institucional, debe sumarse que en octubre de 2021</w:t>
      </w:r>
      <w:r w:rsidR="006226DC">
        <w:rPr>
          <w:rFonts w:cs="Arial"/>
          <w:sz w:val="22"/>
          <w:lang w:val="es-ES_tradnl"/>
        </w:rPr>
        <w:t xml:space="preserve"> (acuerdo N° 8 de la sesión 79-2021)</w:t>
      </w:r>
      <w:r w:rsidR="00AB5B7D">
        <w:rPr>
          <w:rFonts w:cs="Arial"/>
          <w:sz w:val="22"/>
          <w:lang w:val="es-ES_tradnl"/>
        </w:rPr>
        <w:t xml:space="preserve"> se recomendó a esta </w:t>
      </w:r>
      <w:r w:rsidR="00AB5B7D" w:rsidRPr="00AB5B7D">
        <w:rPr>
          <w:rFonts w:cs="Arial"/>
          <w:sz w:val="22"/>
          <w:lang w:val="es-ES_tradnl"/>
        </w:rPr>
        <w:t>Junta Directiva</w:t>
      </w:r>
      <w:r w:rsidR="00AB5B7D">
        <w:rPr>
          <w:rFonts w:cs="Arial"/>
          <w:sz w:val="22"/>
          <w:lang w:val="es-ES_tradnl"/>
        </w:rPr>
        <w:t xml:space="preserve">, la aprobación de un ajuste, por incremento de costos, a un grupo de casos individuales para familias indígenas, argumentándose en esa oportunidad que se </w:t>
      </w:r>
      <w:r w:rsidR="006226DC">
        <w:rPr>
          <w:rFonts w:cs="Arial"/>
          <w:sz w:val="22"/>
          <w:lang w:val="es-ES_tradnl"/>
        </w:rPr>
        <w:t xml:space="preserve">contaba con </w:t>
      </w:r>
      <w:r w:rsidR="00AB5B7D">
        <w:rPr>
          <w:rFonts w:cs="Arial"/>
          <w:sz w:val="22"/>
          <w:lang w:val="es-ES_tradnl"/>
        </w:rPr>
        <w:t>la</w:t>
      </w:r>
      <w:r w:rsidR="006226DC">
        <w:rPr>
          <w:rFonts w:cs="Arial"/>
          <w:sz w:val="22"/>
          <w:lang w:val="es-ES_tradnl"/>
        </w:rPr>
        <w:t xml:space="preserve"> suficiente normativa legal para aprobar la solicitud.   Por lo anterior, concluye que esta </w:t>
      </w:r>
      <w:r w:rsidR="006226DC" w:rsidRPr="006226DC">
        <w:rPr>
          <w:rFonts w:cs="Arial"/>
          <w:sz w:val="22"/>
          <w:lang w:val="es-ES_tradnl"/>
        </w:rPr>
        <w:t>Junta Directiva</w:t>
      </w:r>
      <w:r w:rsidR="006226DC">
        <w:rPr>
          <w:rFonts w:cs="Arial"/>
          <w:sz w:val="22"/>
          <w:lang w:val="es-ES_tradnl"/>
        </w:rPr>
        <w:t xml:space="preserve"> debe analizar el informe que ahora presenta la </w:t>
      </w:r>
      <w:r w:rsidR="006226DC" w:rsidRPr="006226DC">
        <w:rPr>
          <w:rFonts w:cs="Arial"/>
          <w:sz w:val="22"/>
          <w:szCs w:val="22"/>
          <w:lang w:val="es-ES_tradnl"/>
        </w:rPr>
        <w:t>Administración</w:t>
      </w:r>
      <w:r w:rsidR="006226DC">
        <w:rPr>
          <w:rFonts w:cs="Arial"/>
          <w:sz w:val="22"/>
          <w:szCs w:val="22"/>
          <w:lang w:val="es-ES_tradnl"/>
        </w:rPr>
        <w:t>, tomando en consideración lo actuado por el Banco al respecto.</w:t>
      </w:r>
    </w:p>
    <w:p w14:paraId="3D2F4D24" w14:textId="5AAF32AC" w:rsidR="006226DC" w:rsidRDefault="006226DC" w:rsidP="009D03FE">
      <w:pPr>
        <w:spacing w:line="360" w:lineRule="auto"/>
        <w:jc w:val="both"/>
        <w:rPr>
          <w:rFonts w:cs="Arial"/>
          <w:sz w:val="22"/>
          <w:szCs w:val="22"/>
          <w:lang w:val="es-ES_tradnl"/>
        </w:rPr>
      </w:pPr>
    </w:p>
    <w:p w14:paraId="1F03C90B" w14:textId="77777777" w:rsidR="002219A3" w:rsidRDefault="001231BF" w:rsidP="009D03FE">
      <w:pPr>
        <w:spacing w:line="360" w:lineRule="auto"/>
        <w:jc w:val="both"/>
        <w:rPr>
          <w:rFonts w:cs="Arial"/>
          <w:sz w:val="22"/>
          <w:lang w:val="es-ES_tradnl"/>
        </w:rPr>
      </w:pPr>
      <w:r>
        <w:rPr>
          <w:rFonts w:cs="Arial"/>
          <w:sz w:val="22"/>
          <w:lang w:val="es-ES_tradnl"/>
        </w:rPr>
        <w:t xml:space="preserve">Tanto el señor Gerente General como la licenciada Masís Calderón se refieren a la anterior inquietud, haciendo énfasis en que el dictamen de la Asesoría Legal que ahora se conoce, tal y como se expone en el oficio </w:t>
      </w:r>
      <w:r>
        <w:rPr>
          <w:rFonts w:cs="Arial"/>
          <w:sz w:val="22"/>
          <w:szCs w:val="22"/>
          <w:lang w:val="es-CR"/>
        </w:rPr>
        <w:t xml:space="preserve">AL-OF-062-2022, </w:t>
      </w:r>
      <w:r>
        <w:rPr>
          <w:rFonts w:cs="Arial"/>
          <w:sz w:val="22"/>
          <w:lang w:val="es-ES_tradnl"/>
        </w:rPr>
        <w:t xml:space="preserve">está debidamente fundamentado jurídicamente y </w:t>
      </w:r>
      <w:r w:rsidR="00152B91">
        <w:rPr>
          <w:rFonts w:cs="Arial"/>
          <w:sz w:val="22"/>
          <w:lang w:val="es-ES_tradnl"/>
        </w:rPr>
        <w:t xml:space="preserve">pretende </w:t>
      </w:r>
      <w:r>
        <w:rPr>
          <w:rFonts w:cs="Arial"/>
          <w:sz w:val="22"/>
          <w:lang w:val="es-ES_tradnl"/>
        </w:rPr>
        <w:t>aclarar este asunto de forma definitiva.</w:t>
      </w:r>
    </w:p>
    <w:p w14:paraId="312A889E" w14:textId="77777777" w:rsidR="002219A3" w:rsidRDefault="002219A3" w:rsidP="009D03FE">
      <w:pPr>
        <w:spacing w:line="360" w:lineRule="auto"/>
        <w:jc w:val="both"/>
        <w:rPr>
          <w:rFonts w:cs="Arial"/>
          <w:sz w:val="22"/>
          <w:lang w:val="es-ES_tradnl"/>
        </w:rPr>
      </w:pPr>
    </w:p>
    <w:p w14:paraId="31BA37A0" w14:textId="77777777" w:rsidR="002D36F7" w:rsidRDefault="001231BF" w:rsidP="009D03FE">
      <w:pPr>
        <w:spacing w:line="360" w:lineRule="auto"/>
        <w:jc w:val="both"/>
        <w:rPr>
          <w:rFonts w:cs="Arial"/>
          <w:sz w:val="22"/>
          <w:lang w:val="es-ES_tradnl"/>
        </w:rPr>
      </w:pPr>
      <w:r>
        <w:rPr>
          <w:rFonts w:cs="Arial"/>
          <w:sz w:val="22"/>
          <w:lang w:val="es-ES_tradnl"/>
        </w:rPr>
        <w:t xml:space="preserve">Además, la licenciada Masís Calderón </w:t>
      </w:r>
      <w:r w:rsidR="002219A3">
        <w:rPr>
          <w:rFonts w:cs="Arial"/>
          <w:sz w:val="22"/>
          <w:lang w:val="es-ES_tradnl"/>
        </w:rPr>
        <w:t>se refiere a la anterior inquietud de la Directora Ulibarri Pernús, afirmando</w:t>
      </w:r>
      <w:r w:rsidR="002D36F7">
        <w:rPr>
          <w:rFonts w:cs="Arial"/>
          <w:sz w:val="22"/>
          <w:lang w:val="es-ES_tradnl"/>
        </w:rPr>
        <w:t xml:space="preserve"> (minuto 171:25)</w:t>
      </w:r>
      <w:r w:rsidR="002219A3">
        <w:rPr>
          <w:rFonts w:cs="Arial"/>
          <w:sz w:val="22"/>
          <w:lang w:val="es-ES_tradnl"/>
        </w:rPr>
        <w:t xml:space="preserve">, en resumen, que </w:t>
      </w:r>
      <w:r w:rsidR="002D36F7">
        <w:rPr>
          <w:rFonts w:cs="Arial"/>
          <w:sz w:val="22"/>
          <w:lang w:val="es-ES_tradnl"/>
        </w:rPr>
        <w:t xml:space="preserve">existe normativa legal para sustentar el otorgamiento de financiamientos adicionales por incremento de costos en los proyectos S-002; pero el mecanismo bajo el cual se pueda aplicar en estos caos un eventual aumento en el monto de los </w:t>
      </w:r>
      <w:proofErr w:type="gramStart"/>
      <w:r w:rsidR="002D36F7">
        <w:rPr>
          <w:rFonts w:cs="Arial"/>
          <w:sz w:val="22"/>
          <w:lang w:val="es-ES_tradnl"/>
        </w:rPr>
        <w:t>bonos,</w:t>
      </w:r>
      <w:proofErr w:type="gramEnd"/>
      <w:r w:rsidR="002D36F7">
        <w:rPr>
          <w:rFonts w:cs="Arial"/>
          <w:sz w:val="22"/>
          <w:lang w:val="es-ES_tradnl"/>
        </w:rPr>
        <w:t xml:space="preserve"> debe ser planteado y ejecutado por el área técnica correspondiente.</w:t>
      </w:r>
    </w:p>
    <w:p w14:paraId="7C057ECC" w14:textId="77777777" w:rsidR="002D36F7" w:rsidRDefault="002D36F7" w:rsidP="009D03FE">
      <w:pPr>
        <w:spacing w:line="360" w:lineRule="auto"/>
        <w:jc w:val="both"/>
        <w:rPr>
          <w:rFonts w:cs="Arial"/>
          <w:sz w:val="22"/>
          <w:lang w:val="es-ES_tradnl"/>
        </w:rPr>
      </w:pPr>
    </w:p>
    <w:p w14:paraId="6A137642" w14:textId="0114ACBC" w:rsidR="0073530A" w:rsidRDefault="0073530A" w:rsidP="009D03FE">
      <w:pPr>
        <w:spacing w:line="360" w:lineRule="auto"/>
        <w:jc w:val="both"/>
        <w:rPr>
          <w:rFonts w:cs="Arial"/>
          <w:sz w:val="22"/>
          <w:szCs w:val="22"/>
          <w:lang w:val="es-CR"/>
        </w:rPr>
      </w:pPr>
      <w:r w:rsidRPr="00A25DB7">
        <w:rPr>
          <w:rFonts w:cs="Arial"/>
          <w:sz w:val="22"/>
          <w:u w:val="single"/>
          <w:lang w:val="es-ES_tradnl"/>
        </w:rPr>
        <w:t xml:space="preserve">Minuto </w:t>
      </w:r>
      <w:r w:rsidR="002D36F7">
        <w:rPr>
          <w:rFonts w:cs="Arial"/>
          <w:sz w:val="22"/>
          <w:u w:val="single"/>
          <w:lang w:val="es-ES_tradnl"/>
        </w:rPr>
        <w:t>17</w:t>
      </w:r>
      <w:r w:rsidR="008552A6">
        <w:rPr>
          <w:rFonts w:cs="Arial"/>
          <w:sz w:val="22"/>
          <w:u w:val="single"/>
          <w:lang w:val="es-ES_tradnl"/>
        </w:rPr>
        <w:t>8</w:t>
      </w:r>
      <w:r w:rsidRPr="00A25DB7">
        <w:rPr>
          <w:rFonts w:cs="Arial"/>
          <w:sz w:val="22"/>
          <w:u w:val="single"/>
          <w:lang w:val="es-ES_tradnl"/>
        </w:rPr>
        <w:t>:</w:t>
      </w:r>
      <w:r w:rsidR="008552A6">
        <w:rPr>
          <w:rFonts w:cs="Arial"/>
          <w:sz w:val="22"/>
          <w:u w:val="single"/>
          <w:lang w:val="es-ES_tradnl"/>
        </w:rPr>
        <w:t>00</w:t>
      </w:r>
      <w:r>
        <w:rPr>
          <w:rFonts w:cs="Arial"/>
          <w:sz w:val="22"/>
          <w:lang w:val="es-ES_tradnl"/>
        </w:rPr>
        <w:t xml:space="preserve"> </w:t>
      </w:r>
      <w:r>
        <w:rPr>
          <w:rFonts w:cs="Arial"/>
          <w:sz w:val="22"/>
          <w:szCs w:val="22"/>
          <w:lang w:val="es-CR"/>
        </w:rPr>
        <w:t xml:space="preserve">De conformidad con lo expuesto por la </w:t>
      </w:r>
      <w:r w:rsidRPr="00806C47">
        <w:rPr>
          <w:rFonts w:cs="Arial"/>
          <w:sz w:val="22"/>
          <w:szCs w:val="22"/>
          <w:lang w:val="es-CR"/>
        </w:rPr>
        <w:t>Gerencia General</w:t>
      </w:r>
      <w:r>
        <w:rPr>
          <w:rFonts w:cs="Arial"/>
          <w:sz w:val="22"/>
          <w:szCs w:val="22"/>
          <w:lang w:val="es-CR"/>
        </w:rPr>
        <w:t xml:space="preserve"> y la Asesoría Legal en los oficios GG-OF-1097-2022 y AL-OF-062-2022, respectivamente, la mayoría de los señores Directores concuerda en la pertinencia de actuar conforme lo recomienda la </w:t>
      </w:r>
      <w:r w:rsidRPr="0073530A">
        <w:rPr>
          <w:rFonts w:cs="Arial"/>
          <w:sz w:val="22"/>
          <w:szCs w:val="22"/>
          <w:lang w:val="es-ES_tradnl"/>
        </w:rPr>
        <w:t>Administración</w:t>
      </w:r>
      <w:r>
        <w:rPr>
          <w:rFonts w:cs="Arial"/>
          <w:sz w:val="22"/>
          <w:szCs w:val="22"/>
          <w:lang w:val="es-ES_tradnl"/>
        </w:rPr>
        <w:t xml:space="preserve">, en el sentido de </w:t>
      </w:r>
      <w:r>
        <w:rPr>
          <w:rFonts w:cs="Arial"/>
          <w:sz w:val="22"/>
          <w:szCs w:val="22"/>
          <w:lang w:val="es-CR"/>
        </w:rPr>
        <w:t xml:space="preserve">autorizar a la empresa </w:t>
      </w:r>
      <w:r w:rsidRPr="0046424F">
        <w:rPr>
          <w:rFonts w:cs="Arial"/>
          <w:sz w:val="22"/>
          <w:szCs w:val="22"/>
          <w:lang w:val="es-CR"/>
        </w:rPr>
        <w:t>Construcciones Modulares de Costa Rica S.A.</w:t>
      </w:r>
      <w:r>
        <w:rPr>
          <w:rFonts w:cs="Arial"/>
          <w:sz w:val="22"/>
          <w:szCs w:val="22"/>
          <w:lang w:val="es-CR"/>
        </w:rPr>
        <w:t>,</w:t>
      </w:r>
      <w:r w:rsidRPr="0046424F">
        <w:rPr>
          <w:rFonts w:cs="Arial"/>
          <w:sz w:val="22"/>
          <w:szCs w:val="22"/>
          <w:lang w:val="es-CR"/>
        </w:rPr>
        <w:t xml:space="preserve"> </w:t>
      </w:r>
      <w:r>
        <w:rPr>
          <w:rFonts w:cs="Arial"/>
          <w:sz w:val="22"/>
          <w:szCs w:val="22"/>
          <w:lang w:val="es-CR"/>
        </w:rPr>
        <w:t xml:space="preserve">para que, a través de Grupo Mutual Alajuela – La Vivienda </w:t>
      </w:r>
      <w:r w:rsidRPr="00806C47">
        <w:rPr>
          <w:rFonts w:cs="Arial"/>
          <w:sz w:val="22"/>
          <w:szCs w:val="22"/>
          <w:lang w:val="es-ES_tradnl"/>
        </w:rPr>
        <w:t>de Ahorro y Préstamo</w:t>
      </w:r>
      <w:r>
        <w:rPr>
          <w:rFonts w:cs="Arial"/>
          <w:sz w:val="22"/>
          <w:szCs w:val="22"/>
          <w:lang w:val="es-ES_tradnl"/>
        </w:rPr>
        <w:t xml:space="preserve">, </w:t>
      </w:r>
      <w:r w:rsidRPr="0046424F">
        <w:rPr>
          <w:rFonts w:cs="Arial"/>
          <w:sz w:val="22"/>
          <w:szCs w:val="22"/>
          <w:lang w:val="es-CR"/>
        </w:rPr>
        <w:t>presente una solicitud de financiamiento adicional por</w:t>
      </w:r>
      <w:r>
        <w:rPr>
          <w:rFonts w:cs="Arial"/>
          <w:sz w:val="22"/>
          <w:szCs w:val="22"/>
          <w:lang w:val="es-CR"/>
        </w:rPr>
        <w:t xml:space="preserve"> </w:t>
      </w:r>
      <w:r w:rsidRPr="0046424F">
        <w:rPr>
          <w:rFonts w:cs="Arial"/>
          <w:sz w:val="22"/>
          <w:szCs w:val="22"/>
          <w:lang w:val="es-CR"/>
        </w:rPr>
        <w:t>incrementos en los costos d</w:t>
      </w:r>
      <w:r>
        <w:rPr>
          <w:rFonts w:cs="Arial"/>
          <w:sz w:val="22"/>
          <w:szCs w:val="22"/>
          <w:lang w:val="es-CR"/>
        </w:rPr>
        <w:t>e</w:t>
      </w:r>
      <w:r w:rsidRPr="0046424F">
        <w:rPr>
          <w:rFonts w:cs="Arial"/>
          <w:sz w:val="22"/>
          <w:szCs w:val="22"/>
          <w:lang w:val="es-CR"/>
        </w:rPr>
        <w:t xml:space="preserve"> los insumos en </w:t>
      </w:r>
      <w:r>
        <w:rPr>
          <w:rFonts w:cs="Arial"/>
          <w:sz w:val="22"/>
          <w:szCs w:val="22"/>
          <w:lang w:val="es-CR"/>
        </w:rPr>
        <w:t>el</w:t>
      </w:r>
      <w:r w:rsidRPr="0046424F">
        <w:rPr>
          <w:rFonts w:cs="Arial"/>
          <w:sz w:val="22"/>
          <w:szCs w:val="22"/>
          <w:lang w:val="es-CR"/>
        </w:rPr>
        <w:t xml:space="preserve"> proyecto Santa Luisa II, </w:t>
      </w:r>
      <w:r>
        <w:rPr>
          <w:rFonts w:cs="Arial"/>
          <w:sz w:val="22"/>
          <w:szCs w:val="22"/>
          <w:lang w:val="es-CR"/>
        </w:rPr>
        <w:t xml:space="preserve">con el fin de </w:t>
      </w:r>
      <w:r w:rsidRPr="0046424F">
        <w:rPr>
          <w:rFonts w:cs="Arial"/>
          <w:sz w:val="22"/>
          <w:szCs w:val="22"/>
          <w:lang w:val="es-CR"/>
        </w:rPr>
        <w:t>garantizar el equilibrio econ</w:t>
      </w:r>
      <w:r>
        <w:rPr>
          <w:rFonts w:cs="Arial"/>
          <w:sz w:val="22"/>
          <w:szCs w:val="22"/>
          <w:lang w:val="es-CR"/>
        </w:rPr>
        <w:t>ó</w:t>
      </w:r>
      <w:r w:rsidRPr="0046424F">
        <w:rPr>
          <w:rFonts w:cs="Arial"/>
          <w:sz w:val="22"/>
          <w:szCs w:val="22"/>
          <w:lang w:val="es-CR"/>
        </w:rPr>
        <w:t>mico del contrato</w:t>
      </w:r>
      <w:r>
        <w:rPr>
          <w:rFonts w:cs="Arial"/>
          <w:sz w:val="22"/>
          <w:szCs w:val="22"/>
          <w:lang w:val="es-CR"/>
        </w:rPr>
        <w:t xml:space="preserve">, dado que </w:t>
      </w:r>
      <w:r w:rsidRPr="0046424F">
        <w:rPr>
          <w:rFonts w:cs="Arial"/>
          <w:sz w:val="22"/>
          <w:szCs w:val="22"/>
          <w:lang w:val="es-CR"/>
        </w:rPr>
        <w:t xml:space="preserve">en los </w:t>
      </w:r>
      <w:r>
        <w:rPr>
          <w:rFonts w:cs="Arial"/>
          <w:sz w:val="22"/>
          <w:szCs w:val="22"/>
          <w:lang w:val="es-CR"/>
        </w:rPr>
        <w:t>ú</w:t>
      </w:r>
      <w:r w:rsidRPr="0046424F">
        <w:rPr>
          <w:rFonts w:cs="Arial"/>
          <w:sz w:val="22"/>
          <w:szCs w:val="22"/>
          <w:lang w:val="es-CR"/>
        </w:rPr>
        <w:t>ltimos meses se han</w:t>
      </w:r>
      <w:r>
        <w:rPr>
          <w:rFonts w:cs="Arial"/>
          <w:sz w:val="22"/>
          <w:szCs w:val="22"/>
          <w:lang w:val="es-CR"/>
        </w:rPr>
        <w:t xml:space="preserve"> </w:t>
      </w:r>
      <w:r w:rsidRPr="0046424F">
        <w:rPr>
          <w:rFonts w:cs="Arial"/>
          <w:sz w:val="22"/>
          <w:szCs w:val="22"/>
          <w:lang w:val="es-CR"/>
        </w:rPr>
        <w:t xml:space="preserve">venido presentando circunstancias muy excepcionales relacionadas </w:t>
      </w:r>
      <w:r>
        <w:rPr>
          <w:rFonts w:cs="Arial"/>
          <w:sz w:val="22"/>
          <w:szCs w:val="22"/>
          <w:lang w:val="es-CR"/>
        </w:rPr>
        <w:t xml:space="preserve">con </w:t>
      </w:r>
      <w:r w:rsidRPr="0046424F">
        <w:rPr>
          <w:rFonts w:cs="Arial"/>
          <w:sz w:val="22"/>
          <w:szCs w:val="22"/>
          <w:lang w:val="es-CR"/>
        </w:rPr>
        <w:t xml:space="preserve">incrementos </w:t>
      </w:r>
      <w:r>
        <w:rPr>
          <w:rFonts w:cs="Arial"/>
          <w:sz w:val="22"/>
          <w:szCs w:val="22"/>
          <w:lang w:val="es-CR"/>
        </w:rPr>
        <w:t>e</w:t>
      </w:r>
      <w:r w:rsidRPr="0046424F">
        <w:rPr>
          <w:rFonts w:cs="Arial"/>
          <w:sz w:val="22"/>
          <w:szCs w:val="22"/>
          <w:lang w:val="es-CR"/>
        </w:rPr>
        <w:t>n los</w:t>
      </w:r>
      <w:r>
        <w:rPr>
          <w:rFonts w:cs="Arial"/>
          <w:sz w:val="22"/>
          <w:szCs w:val="22"/>
          <w:lang w:val="es-CR"/>
        </w:rPr>
        <w:t xml:space="preserve"> </w:t>
      </w:r>
      <w:r w:rsidRPr="0046424F">
        <w:rPr>
          <w:rFonts w:cs="Arial"/>
          <w:sz w:val="22"/>
          <w:szCs w:val="22"/>
          <w:lang w:val="es-CR"/>
        </w:rPr>
        <w:t xml:space="preserve">costos de </w:t>
      </w:r>
      <w:r>
        <w:rPr>
          <w:rFonts w:cs="Arial"/>
          <w:sz w:val="22"/>
          <w:szCs w:val="22"/>
          <w:lang w:val="es-CR"/>
        </w:rPr>
        <w:t>l</w:t>
      </w:r>
      <w:r w:rsidRPr="0046424F">
        <w:rPr>
          <w:rFonts w:cs="Arial"/>
          <w:sz w:val="22"/>
          <w:szCs w:val="22"/>
          <w:lang w:val="es-CR"/>
        </w:rPr>
        <w:t>a construcci</w:t>
      </w:r>
      <w:r>
        <w:rPr>
          <w:rFonts w:cs="Arial"/>
          <w:sz w:val="22"/>
          <w:szCs w:val="22"/>
          <w:lang w:val="es-CR"/>
        </w:rPr>
        <w:t>ó</w:t>
      </w:r>
      <w:r w:rsidRPr="0046424F">
        <w:rPr>
          <w:rFonts w:cs="Arial"/>
          <w:sz w:val="22"/>
          <w:szCs w:val="22"/>
          <w:lang w:val="es-CR"/>
        </w:rPr>
        <w:t xml:space="preserve">n y que el desarrollador no hubiera podido prever en </w:t>
      </w:r>
      <w:r>
        <w:rPr>
          <w:rFonts w:cs="Arial"/>
          <w:sz w:val="22"/>
          <w:szCs w:val="22"/>
          <w:lang w:val="es-CR"/>
        </w:rPr>
        <w:t>l</w:t>
      </w:r>
      <w:r w:rsidRPr="0046424F">
        <w:rPr>
          <w:rFonts w:cs="Arial"/>
          <w:sz w:val="22"/>
          <w:szCs w:val="22"/>
          <w:lang w:val="es-CR"/>
        </w:rPr>
        <w:t>a presenta</w:t>
      </w:r>
      <w:r>
        <w:rPr>
          <w:rFonts w:cs="Arial"/>
          <w:sz w:val="22"/>
          <w:szCs w:val="22"/>
          <w:lang w:val="es-CR"/>
        </w:rPr>
        <w:t>ción de l</w:t>
      </w:r>
      <w:r w:rsidRPr="0046424F">
        <w:rPr>
          <w:rFonts w:cs="Arial"/>
          <w:sz w:val="22"/>
          <w:szCs w:val="22"/>
          <w:lang w:val="es-CR"/>
        </w:rPr>
        <w:t>a propuesta del proyecto</w:t>
      </w:r>
      <w:r w:rsidR="00353CFE">
        <w:rPr>
          <w:rFonts w:cs="Arial"/>
          <w:sz w:val="22"/>
          <w:szCs w:val="22"/>
          <w:lang w:val="es-CR"/>
        </w:rPr>
        <w:t>.</w:t>
      </w:r>
    </w:p>
    <w:p w14:paraId="27EB9C56" w14:textId="14D952AE" w:rsidR="00353CFE" w:rsidRDefault="00353CFE" w:rsidP="009D03FE">
      <w:pPr>
        <w:spacing w:line="360" w:lineRule="auto"/>
        <w:jc w:val="both"/>
        <w:rPr>
          <w:rFonts w:cs="Arial"/>
          <w:sz w:val="22"/>
          <w:szCs w:val="22"/>
          <w:lang w:val="es-CR"/>
        </w:rPr>
      </w:pPr>
    </w:p>
    <w:p w14:paraId="7045A2F7" w14:textId="6F53F633" w:rsidR="00353CFE" w:rsidRDefault="00353CFE" w:rsidP="009D03FE">
      <w:pPr>
        <w:spacing w:line="360" w:lineRule="auto"/>
        <w:jc w:val="both"/>
        <w:rPr>
          <w:rFonts w:cs="Arial"/>
          <w:sz w:val="22"/>
          <w:szCs w:val="22"/>
          <w:lang w:val="es-CR"/>
        </w:rPr>
      </w:pPr>
      <w:r>
        <w:rPr>
          <w:rFonts w:cs="Arial"/>
          <w:sz w:val="22"/>
          <w:szCs w:val="22"/>
          <w:lang w:val="es-CR"/>
        </w:rPr>
        <w:t>Se apartan de este criterio el Director Alvarado Herrera</w:t>
      </w:r>
      <w:r w:rsidR="00DF3717">
        <w:rPr>
          <w:rFonts w:cs="Arial"/>
          <w:sz w:val="22"/>
          <w:szCs w:val="22"/>
          <w:lang w:val="es-CR"/>
        </w:rPr>
        <w:t xml:space="preserve">, el Director Presidente </w:t>
      </w:r>
      <w:r>
        <w:rPr>
          <w:rFonts w:cs="Arial"/>
          <w:sz w:val="22"/>
          <w:szCs w:val="22"/>
          <w:lang w:val="es-CR"/>
        </w:rPr>
        <w:t xml:space="preserve">y la Directora Ulibarri Pernús, </w:t>
      </w:r>
      <w:r w:rsidR="00DF3717">
        <w:rPr>
          <w:rFonts w:cs="Arial"/>
          <w:sz w:val="22"/>
          <w:szCs w:val="22"/>
          <w:lang w:val="es-CR"/>
        </w:rPr>
        <w:t>quienes argumentan, en resumen, lo siguiente:</w:t>
      </w:r>
    </w:p>
    <w:p w14:paraId="03190009" w14:textId="09D67D89" w:rsidR="00DF3717" w:rsidRPr="00DF3717" w:rsidRDefault="00DF3717" w:rsidP="00DF3717">
      <w:pPr>
        <w:spacing w:line="360" w:lineRule="auto"/>
        <w:jc w:val="both"/>
        <w:rPr>
          <w:rFonts w:cs="Arial"/>
          <w:sz w:val="22"/>
          <w:szCs w:val="22"/>
        </w:rPr>
      </w:pPr>
      <w:r w:rsidRPr="00DF3717">
        <w:rPr>
          <w:rFonts w:cs="Arial"/>
          <w:sz w:val="22"/>
          <w:szCs w:val="22"/>
          <w:lang w:val="es-CR"/>
        </w:rPr>
        <w:t>-</w:t>
      </w:r>
      <w:r>
        <w:rPr>
          <w:rFonts w:cs="Arial"/>
          <w:sz w:val="22"/>
          <w:szCs w:val="22"/>
        </w:rPr>
        <w:t xml:space="preserve"> </w:t>
      </w:r>
      <w:r w:rsidRPr="00DF3717">
        <w:rPr>
          <w:rFonts w:cs="Arial"/>
          <w:sz w:val="22"/>
          <w:szCs w:val="22"/>
        </w:rPr>
        <w:t xml:space="preserve">El Director Alvarado Herrera </w:t>
      </w:r>
      <w:r w:rsidR="00B15BA9">
        <w:rPr>
          <w:rFonts w:cs="Arial"/>
          <w:sz w:val="22"/>
          <w:szCs w:val="22"/>
        </w:rPr>
        <w:t xml:space="preserve">sostiene que </w:t>
      </w:r>
      <w:r w:rsidR="008552A6">
        <w:rPr>
          <w:rFonts w:cs="Arial"/>
          <w:sz w:val="22"/>
          <w:szCs w:val="22"/>
        </w:rPr>
        <w:t xml:space="preserve">aunque está claro en que debe buscarse el equilibrio </w:t>
      </w:r>
      <w:r w:rsidR="00A32AC1">
        <w:rPr>
          <w:rFonts w:cs="Arial"/>
          <w:sz w:val="22"/>
          <w:szCs w:val="22"/>
        </w:rPr>
        <w:t xml:space="preserve">presupuestario </w:t>
      </w:r>
      <w:r w:rsidR="008552A6">
        <w:rPr>
          <w:rFonts w:cs="Arial"/>
          <w:sz w:val="22"/>
          <w:szCs w:val="22"/>
        </w:rPr>
        <w:t xml:space="preserve">de los proyectos de vivienda y </w:t>
      </w:r>
      <w:r w:rsidR="00A32AC1">
        <w:rPr>
          <w:rFonts w:cs="Arial"/>
          <w:sz w:val="22"/>
          <w:szCs w:val="22"/>
        </w:rPr>
        <w:t xml:space="preserve">los </w:t>
      </w:r>
      <w:r w:rsidR="008552A6">
        <w:rPr>
          <w:rFonts w:cs="Arial"/>
          <w:sz w:val="22"/>
          <w:szCs w:val="22"/>
        </w:rPr>
        <w:t>casos individuales</w:t>
      </w:r>
      <w:r w:rsidR="00A32AC1">
        <w:rPr>
          <w:rFonts w:cs="Arial"/>
          <w:sz w:val="22"/>
          <w:szCs w:val="22"/>
        </w:rPr>
        <w:t xml:space="preserve"> en territorios indígenas</w:t>
      </w:r>
      <w:r w:rsidR="008552A6">
        <w:rPr>
          <w:rFonts w:cs="Arial"/>
          <w:sz w:val="22"/>
          <w:szCs w:val="22"/>
        </w:rPr>
        <w:t xml:space="preserve">, </w:t>
      </w:r>
      <w:r w:rsidR="00E66AB2">
        <w:rPr>
          <w:rFonts w:cs="Arial"/>
          <w:sz w:val="22"/>
          <w:szCs w:val="22"/>
        </w:rPr>
        <w:t xml:space="preserve">y reconociendo la excepcionalidad del </w:t>
      </w:r>
      <w:r w:rsidR="008552A6">
        <w:rPr>
          <w:rFonts w:cs="Arial"/>
          <w:sz w:val="22"/>
          <w:szCs w:val="22"/>
        </w:rPr>
        <w:t xml:space="preserve">incremento de los costos de los insumos de la construcción, se aparta de la recomendación porque tanto en diciembre de 2021 como en febrero de 2022 se afirmó que el Banco solo tiene reglamentación para incrementar el financiamiento, por aumento de costos, de los proyectos S-001, y al día de hoy no se ha presentado a esta </w:t>
      </w:r>
      <w:r w:rsidR="008552A6" w:rsidRPr="008552A6">
        <w:rPr>
          <w:rFonts w:cs="Arial"/>
          <w:sz w:val="22"/>
          <w:szCs w:val="22"/>
          <w:lang w:val="es-ES_tradnl"/>
        </w:rPr>
        <w:t>Junta Directiva</w:t>
      </w:r>
      <w:r w:rsidR="008552A6">
        <w:rPr>
          <w:rFonts w:cs="Arial"/>
          <w:sz w:val="22"/>
          <w:szCs w:val="22"/>
          <w:lang w:val="es-ES_tradnl"/>
        </w:rPr>
        <w:t xml:space="preserve"> </w:t>
      </w:r>
      <w:r w:rsidR="008552A6">
        <w:rPr>
          <w:rFonts w:cs="Arial"/>
          <w:sz w:val="22"/>
          <w:szCs w:val="22"/>
        </w:rPr>
        <w:t xml:space="preserve">una propuesta de normativa para los proyectos S-002 ni los casos indígenas, y aunque ahora se diga que se dispone de un reglamento que </w:t>
      </w:r>
      <w:r w:rsidR="0021434E">
        <w:rPr>
          <w:rFonts w:cs="Arial"/>
          <w:sz w:val="22"/>
          <w:szCs w:val="22"/>
        </w:rPr>
        <w:t xml:space="preserve">aparentemente </w:t>
      </w:r>
      <w:r w:rsidR="008552A6">
        <w:rPr>
          <w:rFonts w:cs="Arial"/>
          <w:sz w:val="22"/>
          <w:szCs w:val="22"/>
        </w:rPr>
        <w:t xml:space="preserve">aplica para </w:t>
      </w:r>
      <w:r w:rsidR="0021434E">
        <w:rPr>
          <w:rFonts w:cs="Arial"/>
          <w:sz w:val="22"/>
          <w:szCs w:val="22"/>
        </w:rPr>
        <w:t xml:space="preserve">todo </w:t>
      </w:r>
      <w:r w:rsidR="008552A6">
        <w:rPr>
          <w:rFonts w:cs="Arial"/>
          <w:sz w:val="22"/>
          <w:szCs w:val="22"/>
        </w:rPr>
        <w:t xml:space="preserve">tipo de </w:t>
      </w:r>
      <w:r w:rsidR="0021434E">
        <w:rPr>
          <w:rFonts w:cs="Arial"/>
          <w:sz w:val="22"/>
          <w:szCs w:val="22"/>
        </w:rPr>
        <w:t>proyectos</w:t>
      </w:r>
      <w:r w:rsidR="008552A6">
        <w:rPr>
          <w:rFonts w:cs="Arial"/>
          <w:sz w:val="22"/>
          <w:szCs w:val="22"/>
        </w:rPr>
        <w:t xml:space="preserve">, </w:t>
      </w:r>
      <w:r w:rsidR="0021434E">
        <w:rPr>
          <w:rFonts w:cs="Arial"/>
          <w:sz w:val="22"/>
          <w:szCs w:val="22"/>
        </w:rPr>
        <w:t xml:space="preserve">lo cierto es que </w:t>
      </w:r>
      <w:r w:rsidR="008552A6">
        <w:rPr>
          <w:rFonts w:cs="Arial"/>
          <w:sz w:val="22"/>
          <w:szCs w:val="22"/>
        </w:rPr>
        <w:t xml:space="preserve">no hay un procedimiento </w:t>
      </w:r>
      <w:r w:rsidR="0021434E">
        <w:rPr>
          <w:rFonts w:cs="Arial"/>
          <w:sz w:val="22"/>
          <w:szCs w:val="22"/>
        </w:rPr>
        <w:t>técnico y legalmente sustentado que permita resolver los casos de proyectos S-002 ni los individuales en territorios indígenas.  Además, se aparta del criterio presentado, porque se ha mencionado que los casos formalizados no son objeto de incremento de costos y tiene la duda razonable sobre la legalidad de este aspecto.</w:t>
      </w:r>
    </w:p>
    <w:p w14:paraId="10C1AAB9" w14:textId="77777777" w:rsidR="00EA21D1" w:rsidRDefault="0021434E" w:rsidP="009D03FE">
      <w:pPr>
        <w:spacing w:line="360" w:lineRule="auto"/>
        <w:jc w:val="both"/>
        <w:rPr>
          <w:rFonts w:cs="Arial"/>
          <w:sz w:val="22"/>
          <w:lang w:val="es-ES_tradnl"/>
        </w:rPr>
      </w:pPr>
      <w:r>
        <w:rPr>
          <w:rFonts w:cs="Arial"/>
          <w:sz w:val="22"/>
          <w:szCs w:val="22"/>
        </w:rPr>
        <w:t xml:space="preserve">- El Director Presidente manifiesta que le persiste la duda </w:t>
      </w:r>
      <w:r w:rsidR="00EA21D1">
        <w:rPr>
          <w:rFonts w:cs="Arial"/>
          <w:sz w:val="22"/>
          <w:szCs w:val="22"/>
        </w:rPr>
        <w:t xml:space="preserve">en cuanto a la pertinencia legal de que a los casos formalizados se les pueda </w:t>
      </w:r>
      <w:r w:rsidR="00EA21D1">
        <w:rPr>
          <w:rFonts w:cs="Arial"/>
          <w:sz w:val="22"/>
          <w:lang w:val="es-ES_tradnl"/>
        </w:rPr>
        <w:t>otorgar un financiamiento adicional por incremento en los costos, sin que esto se constituya en un segundo bono de vivienda.</w:t>
      </w:r>
    </w:p>
    <w:p w14:paraId="6052DA9A" w14:textId="04AEE027" w:rsidR="00BF0EE7" w:rsidRDefault="00EA21D1" w:rsidP="009D03FE">
      <w:pPr>
        <w:spacing w:line="360" w:lineRule="auto"/>
        <w:jc w:val="both"/>
        <w:rPr>
          <w:rFonts w:cs="Arial"/>
          <w:sz w:val="22"/>
          <w:lang w:val="es-ES_tradnl"/>
        </w:rPr>
      </w:pPr>
      <w:r>
        <w:rPr>
          <w:rFonts w:cs="Arial"/>
          <w:sz w:val="22"/>
          <w:lang w:val="es-ES_tradnl"/>
        </w:rPr>
        <w:t xml:space="preserve">- La Directora Ulibarri Pernús </w:t>
      </w:r>
      <w:r w:rsidR="00AC2749">
        <w:rPr>
          <w:rFonts w:cs="Arial"/>
          <w:sz w:val="22"/>
          <w:lang w:val="es-ES_tradnl"/>
        </w:rPr>
        <w:t xml:space="preserve">justifica su voto en contra, reiterando su duda con respecto a la posibilidad </w:t>
      </w:r>
      <w:r w:rsidR="00BF0EE7">
        <w:rPr>
          <w:rFonts w:cs="Arial"/>
          <w:sz w:val="22"/>
          <w:lang w:val="es-ES_tradnl"/>
        </w:rPr>
        <w:t xml:space="preserve">legal de otorgar financiamiento adicional a casos ya formalizados, y además propone que se solicite el criterio de la </w:t>
      </w:r>
      <w:r w:rsidR="00BF0EE7" w:rsidRPr="00BF0EE7">
        <w:rPr>
          <w:rFonts w:cs="Arial"/>
          <w:sz w:val="22"/>
          <w:lang w:val="es-ES_tradnl"/>
        </w:rPr>
        <w:t>Procuraduría General de la República</w:t>
      </w:r>
      <w:r w:rsidR="00BF0EE7">
        <w:rPr>
          <w:rFonts w:cs="Arial"/>
          <w:sz w:val="22"/>
          <w:lang w:val="es-ES_tradnl"/>
        </w:rPr>
        <w:t xml:space="preserve">, con el fin de aclarar </w:t>
      </w:r>
      <w:r w:rsidR="00F24236">
        <w:rPr>
          <w:rFonts w:cs="Arial"/>
          <w:sz w:val="22"/>
          <w:lang w:val="es-ES_tradnl"/>
        </w:rPr>
        <w:t xml:space="preserve">la legalidad de otorgar </w:t>
      </w:r>
      <w:r w:rsidR="00BF0EE7">
        <w:rPr>
          <w:rFonts w:cs="Arial"/>
          <w:sz w:val="22"/>
          <w:lang w:val="es-ES_tradnl"/>
        </w:rPr>
        <w:t>financiamiento adicional</w:t>
      </w:r>
      <w:r w:rsidR="00F24236">
        <w:rPr>
          <w:rFonts w:cs="Arial"/>
          <w:sz w:val="22"/>
          <w:lang w:val="es-ES_tradnl"/>
        </w:rPr>
        <w:t xml:space="preserve"> por incremento de costos, </w:t>
      </w:r>
      <w:r w:rsidR="00BF0EE7">
        <w:rPr>
          <w:rFonts w:cs="Arial"/>
          <w:sz w:val="22"/>
          <w:lang w:val="es-ES_tradnl"/>
        </w:rPr>
        <w:t xml:space="preserve">a </w:t>
      </w:r>
      <w:r w:rsidR="00F24236">
        <w:rPr>
          <w:rFonts w:cs="Arial"/>
          <w:sz w:val="22"/>
          <w:lang w:val="es-ES_tradnl"/>
        </w:rPr>
        <w:t xml:space="preserve">los </w:t>
      </w:r>
      <w:r w:rsidR="00BF0EE7">
        <w:rPr>
          <w:rFonts w:cs="Arial"/>
          <w:sz w:val="22"/>
          <w:lang w:val="es-ES_tradnl"/>
        </w:rPr>
        <w:t xml:space="preserve">casos individuales </w:t>
      </w:r>
      <w:r w:rsidR="00F24236">
        <w:rPr>
          <w:rFonts w:cs="Arial"/>
          <w:sz w:val="22"/>
          <w:lang w:val="es-ES_tradnl"/>
        </w:rPr>
        <w:t xml:space="preserve">del artículo 59 que se encuentran </w:t>
      </w:r>
      <w:r w:rsidR="00BF0EE7">
        <w:rPr>
          <w:rFonts w:cs="Arial"/>
          <w:sz w:val="22"/>
          <w:lang w:val="es-ES_tradnl"/>
        </w:rPr>
        <w:t>formalizados</w:t>
      </w:r>
      <w:r w:rsidR="00F24236">
        <w:rPr>
          <w:rFonts w:cs="Arial"/>
          <w:sz w:val="22"/>
          <w:lang w:val="es-ES_tradnl"/>
        </w:rPr>
        <w:t xml:space="preserve">, </w:t>
      </w:r>
      <w:r w:rsidR="00BF0EE7">
        <w:rPr>
          <w:rFonts w:cs="Arial"/>
          <w:sz w:val="22"/>
          <w:lang w:val="es-ES_tradnl"/>
        </w:rPr>
        <w:t>incluyendo</w:t>
      </w:r>
      <w:r w:rsidR="00F24236">
        <w:rPr>
          <w:rFonts w:cs="Arial"/>
          <w:sz w:val="22"/>
          <w:lang w:val="es-ES_tradnl"/>
        </w:rPr>
        <w:t xml:space="preserve"> naturalmente </w:t>
      </w:r>
      <w:r w:rsidR="00BF0EE7">
        <w:rPr>
          <w:rFonts w:cs="Arial"/>
          <w:sz w:val="22"/>
          <w:lang w:val="es-ES_tradnl"/>
        </w:rPr>
        <w:t xml:space="preserve">los </w:t>
      </w:r>
      <w:r w:rsidR="00F24236">
        <w:rPr>
          <w:rFonts w:cs="Arial"/>
          <w:sz w:val="22"/>
          <w:lang w:val="es-ES_tradnl"/>
        </w:rPr>
        <w:t xml:space="preserve">casos de los </w:t>
      </w:r>
      <w:r w:rsidR="00BF0EE7">
        <w:rPr>
          <w:rFonts w:cs="Arial"/>
          <w:sz w:val="22"/>
          <w:lang w:val="es-ES_tradnl"/>
        </w:rPr>
        <w:t>proyectos tramitados al amparo de la modalidad S-002</w:t>
      </w:r>
      <w:r w:rsidR="00F24236">
        <w:rPr>
          <w:rFonts w:cs="Arial"/>
          <w:sz w:val="22"/>
          <w:lang w:val="es-ES_tradnl"/>
        </w:rPr>
        <w:t>.</w:t>
      </w:r>
    </w:p>
    <w:p w14:paraId="5FAEF670" w14:textId="563117D4" w:rsidR="0021434E" w:rsidRDefault="0021434E" w:rsidP="009D03FE">
      <w:pPr>
        <w:spacing w:line="360" w:lineRule="auto"/>
        <w:jc w:val="both"/>
        <w:rPr>
          <w:rFonts w:cs="Arial"/>
          <w:sz w:val="22"/>
          <w:lang w:val="es-ES_tradnl"/>
        </w:rPr>
      </w:pPr>
    </w:p>
    <w:p w14:paraId="68F8BED7" w14:textId="240FA6E6" w:rsidR="004F0770" w:rsidRDefault="00BF0EE7" w:rsidP="00BF0EE7">
      <w:pPr>
        <w:spacing w:line="360" w:lineRule="auto"/>
        <w:jc w:val="both"/>
        <w:rPr>
          <w:rFonts w:cs="Arial"/>
          <w:sz w:val="22"/>
        </w:rPr>
      </w:pPr>
      <w:r>
        <w:rPr>
          <w:rFonts w:cs="Arial"/>
          <w:sz w:val="22"/>
          <w:u w:val="single"/>
          <w:lang w:val="es-ES_tradnl"/>
        </w:rPr>
        <w:t>Minuto 188</w:t>
      </w:r>
      <w:r w:rsidRPr="0039311E">
        <w:rPr>
          <w:rFonts w:cs="Arial"/>
          <w:sz w:val="22"/>
          <w:u w:val="single"/>
          <w:lang w:val="es-ES_tradnl"/>
        </w:rPr>
        <w:t>:</w:t>
      </w:r>
      <w:r>
        <w:rPr>
          <w:rFonts w:cs="Arial"/>
          <w:sz w:val="22"/>
          <w:u w:val="single"/>
          <w:lang w:val="es-ES_tradnl"/>
        </w:rPr>
        <w:t>1</w:t>
      </w:r>
      <w:r w:rsidR="00F24236">
        <w:rPr>
          <w:rFonts w:cs="Arial"/>
          <w:sz w:val="22"/>
          <w:u w:val="single"/>
          <w:lang w:val="es-ES_tradnl"/>
        </w:rPr>
        <w:t>1</w:t>
      </w:r>
      <w:r>
        <w:rPr>
          <w:rFonts w:cs="Arial"/>
          <w:sz w:val="22"/>
          <w:lang w:val="es-ES_tradnl"/>
        </w:rPr>
        <w:t xml:space="preserve"> Se procede a discutir la anterior propuesta de la Directora Ulibarri Pernús, </w:t>
      </w:r>
      <w:r w:rsidR="00F24236">
        <w:rPr>
          <w:rFonts w:cs="Arial"/>
          <w:sz w:val="22"/>
          <w:lang w:val="es-ES_tradnl"/>
        </w:rPr>
        <w:t xml:space="preserve">la cual es acogida por la mayoría de los señores Directores, pero se apartan los Directores Carazo </w:t>
      </w:r>
      <w:r w:rsidR="004F0770">
        <w:rPr>
          <w:rFonts w:cs="Arial"/>
          <w:sz w:val="22"/>
          <w:lang w:val="es-ES_tradnl"/>
        </w:rPr>
        <w:t xml:space="preserve">Campos, </w:t>
      </w:r>
      <w:r w:rsidR="00F24236">
        <w:rPr>
          <w:rFonts w:cs="Arial"/>
          <w:sz w:val="22"/>
        </w:rPr>
        <w:t>Barrantes Castegnaro</w:t>
      </w:r>
      <w:r w:rsidR="004F0770">
        <w:rPr>
          <w:rFonts w:cs="Arial"/>
          <w:sz w:val="22"/>
        </w:rPr>
        <w:t xml:space="preserve"> y</w:t>
      </w:r>
      <w:r w:rsidR="00F24236">
        <w:rPr>
          <w:rFonts w:cs="Arial"/>
          <w:sz w:val="22"/>
        </w:rPr>
        <w:t xml:space="preserve"> Grillo Espinoza</w:t>
      </w:r>
      <w:r w:rsidR="004F0770">
        <w:rPr>
          <w:rFonts w:cs="Arial"/>
          <w:sz w:val="22"/>
        </w:rPr>
        <w:t xml:space="preserve">, quienes argumentan, en resumen, que debe agotarse primero la vía administrativa interna para resolver este tipo de inquietudes y, consecuentemente, preferirían que antes de acudir a la </w:t>
      </w:r>
      <w:r w:rsidR="004F0770" w:rsidRPr="004F0770">
        <w:rPr>
          <w:rFonts w:cs="Arial"/>
          <w:sz w:val="22"/>
          <w:lang w:val="es-ES_tradnl"/>
        </w:rPr>
        <w:t>Procuraduría General de la República</w:t>
      </w:r>
      <w:r w:rsidR="004F0770">
        <w:rPr>
          <w:rFonts w:cs="Arial"/>
          <w:sz w:val="22"/>
          <w:lang w:val="es-ES_tradnl"/>
        </w:rPr>
        <w:t>, se solicite un criterio legal de una instancia institucional.</w:t>
      </w:r>
    </w:p>
    <w:p w14:paraId="7AE58033" w14:textId="11662060" w:rsidR="009D03FE" w:rsidRDefault="009D03FE" w:rsidP="009D03FE">
      <w:pPr>
        <w:spacing w:line="360" w:lineRule="auto"/>
        <w:jc w:val="both"/>
        <w:rPr>
          <w:rFonts w:cs="Arial"/>
          <w:sz w:val="22"/>
          <w:lang w:val="es-ES_tradnl"/>
        </w:rPr>
      </w:pPr>
    </w:p>
    <w:p w14:paraId="15F4BCF3" w14:textId="791D112D" w:rsidR="001F3811" w:rsidRDefault="001F3811" w:rsidP="009D03FE">
      <w:pPr>
        <w:spacing w:line="360" w:lineRule="auto"/>
        <w:jc w:val="both"/>
        <w:rPr>
          <w:rFonts w:cs="Arial"/>
          <w:sz w:val="22"/>
          <w:lang w:val="es-ES_tradnl"/>
        </w:rPr>
      </w:pPr>
      <w:r>
        <w:rPr>
          <w:rFonts w:cs="Arial"/>
          <w:sz w:val="22"/>
          <w:lang w:val="es-ES_tradnl"/>
        </w:rPr>
        <w:lastRenderedPageBreak/>
        <w:t xml:space="preserve">Lo anterior, según se consigna en los </w:t>
      </w:r>
      <w:r w:rsidRPr="001F3811">
        <w:rPr>
          <w:rFonts w:cs="Arial"/>
          <w:b/>
          <w:bCs/>
          <w:sz w:val="22"/>
          <w:lang w:val="es-ES_tradnl"/>
        </w:rPr>
        <w:t xml:space="preserve">acuerdos N° 5 </w:t>
      </w:r>
      <w:r w:rsidRPr="001F3811">
        <w:rPr>
          <w:rFonts w:cs="Arial"/>
          <w:sz w:val="22"/>
          <w:lang w:val="es-ES_tradnl"/>
        </w:rPr>
        <w:t xml:space="preserve">y </w:t>
      </w:r>
      <w:r w:rsidRPr="001F3811">
        <w:rPr>
          <w:rFonts w:cs="Arial"/>
          <w:b/>
          <w:bCs/>
          <w:sz w:val="22"/>
          <w:lang w:val="es-ES_tradnl"/>
        </w:rPr>
        <w:t>N° 6</w:t>
      </w:r>
      <w:r>
        <w:rPr>
          <w:rFonts w:cs="Arial"/>
          <w:sz w:val="22"/>
          <w:lang w:val="es-ES_tradnl"/>
        </w:rPr>
        <w:t xml:space="preserve"> que se anexan a esta minuta.</w:t>
      </w:r>
      <w:r w:rsidR="001104CC">
        <w:rPr>
          <w:rFonts w:cs="Arial"/>
          <w:sz w:val="22"/>
          <w:lang w:val="es-ES_tradnl"/>
        </w:rPr>
        <w:t xml:space="preserve">  Acto seguido, se retiran de la sesión los funcionarios Castro Miranda y Salas Rodríguez.</w:t>
      </w:r>
    </w:p>
    <w:p w14:paraId="6CF48B3C" w14:textId="6A5E18CC" w:rsidR="009D03FE" w:rsidRPr="00D14EAF" w:rsidRDefault="009D03FE" w:rsidP="009D03FE">
      <w:pPr>
        <w:spacing w:line="360" w:lineRule="auto"/>
        <w:jc w:val="both"/>
        <w:rPr>
          <w:rFonts w:cs="Arial"/>
          <w:b/>
          <w:sz w:val="22"/>
        </w:rPr>
      </w:pPr>
      <w:r w:rsidRPr="00D14EAF">
        <w:rPr>
          <w:rFonts w:cs="Arial"/>
          <w:b/>
          <w:sz w:val="22"/>
        </w:rPr>
        <w:t>************</w:t>
      </w:r>
    </w:p>
    <w:p w14:paraId="7C8E653E" w14:textId="77777777" w:rsidR="009D03FE" w:rsidRDefault="009D03FE" w:rsidP="009D03FE">
      <w:pPr>
        <w:spacing w:line="360" w:lineRule="auto"/>
        <w:jc w:val="both"/>
        <w:rPr>
          <w:rFonts w:cs="Arial"/>
          <w:b/>
          <w:bCs/>
          <w:sz w:val="22"/>
          <w:szCs w:val="22"/>
          <w:u w:val="single"/>
          <w:lang w:val="es-ES_tradnl"/>
        </w:rPr>
      </w:pPr>
    </w:p>
    <w:p w14:paraId="7DCF03D1" w14:textId="5720BD0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4311FD" w:rsidRPr="004311FD">
        <w:rPr>
          <w:rFonts w:cs="Arial"/>
          <w:b/>
          <w:bCs/>
          <w:sz w:val="22"/>
          <w:u w:val="single"/>
          <w:lang w:val="es-ES_tradnl"/>
        </w:rPr>
        <w:t>Análisis y discusión de oficio de la Fundación Costa Rica – Canadá, solicitando que se retire el llamado de atención por los atrasos en la formalización de un caso del proyecto Cartagena, y pidiendo que se autorice el pago de los honorarios y la comisión del último caso formalizado</w:t>
      </w:r>
    </w:p>
    <w:p w14:paraId="09D2525B" w14:textId="77777777" w:rsidR="009D03FE" w:rsidRDefault="009D03FE" w:rsidP="009D03FE">
      <w:pPr>
        <w:spacing w:line="360" w:lineRule="auto"/>
        <w:jc w:val="both"/>
        <w:rPr>
          <w:rFonts w:cs="Arial"/>
          <w:sz w:val="22"/>
          <w:szCs w:val="22"/>
        </w:rPr>
      </w:pPr>
    </w:p>
    <w:p w14:paraId="09A387E3" w14:textId="30664C76" w:rsidR="004F41BB" w:rsidRDefault="009D03FE" w:rsidP="004F41BB">
      <w:pPr>
        <w:spacing w:line="360" w:lineRule="auto"/>
        <w:jc w:val="both"/>
        <w:rPr>
          <w:rFonts w:cs="Arial"/>
          <w:sz w:val="22"/>
          <w:szCs w:val="22"/>
        </w:rPr>
      </w:pPr>
      <w:r w:rsidRPr="0039311E">
        <w:rPr>
          <w:rFonts w:cs="Arial"/>
          <w:sz w:val="22"/>
          <w:u w:val="single"/>
          <w:lang w:val="es-ES_tradnl"/>
        </w:rPr>
        <w:t xml:space="preserve">Minuto </w:t>
      </w:r>
      <w:r w:rsidR="001F3811">
        <w:rPr>
          <w:rFonts w:cs="Arial"/>
          <w:sz w:val="22"/>
          <w:u w:val="single"/>
          <w:lang w:val="es-ES_tradnl"/>
        </w:rPr>
        <w:t>195</w:t>
      </w:r>
      <w:r w:rsidRPr="0039311E">
        <w:rPr>
          <w:rFonts w:cs="Arial"/>
          <w:sz w:val="22"/>
          <w:u w:val="single"/>
          <w:lang w:val="es-ES_tradnl"/>
        </w:rPr>
        <w:t>:</w:t>
      </w:r>
      <w:r w:rsidR="001F3811">
        <w:rPr>
          <w:rFonts w:cs="Arial"/>
          <w:sz w:val="22"/>
          <w:u w:val="single"/>
          <w:lang w:val="es-ES_tradnl"/>
        </w:rPr>
        <w:t>21</w:t>
      </w:r>
      <w:r>
        <w:rPr>
          <w:rFonts w:cs="Arial"/>
          <w:sz w:val="22"/>
          <w:lang w:val="es-ES_tradnl"/>
        </w:rPr>
        <w:t xml:space="preserve"> Se </w:t>
      </w:r>
      <w:r w:rsidR="00A72383">
        <w:rPr>
          <w:rFonts w:cs="Arial"/>
          <w:sz w:val="22"/>
          <w:lang w:val="es-ES_tradnl"/>
        </w:rPr>
        <w:t xml:space="preserve">retira temporalmente de la sesión el Director Carazo Campos y se procede a conocer </w:t>
      </w:r>
      <w:r>
        <w:rPr>
          <w:rFonts w:cs="Arial"/>
          <w:sz w:val="22"/>
          <w:lang w:val="es-ES_tradnl"/>
        </w:rPr>
        <w:t xml:space="preserve">el oficio </w:t>
      </w:r>
      <w:r w:rsidR="00B32E84">
        <w:rPr>
          <w:rFonts w:cs="Arial"/>
          <w:sz w:val="22"/>
          <w:lang w:val="es-ES_tradnl"/>
        </w:rPr>
        <w:t xml:space="preserve">FVR-GG-137-2022 del 26 de agosto de 2022, mediante el cual, </w:t>
      </w:r>
      <w:r w:rsidR="004F41BB">
        <w:rPr>
          <w:rFonts w:cs="Arial"/>
          <w:sz w:val="22"/>
          <w:szCs w:val="22"/>
        </w:rPr>
        <w:t>el señor Juan José Umaña Vargas, en su condición de representante legal de la Fundación para la Vivienda Rural Costa Rica – Canadá (en adelante Fundación), se refiere a los alcances de los acuerdos N° 3 de la sesión 38-2022, del 01 de agosto de 2022, y</w:t>
      </w:r>
      <w:r w:rsidR="004F41BB" w:rsidRPr="004F41BB">
        <w:rPr>
          <w:rFonts w:cs="Arial"/>
          <w:sz w:val="22"/>
          <w:szCs w:val="22"/>
        </w:rPr>
        <w:t xml:space="preserve"> </w:t>
      </w:r>
      <w:r w:rsidR="004F41BB">
        <w:rPr>
          <w:rFonts w:cs="Arial"/>
          <w:sz w:val="22"/>
          <w:szCs w:val="22"/>
        </w:rPr>
        <w:t xml:space="preserve">N° 1 de la sesión 41-2022, del 18 de agosto de 2022, y con fundamento en los hechos y argumentos que detalla en dicho escrito, solicita a esta </w:t>
      </w:r>
      <w:r w:rsidR="004F41BB" w:rsidRPr="00A76F38">
        <w:rPr>
          <w:rFonts w:cs="Arial"/>
          <w:sz w:val="22"/>
          <w:szCs w:val="22"/>
          <w:lang w:val="es-ES_tradnl"/>
        </w:rPr>
        <w:t>Junta Directiva</w:t>
      </w:r>
      <w:r w:rsidR="004F41BB">
        <w:rPr>
          <w:rFonts w:cs="Arial"/>
          <w:sz w:val="22"/>
          <w:szCs w:val="22"/>
          <w:lang w:val="es-ES_tradnl"/>
        </w:rPr>
        <w:t>, en lo conducente, lo siguiente:</w:t>
      </w:r>
    </w:p>
    <w:p w14:paraId="61A0CC61" w14:textId="77777777" w:rsidR="004F41BB" w:rsidRDefault="004F41BB" w:rsidP="004F41BB">
      <w:pPr>
        <w:ind w:left="142" w:right="193"/>
        <w:jc w:val="both"/>
        <w:rPr>
          <w:rFonts w:cs="Arial"/>
          <w:sz w:val="22"/>
          <w:szCs w:val="22"/>
        </w:rPr>
      </w:pPr>
    </w:p>
    <w:p w14:paraId="70CD98ED" w14:textId="77777777" w:rsidR="004F41BB" w:rsidRPr="00423EC2" w:rsidRDefault="004F41BB" w:rsidP="004F41BB">
      <w:pPr>
        <w:ind w:left="142" w:right="193"/>
        <w:jc w:val="both"/>
        <w:rPr>
          <w:rFonts w:cs="Arial"/>
          <w:sz w:val="22"/>
          <w:szCs w:val="22"/>
          <w:lang w:val="es-CR"/>
        </w:rPr>
      </w:pPr>
      <w:r>
        <w:rPr>
          <w:rFonts w:cs="Arial"/>
          <w:sz w:val="22"/>
          <w:szCs w:val="22"/>
          <w:lang w:val="es-CR"/>
        </w:rPr>
        <w:t>“…</w:t>
      </w:r>
      <w:r w:rsidRPr="00423EC2">
        <w:rPr>
          <w:rFonts w:cs="Arial"/>
          <w:sz w:val="22"/>
          <w:szCs w:val="22"/>
          <w:lang w:val="es-CR"/>
        </w:rPr>
        <w:t xml:space="preserve">Basados en lo expuesto, con todo respeto se solicita a </w:t>
      </w:r>
      <w:r>
        <w:rPr>
          <w:rFonts w:cs="Arial"/>
          <w:sz w:val="22"/>
          <w:szCs w:val="22"/>
          <w:lang w:val="es-CR"/>
        </w:rPr>
        <w:t>l</w:t>
      </w:r>
      <w:r w:rsidRPr="00423EC2">
        <w:rPr>
          <w:rFonts w:cs="Arial"/>
          <w:sz w:val="22"/>
          <w:szCs w:val="22"/>
          <w:lang w:val="es-CR"/>
        </w:rPr>
        <w:t>a Junta Directiva del BANHVI lo</w:t>
      </w:r>
      <w:r>
        <w:rPr>
          <w:rFonts w:cs="Arial"/>
          <w:sz w:val="22"/>
          <w:szCs w:val="22"/>
          <w:lang w:val="es-CR"/>
        </w:rPr>
        <w:t xml:space="preserve"> siguiente:</w:t>
      </w:r>
    </w:p>
    <w:p w14:paraId="1A70A753" w14:textId="77777777" w:rsidR="004F41BB" w:rsidRPr="00423EC2" w:rsidRDefault="004F41BB" w:rsidP="004F41BB">
      <w:pPr>
        <w:ind w:left="142" w:right="193"/>
        <w:jc w:val="both"/>
        <w:rPr>
          <w:rFonts w:cs="Arial"/>
          <w:sz w:val="22"/>
          <w:szCs w:val="22"/>
          <w:lang w:val="es-CR"/>
        </w:rPr>
      </w:pPr>
      <w:r w:rsidRPr="00423EC2">
        <w:rPr>
          <w:rFonts w:cs="Arial"/>
          <w:sz w:val="22"/>
          <w:szCs w:val="22"/>
          <w:lang w:val="es-CR"/>
        </w:rPr>
        <w:t xml:space="preserve">a) Se retire </w:t>
      </w:r>
      <w:r>
        <w:rPr>
          <w:rFonts w:cs="Arial"/>
          <w:sz w:val="22"/>
          <w:szCs w:val="22"/>
          <w:lang w:val="es-CR"/>
        </w:rPr>
        <w:t>l</w:t>
      </w:r>
      <w:r w:rsidRPr="00423EC2">
        <w:rPr>
          <w:rFonts w:cs="Arial"/>
          <w:sz w:val="22"/>
          <w:szCs w:val="22"/>
          <w:lang w:val="es-CR"/>
        </w:rPr>
        <w:t xml:space="preserve">a </w:t>
      </w:r>
      <w:r>
        <w:rPr>
          <w:rFonts w:cs="Arial"/>
          <w:sz w:val="22"/>
          <w:szCs w:val="22"/>
          <w:lang w:val="es-CR"/>
        </w:rPr>
        <w:t>ll</w:t>
      </w:r>
      <w:r w:rsidRPr="00423EC2">
        <w:rPr>
          <w:rFonts w:cs="Arial"/>
          <w:sz w:val="22"/>
          <w:szCs w:val="22"/>
          <w:lang w:val="es-CR"/>
        </w:rPr>
        <w:t>amada de atenci</w:t>
      </w:r>
      <w:r>
        <w:rPr>
          <w:rFonts w:cs="Arial"/>
          <w:sz w:val="22"/>
          <w:szCs w:val="22"/>
          <w:lang w:val="es-CR"/>
        </w:rPr>
        <w:t>ó</w:t>
      </w:r>
      <w:r w:rsidRPr="00423EC2">
        <w:rPr>
          <w:rFonts w:cs="Arial"/>
          <w:sz w:val="22"/>
          <w:szCs w:val="22"/>
          <w:lang w:val="es-CR"/>
        </w:rPr>
        <w:t xml:space="preserve">n girada a </w:t>
      </w:r>
      <w:r>
        <w:rPr>
          <w:rFonts w:cs="Arial"/>
          <w:sz w:val="22"/>
          <w:szCs w:val="22"/>
          <w:lang w:val="es-CR"/>
        </w:rPr>
        <w:t>l</w:t>
      </w:r>
      <w:r w:rsidRPr="00423EC2">
        <w:rPr>
          <w:rFonts w:cs="Arial"/>
          <w:sz w:val="22"/>
          <w:szCs w:val="22"/>
          <w:lang w:val="es-CR"/>
        </w:rPr>
        <w:t>a Fundaci</w:t>
      </w:r>
      <w:r>
        <w:rPr>
          <w:rFonts w:cs="Arial"/>
          <w:sz w:val="22"/>
          <w:szCs w:val="22"/>
          <w:lang w:val="es-CR"/>
        </w:rPr>
        <w:t>ó</w:t>
      </w:r>
      <w:r w:rsidRPr="00423EC2">
        <w:rPr>
          <w:rFonts w:cs="Arial"/>
          <w:sz w:val="22"/>
          <w:szCs w:val="22"/>
          <w:lang w:val="es-CR"/>
        </w:rPr>
        <w:t>n ya que hemos podido</w:t>
      </w:r>
      <w:r>
        <w:rPr>
          <w:rFonts w:cs="Arial"/>
          <w:sz w:val="22"/>
          <w:szCs w:val="22"/>
          <w:lang w:val="es-CR"/>
        </w:rPr>
        <w:t xml:space="preserve"> </w:t>
      </w:r>
      <w:r w:rsidRPr="00423EC2">
        <w:rPr>
          <w:rFonts w:cs="Arial"/>
          <w:sz w:val="22"/>
          <w:szCs w:val="22"/>
          <w:lang w:val="es-CR"/>
        </w:rPr>
        <w:t xml:space="preserve">demostrar que las razones que han motivado </w:t>
      </w:r>
      <w:r>
        <w:rPr>
          <w:rFonts w:cs="Arial"/>
          <w:sz w:val="22"/>
          <w:szCs w:val="22"/>
          <w:lang w:val="es-CR"/>
        </w:rPr>
        <w:t>l</w:t>
      </w:r>
      <w:r w:rsidRPr="00423EC2">
        <w:rPr>
          <w:rFonts w:cs="Arial"/>
          <w:sz w:val="22"/>
          <w:szCs w:val="22"/>
          <w:lang w:val="es-CR"/>
        </w:rPr>
        <w:t>a misma resultan improcedentes, al</w:t>
      </w:r>
      <w:r>
        <w:rPr>
          <w:rFonts w:cs="Arial"/>
          <w:sz w:val="22"/>
          <w:szCs w:val="22"/>
          <w:lang w:val="es-CR"/>
        </w:rPr>
        <w:t xml:space="preserve"> </w:t>
      </w:r>
      <w:r w:rsidRPr="00423EC2">
        <w:rPr>
          <w:rFonts w:cs="Arial"/>
          <w:sz w:val="22"/>
          <w:szCs w:val="22"/>
          <w:lang w:val="es-CR"/>
        </w:rPr>
        <w:t xml:space="preserve">haberse acreditado que el atraso en </w:t>
      </w:r>
      <w:r>
        <w:rPr>
          <w:rFonts w:cs="Arial"/>
          <w:sz w:val="22"/>
          <w:szCs w:val="22"/>
          <w:lang w:val="es-CR"/>
        </w:rPr>
        <w:t>l</w:t>
      </w:r>
      <w:r w:rsidRPr="00423EC2">
        <w:rPr>
          <w:rFonts w:cs="Arial"/>
          <w:sz w:val="22"/>
          <w:szCs w:val="22"/>
          <w:lang w:val="es-CR"/>
        </w:rPr>
        <w:t>a formalizaci</w:t>
      </w:r>
      <w:r>
        <w:rPr>
          <w:rFonts w:cs="Arial"/>
          <w:sz w:val="22"/>
          <w:szCs w:val="22"/>
          <w:lang w:val="es-CR"/>
        </w:rPr>
        <w:t>ó</w:t>
      </w:r>
      <w:r w:rsidRPr="00423EC2">
        <w:rPr>
          <w:rFonts w:cs="Arial"/>
          <w:sz w:val="22"/>
          <w:szCs w:val="22"/>
          <w:lang w:val="es-CR"/>
        </w:rPr>
        <w:t xml:space="preserve">n del </w:t>
      </w:r>
      <w:r>
        <w:rPr>
          <w:rFonts w:cs="Arial"/>
          <w:sz w:val="22"/>
          <w:szCs w:val="22"/>
          <w:lang w:val="es-CR"/>
        </w:rPr>
        <w:t>ú</w:t>
      </w:r>
      <w:r w:rsidRPr="00423EC2">
        <w:rPr>
          <w:rFonts w:cs="Arial"/>
          <w:sz w:val="22"/>
          <w:szCs w:val="22"/>
          <w:lang w:val="es-CR"/>
        </w:rPr>
        <w:t>ltimo caso del proyecto</w:t>
      </w:r>
      <w:r>
        <w:rPr>
          <w:rFonts w:cs="Arial"/>
          <w:sz w:val="22"/>
          <w:szCs w:val="22"/>
          <w:lang w:val="es-CR"/>
        </w:rPr>
        <w:t xml:space="preserve"> </w:t>
      </w:r>
      <w:r w:rsidRPr="00423EC2">
        <w:rPr>
          <w:rFonts w:cs="Arial"/>
          <w:sz w:val="22"/>
          <w:szCs w:val="22"/>
          <w:lang w:val="es-CR"/>
        </w:rPr>
        <w:t xml:space="preserve">Cartagena fue responsabilidad de terceros, diferentes a </w:t>
      </w:r>
      <w:r>
        <w:rPr>
          <w:rFonts w:cs="Arial"/>
          <w:sz w:val="22"/>
          <w:szCs w:val="22"/>
          <w:lang w:val="es-CR"/>
        </w:rPr>
        <w:t>l</w:t>
      </w:r>
      <w:r w:rsidRPr="00423EC2">
        <w:rPr>
          <w:rFonts w:cs="Arial"/>
          <w:sz w:val="22"/>
          <w:szCs w:val="22"/>
          <w:lang w:val="es-CR"/>
        </w:rPr>
        <w:t>a Fundaci</w:t>
      </w:r>
      <w:r>
        <w:rPr>
          <w:rFonts w:cs="Arial"/>
          <w:sz w:val="22"/>
          <w:szCs w:val="22"/>
          <w:lang w:val="es-CR"/>
        </w:rPr>
        <w:t>ó</w:t>
      </w:r>
      <w:r w:rsidRPr="00423EC2">
        <w:rPr>
          <w:rFonts w:cs="Arial"/>
          <w:sz w:val="22"/>
          <w:szCs w:val="22"/>
          <w:lang w:val="es-CR"/>
        </w:rPr>
        <w:t>n (banco</w:t>
      </w:r>
      <w:r>
        <w:rPr>
          <w:rFonts w:cs="Arial"/>
          <w:sz w:val="22"/>
          <w:szCs w:val="22"/>
          <w:lang w:val="es-CR"/>
        </w:rPr>
        <w:t xml:space="preserve"> </w:t>
      </w:r>
      <w:r w:rsidRPr="00423EC2">
        <w:rPr>
          <w:rFonts w:cs="Arial"/>
          <w:sz w:val="22"/>
          <w:szCs w:val="22"/>
          <w:lang w:val="es-CR"/>
        </w:rPr>
        <w:t xml:space="preserve">fiduciario y desarrolladora) y que, pese a ella, </w:t>
      </w:r>
      <w:r>
        <w:rPr>
          <w:rFonts w:cs="Arial"/>
          <w:sz w:val="22"/>
          <w:szCs w:val="22"/>
          <w:lang w:val="es-CR"/>
        </w:rPr>
        <w:t>l</w:t>
      </w:r>
      <w:r w:rsidRPr="00423EC2">
        <w:rPr>
          <w:rFonts w:cs="Arial"/>
          <w:sz w:val="22"/>
          <w:szCs w:val="22"/>
          <w:lang w:val="es-CR"/>
        </w:rPr>
        <w:t>a Fundaci</w:t>
      </w:r>
      <w:r>
        <w:rPr>
          <w:rFonts w:cs="Arial"/>
          <w:sz w:val="22"/>
          <w:szCs w:val="22"/>
          <w:lang w:val="es-CR"/>
        </w:rPr>
        <w:t>ó</w:t>
      </w:r>
      <w:r w:rsidRPr="00423EC2">
        <w:rPr>
          <w:rFonts w:cs="Arial"/>
          <w:sz w:val="22"/>
          <w:szCs w:val="22"/>
          <w:lang w:val="es-CR"/>
        </w:rPr>
        <w:t>n ha mediado o</w:t>
      </w:r>
      <w:r>
        <w:rPr>
          <w:rFonts w:cs="Arial"/>
          <w:sz w:val="22"/>
          <w:szCs w:val="22"/>
          <w:lang w:val="es-CR"/>
        </w:rPr>
        <w:t xml:space="preserve"> </w:t>
      </w:r>
      <w:r w:rsidRPr="00423EC2">
        <w:rPr>
          <w:rFonts w:cs="Arial"/>
          <w:sz w:val="22"/>
          <w:szCs w:val="22"/>
          <w:lang w:val="es-CR"/>
        </w:rPr>
        <w:t>intercedido para solucionar el diferendo presentado, motivados en el inter</w:t>
      </w:r>
      <w:r>
        <w:rPr>
          <w:rFonts w:cs="Arial"/>
          <w:sz w:val="22"/>
          <w:szCs w:val="22"/>
          <w:lang w:val="es-CR"/>
        </w:rPr>
        <w:t>é</w:t>
      </w:r>
      <w:r w:rsidRPr="00423EC2">
        <w:rPr>
          <w:rFonts w:cs="Arial"/>
          <w:sz w:val="22"/>
          <w:szCs w:val="22"/>
          <w:lang w:val="es-CR"/>
        </w:rPr>
        <w:t>s</w:t>
      </w:r>
      <w:r>
        <w:rPr>
          <w:rFonts w:cs="Arial"/>
          <w:sz w:val="22"/>
          <w:szCs w:val="22"/>
          <w:lang w:val="es-CR"/>
        </w:rPr>
        <w:t xml:space="preserve"> </w:t>
      </w:r>
      <w:r w:rsidRPr="00423EC2">
        <w:rPr>
          <w:rFonts w:cs="Arial"/>
          <w:sz w:val="22"/>
          <w:szCs w:val="22"/>
          <w:lang w:val="es-CR"/>
        </w:rPr>
        <w:t xml:space="preserve">superior y derechos que asisten a </w:t>
      </w:r>
      <w:r>
        <w:rPr>
          <w:rFonts w:cs="Arial"/>
          <w:sz w:val="22"/>
          <w:szCs w:val="22"/>
          <w:lang w:val="es-CR"/>
        </w:rPr>
        <w:t>l</w:t>
      </w:r>
      <w:r w:rsidRPr="00423EC2">
        <w:rPr>
          <w:rFonts w:cs="Arial"/>
          <w:sz w:val="22"/>
          <w:szCs w:val="22"/>
          <w:lang w:val="es-CR"/>
        </w:rPr>
        <w:t>a familia beneficiada.</w:t>
      </w:r>
    </w:p>
    <w:p w14:paraId="6ECFCBEE" w14:textId="77777777" w:rsidR="004F41BB" w:rsidRPr="00423EC2" w:rsidRDefault="004F41BB" w:rsidP="004F41BB">
      <w:pPr>
        <w:ind w:left="142" w:right="193"/>
        <w:jc w:val="both"/>
        <w:rPr>
          <w:rFonts w:cs="Arial"/>
          <w:sz w:val="22"/>
          <w:szCs w:val="22"/>
          <w:lang w:val="es-CR"/>
        </w:rPr>
      </w:pPr>
      <w:r w:rsidRPr="00423EC2">
        <w:rPr>
          <w:rFonts w:cs="Arial"/>
          <w:sz w:val="22"/>
          <w:szCs w:val="22"/>
          <w:lang w:val="es-CR"/>
        </w:rPr>
        <w:t xml:space="preserve">b) Se autorice </w:t>
      </w:r>
      <w:r>
        <w:rPr>
          <w:rFonts w:cs="Arial"/>
          <w:sz w:val="22"/>
          <w:szCs w:val="22"/>
          <w:lang w:val="es-CR"/>
        </w:rPr>
        <w:t>l</w:t>
      </w:r>
      <w:r w:rsidRPr="00423EC2">
        <w:rPr>
          <w:rFonts w:cs="Arial"/>
          <w:sz w:val="22"/>
          <w:szCs w:val="22"/>
          <w:lang w:val="es-CR"/>
        </w:rPr>
        <w:t>a pr</w:t>
      </w:r>
      <w:r>
        <w:rPr>
          <w:rFonts w:cs="Arial"/>
          <w:sz w:val="22"/>
          <w:szCs w:val="22"/>
          <w:lang w:val="es-CR"/>
        </w:rPr>
        <w:t>ó</w:t>
      </w:r>
      <w:r w:rsidRPr="00423EC2">
        <w:rPr>
          <w:rFonts w:cs="Arial"/>
          <w:sz w:val="22"/>
          <w:szCs w:val="22"/>
          <w:lang w:val="es-CR"/>
        </w:rPr>
        <w:t xml:space="preserve">rroga solicitada por </w:t>
      </w:r>
      <w:r>
        <w:rPr>
          <w:rFonts w:cs="Arial"/>
          <w:sz w:val="22"/>
          <w:szCs w:val="22"/>
          <w:lang w:val="es-CR"/>
        </w:rPr>
        <w:t>l</w:t>
      </w:r>
      <w:r w:rsidRPr="00423EC2">
        <w:rPr>
          <w:rFonts w:cs="Arial"/>
          <w:sz w:val="22"/>
          <w:szCs w:val="22"/>
          <w:lang w:val="es-CR"/>
        </w:rPr>
        <w:t>a Fundaci</w:t>
      </w:r>
      <w:r>
        <w:rPr>
          <w:rFonts w:cs="Arial"/>
          <w:sz w:val="22"/>
          <w:szCs w:val="22"/>
          <w:lang w:val="es-CR"/>
        </w:rPr>
        <w:t>ó</w:t>
      </w:r>
      <w:r w:rsidRPr="00423EC2">
        <w:rPr>
          <w:rFonts w:cs="Arial"/>
          <w:sz w:val="22"/>
          <w:szCs w:val="22"/>
          <w:lang w:val="es-CR"/>
        </w:rPr>
        <w:t>n, misma que ya cuenta con</w:t>
      </w:r>
      <w:r>
        <w:rPr>
          <w:rFonts w:cs="Arial"/>
          <w:sz w:val="22"/>
          <w:szCs w:val="22"/>
          <w:lang w:val="es-CR"/>
        </w:rPr>
        <w:t xml:space="preserve"> </w:t>
      </w:r>
      <w:r w:rsidRPr="00423EC2">
        <w:rPr>
          <w:rFonts w:cs="Arial"/>
          <w:sz w:val="22"/>
          <w:szCs w:val="22"/>
          <w:lang w:val="es-CR"/>
        </w:rPr>
        <w:t xml:space="preserve">dictamen positivo de </w:t>
      </w:r>
      <w:r>
        <w:rPr>
          <w:rFonts w:cs="Arial"/>
          <w:sz w:val="22"/>
          <w:szCs w:val="22"/>
          <w:lang w:val="es-CR"/>
        </w:rPr>
        <w:t>l</w:t>
      </w:r>
      <w:r w:rsidRPr="00423EC2">
        <w:rPr>
          <w:rFonts w:cs="Arial"/>
          <w:sz w:val="22"/>
          <w:szCs w:val="22"/>
          <w:lang w:val="es-CR"/>
        </w:rPr>
        <w:t>a Direcci</w:t>
      </w:r>
      <w:r>
        <w:rPr>
          <w:rFonts w:cs="Arial"/>
          <w:sz w:val="22"/>
          <w:szCs w:val="22"/>
          <w:lang w:val="es-CR"/>
        </w:rPr>
        <w:t>ó</w:t>
      </w:r>
      <w:r w:rsidRPr="00423EC2">
        <w:rPr>
          <w:rFonts w:cs="Arial"/>
          <w:sz w:val="22"/>
          <w:szCs w:val="22"/>
          <w:lang w:val="es-CR"/>
        </w:rPr>
        <w:t>n FOSUVI, seg</w:t>
      </w:r>
      <w:r>
        <w:rPr>
          <w:rFonts w:cs="Arial"/>
          <w:sz w:val="22"/>
          <w:szCs w:val="22"/>
          <w:lang w:val="es-CR"/>
        </w:rPr>
        <w:t>ú</w:t>
      </w:r>
      <w:r w:rsidRPr="00423EC2">
        <w:rPr>
          <w:rFonts w:cs="Arial"/>
          <w:sz w:val="22"/>
          <w:szCs w:val="22"/>
          <w:lang w:val="es-CR"/>
        </w:rPr>
        <w:t xml:space="preserve">n lo expuso ya </w:t>
      </w:r>
      <w:r>
        <w:rPr>
          <w:rFonts w:cs="Arial"/>
          <w:sz w:val="22"/>
          <w:szCs w:val="22"/>
          <w:lang w:val="es-CR"/>
        </w:rPr>
        <w:t>l</w:t>
      </w:r>
      <w:r w:rsidRPr="00423EC2">
        <w:rPr>
          <w:rFonts w:cs="Arial"/>
          <w:sz w:val="22"/>
          <w:szCs w:val="22"/>
          <w:lang w:val="es-CR"/>
        </w:rPr>
        <w:t>a se</w:t>
      </w:r>
      <w:r>
        <w:rPr>
          <w:rFonts w:cs="Arial"/>
          <w:sz w:val="22"/>
          <w:szCs w:val="22"/>
          <w:lang w:val="es-CR"/>
        </w:rPr>
        <w:t>ñ</w:t>
      </w:r>
      <w:r w:rsidRPr="00423EC2">
        <w:rPr>
          <w:rFonts w:cs="Arial"/>
          <w:sz w:val="22"/>
          <w:szCs w:val="22"/>
          <w:lang w:val="es-CR"/>
        </w:rPr>
        <w:t>ora Directora</w:t>
      </w:r>
      <w:r>
        <w:rPr>
          <w:rFonts w:cs="Arial"/>
          <w:sz w:val="22"/>
          <w:szCs w:val="22"/>
          <w:lang w:val="es-CR"/>
        </w:rPr>
        <w:t xml:space="preserve"> </w:t>
      </w:r>
      <w:r w:rsidRPr="00423EC2">
        <w:rPr>
          <w:rFonts w:cs="Arial"/>
          <w:sz w:val="22"/>
          <w:szCs w:val="22"/>
          <w:lang w:val="es-CR"/>
        </w:rPr>
        <w:t xml:space="preserve">del FOSUVI en </w:t>
      </w:r>
      <w:r>
        <w:rPr>
          <w:rFonts w:cs="Arial"/>
          <w:sz w:val="22"/>
          <w:szCs w:val="22"/>
          <w:lang w:val="es-CR"/>
        </w:rPr>
        <w:t>l</w:t>
      </w:r>
      <w:r w:rsidRPr="00423EC2">
        <w:rPr>
          <w:rFonts w:cs="Arial"/>
          <w:sz w:val="22"/>
          <w:szCs w:val="22"/>
          <w:lang w:val="es-CR"/>
        </w:rPr>
        <w:t>a sesi</w:t>
      </w:r>
      <w:r>
        <w:rPr>
          <w:rFonts w:cs="Arial"/>
          <w:sz w:val="22"/>
          <w:szCs w:val="22"/>
          <w:lang w:val="es-CR"/>
        </w:rPr>
        <w:t>ó</w:t>
      </w:r>
      <w:r w:rsidRPr="00423EC2">
        <w:rPr>
          <w:rFonts w:cs="Arial"/>
          <w:sz w:val="22"/>
          <w:szCs w:val="22"/>
          <w:lang w:val="es-CR"/>
        </w:rPr>
        <w:t>n citada; para efectos de que se proceda con el pago de</w:t>
      </w:r>
      <w:r>
        <w:rPr>
          <w:rFonts w:cs="Arial"/>
          <w:sz w:val="22"/>
          <w:szCs w:val="22"/>
          <w:lang w:val="es-CR"/>
        </w:rPr>
        <w:t xml:space="preserve"> </w:t>
      </w:r>
      <w:r w:rsidRPr="00423EC2">
        <w:rPr>
          <w:rFonts w:cs="Arial"/>
          <w:sz w:val="22"/>
          <w:szCs w:val="22"/>
          <w:lang w:val="es-CR"/>
        </w:rPr>
        <w:t>los honorarios y comisi</w:t>
      </w:r>
      <w:r>
        <w:rPr>
          <w:rFonts w:cs="Arial"/>
          <w:sz w:val="22"/>
          <w:szCs w:val="22"/>
          <w:lang w:val="es-CR"/>
        </w:rPr>
        <w:t>ó</w:t>
      </w:r>
      <w:r w:rsidRPr="00423EC2">
        <w:rPr>
          <w:rFonts w:cs="Arial"/>
          <w:sz w:val="22"/>
          <w:szCs w:val="22"/>
          <w:lang w:val="es-CR"/>
        </w:rPr>
        <w:t xml:space="preserve">n del </w:t>
      </w:r>
      <w:r>
        <w:rPr>
          <w:rFonts w:cs="Arial"/>
          <w:sz w:val="22"/>
          <w:szCs w:val="22"/>
          <w:lang w:val="es-CR"/>
        </w:rPr>
        <w:t>ú</w:t>
      </w:r>
      <w:r w:rsidRPr="00423EC2">
        <w:rPr>
          <w:rFonts w:cs="Arial"/>
          <w:sz w:val="22"/>
          <w:szCs w:val="22"/>
          <w:lang w:val="es-CR"/>
        </w:rPr>
        <w:t xml:space="preserve">ltimo caso formalizado, o en su defecto, </w:t>
      </w:r>
      <w:r>
        <w:rPr>
          <w:rFonts w:cs="Arial"/>
          <w:sz w:val="22"/>
          <w:szCs w:val="22"/>
          <w:lang w:val="es-CR"/>
        </w:rPr>
        <w:t>l</w:t>
      </w:r>
      <w:r w:rsidRPr="00423EC2">
        <w:rPr>
          <w:rFonts w:cs="Arial"/>
          <w:sz w:val="22"/>
          <w:szCs w:val="22"/>
          <w:lang w:val="es-CR"/>
        </w:rPr>
        <w:t>a Fundaci</w:t>
      </w:r>
      <w:r>
        <w:rPr>
          <w:rFonts w:cs="Arial"/>
          <w:sz w:val="22"/>
          <w:szCs w:val="22"/>
          <w:lang w:val="es-CR"/>
        </w:rPr>
        <w:t>ó</w:t>
      </w:r>
      <w:r w:rsidRPr="00423EC2">
        <w:rPr>
          <w:rFonts w:cs="Arial"/>
          <w:sz w:val="22"/>
          <w:szCs w:val="22"/>
          <w:lang w:val="es-CR"/>
        </w:rPr>
        <w:t>n</w:t>
      </w:r>
      <w:r>
        <w:rPr>
          <w:rFonts w:cs="Arial"/>
          <w:sz w:val="22"/>
          <w:szCs w:val="22"/>
          <w:lang w:val="es-CR"/>
        </w:rPr>
        <w:t xml:space="preserve"> </w:t>
      </w:r>
      <w:r w:rsidRPr="00423EC2">
        <w:rPr>
          <w:rFonts w:cs="Arial"/>
          <w:sz w:val="22"/>
          <w:szCs w:val="22"/>
          <w:lang w:val="es-CR"/>
        </w:rPr>
        <w:t xml:space="preserve">solicita que de manera oficiosa se instruya a </w:t>
      </w:r>
      <w:r>
        <w:rPr>
          <w:rFonts w:cs="Arial"/>
          <w:sz w:val="22"/>
          <w:szCs w:val="22"/>
          <w:lang w:val="es-CR"/>
        </w:rPr>
        <w:t>l</w:t>
      </w:r>
      <w:r w:rsidRPr="00423EC2">
        <w:rPr>
          <w:rFonts w:cs="Arial"/>
          <w:sz w:val="22"/>
          <w:szCs w:val="22"/>
          <w:lang w:val="es-CR"/>
        </w:rPr>
        <w:t>a administraci</w:t>
      </w:r>
      <w:r>
        <w:rPr>
          <w:rFonts w:cs="Arial"/>
          <w:sz w:val="22"/>
          <w:szCs w:val="22"/>
          <w:lang w:val="es-CR"/>
        </w:rPr>
        <w:t>ó</w:t>
      </w:r>
      <w:r w:rsidRPr="00423EC2">
        <w:rPr>
          <w:rFonts w:cs="Arial"/>
          <w:sz w:val="22"/>
          <w:szCs w:val="22"/>
          <w:lang w:val="es-CR"/>
        </w:rPr>
        <w:t>n del BANHVI para</w:t>
      </w:r>
      <w:r>
        <w:rPr>
          <w:rFonts w:cs="Arial"/>
          <w:sz w:val="22"/>
          <w:szCs w:val="22"/>
          <w:lang w:val="es-CR"/>
        </w:rPr>
        <w:t xml:space="preserve"> </w:t>
      </w:r>
      <w:r w:rsidRPr="00423EC2">
        <w:rPr>
          <w:rFonts w:cs="Arial"/>
          <w:sz w:val="22"/>
          <w:szCs w:val="22"/>
          <w:lang w:val="es-CR"/>
        </w:rPr>
        <w:t>que se proceda con el pago de los extremos citados; en caso de que se considere</w:t>
      </w:r>
      <w:r>
        <w:rPr>
          <w:rFonts w:cs="Arial"/>
          <w:sz w:val="22"/>
          <w:szCs w:val="22"/>
          <w:lang w:val="es-CR"/>
        </w:rPr>
        <w:t xml:space="preserve"> </w:t>
      </w:r>
      <w:r w:rsidRPr="00423EC2">
        <w:rPr>
          <w:rFonts w:cs="Arial"/>
          <w:sz w:val="22"/>
          <w:szCs w:val="22"/>
          <w:lang w:val="es-CR"/>
        </w:rPr>
        <w:t>que dicha prorroga resulta innecesaria, dado que el proyecto Cartagena se</w:t>
      </w:r>
      <w:r>
        <w:rPr>
          <w:rFonts w:cs="Arial"/>
          <w:sz w:val="22"/>
          <w:szCs w:val="22"/>
          <w:lang w:val="es-CR"/>
        </w:rPr>
        <w:t xml:space="preserve"> </w:t>
      </w:r>
      <w:r w:rsidRPr="00423EC2">
        <w:rPr>
          <w:rFonts w:cs="Arial"/>
          <w:sz w:val="22"/>
          <w:szCs w:val="22"/>
          <w:lang w:val="es-CR"/>
        </w:rPr>
        <w:t xml:space="preserve">encuentra concluido a </w:t>
      </w:r>
      <w:r>
        <w:rPr>
          <w:rFonts w:cs="Arial"/>
          <w:sz w:val="22"/>
          <w:szCs w:val="22"/>
          <w:lang w:val="es-CR"/>
        </w:rPr>
        <w:t>l</w:t>
      </w:r>
      <w:r w:rsidRPr="00423EC2">
        <w:rPr>
          <w:rFonts w:cs="Arial"/>
          <w:sz w:val="22"/>
          <w:szCs w:val="22"/>
          <w:lang w:val="es-CR"/>
        </w:rPr>
        <w:t>a fecha y adem</w:t>
      </w:r>
      <w:r>
        <w:rPr>
          <w:rFonts w:cs="Arial"/>
          <w:sz w:val="22"/>
          <w:szCs w:val="22"/>
          <w:lang w:val="es-CR"/>
        </w:rPr>
        <w:t>á</w:t>
      </w:r>
      <w:r w:rsidRPr="00423EC2">
        <w:rPr>
          <w:rFonts w:cs="Arial"/>
          <w:sz w:val="22"/>
          <w:szCs w:val="22"/>
          <w:lang w:val="es-CR"/>
        </w:rPr>
        <w:t>s todos los casos est</w:t>
      </w:r>
      <w:r>
        <w:rPr>
          <w:rFonts w:cs="Arial"/>
          <w:sz w:val="22"/>
          <w:szCs w:val="22"/>
          <w:lang w:val="es-CR"/>
        </w:rPr>
        <w:t>á</w:t>
      </w:r>
      <w:r w:rsidRPr="00423EC2">
        <w:rPr>
          <w:rFonts w:cs="Arial"/>
          <w:sz w:val="22"/>
          <w:szCs w:val="22"/>
          <w:lang w:val="es-CR"/>
        </w:rPr>
        <w:t>n formalizados.</w:t>
      </w:r>
    </w:p>
    <w:p w14:paraId="34CF4CD1" w14:textId="77777777" w:rsidR="004F41BB" w:rsidRDefault="004F41BB" w:rsidP="004F41BB">
      <w:pPr>
        <w:ind w:left="142" w:right="193"/>
        <w:jc w:val="both"/>
        <w:rPr>
          <w:rFonts w:cs="Arial"/>
          <w:sz w:val="22"/>
          <w:szCs w:val="22"/>
        </w:rPr>
      </w:pPr>
      <w:r w:rsidRPr="00423EC2">
        <w:rPr>
          <w:rFonts w:cs="Arial"/>
          <w:sz w:val="22"/>
          <w:szCs w:val="22"/>
          <w:lang w:val="es-CR"/>
        </w:rPr>
        <w:t xml:space="preserve">Una vez escuchado el audio de </w:t>
      </w:r>
      <w:r>
        <w:rPr>
          <w:rFonts w:cs="Arial"/>
          <w:sz w:val="22"/>
          <w:szCs w:val="22"/>
          <w:lang w:val="es-CR"/>
        </w:rPr>
        <w:t>l</w:t>
      </w:r>
      <w:r w:rsidRPr="00423EC2">
        <w:rPr>
          <w:rFonts w:cs="Arial"/>
          <w:sz w:val="22"/>
          <w:szCs w:val="22"/>
          <w:lang w:val="es-CR"/>
        </w:rPr>
        <w:t>a sesi</w:t>
      </w:r>
      <w:r>
        <w:rPr>
          <w:rFonts w:cs="Arial"/>
          <w:sz w:val="22"/>
          <w:szCs w:val="22"/>
          <w:lang w:val="es-CR"/>
        </w:rPr>
        <w:t>ó</w:t>
      </w:r>
      <w:r w:rsidRPr="00423EC2">
        <w:rPr>
          <w:rFonts w:cs="Arial"/>
          <w:sz w:val="22"/>
          <w:szCs w:val="22"/>
          <w:lang w:val="es-CR"/>
        </w:rPr>
        <w:t xml:space="preserve">n citada, compartimos </w:t>
      </w:r>
      <w:r>
        <w:rPr>
          <w:rFonts w:cs="Arial"/>
          <w:sz w:val="22"/>
          <w:szCs w:val="22"/>
          <w:lang w:val="es-CR"/>
        </w:rPr>
        <w:t>l</w:t>
      </w:r>
      <w:r w:rsidRPr="00423EC2">
        <w:rPr>
          <w:rFonts w:cs="Arial"/>
          <w:sz w:val="22"/>
          <w:szCs w:val="22"/>
          <w:lang w:val="es-CR"/>
        </w:rPr>
        <w:t>a preocupaci</w:t>
      </w:r>
      <w:r>
        <w:rPr>
          <w:rFonts w:cs="Arial"/>
          <w:sz w:val="22"/>
          <w:szCs w:val="22"/>
          <w:lang w:val="es-CR"/>
        </w:rPr>
        <w:t>ó</w:t>
      </w:r>
      <w:r w:rsidRPr="00423EC2">
        <w:rPr>
          <w:rFonts w:cs="Arial"/>
          <w:sz w:val="22"/>
          <w:szCs w:val="22"/>
          <w:lang w:val="es-CR"/>
        </w:rPr>
        <w:t xml:space="preserve">n de </w:t>
      </w:r>
      <w:r>
        <w:rPr>
          <w:rFonts w:cs="Arial"/>
          <w:sz w:val="22"/>
          <w:szCs w:val="22"/>
          <w:lang w:val="es-CR"/>
        </w:rPr>
        <w:t>l</w:t>
      </w:r>
      <w:r w:rsidRPr="00423EC2">
        <w:rPr>
          <w:rFonts w:cs="Arial"/>
          <w:sz w:val="22"/>
          <w:szCs w:val="22"/>
          <w:lang w:val="es-CR"/>
        </w:rPr>
        <w:t>a Junta</w:t>
      </w:r>
      <w:r>
        <w:rPr>
          <w:rFonts w:cs="Arial"/>
          <w:sz w:val="22"/>
          <w:szCs w:val="22"/>
          <w:lang w:val="es-CR"/>
        </w:rPr>
        <w:t xml:space="preserve"> </w:t>
      </w:r>
      <w:r w:rsidRPr="00423EC2">
        <w:rPr>
          <w:rFonts w:cs="Arial"/>
          <w:sz w:val="22"/>
          <w:szCs w:val="22"/>
          <w:lang w:val="es-CR"/>
        </w:rPr>
        <w:t>Directiva del BANHVI en cuanto a las implicaciones de las solicitudes de ampliaci</w:t>
      </w:r>
      <w:r>
        <w:rPr>
          <w:rFonts w:cs="Arial"/>
          <w:sz w:val="22"/>
          <w:szCs w:val="22"/>
          <w:lang w:val="es-CR"/>
        </w:rPr>
        <w:t>ó</w:t>
      </w:r>
      <w:r w:rsidRPr="00423EC2">
        <w:rPr>
          <w:rFonts w:cs="Arial"/>
          <w:sz w:val="22"/>
          <w:szCs w:val="22"/>
          <w:lang w:val="es-CR"/>
        </w:rPr>
        <w:t>n de</w:t>
      </w:r>
      <w:r>
        <w:rPr>
          <w:rFonts w:cs="Arial"/>
          <w:sz w:val="22"/>
          <w:szCs w:val="22"/>
          <w:lang w:val="es-CR"/>
        </w:rPr>
        <w:t xml:space="preserve"> </w:t>
      </w:r>
      <w:r w:rsidRPr="00423EC2">
        <w:rPr>
          <w:rFonts w:cs="Arial"/>
          <w:sz w:val="22"/>
          <w:szCs w:val="22"/>
          <w:lang w:val="es-CR"/>
        </w:rPr>
        <w:t>plazo de los diferentes proyectos sin embargo es necesario aclarar que las solicitudes</w:t>
      </w:r>
      <w:r>
        <w:rPr>
          <w:rFonts w:cs="Arial"/>
          <w:sz w:val="22"/>
          <w:szCs w:val="22"/>
          <w:lang w:val="es-CR"/>
        </w:rPr>
        <w:t xml:space="preserve"> </w:t>
      </w:r>
      <w:r w:rsidRPr="00423EC2">
        <w:rPr>
          <w:rFonts w:cs="Arial"/>
          <w:sz w:val="22"/>
          <w:szCs w:val="22"/>
          <w:lang w:val="es-CR"/>
        </w:rPr>
        <w:t xml:space="preserve">planteadas por </w:t>
      </w:r>
      <w:r>
        <w:rPr>
          <w:rFonts w:cs="Arial"/>
          <w:sz w:val="22"/>
          <w:szCs w:val="22"/>
          <w:lang w:val="es-CR"/>
        </w:rPr>
        <w:t>l</w:t>
      </w:r>
      <w:r w:rsidRPr="00423EC2">
        <w:rPr>
          <w:rFonts w:cs="Arial"/>
          <w:sz w:val="22"/>
          <w:szCs w:val="22"/>
          <w:lang w:val="es-CR"/>
        </w:rPr>
        <w:t>a Fundaci</w:t>
      </w:r>
      <w:r>
        <w:rPr>
          <w:rFonts w:cs="Arial"/>
          <w:sz w:val="22"/>
          <w:szCs w:val="22"/>
          <w:lang w:val="es-CR"/>
        </w:rPr>
        <w:t>ó</w:t>
      </w:r>
      <w:r w:rsidRPr="00423EC2">
        <w:rPr>
          <w:rFonts w:cs="Arial"/>
          <w:sz w:val="22"/>
          <w:szCs w:val="22"/>
          <w:lang w:val="es-CR"/>
        </w:rPr>
        <w:t>n van siempre acompa</w:t>
      </w:r>
      <w:r>
        <w:rPr>
          <w:rFonts w:cs="Arial"/>
          <w:sz w:val="22"/>
          <w:szCs w:val="22"/>
          <w:lang w:val="es-CR"/>
        </w:rPr>
        <w:t>ñ</w:t>
      </w:r>
      <w:r w:rsidRPr="00423EC2">
        <w:rPr>
          <w:rFonts w:cs="Arial"/>
          <w:sz w:val="22"/>
          <w:szCs w:val="22"/>
          <w:lang w:val="es-CR"/>
        </w:rPr>
        <w:t xml:space="preserve">adas de </w:t>
      </w:r>
      <w:r>
        <w:rPr>
          <w:rFonts w:cs="Arial"/>
          <w:sz w:val="22"/>
          <w:szCs w:val="22"/>
          <w:lang w:val="es-CR"/>
        </w:rPr>
        <w:t>l</w:t>
      </w:r>
      <w:r w:rsidRPr="00423EC2">
        <w:rPr>
          <w:rFonts w:cs="Arial"/>
          <w:sz w:val="22"/>
          <w:szCs w:val="22"/>
          <w:lang w:val="es-CR"/>
        </w:rPr>
        <w:t>a debida justif</w:t>
      </w:r>
      <w:r>
        <w:rPr>
          <w:rFonts w:cs="Arial"/>
          <w:sz w:val="22"/>
          <w:szCs w:val="22"/>
          <w:lang w:val="es-CR"/>
        </w:rPr>
        <w:t>i</w:t>
      </w:r>
      <w:r w:rsidRPr="00423EC2">
        <w:rPr>
          <w:rFonts w:cs="Arial"/>
          <w:sz w:val="22"/>
          <w:szCs w:val="22"/>
          <w:lang w:val="es-CR"/>
        </w:rPr>
        <w:t>caci</w:t>
      </w:r>
      <w:r>
        <w:rPr>
          <w:rFonts w:cs="Arial"/>
          <w:sz w:val="22"/>
          <w:szCs w:val="22"/>
          <w:lang w:val="es-CR"/>
        </w:rPr>
        <w:t>ó</w:t>
      </w:r>
      <w:r w:rsidRPr="00423EC2">
        <w:rPr>
          <w:rFonts w:cs="Arial"/>
          <w:sz w:val="22"/>
          <w:szCs w:val="22"/>
          <w:lang w:val="es-CR"/>
        </w:rPr>
        <w:t>n que</w:t>
      </w:r>
      <w:r>
        <w:rPr>
          <w:rFonts w:cs="Arial"/>
          <w:sz w:val="22"/>
          <w:szCs w:val="22"/>
          <w:lang w:val="es-CR"/>
        </w:rPr>
        <w:t xml:space="preserve"> </w:t>
      </w:r>
      <w:r w:rsidRPr="00423EC2">
        <w:rPr>
          <w:rFonts w:cs="Arial"/>
          <w:sz w:val="22"/>
          <w:szCs w:val="22"/>
          <w:lang w:val="es-CR"/>
        </w:rPr>
        <w:t xml:space="preserve">ampara cada una, explicando los hechos concretos, </w:t>
      </w:r>
      <w:r>
        <w:rPr>
          <w:rFonts w:cs="Arial"/>
          <w:sz w:val="22"/>
          <w:szCs w:val="22"/>
          <w:lang w:val="es-CR"/>
        </w:rPr>
        <w:t>l</w:t>
      </w:r>
      <w:r w:rsidRPr="00423EC2">
        <w:rPr>
          <w:rFonts w:cs="Arial"/>
          <w:sz w:val="22"/>
          <w:szCs w:val="22"/>
          <w:lang w:val="es-CR"/>
        </w:rPr>
        <w:t>a causa y su incidencia en el proceso</w:t>
      </w:r>
      <w:r>
        <w:rPr>
          <w:rFonts w:cs="Arial"/>
          <w:sz w:val="22"/>
          <w:szCs w:val="22"/>
          <w:lang w:val="es-CR"/>
        </w:rPr>
        <w:t xml:space="preserve"> </w:t>
      </w:r>
      <w:r w:rsidRPr="00423EC2">
        <w:rPr>
          <w:rFonts w:cs="Arial"/>
          <w:sz w:val="22"/>
          <w:szCs w:val="22"/>
          <w:lang w:val="es-CR"/>
        </w:rPr>
        <w:t>de ejecuci</w:t>
      </w:r>
      <w:r>
        <w:rPr>
          <w:rFonts w:cs="Arial"/>
          <w:sz w:val="22"/>
          <w:szCs w:val="22"/>
          <w:lang w:val="es-CR"/>
        </w:rPr>
        <w:t>ó</w:t>
      </w:r>
      <w:r w:rsidRPr="00423EC2">
        <w:rPr>
          <w:rFonts w:cs="Arial"/>
          <w:sz w:val="22"/>
          <w:szCs w:val="22"/>
          <w:lang w:val="es-CR"/>
        </w:rPr>
        <w:t>n normal de cada proyecto</w:t>
      </w:r>
      <w:r>
        <w:rPr>
          <w:rFonts w:cs="Arial"/>
          <w:sz w:val="22"/>
          <w:szCs w:val="22"/>
          <w:lang w:val="es-CR"/>
        </w:rPr>
        <w:t>…”</w:t>
      </w:r>
    </w:p>
    <w:p w14:paraId="0FC2C260" w14:textId="77777777" w:rsidR="004F41BB" w:rsidRDefault="004F41BB" w:rsidP="004F41BB">
      <w:pPr>
        <w:spacing w:line="360" w:lineRule="auto"/>
        <w:jc w:val="both"/>
        <w:rPr>
          <w:rFonts w:cs="Arial"/>
          <w:sz w:val="22"/>
          <w:szCs w:val="22"/>
        </w:rPr>
      </w:pPr>
    </w:p>
    <w:p w14:paraId="3DA78530" w14:textId="5D3FE6E7" w:rsidR="004F41BB" w:rsidRDefault="004F41BB" w:rsidP="004F41BB">
      <w:pPr>
        <w:spacing w:line="360" w:lineRule="auto"/>
        <w:jc w:val="both"/>
        <w:rPr>
          <w:rFonts w:cs="Arial"/>
          <w:sz w:val="22"/>
          <w:szCs w:val="22"/>
          <w:lang w:val="es-ES_tradnl"/>
        </w:rPr>
      </w:pPr>
      <w:r>
        <w:rPr>
          <w:rFonts w:cs="Arial"/>
          <w:sz w:val="22"/>
          <w:szCs w:val="22"/>
        </w:rPr>
        <w:lastRenderedPageBreak/>
        <w:t>Los señores Directores proceden a analizar el referido documento, coincidiendo en que es primordial</w:t>
      </w:r>
      <w:r>
        <w:rPr>
          <w:rFonts w:cs="Arial"/>
          <w:sz w:val="22"/>
          <w:szCs w:val="22"/>
          <w:lang w:val="es-ES_tradnl"/>
        </w:rPr>
        <w:t xml:space="preserve"> indicarle a la Fundación, que el acuerdo </w:t>
      </w:r>
      <w:r>
        <w:rPr>
          <w:rFonts w:cs="Arial"/>
          <w:sz w:val="22"/>
          <w:szCs w:val="22"/>
        </w:rPr>
        <w:t xml:space="preserve">N° 3 de la sesión 38-2022 fue emitido por esta </w:t>
      </w:r>
      <w:r w:rsidRPr="006546C6">
        <w:rPr>
          <w:rFonts w:cs="Arial"/>
          <w:sz w:val="22"/>
          <w:szCs w:val="22"/>
          <w:lang w:val="es-ES_tradnl"/>
        </w:rPr>
        <w:t>Junta Directiva</w:t>
      </w:r>
      <w:r>
        <w:rPr>
          <w:rFonts w:cs="Arial"/>
          <w:sz w:val="22"/>
          <w:szCs w:val="22"/>
          <w:lang w:val="es-ES_tradnl"/>
        </w:rPr>
        <w:t xml:space="preserve"> con base en la información disponible y discutida en esa ocasión, la cual omitía una serie de aspectos relevantes que ahora han sido aportados por la Fundación en el oficio remitido</w:t>
      </w:r>
      <w:r>
        <w:rPr>
          <w:rFonts w:cs="Arial"/>
          <w:sz w:val="22"/>
          <w:szCs w:val="22"/>
        </w:rPr>
        <w:t>, tales como los siguientes:</w:t>
      </w:r>
    </w:p>
    <w:p w14:paraId="5EAD51A3" w14:textId="77777777" w:rsidR="004F41BB" w:rsidRDefault="004F41BB" w:rsidP="004F41BB">
      <w:pPr>
        <w:spacing w:line="360" w:lineRule="auto"/>
        <w:jc w:val="both"/>
        <w:rPr>
          <w:rFonts w:cs="Arial"/>
          <w:sz w:val="22"/>
          <w:szCs w:val="22"/>
        </w:rPr>
      </w:pPr>
      <w:r>
        <w:rPr>
          <w:rFonts w:cs="Arial"/>
          <w:sz w:val="22"/>
          <w:szCs w:val="22"/>
          <w:lang w:val="es-ES_tradnl"/>
        </w:rPr>
        <w:t>a) Cuando en dicha sesión se</w:t>
      </w:r>
      <w:r>
        <w:rPr>
          <w:rFonts w:cs="Arial"/>
          <w:sz w:val="22"/>
          <w:szCs w:val="22"/>
        </w:rPr>
        <w:t xml:space="preserve"> consultó a la Dirección FOSUVI sobre el caso que había estado pendiente de formalizar, se indicó que no se tenía conocimiento, a pesar de que es razonable pensar </w:t>
      </w:r>
      <w:proofErr w:type="gramStart"/>
      <w:r>
        <w:rPr>
          <w:rFonts w:cs="Arial"/>
          <w:sz w:val="22"/>
          <w:szCs w:val="22"/>
        </w:rPr>
        <w:t>que</w:t>
      </w:r>
      <w:proofErr w:type="gramEnd"/>
      <w:r>
        <w:rPr>
          <w:rFonts w:cs="Arial"/>
          <w:sz w:val="22"/>
          <w:szCs w:val="22"/>
        </w:rPr>
        <w:t xml:space="preserve"> para valorar y emitir criterio sobre la referida solicitud de ampliación de plazo, esa Dirección debió conocer las razones del retraso que se había dado en la formalización de la operación.  No obstante, ahora se sabe (según lo informado por la Fundación), por un lado, que había una discusión de carácter pecuniario entre el desarrollador y el fiduciario, y que esa discusión llevó a postergar hasta el 16 de diciembre de 2021, la formalización del último subsidio del proyecto.  </w:t>
      </w:r>
      <w:proofErr w:type="gramStart"/>
      <w:r>
        <w:rPr>
          <w:rFonts w:cs="Arial"/>
          <w:sz w:val="22"/>
          <w:szCs w:val="22"/>
        </w:rPr>
        <w:t>Y</w:t>
      </w:r>
      <w:proofErr w:type="gramEnd"/>
      <w:r>
        <w:rPr>
          <w:rFonts w:cs="Arial"/>
          <w:sz w:val="22"/>
          <w:szCs w:val="22"/>
        </w:rPr>
        <w:t xml:space="preserve"> por otro lado, la Fundación también ha afirmado que esta situación era del conocimiento de la Dirección FOSUVI desde enero de 2022, según se le informó mediante el oficio </w:t>
      </w:r>
      <w:r w:rsidRPr="008511B3">
        <w:rPr>
          <w:rFonts w:cs="Arial"/>
          <w:sz w:val="22"/>
          <w:szCs w:val="22"/>
          <w:lang w:val="es-CR"/>
        </w:rPr>
        <w:t>FVR-GN-UT-0002-2022, del 4 de enero de 2022</w:t>
      </w:r>
      <w:r>
        <w:rPr>
          <w:rFonts w:cs="Arial"/>
          <w:sz w:val="22"/>
          <w:szCs w:val="22"/>
          <w:lang w:val="es-CR"/>
        </w:rPr>
        <w:t>.</w:t>
      </w:r>
    </w:p>
    <w:p w14:paraId="3A21B3D4" w14:textId="77777777" w:rsidR="004F41BB" w:rsidRDefault="004F41BB" w:rsidP="004F41BB">
      <w:pPr>
        <w:spacing w:line="360" w:lineRule="auto"/>
        <w:jc w:val="both"/>
        <w:rPr>
          <w:rFonts w:cs="Arial"/>
          <w:sz w:val="22"/>
          <w:szCs w:val="22"/>
        </w:rPr>
      </w:pPr>
    </w:p>
    <w:p w14:paraId="39FCAF25" w14:textId="77777777" w:rsidR="004F41BB" w:rsidRDefault="004F41BB" w:rsidP="004F41BB">
      <w:pPr>
        <w:spacing w:line="360" w:lineRule="auto"/>
        <w:jc w:val="both"/>
        <w:rPr>
          <w:rFonts w:cs="Arial"/>
          <w:sz w:val="22"/>
          <w:szCs w:val="22"/>
        </w:rPr>
      </w:pPr>
      <w:r>
        <w:rPr>
          <w:rFonts w:cs="Arial"/>
          <w:sz w:val="22"/>
          <w:szCs w:val="22"/>
        </w:rPr>
        <w:t xml:space="preserve">b) Cuando en la sesión 38-2022 se discutió el tema relacionado con el hecho de que la entidad presentó la solicitud para ampliar el plazo con posterioridad a que el contrato había vencido, tampoco se explicó la razón de este retraso, según lo hizo ver esta </w:t>
      </w:r>
      <w:r w:rsidRPr="001D5A95">
        <w:rPr>
          <w:rFonts w:cs="Arial"/>
          <w:sz w:val="22"/>
          <w:szCs w:val="22"/>
          <w:lang w:val="es-ES_tradnl"/>
        </w:rPr>
        <w:t>Junta Directiva</w:t>
      </w:r>
      <w:r>
        <w:rPr>
          <w:rFonts w:cs="Arial"/>
          <w:sz w:val="22"/>
          <w:szCs w:val="22"/>
          <w:lang w:val="es-ES_tradnl"/>
        </w:rPr>
        <w:t xml:space="preserve"> en el referido </w:t>
      </w:r>
      <w:r>
        <w:rPr>
          <w:rFonts w:cs="Arial"/>
          <w:sz w:val="22"/>
          <w:szCs w:val="22"/>
        </w:rPr>
        <w:t>acuerdo N° 3 de la sesión 38-2022.</w:t>
      </w:r>
    </w:p>
    <w:p w14:paraId="2DD80432" w14:textId="77777777" w:rsidR="004F41BB" w:rsidRDefault="004F41BB" w:rsidP="004F41BB">
      <w:pPr>
        <w:spacing w:line="360" w:lineRule="auto"/>
        <w:jc w:val="both"/>
        <w:rPr>
          <w:rFonts w:cs="Arial"/>
          <w:sz w:val="22"/>
          <w:szCs w:val="22"/>
        </w:rPr>
      </w:pPr>
    </w:p>
    <w:p w14:paraId="5325BF44" w14:textId="77777777" w:rsidR="004F41BB" w:rsidRDefault="004F41BB" w:rsidP="004F41BB">
      <w:pPr>
        <w:spacing w:line="360" w:lineRule="auto"/>
        <w:jc w:val="both"/>
        <w:rPr>
          <w:rFonts w:cs="Arial"/>
          <w:sz w:val="22"/>
          <w:szCs w:val="22"/>
        </w:rPr>
      </w:pPr>
      <w:r>
        <w:rPr>
          <w:rFonts w:cs="Arial"/>
          <w:sz w:val="22"/>
          <w:szCs w:val="22"/>
        </w:rPr>
        <w:t>c) Cuando en esa misma sesión se analizó esta solicitud de ampliación de plazo, se señaló expresamente que como lo único que restaba era efectuar el cierre técnico y financiero del proyecto, no se requería una nueva ampliación, porque con el contrato vencido se podía desarrollar esta gestión, sin que se haya mencionado la necesidad de mantener la vigencia del contrato para realizar un pago pendiente al desarrollador.</w:t>
      </w:r>
    </w:p>
    <w:p w14:paraId="6A276A05" w14:textId="77777777" w:rsidR="004F41BB" w:rsidRDefault="004F41BB" w:rsidP="004F41BB">
      <w:pPr>
        <w:spacing w:line="360" w:lineRule="auto"/>
        <w:jc w:val="both"/>
        <w:rPr>
          <w:rFonts w:cs="Arial"/>
          <w:sz w:val="22"/>
          <w:szCs w:val="22"/>
        </w:rPr>
      </w:pPr>
    </w:p>
    <w:p w14:paraId="051B2540" w14:textId="16923E2E" w:rsidR="004F41BB" w:rsidRDefault="004F41BB" w:rsidP="004F41BB">
      <w:pPr>
        <w:spacing w:line="360" w:lineRule="auto"/>
        <w:jc w:val="both"/>
        <w:rPr>
          <w:rFonts w:cs="Arial"/>
          <w:sz w:val="22"/>
          <w:szCs w:val="22"/>
          <w:lang w:val="es-ES_tradnl"/>
        </w:rPr>
      </w:pPr>
      <w:r>
        <w:rPr>
          <w:rFonts w:cs="Arial"/>
          <w:sz w:val="22"/>
          <w:szCs w:val="22"/>
        </w:rPr>
        <w:t>Con base en lo anterior, se concuerda en que siendo claro que el acuerdo N° 3 de la sesión 38-2022</w:t>
      </w:r>
      <w:r w:rsidRPr="000D1AB8">
        <w:rPr>
          <w:rFonts w:cs="Arial"/>
          <w:sz w:val="22"/>
          <w:szCs w:val="22"/>
          <w:lang w:val="es-ES_tradnl"/>
        </w:rPr>
        <w:t xml:space="preserve"> </w:t>
      </w:r>
      <w:r>
        <w:rPr>
          <w:rFonts w:cs="Arial"/>
          <w:sz w:val="22"/>
          <w:szCs w:val="22"/>
          <w:lang w:val="es-ES_tradnl"/>
        </w:rPr>
        <w:t xml:space="preserve">se emitió con base en la información disponible y discutida en esa ocasión, los argumentos expuestos por la Fundación son consecuentes y suficientes; razón por la cual lo que procede es dejar sin efecto la llamada de atención a la que se refieren los acuerdos </w:t>
      </w:r>
      <w:r>
        <w:rPr>
          <w:rFonts w:cs="Arial"/>
          <w:sz w:val="22"/>
          <w:szCs w:val="22"/>
        </w:rPr>
        <w:t>N° 3 de la sesión 38-2022</w:t>
      </w:r>
      <w:r w:rsidRPr="000D1AB8">
        <w:rPr>
          <w:rFonts w:cs="Arial"/>
          <w:sz w:val="22"/>
          <w:szCs w:val="22"/>
          <w:lang w:val="es-ES_tradnl"/>
        </w:rPr>
        <w:t xml:space="preserve"> </w:t>
      </w:r>
      <w:r>
        <w:rPr>
          <w:rFonts w:cs="Arial"/>
          <w:sz w:val="22"/>
          <w:szCs w:val="22"/>
          <w:lang w:val="es-ES_tradnl"/>
        </w:rPr>
        <w:t xml:space="preserve">y </w:t>
      </w:r>
      <w:r>
        <w:rPr>
          <w:rFonts w:cs="Arial"/>
          <w:sz w:val="22"/>
          <w:szCs w:val="22"/>
        </w:rPr>
        <w:t xml:space="preserve">N° 1 de la sesión 41-2022, y autorizar la prórroga solicitada al contrato de administración de recursos del proyecto Cartagena, en los mismos términos </w:t>
      </w:r>
      <w:r>
        <w:rPr>
          <w:rFonts w:cs="Arial"/>
          <w:sz w:val="22"/>
          <w:szCs w:val="22"/>
        </w:rPr>
        <w:lastRenderedPageBreak/>
        <w:t xml:space="preserve">propuestos por la Dirección FOSUVI y la </w:t>
      </w:r>
      <w:r w:rsidRPr="00D504C5">
        <w:rPr>
          <w:rFonts w:cs="Arial"/>
          <w:sz w:val="22"/>
          <w:szCs w:val="22"/>
          <w:lang w:val="es-CR"/>
        </w:rPr>
        <w:t>Gerencia General</w:t>
      </w:r>
      <w:r>
        <w:rPr>
          <w:rFonts w:cs="Arial"/>
          <w:sz w:val="22"/>
          <w:szCs w:val="22"/>
          <w:lang w:val="es-CR"/>
        </w:rPr>
        <w:t xml:space="preserve"> en los oficios DF-OF-0625-2022 y GG-ME-823-2022 respectivamente, pero </w:t>
      </w:r>
      <w:r>
        <w:rPr>
          <w:rFonts w:cs="Arial"/>
          <w:sz w:val="22"/>
          <w:szCs w:val="22"/>
        </w:rPr>
        <w:t xml:space="preserve">estableciendo un plazo de hasta dos meses </w:t>
      </w:r>
      <w:r>
        <w:rPr>
          <w:rFonts w:cs="Arial"/>
          <w:sz w:val="22"/>
          <w:szCs w:val="22"/>
          <w:lang w:val="es-ES_tradnl"/>
        </w:rPr>
        <w:t>para que la entidad autorizada presente a este Banco el cierre técnico y financiero del proyecto, el cual –según lo afirmado por el Gerente General– se considera suficiente para realizar esta labor.</w:t>
      </w:r>
    </w:p>
    <w:p w14:paraId="03683365" w14:textId="4F886482" w:rsidR="004F41BB" w:rsidRDefault="004F41BB" w:rsidP="004F41BB">
      <w:pPr>
        <w:spacing w:line="360" w:lineRule="auto"/>
        <w:jc w:val="both"/>
        <w:rPr>
          <w:rFonts w:cs="Arial"/>
          <w:sz w:val="22"/>
          <w:szCs w:val="22"/>
          <w:lang w:val="es-ES_tradnl"/>
        </w:rPr>
      </w:pPr>
    </w:p>
    <w:p w14:paraId="69153DC8" w14:textId="4E7A398A" w:rsidR="004F41BB" w:rsidRDefault="004F41BB" w:rsidP="004F41BB">
      <w:pPr>
        <w:spacing w:line="360" w:lineRule="auto"/>
        <w:jc w:val="both"/>
        <w:rPr>
          <w:rFonts w:cs="Arial"/>
          <w:sz w:val="22"/>
          <w:szCs w:val="22"/>
        </w:rPr>
      </w:pPr>
      <w:r>
        <w:rPr>
          <w:rFonts w:cs="Arial"/>
          <w:sz w:val="22"/>
          <w:szCs w:val="22"/>
          <w:lang w:val="es-ES_tradnl"/>
        </w:rPr>
        <w:t>Adicionalmente, se resuelve que si</w:t>
      </w:r>
      <w:r>
        <w:rPr>
          <w:rFonts w:cs="Arial"/>
          <w:sz w:val="22"/>
          <w:szCs w:val="22"/>
        </w:rPr>
        <w:t xml:space="preserve"> la escritura de la última operación de bono se firmó desde el 16 de diciembre de 2021 (según lo indica la Fundación en el oficio FVR-GG-137-2022), es oportuno solicitar a dicha entidad que informe a esta </w:t>
      </w:r>
      <w:r w:rsidRPr="0029291E">
        <w:rPr>
          <w:rFonts w:cs="Arial"/>
          <w:sz w:val="22"/>
          <w:szCs w:val="22"/>
          <w:lang w:val="es-ES_tradnl"/>
        </w:rPr>
        <w:t>Junta Directiva</w:t>
      </w:r>
      <w:r>
        <w:rPr>
          <w:rFonts w:cs="Arial"/>
          <w:sz w:val="22"/>
          <w:szCs w:val="22"/>
          <w:lang w:val="es-ES_tradnl"/>
        </w:rPr>
        <w:t xml:space="preserve">, sobre las razones por las cuales </w:t>
      </w:r>
      <w:r>
        <w:rPr>
          <w:rFonts w:cs="Arial"/>
          <w:sz w:val="22"/>
          <w:szCs w:val="22"/>
        </w:rPr>
        <w:t>la prórroga de tres meses autorizada con el acuerdo N° 7 de la sesión 04-2022, del 17 de enero de 2022, la cual venció el 07 de mayo de 2022, no fue suficiente para efectuar el cierre técnico y financiero del proyecto.</w:t>
      </w:r>
    </w:p>
    <w:p w14:paraId="7AA5CD73" w14:textId="45C7BB93" w:rsidR="004F41BB" w:rsidRDefault="004F41BB" w:rsidP="009D03FE">
      <w:pPr>
        <w:spacing w:line="360" w:lineRule="auto"/>
        <w:jc w:val="both"/>
        <w:rPr>
          <w:rFonts w:cs="Arial"/>
          <w:sz w:val="22"/>
          <w:szCs w:val="22"/>
        </w:rPr>
      </w:pPr>
    </w:p>
    <w:p w14:paraId="1A73C78D" w14:textId="3A3F1986" w:rsidR="004F41BB" w:rsidRDefault="004F41BB"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w:t>
      </w:r>
      <w:r w:rsidR="001104CC">
        <w:rPr>
          <w:rFonts w:cs="Arial"/>
          <w:sz w:val="22"/>
          <w:u w:val="single"/>
          <w:lang w:val="es-ES_tradnl"/>
        </w:rPr>
        <w:t>2</w:t>
      </w:r>
      <w:r w:rsidR="00A16384">
        <w:rPr>
          <w:rFonts w:cs="Arial"/>
          <w:sz w:val="22"/>
          <w:u w:val="single"/>
          <w:lang w:val="es-ES_tradnl"/>
        </w:rPr>
        <w:t>4</w:t>
      </w:r>
      <w:r w:rsidRPr="00A25DB7">
        <w:rPr>
          <w:rFonts w:cs="Arial"/>
          <w:sz w:val="22"/>
          <w:u w:val="single"/>
          <w:lang w:val="es-ES_tradnl"/>
        </w:rPr>
        <w:t>:</w:t>
      </w:r>
      <w:r w:rsidR="00A16384">
        <w:rPr>
          <w:rFonts w:cs="Arial"/>
          <w:sz w:val="22"/>
          <w:u w:val="single"/>
          <w:lang w:val="es-ES_tradnl"/>
        </w:rPr>
        <w:t>3</w:t>
      </w:r>
      <w:r w:rsidR="001104CC">
        <w:rPr>
          <w:rFonts w:cs="Arial"/>
          <w:sz w:val="22"/>
          <w:u w:val="single"/>
          <w:lang w:val="es-ES_tradnl"/>
        </w:rPr>
        <w:t>0</w:t>
      </w:r>
      <w:r>
        <w:rPr>
          <w:rFonts w:cs="Arial"/>
          <w:sz w:val="22"/>
          <w:lang w:val="es-ES_tradnl"/>
        </w:rPr>
        <w:t xml:space="preserve"> De conformidad con el anterior análisis, la </w:t>
      </w:r>
      <w:r w:rsidRPr="004F41BB">
        <w:rPr>
          <w:rFonts w:cs="Arial"/>
          <w:sz w:val="22"/>
          <w:lang w:val="es-ES_tradnl"/>
        </w:rPr>
        <w:t>Junta Directiva</w:t>
      </w:r>
      <w:r>
        <w:rPr>
          <w:rFonts w:cs="Arial"/>
          <w:sz w:val="22"/>
          <w:lang w:val="es-ES_tradnl"/>
        </w:rPr>
        <w:t xml:space="preserve"> toma el </w:t>
      </w:r>
      <w:r w:rsidRPr="001104CC">
        <w:rPr>
          <w:rFonts w:cs="Arial"/>
          <w:b/>
          <w:bCs/>
          <w:sz w:val="22"/>
          <w:lang w:val="es-ES_tradnl"/>
        </w:rPr>
        <w:t xml:space="preserve">Acuerdo N° </w:t>
      </w:r>
      <w:r w:rsidR="001104CC" w:rsidRPr="001104CC">
        <w:rPr>
          <w:rFonts w:cs="Arial"/>
          <w:b/>
          <w:bCs/>
          <w:sz w:val="22"/>
          <w:lang w:val="es-ES_tradnl"/>
        </w:rPr>
        <w:t>7</w:t>
      </w:r>
      <w:r w:rsidR="001104CC">
        <w:rPr>
          <w:rFonts w:cs="Arial"/>
          <w:sz w:val="22"/>
          <w:lang w:val="es-ES_tradnl"/>
        </w:rPr>
        <w:t xml:space="preserve"> que se anexa a esta minuta.</w:t>
      </w:r>
    </w:p>
    <w:p w14:paraId="0C4A8491" w14:textId="77777777" w:rsidR="009D03FE" w:rsidRPr="00D14EAF" w:rsidRDefault="009D03FE" w:rsidP="009D03FE">
      <w:pPr>
        <w:spacing w:line="360" w:lineRule="auto"/>
        <w:jc w:val="both"/>
        <w:rPr>
          <w:rFonts w:cs="Arial"/>
          <w:b/>
          <w:sz w:val="22"/>
        </w:rPr>
      </w:pPr>
      <w:r w:rsidRPr="00D14EAF">
        <w:rPr>
          <w:rFonts w:cs="Arial"/>
          <w:b/>
          <w:sz w:val="22"/>
        </w:rPr>
        <w:t>************</w:t>
      </w:r>
    </w:p>
    <w:p w14:paraId="21CC5710" w14:textId="77777777" w:rsidR="009D03FE" w:rsidRDefault="009D03FE" w:rsidP="009D03FE">
      <w:pPr>
        <w:spacing w:line="360" w:lineRule="auto"/>
        <w:jc w:val="both"/>
        <w:rPr>
          <w:rFonts w:cs="Arial"/>
          <w:b/>
          <w:bCs/>
          <w:sz w:val="22"/>
          <w:szCs w:val="22"/>
          <w:u w:val="single"/>
          <w:lang w:val="es-ES_tradnl"/>
        </w:rPr>
      </w:pPr>
    </w:p>
    <w:p w14:paraId="3A89EB96" w14:textId="77777777" w:rsidR="00A16384" w:rsidRPr="00A16384" w:rsidRDefault="00320F35" w:rsidP="00A16384">
      <w:pPr>
        <w:spacing w:line="360" w:lineRule="auto"/>
        <w:jc w:val="both"/>
        <w:rPr>
          <w:rFonts w:cs="Arial"/>
          <w:b/>
          <w:bCs/>
          <w:sz w:val="22"/>
          <w:szCs w:val="22"/>
          <w:u w:val="single"/>
        </w:rPr>
      </w:pPr>
      <w:r>
        <w:rPr>
          <w:rFonts w:cs="Arial"/>
          <w:b/>
          <w:sz w:val="22"/>
          <w:szCs w:val="22"/>
          <w:lang w:val="es-ES_tradnl"/>
        </w:rPr>
        <w:t xml:space="preserve">7° </w:t>
      </w:r>
      <w:r w:rsidR="004311FD" w:rsidRPr="004311FD">
        <w:rPr>
          <w:rFonts w:cs="Arial"/>
          <w:b/>
          <w:bCs/>
          <w:sz w:val="22"/>
          <w:u w:val="single"/>
        </w:rPr>
        <w:t xml:space="preserve">Información sobre la recepción </w:t>
      </w:r>
      <w:r w:rsidR="00A16384" w:rsidRPr="00A16384">
        <w:rPr>
          <w:rFonts w:cs="Arial"/>
          <w:b/>
          <w:bCs/>
          <w:sz w:val="22"/>
          <w:u w:val="single"/>
        </w:rPr>
        <w:t>del informe de la Contraloría General de la República, sobre la inversión de recursos de la Cuenta General en el FONAVI</w:t>
      </w:r>
    </w:p>
    <w:p w14:paraId="3734D6FB" w14:textId="581FB102" w:rsidR="009D03FE" w:rsidRPr="00AD4F06" w:rsidRDefault="009D03FE" w:rsidP="009D03FE">
      <w:pPr>
        <w:spacing w:line="360" w:lineRule="auto"/>
        <w:jc w:val="both"/>
        <w:outlineLvl w:val="0"/>
        <w:rPr>
          <w:rFonts w:cs="Arial"/>
          <w:sz w:val="22"/>
          <w:szCs w:val="22"/>
          <w:lang w:val="es-ES_tradnl"/>
        </w:rPr>
      </w:pPr>
    </w:p>
    <w:p w14:paraId="012830AE" w14:textId="77777777" w:rsidR="009D03FE" w:rsidRDefault="009D03FE" w:rsidP="009D03FE">
      <w:pPr>
        <w:spacing w:line="360" w:lineRule="auto"/>
        <w:jc w:val="both"/>
        <w:rPr>
          <w:rFonts w:cs="Arial"/>
          <w:sz w:val="22"/>
          <w:szCs w:val="22"/>
        </w:rPr>
      </w:pPr>
    </w:p>
    <w:p w14:paraId="1F119EEE" w14:textId="1FE69FFB" w:rsidR="009D03FE" w:rsidRPr="001104CC"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A72383">
        <w:rPr>
          <w:rFonts w:cs="Arial"/>
          <w:sz w:val="22"/>
          <w:u w:val="single"/>
          <w:lang w:val="es-ES_tradnl"/>
        </w:rPr>
        <w:t>227</w:t>
      </w:r>
      <w:r w:rsidRPr="0039311E">
        <w:rPr>
          <w:rFonts w:cs="Arial"/>
          <w:sz w:val="22"/>
          <w:u w:val="single"/>
          <w:lang w:val="es-ES_tradnl"/>
        </w:rPr>
        <w:t>:</w:t>
      </w:r>
      <w:r w:rsidR="00A72383">
        <w:rPr>
          <w:rFonts w:cs="Arial"/>
          <w:sz w:val="22"/>
          <w:u w:val="single"/>
          <w:lang w:val="es-ES_tradnl"/>
        </w:rPr>
        <w:t>15</w:t>
      </w:r>
      <w:r>
        <w:rPr>
          <w:rFonts w:cs="Arial"/>
          <w:sz w:val="22"/>
          <w:lang w:val="es-ES_tradnl"/>
        </w:rPr>
        <w:t xml:space="preserve"> Se </w:t>
      </w:r>
      <w:r w:rsidR="00A72383">
        <w:rPr>
          <w:rFonts w:cs="Arial"/>
          <w:sz w:val="22"/>
          <w:lang w:val="es-ES_tradnl"/>
        </w:rPr>
        <w:t xml:space="preserve">reincorpora a </w:t>
      </w:r>
      <w:r w:rsidR="00A16384">
        <w:rPr>
          <w:rFonts w:cs="Arial"/>
          <w:sz w:val="22"/>
          <w:lang w:val="es-ES_tradnl"/>
        </w:rPr>
        <w:t xml:space="preserve">la sesión el Director Carazo </w:t>
      </w:r>
      <w:r w:rsidR="00A72383">
        <w:rPr>
          <w:rFonts w:cs="Arial"/>
          <w:sz w:val="22"/>
          <w:lang w:val="es-ES_tradnl"/>
        </w:rPr>
        <w:t xml:space="preserve">Campos y se toma nota de una información del Director Presidente, en el sentido que hoy ha recibido de la </w:t>
      </w:r>
      <w:r w:rsidR="00A72383" w:rsidRPr="00A72383">
        <w:rPr>
          <w:rFonts w:cs="Arial"/>
          <w:sz w:val="22"/>
          <w:szCs w:val="22"/>
          <w:lang w:val="es-CR"/>
        </w:rPr>
        <w:t>Contraloría General de la República</w:t>
      </w:r>
      <w:r w:rsidR="00A72383">
        <w:rPr>
          <w:rFonts w:cs="Arial"/>
          <w:sz w:val="22"/>
          <w:szCs w:val="22"/>
          <w:lang w:val="es-CR"/>
        </w:rPr>
        <w:t xml:space="preserve">, </w:t>
      </w:r>
      <w:r w:rsidR="001104CC" w:rsidRPr="001104CC">
        <w:rPr>
          <w:rFonts w:cs="Arial"/>
          <w:sz w:val="22"/>
        </w:rPr>
        <w:t>el informe sobre la inversión de recursos de la Cuenta General en el FONAVI</w:t>
      </w:r>
      <w:r w:rsidR="00A72383">
        <w:rPr>
          <w:rFonts w:cs="Arial"/>
          <w:sz w:val="22"/>
        </w:rPr>
        <w:t>, el cual será enviado a los demás señores Directores para su estudio, con el propósito de que sea conocido y resuelto en la próxima sesión.</w:t>
      </w:r>
    </w:p>
    <w:p w14:paraId="4D769BDB" w14:textId="77777777" w:rsidR="009D03FE" w:rsidRPr="00D14EAF" w:rsidRDefault="009D03FE" w:rsidP="009D03FE">
      <w:pPr>
        <w:spacing w:line="360" w:lineRule="auto"/>
        <w:jc w:val="both"/>
        <w:rPr>
          <w:rFonts w:cs="Arial"/>
          <w:b/>
          <w:sz w:val="22"/>
        </w:rPr>
      </w:pPr>
      <w:r w:rsidRPr="00D14EAF">
        <w:rPr>
          <w:rFonts w:cs="Arial"/>
          <w:b/>
          <w:sz w:val="22"/>
        </w:rPr>
        <w:t>************</w:t>
      </w:r>
    </w:p>
    <w:p w14:paraId="5A45FB38" w14:textId="77777777" w:rsidR="009D03FE" w:rsidRDefault="009D03FE" w:rsidP="009D03FE">
      <w:pPr>
        <w:spacing w:line="360" w:lineRule="auto"/>
        <w:jc w:val="both"/>
        <w:rPr>
          <w:rFonts w:cs="Arial"/>
          <w:b/>
          <w:bCs/>
          <w:sz w:val="22"/>
          <w:szCs w:val="22"/>
          <w:u w:val="single"/>
          <w:lang w:val="es-ES_tradnl"/>
        </w:rPr>
      </w:pPr>
    </w:p>
    <w:p w14:paraId="49C38B4E" w14:textId="62217EC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4311FD" w:rsidRPr="004311FD">
        <w:rPr>
          <w:rFonts w:cs="Arial"/>
          <w:b/>
          <w:bCs/>
          <w:sz w:val="22"/>
          <w:u w:val="single"/>
        </w:rPr>
        <w:t>Comunicación del Director Carazo Campos, sobre próxima salida del país</w:t>
      </w:r>
    </w:p>
    <w:p w14:paraId="6DC401C1" w14:textId="77777777" w:rsidR="009D03FE" w:rsidRDefault="009D03FE" w:rsidP="009D03FE">
      <w:pPr>
        <w:spacing w:line="360" w:lineRule="auto"/>
        <w:jc w:val="both"/>
        <w:rPr>
          <w:rFonts w:cs="Arial"/>
          <w:sz w:val="22"/>
          <w:szCs w:val="22"/>
        </w:rPr>
      </w:pPr>
    </w:p>
    <w:p w14:paraId="138441D3" w14:textId="256C34DB"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72383">
        <w:rPr>
          <w:rFonts w:cs="Arial"/>
          <w:sz w:val="22"/>
          <w:u w:val="single"/>
          <w:lang w:val="es-ES_tradnl"/>
        </w:rPr>
        <w:t>228</w:t>
      </w:r>
      <w:r w:rsidRPr="0039311E">
        <w:rPr>
          <w:rFonts w:cs="Arial"/>
          <w:sz w:val="22"/>
          <w:u w:val="single"/>
          <w:lang w:val="es-ES_tradnl"/>
        </w:rPr>
        <w:t>:</w:t>
      </w:r>
      <w:r w:rsidR="00A72383">
        <w:rPr>
          <w:rFonts w:cs="Arial"/>
          <w:sz w:val="22"/>
          <w:u w:val="single"/>
          <w:lang w:val="es-ES_tradnl"/>
        </w:rPr>
        <w:t>08</w:t>
      </w:r>
      <w:r>
        <w:rPr>
          <w:rFonts w:cs="Arial"/>
          <w:sz w:val="22"/>
          <w:lang w:val="es-ES_tradnl"/>
        </w:rPr>
        <w:t xml:space="preserve"> Se </w:t>
      </w:r>
      <w:r w:rsidR="00A72383">
        <w:rPr>
          <w:rFonts w:cs="Arial"/>
          <w:sz w:val="22"/>
          <w:lang w:val="es-ES_tradnl"/>
        </w:rPr>
        <w:t>toma nota de una información del Director Carazo Campos, quien indica que está fuera del país entre el 20 y el 24 de setiembre próximos.</w:t>
      </w:r>
    </w:p>
    <w:p w14:paraId="10DF63E6" w14:textId="77777777" w:rsidR="009D03FE" w:rsidRPr="00D14EAF" w:rsidRDefault="009D03FE" w:rsidP="009D03FE">
      <w:pPr>
        <w:spacing w:line="360" w:lineRule="auto"/>
        <w:jc w:val="both"/>
        <w:rPr>
          <w:rFonts w:cs="Arial"/>
          <w:b/>
          <w:sz w:val="22"/>
        </w:rPr>
      </w:pPr>
      <w:r w:rsidRPr="00D14EAF">
        <w:rPr>
          <w:rFonts w:cs="Arial"/>
          <w:b/>
          <w:sz w:val="22"/>
        </w:rPr>
        <w:t>************</w:t>
      </w:r>
    </w:p>
    <w:p w14:paraId="65082181" w14:textId="77777777" w:rsidR="009D03FE" w:rsidRDefault="009D03FE" w:rsidP="009D03FE">
      <w:pPr>
        <w:spacing w:line="360" w:lineRule="auto"/>
        <w:jc w:val="both"/>
        <w:rPr>
          <w:rFonts w:cs="Arial"/>
          <w:b/>
          <w:bCs/>
          <w:sz w:val="22"/>
          <w:szCs w:val="22"/>
          <w:u w:val="single"/>
          <w:lang w:val="es-ES_tradnl"/>
        </w:rPr>
      </w:pPr>
    </w:p>
    <w:p w14:paraId="03FA3F7D" w14:textId="2B1CDBF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9° </w:t>
      </w:r>
      <w:r w:rsidR="004311FD" w:rsidRPr="004311FD">
        <w:rPr>
          <w:rFonts w:cs="Arial"/>
          <w:b/>
          <w:bCs/>
          <w:sz w:val="22"/>
          <w:u w:val="single"/>
        </w:rPr>
        <w:t>Comunicación de la Directora Ulibarri Pernús, sobre próxima salida del país y solicitudes sobre el estudio de modernización institucional, el Plan Estratégico Institucional y el proceso de fusión entre instituciones del sector vivienda</w:t>
      </w:r>
    </w:p>
    <w:p w14:paraId="326247EC" w14:textId="77777777" w:rsidR="009D03FE" w:rsidRDefault="009D03FE" w:rsidP="009D03FE">
      <w:pPr>
        <w:spacing w:line="360" w:lineRule="auto"/>
        <w:jc w:val="both"/>
        <w:rPr>
          <w:rFonts w:cs="Arial"/>
          <w:sz w:val="22"/>
          <w:szCs w:val="22"/>
        </w:rPr>
      </w:pPr>
    </w:p>
    <w:p w14:paraId="3D475B17" w14:textId="4529316B" w:rsidR="00A1101F" w:rsidRDefault="00A1101F" w:rsidP="00A1101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229</w:t>
      </w:r>
      <w:r w:rsidRPr="0039311E">
        <w:rPr>
          <w:rFonts w:cs="Arial"/>
          <w:sz w:val="22"/>
          <w:u w:val="single"/>
          <w:lang w:val="es-ES_tradnl"/>
        </w:rPr>
        <w:t>:</w:t>
      </w:r>
      <w:r>
        <w:rPr>
          <w:rFonts w:cs="Arial"/>
          <w:sz w:val="22"/>
          <w:u w:val="single"/>
          <w:lang w:val="es-ES_tradnl"/>
        </w:rPr>
        <w:t>49</w:t>
      </w:r>
      <w:r>
        <w:rPr>
          <w:rFonts w:cs="Arial"/>
          <w:sz w:val="22"/>
          <w:lang w:val="es-ES_tradnl"/>
        </w:rPr>
        <w:t xml:space="preserve"> Se toma nota de una información de la Directora Ulibarri Pernús, quien indica que está fuera del país entre el 23 de setiembre y el 21 de octubre próximos.</w:t>
      </w:r>
    </w:p>
    <w:p w14:paraId="0B5DC043" w14:textId="5859A478" w:rsidR="00A1101F" w:rsidRDefault="00A1101F" w:rsidP="00A1101F">
      <w:pPr>
        <w:spacing w:line="360" w:lineRule="auto"/>
        <w:jc w:val="both"/>
        <w:rPr>
          <w:rFonts w:cs="Arial"/>
          <w:sz w:val="22"/>
          <w:lang w:val="es-ES_tradnl"/>
        </w:rPr>
      </w:pPr>
    </w:p>
    <w:p w14:paraId="02077E31" w14:textId="6B4DD169" w:rsidR="00A1101F" w:rsidRDefault="00A1101F" w:rsidP="00A1101F">
      <w:pPr>
        <w:spacing w:line="360" w:lineRule="auto"/>
        <w:jc w:val="both"/>
        <w:rPr>
          <w:rFonts w:cs="Arial"/>
          <w:sz w:val="22"/>
          <w:lang w:val="es-ES_tradnl"/>
        </w:rPr>
      </w:pPr>
      <w:r>
        <w:rPr>
          <w:rFonts w:cs="Arial"/>
          <w:sz w:val="22"/>
          <w:lang w:val="es-ES_tradnl"/>
        </w:rPr>
        <w:t xml:space="preserve">Adicionalmente, le solicita al señor Gerente General, que le brinde información actualizada a esta </w:t>
      </w:r>
      <w:r w:rsidRPr="00A1101F">
        <w:rPr>
          <w:rFonts w:cs="Arial"/>
          <w:sz w:val="22"/>
          <w:lang w:val="es-ES_tradnl"/>
        </w:rPr>
        <w:t>Junta Directiva</w:t>
      </w:r>
      <w:r w:rsidR="0034172F">
        <w:rPr>
          <w:rFonts w:cs="Arial"/>
          <w:sz w:val="22"/>
          <w:lang w:val="es-ES_tradnl"/>
        </w:rPr>
        <w:t>,</w:t>
      </w:r>
      <w:r>
        <w:rPr>
          <w:rFonts w:cs="Arial"/>
          <w:sz w:val="22"/>
          <w:lang w:val="es-ES_tradnl"/>
        </w:rPr>
        <w:t xml:space="preserve"> sobre la consultoría para la modernización institucional y el nuevo Plan Estratégico Institucional.</w:t>
      </w:r>
      <w:r w:rsidR="0034172F">
        <w:rPr>
          <w:rFonts w:cs="Arial"/>
          <w:sz w:val="22"/>
          <w:lang w:val="es-ES_tradnl"/>
        </w:rPr>
        <w:t xml:space="preserve">  Sobre el primer tema, el señor Gerente General </w:t>
      </w:r>
      <w:r w:rsidR="00E436EB">
        <w:rPr>
          <w:rFonts w:cs="Arial"/>
          <w:sz w:val="22"/>
          <w:lang w:val="es-ES_tradnl"/>
        </w:rPr>
        <w:t xml:space="preserve">explica luego que el concurso se declaró desierto y, sobre el segundo tema, el borrador del Plan está concluido y será sometido al conocimiento de esta </w:t>
      </w:r>
      <w:r w:rsidR="00E436EB" w:rsidRPr="00E436EB">
        <w:rPr>
          <w:rFonts w:cs="Arial"/>
          <w:sz w:val="22"/>
          <w:lang w:val="es-ES_tradnl"/>
        </w:rPr>
        <w:t>Junta Directiva</w:t>
      </w:r>
      <w:r w:rsidR="00E436EB">
        <w:rPr>
          <w:rFonts w:cs="Arial"/>
          <w:sz w:val="22"/>
          <w:lang w:val="es-ES_tradnl"/>
        </w:rPr>
        <w:t xml:space="preserve"> en una próxima sesión.</w:t>
      </w:r>
    </w:p>
    <w:p w14:paraId="0D88A46C" w14:textId="59275409" w:rsidR="00A1101F" w:rsidRDefault="00A1101F" w:rsidP="00A1101F">
      <w:pPr>
        <w:spacing w:line="360" w:lineRule="auto"/>
        <w:jc w:val="both"/>
        <w:rPr>
          <w:rFonts w:cs="Arial"/>
          <w:sz w:val="22"/>
          <w:lang w:val="es-ES_tradnl"/>
        </w:rPr>
      </w:pPr>
    </w:p>
    <w:p w14:paraId="54CFB50B" w14:textId="742FBB5F" w:rsidR="00A1101F" w:rsidRDefault="00A1101F" w:rsidP="00A1101F">
      <w:pPr>
        <w:spacing w:line="360" w:lineRule="auto"/>
        <w:jc w:val="both"/>
        <w:rPr>
          <w:rFonts w:cs="Arial"/>
          <w:sz w:val="22"/>
          <w:lang w:val="es-ES_tradnl"/>
        </w:rPr>
      </w:pPr>
      <w:r>
        <w:rPr>
          <w:rFonts w:cs="Arial"/>
          <w:sz w:val="22"/>
          <w:lang w:val="es-ES_tradnl"/>
        </w:rPr>
        <w:t xml:space="preserve">Finalmente, </w:t>
      </w:r>
      <w:r w:rsidR="006D4763">
        <w:rPr>
          <w:rFonts w:cs="Arial"/>
          <w:sz w:val="22"/>
          <w:lang w:val="es-ES_tradnl"/>
        </w:rPr>
        <w:t xml:space="preserve">la Directora Ulibarri Pernús le solicita al Director Presidente, que gestione una reunión entre esta </w:t>
      </w:r>
      <w:r w:rsidR="006D4763" w:rsidRPr="006D4763">
        <w:rPr>
          <w:rFonts w:cs="Arial"/>
          <w:sz w:val="22"/>
          <w:lang w:val="es-ES_tradnl"/>
        </w:rPr>
        <w:t>Junta Directiva</w:t>
      </w:r>
      <w:r w:rsidR="006D4763">
        <w:rPr>
          <w:rFonts w:cs="Arial"/>
          <w:sz w:val="22"/>
          <w:lang w:val="es-ES_tradnl"/>
        </w:rPr>
        <w:t xml:space="preserve"> y la señora Ministra de Vivienda y Asentamientos, con el propósito de conocer la situación de la iniciativa impulsada por el Gobierno de la República, en relación con las labores del Instituto Nacional de Vivienda y Urbanismo, el BANHVI y el Ministerio de Vivienda.</w:t>
      </w:r>
    </w:p>
    <w:p w14:paraId="5F9F6926" w14:textId="77777777" w:rsidR="009D03FE" w:rsidRPr="00D14EAF" w:rsidRDefault="009D03FE" w:rsidP="009D03FE">
      <w:pPr>
        <w:spacing w:line="360" w:lineRule="auto"/>
        <w:jc w:val="both"/>
        <w:rPr>
          <w:rFonts w:cs="Arial"/>
          <w:b/>
          <w:sz w:val="22"/>
        </w:rPr>
      </w:pPr>
      <w:r w:rsidRPr="00D14EAF">
        <w:rPr>
          <w:rFonts w:cs="Arial"/>
          <w:b/>
          <w:sz w:val="22"/>
        </w:rPr>
        <w:t>************</w:t>
      </w:r>
    </w:p>
    <w:p w14:paraId="0191BD29" w14:textId="77777777" w:rsidR="009D03FE" w:rsidRDefault="009D03FE" w:rsidP="009D03FE">
      <w:pPr>
        <w:spacing w:line="360" w:lineRule="auto"/>
        <w:jc w:val="both"/>
        <w:rPr>
          <w:rFonts w:cs="Arial"/>
          <w:b/>
          <w:bCs/>
          <w:sz w:val="22"/>
          <w:szCs w:val="22"/>
          <w:u w:val="single"/>
          <w:lang w:val="es-ES_tradnl"/>
        </w:rPr>
      </w:pPr>
    </w:p>
    <w:p w14:paraId="4F128604" w14:textId="2665D52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4311FD" w:rsidRPr="004311FD">
        <w:rPr>
          <w:rFonts w:cs="Arial"/>
          <w:b/>
          <w:bCs/>
          <w:sz w:val="22"/>
          <w:u w:val="single"/>
        </w:rPr>
        <w:t>Solicitud de informe sobre acuerdos pendientes de atender y para conocer las ofertas recibidas por los interesados en ocupar los puestos de subgerentes</w:t>
      </w:r>
    </w:p>
    <w:p w14:paraId="14AC232B" w14:textId="77777777" w:rsidR="009D03FE" w:rsidRDefault="009D03FE" w:rsidP="009D03FE">
      <w:pPr>
        <w:spacing w:line="360" w:lineRule="auto"/>
        <w:jc w:val="both"/>
        <w:rPr>
          <w:rFonts w:cs="Arial"/>
          <w:sz w:val="22"/>
          <w:szCs w:val="22"/>
        </w:rPr>
      </w:pPr>
    </w:p>
    <w:p w14:paraId="2ACDF427" w14:textId="0A12210D"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D4763">
        <w:rPr>
          <w:rFonts w:cs="Arial"/>
          <w:sz w:val="22"/>
          <w:u w:val="single"/>
          <w:lang w:val="es-ES_tradnl"/>
        </w:rPr>
        <w:t>233</w:t>
      </w:r>
      <w:r w:rsidRPr="0039311E">
        <w:rPr>
          <w:rFonts w:cs="Arial"/>
          <w:sz w:val="22"/>
          <w:u w:val="single"/>
          <w:lang w:val="es-ES_tradnl"/>
        </w:rPr>
        <w:t>:</w:t>
      </w:r>
      <w:r w:rsidR="006D4763">
        <w:rPr>
          <w:rFonts w:cs="Arial"/>
          <w:sz w:val="22"/>
          <w:u w:val="single"/>
          <w:lang w:val="es-ES_tradnl"/>
        </w:rPr>
        <w:t>11</w:t>
      </w:r>
      <w:r>
        <w:rPr>
          <w:rFonts w:cs="Arial"/>
          <w:sz w:val="22"/>
          <w:lang w:val="es-ES_tradnl"/>
        </w:rPr>
        <w:t xml:space="preserve"> </w:t>
      </w:r>
      <w:r w:rsidR="006D4763">
        <w:rPr>
          <w:rFonts w:cs="Arial"/>
          <w:sz w:val="22"/>
          <w:lang w:val="es-ES_tradnl"/>
        </w:rPr>
        <w:t xml:space="preserve">El señor Gerente General toma nota de un recordatorio del Director </w:t>
      </w:r>
      <w:r w:rsidR="00185CE7">
        <w:rPr>
          <w:rFonts w:cs="Arial"/>
          <w:sz w:val="22"/>
          <w:lang w:val="es-ES_tradnl"/>
        </w:rPr>
        <w:t>Carazo Campos, sobre la presentación de un informe sobre los acuerdos pendientes de atender, así como con respecto a la conveniencia de retomar la discusión y eventual resolución del proceso de selección y nombramiento de los subgerentes.</w:t>
      </w:r>
      <w:r w:rsidR="00E436EB">
        <w:rPr>
          <w:rFonts w:cs="Arial"/>
          <w:sz w:val="22"/>
          <w:lang w:val="es-ES_tradnl"/>
        </w:rPr>
        <w:t xml:space="preserve">  Al respecto, el señor Gerente General explica luego que el informe de acuerdos pendientes se encuentra concluido y será sometido al conocimiento de este Órgano Colegiado en una próxima sesión.</w:t>
      </w:r>
    </w:p>
    <w:p w14:paraId="0FE6C6C7" w14:textId="77777777" w:rsidR="009D03FE" w:rsidRPr="00D14EAF" w:rsidRDefault="009D03FE" w:rsidP="009D03FE">
      <w:pPr>
        <w:spacing w:line="360" w:lineRule="auto"/>
        <w:jc w:val="both"/>
        <w:rPr>
          <w:rFonts w:cs="Arial"/>
          <w:b/>
          <w:sz w:val="22"/>
        </w:rPr>
      </w:pPr>
      <w:r w:rsidRPr="00D14EAF">
        <w:rPr>
          <w:rFonts w:cs="Arial"/>
          <w:b/>
          <w:sz w:val="22"/>
        </w:rPr>
        <w:t>************</w:t>
      </w:r>
    </w:p>
    <w:p w14:paraId="23646D41" w14:textId="77777777" w:rsidR="009D03FE" w:rsidRDefault="009D03FE" w:rsidP="009D03FE">
      <w:pPr>
        <w:spacing w:line="360" w:lineRule="auto"/>
        <w:jc w:val="both"/>
        <w:rPr>
          <w:rFonts w:cs="Arial"/>
          <w:b/>
          <w:bCs/>
          <w:sz w:val="22"/>
          <w:szCs w:val="22"/>
          <w:u w:val="single"/>
          <w:lang w:val="es-ES_tradnl"/>
        </w:rPr>
      </w:pPr>
    </w:p>
    <w:p w14:paraId="5EC0097D" w14:textId="38FD328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4311FD" w:rsidRPr="004311FD">
        <w:rPr>
          <w:rFonts w:cs="Arial"/>
          <w:b/>
          <w:bCs/>
          <w:sz w:val="22"/>
          <w:u w:val="single"/>
        </w:rPr>
        <w:t>Solicitud de informe sobre las improbaciones del Presupuesto Ordinario 2022 y comentario sobre el proceso de fusión entre instituciones del sector vivienda</w:t>
      </w:r>
    </w:p>
    <w:p w14:paraId="0838E711" w14:textId="77777777" w:rsidR="009D03FE" w:rsidRDefault="009D03FE" w:rsidP="009D03FE">
      <w:pPr>
        <w:spacing w:line="360" w:lineRule="auto"/>
        <w:jc w:val="both"/>
        <w:rPr>
          <w:rFonts w:cs="Arial"/>
          <w:sz w:val="22"/>
          <w:szCs w:val="22"/>
        </w:rPr>
      </w:pPr>
    </w:p>
    <w:p w14:paraId="34A1648D" w14:textId="77777777" w:rsidR="002B3822"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185CE7">
        <w:rPr>
          <w:rFonts w:cs="Arial"/>
          <w:sz w:val="22"/>
          <w:u w:val="single"/>
          <w:lang w:val="es-ES_tradnl"/>
        </w:rPr>
        <w:t>234</w:t>
      </w:r>
      <w:r w:rsidRPr="0039311E">
        <w:rPr>
          <w:rFonts w:cs="Arial"/>
          <w:sz w:val="22"/>
          <w:u w:val="single"/>
          <w:lang w:val="es-ES_tradnl"/>
        </w:rPr>
        <w:t>:</w:t>
      </w:r>
      <w:r w:rsidR="00185CE7">
        <w:rPr>
          <w:rFonts w:cs="Arial"/>
          <w:sz w:val="22"/>
          <w:u w:val="single"/>
          <w:lang w:val="es-ES_tradnl"/>
        </w:rPr>
        <w:t>08</w:t>
      </w:r>
      <w:r>
        <w:rPr>
          <w:rFonts w:cs="Arial"/>
          <w:sz w:val="22"/>
          <w:lang w:val="es-ES_tradnl"/>
        </w:rPr>
        <w:t xml:space="preserve"> </w:t>
      </w:r>
      <w:r w:rsidR="00185CE7">
        <w:rPr>
          <w:rFonts w:cs="Arial"/>
          <w:sz w:val="22"/>
          <w:lang w:val="es-ES_tradnl"/>
        </w:rPr>
        <w:t>El señor Gerente General toma nota de una solicitud del Director Alvarado Herrera, para que</w:t>
      </w:r>
      <w:r w:rsidR="00A04F3C">
        <w:rPr>
          <w:rFonts w:cs="Arial"/>
          <w:sz w:val="22"/>
          <w:lang w:val="es-ES_tradnl"/>
        </w:rPr>
        <w:t>, debido a que se está elabora</w:t>
      </w:r>
      <w:r w:rsidR="002B3822">
        <w:rPr>
          <w:rFonts w:cs="Arial"/>
          <w:sz w:val="22"/>
          <w:lang w:val="es-ES_tradnl"/>
        </w:rPr>
        <w:t>ndo</w:t>
      </w:r>
      <w:r w:rsidR="00A04F3C">
        <w:rPr>
          <w:rFonts w:cs="Arial"/>
          <w:sz w:val="22"/>
          <w:lang w:val="es-ES_tradnl"/>
        </w:rPr>
        <w:t xml:space="preserve"> el Presupuesto Ordinario del Banco para el año 2023,</w:t>
      </w:r>
      <w:r w:rsidR="00185CE7">
        <w:rPr>
          <w:rFonts w:cs="Arial"/>
          <w:sz w:val="22"/>
          <w:lang w:val="es-ES_tradnl"/>
        </w:rPr>
        <w:t xml:space="preserve"> </w:t>
      </w:r>
      <w:r w:rsidR="00A04F3C">
        <w:rPr>
          <w:rFonts w:cs="Arial"/>
          <w:sz w:val="22"/>
          <w:lang w:val="es-ES_tradnl"/>
        </w:rPr>
        <w:t xml:space="preserve">se presente a esta </w:t>
      </w:r>
      <w:r w:rsidR="00A04F3C" w:rsidRPr="00A04F3C">
        <w:rPr>
          <w:rFonts w:cs="Arial"/>
          <w:sz w:val="22"/>
          <w:lang w:val="es-ES_tradnl"/>
        </w:rPr>
        <w:t>Junta Directiva</w:t>
      </w:r>
      <w:r w:rsidR="00A04F3C">
        <w:rPr>
          <w:rFonts w:cs="Arial"/>
          <w:sz w:val="22"/>
          <w:lang w:val="es-ES_tradnl"/>
        </w:rPr>
        <w:t xml:space="preserve"> </w:t>
      </w:r>
      <w:r w:rsidR="002B3822">
        <w:rPr>
          <w:rFonts w:cs="Arial"/>
          <w:sz w:val="22"/>
          <w:lang w:val="es-ES_tradnl"/>
        </w:rPr>
        <w:t xml:space="preserve">un detalle de las partidas que la </w:t>
      </w:r>
      <w:r w:rsidR="002B3822" w:rsidRPr="002B3822">
        <w:rPr>
          <w:rFonts w:cs="Arial"/>
          <w:sz w:val="22"/>
          <w:szCs w:val="22"/>
          <w:lang w:val="es-CR"/>
        </w:rPr>
        <w:t>Contraloría General de la República</w:t>
      </w:r>
      <w:r w:rsidR="002B3822">
        <w:rPr>
          <w:rFonts w:cs="Arial"/>
          <w:sz w:val="22"/>
          <w:szCs w:val="22"/>
          <w:lang w:val="es-CR"/>
        </w:rPr>
        <w:t xml:space="preserve"> </w:t>
      </w:r>
      <w:r w:rsidR="002B3822">
        <w:rPr>
          <w:rFonts w:cs="Arial"/>
          <w:sz w:val="22"/>
          <w:lang w:val="es-ES_tradnl"/>
        </w:rPr>
        <w:t>no aprobó del Presupuesto 2022.</w:t>
      </w:r>
    </w:p>
    <w:p w14:paraId="18265FA0" w14:textId="77777777" w:rsidR="002B3822" w:rsidRDefault="002B3822" w:rsidP="009D03FE">
      <w:pPr>
        <w:spacing w:line="360" w:lineRule="auto"/>
        <w:jc w:val="both"/>
        <w:rPr>
          <w:rFonts w:cs="Arial"/>
          <w:sz w:val="22"/>
          <w:lang w:val="es-ES_tradnl"/>
        </w:rPr>
      </w:pPr>
    </w:p>
    <w:p w14:paraId="0A0524D0" w14:textId="4C5F8932" w:rsidR="009D03FE" w:rsidRDefault="002B3822" w:rsidP="009D03FE">
      <w:pPr>
        <w:spacing w:line="360" w:lineRule="auto"/>
        <w:jc w:val="both"/>
        <w:rPr>
          <w:rFonts w:cs="Arial"/>
          <w:sz w:val="22"/>
          <w:lang w:val="es-ES_tradnl"/>
        </w:rPr>
      </w:pPr>
      <w:r>
        <w:rPr>
          <w:rFonts w:cs="Arial"/>
          <w:sz w:val="22"/>
          <w:lang w:val="es-ES_tradnl"/>
        </w:rPr>
        <w:t xml:space="preserve">Adicionalmente, secunda la solicitud de la Directora Ulibarri Pernús, en cuanto a gestionar una reunión próxima con la señora Ministra de Vivienda y Asentamientos Humanos. </w:t>
      </w:r>
    </w:p>
    <w:p w14:paraId="6C3B8FB5" w14:textId="77777777" w:rsidR="009D03FE" w:rsidRPr="00D14EAF" w:rsidRDefault="009D03FE" w:rsidP="009D03FE">
      <w:pPr>
        <w:spacing w:line="360" w:lineRule="auto"/>
        <w:jc w:val="both"/>
        <w:rPr>
          <w:rFonts w:cs="Arial"/>
          <w:b/>
          <w:sz w:val="22"/>
        </w:rPr>
      </w:pPr>
      <w:r w:rsidRPr="00D14EAF">
        <w:rPr>
          <w:rFonts w:cs="Arial"/>
          <w:b/>
          <w:sz w:val="22"/>
        </w:rPr>
        <w:t>************</w:t>
      </w:r>
    </w:p>
    <w:p w14:paraId="0523794C" w14:textId="77777777" w:rsidR="00E97960" w:rsidRDefault="00E97960" w:rsidP="00E97960">
      <w:pPr>
        <w:spacing w:line="360" w:lineRule="auto"/>
        <w:jc w:val="both"/>
        <w:rPr>
          <w:rFonts w:cs="Arial"/>
          <w:sz w:val="22"/>
          <w:szCs w:val="22"/>
        </w:rPr>
      </w:pPr>
    </w:p>
    <w:p w14:paraId="3CF10365" w14:textId="108AF07C"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E436EB">
        <w:rPr>
          <w:rFonts w:cs="Arial"/>
          <w:szCs w:val="22"/>
          <w:u w:val="single"/>
        </w:rPr>
        <w:t>242:26</w:t>
      </w:r>
      <w:r>
        <w:rPr>
          <w:rFonts w:cs="Arial"/>
          <w:szCs w:val="22"/>
        </w:rPr>
        <w:t xml:space="preserve"> </w:t>
      </w:r>
      <w:r w:rsidR="00FA4CCB" w:rsidRPr="00AB2826">
        <w:rPr>
          <w:rFonts w:cs="Arial"/>
          <w:szCs w:val="22"/>
        </w:rPr>
        <w:t xml:space="preserve">Siendo las </w:t>
      </w:r>
      <w:r w:rsidR="00E436EB">
        <w:rPr>
          <w:rFonts w:cs="Arial"/>
          <w:szCs w:val="22"/>
        </w:rPr>
        <w:t xml:space="preserve">veinte </w:t>
      </w:r>
      <w:r w:rsidR="00FA4CCB" w:rsidRPr="00AB2826">
        <w:rPr>
          <w:rFonts w:cs="Arial"/>
          <w:szCs w:val="22"/>
        </w:rPr>
        <w:t>horas</w:t>
      </w:r>
      <w:r w:rsidR="00EC7E01">
        <w:rPr>
          <w:rFonts w:cs="Arial"/>
          <w:szCs w:val="22"/>
        </w:rPr>
        <w:t xml:space="preserve"> </w:t>
      </w:r>
      <w:r w:rsidR="006A779D">
        <w:rPr>
          <w:rFonts w:cs="Arial"/>
          <w:szCs w:val="22"/>
        </w:rPr>
        <w:t xml:space="preserve">con </w:t>
      </w:r>
      <w:r w:rsidR="00E436EB">
        <w:rPr>
          <w:rFonts w:cs="Arial"/>
          <w:szCs w:val="22"/>
        </w:rPr>
        <w:t>diez minutos</w:t>
      </w:r>
      <w:r w:rsidR="00FA4CCB" w:rsidRPr="00AB2826">
        <w:rPr>
          <w:rFonts w:cs="Arial"/>
          <w:szCs w:val="22"/>
        </w:rPr>
        <w:t>, se levanta la sesión.</w:t>
      </w:r>
    </w:p>
    <w:p w14:paraId="051C08AB" w14:textId="77777777" w:rsidR="006321F4" w:rsidRPr="00D14EAF" w:rsidRDefault="006321F4" w:rsidP="002D0146">
      <w:pPr>
        <w:spacing w:line="360" w:lineRule="auto"/>
        <w:jc w:val="both"/>
        <w:rPr>
          <w:rFonts w:cs="Arial"/>
          <w:b/>
          <w:sz w:val="22"/>
        </w:rPr>
      </w:pPr>
      <w:r w:rsidRPr="00D14EAF">
        <w:rPr>
          <w:rFonts w:cs="Arial"/>
          <w:b/>
          <w:sz w:val="22"/>
        </w:rPr>
        <w:t>************</w:t>
      </w:r>
    </w:p>
    <w:p w14:paraId="1F854CD5" w14:textId="77777777" w:rsidR="002B71CC" w:rsidRDefault="002B71CC">
      <w:pPr>
        <w:rPr>
          <w:rFonts w:cs="Arial"/>
          <w:sz w:val="22"/>
          <w:szCs w:val="22"/>
        </w:rPr>
      </w:pPr>
      <w:r>
        <w:rPr>
          <w:rFonts w:cs="Arial"/>
          <w:sz w:val="22"/>
          <w:szCs w:val="22"/>
        </w:rPr>
        <w:br w:type="page"/>
      </w:r>
    </w:p>
    <w:p w14:paraId="57E15082" w14:textId="77777777" w:rsidR="00FA4CCB" w:rsidRDefault="00FA4CCB" w:rsidP="00AB2826">
      <w:pPr>
        <w:spacing w:line="360" w:lineRule="auto"/>
        <w:jc w:val="both"/>
        <w:rPr>
          <w:rFonts w:cs="Arial"/>
          <w:sz w:val="22"/>
          <w:szCs w:val="22"/>
        </w:rPr>
      </w:pPr>
    </w:p>
    <w:p w14:paraId="79DA6FDA" w14:textId="77777777" w:rsidR="002B71CC" w:rsidRDefault="002B71CC" w:rsidP="00AB2826">
      <w:pPr>
        <w:spacing w:line="360" w:lineRule="auto"/>
        <w:jc w:val="both"/>
        <w:rPr>
          <w:rFonts w:cs="Arial"/>
          <w:sz w:val="22"/>
          <w:szCs w:val="22"/>
        </w:rPr>
      </w:pPr>
    </w:p>
    <w:p w14:paraId="4C01FC39" w14:textId="77777777" w:rsidR="002B71CC" w:rsidRDefault="002B71CC" w:rsidP="002B71CC">
      <w:pPr>
        <w:pStyle w:val="Ttulo"/>
        <w:ind w:right="51"/>
        <w:rPr>
          <w:rFonts w:cs="Arial"/>
        </w:rPr>
      </w:pPr>
      <w:r>
        <w:rPr>
          <w:rFonts w:cs="Arial"/>
        </w:rPr>
        <w:t>BANCO HIPOTECARIO DE LA VIVIENDA</w:t>
      </w:r>
    </w:p>
    <w:p w14:paraId="033604A2"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A5C59DF" w14:textId="77777777" w:rsidR="002B71CC" w:rsidRDefault="002B71CC" w:rsidP="002B71CC">
      <w:pPr>
        <w:spacing w:line="360" w:lineRule="auto"/>
        <w:ind w:right="51"/>
        <w:jc w:val="center"/>
        <w:rPr>
          <w:rFonts w:cs="Arial"/>
          <w:b/>
          <w:sz w:val="22"/>
          <w:u w:val="single"/>
        </w:rPr>
      </w:pPr>
    </w:p>
    <w:p w14:paraId="53F0A17F" w14:textId="203ABC53"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59666F">
        <w:rPr>
          <w:rFonts w:cs="Arial"/>
          <w:b/>
          <w:sz w:val="22"/>
          <w:u w:val="single"/>
        </w:rPr>
        <w:t>46</w:t>
      </w:r>
      <w:r>
        <w:rPr>
          <w:rFonts w:cs="Arial"/>
          <w:b/>
          <w:sz w:val="22"/>
          <w:u w:val="single"/>
        </w:rPr>
        <w:t>-</w:t>
      </w:r>
      <w:r w:rsidR="005F2BC7">
        <w:rPr>
          <w:rFonts w:cs="Arial"/>
          <w:b/>
          <w:sz w:val="22"/>
          <w:u w:val="single"/>
        </w:rPr>
        <w:t>2022</w:t>
      </w:r>
    </w:p>
    <w:p w14:paraId="51705BAE" w14:textId="45516A73" w:rsidR="002B71CC" w:rsidRDefault="002B71CC" w:rsidP="002B71CC">
      <w:pPr>
        <w:spacing w:line="360" w:lineRule="auto"/>
        <w:ind w:right="51"/>
        <w:jc w:val="center"/>
        <w:rPr>
          <w:rFonts w:cs="Arial"/>
          <w:b/>
          <w:sz w:val="22"/>
          <w:u w:val="single"/>
        </w:rPr>
      </w:pPr>
      <w:r>
        <w:rPr>
          <w:rFonts w:cs="Arial"/>
          <w:b/>
          <w:sz w:val="22"/>
          <w:u w:val="single"/>
        </w:rPr>
        <w:t xml:space="preserve">DEL </w:t>
      </w:r>
      <w:r w:rsidR="0059666F">
        <w:rPr>
          <w:rFonts w:cs="Arial"/>
          <w:b/>
          <w:sz w:val="22"/>
          <w:u w:val="single"/>
        </w:rPr>
        <w:t>05</w:t>
      </w:r>
      <w:r>
        <w:rPr>
          <w:rFonts w:cs="Arial"/>
          <w:b/>
          <w:sz w:val="22"/>
          <w:u w:val="single"/>
        </w:rPr>
        <w:t xml:space="preserve"> DE </w:t>
      </w:r>
      <w:r w:rsidR="0059666F">
        <w:rPr>
          <w:rFonts w:cs="Arial"/>
          <w:b/>
          <w:sz w:val="22"/>
          <w:u w:val="single"/>
        </w:rPr>
        <w:t>SETIEMBRE</w:t>
      </w:r>
      <w:r>
        <w:rPr>
          <w:rFonts w:cs="Arial"/>
          <w:b/>
          <w:sz w:val="22"/>
          <w:u w:val="single"/>
        </w:rPr>
        <w:t xml:space="preserve"> DE </w:t>
      </w:r>
      <w:r w:rsidR="005F2BC7">
        <w:rPr>
          <w:rFonts w:cs="Arial"/>
          <w:b/>
          <w:sz w:val="22"/>
          <w:u w:val="single"/>
        </w:rPr>
        <w:t>2022</w:t>
      </w:r>
    </w:p>
    <w:p w14:paraId="5E79F42E" w14:textId="77777777" w:rsidR="002B71CC" w:rsidRDefault="002B71CC" w:rsidP="00AB2826">
      <w:pPr>
        <w:spacing w:line="360" w:lineRule="auto"/>
        <w:jc w:val="both"/>
        <w:rPr>
          <w:rFonts w:cs="Arial"/>
          <w:sz w:val="22"/>
          <w:szCs w:val="22"/>
        </w:rPr>
      </w:pPr>
    </w:p>
    <w:p w14:paraId="07997DFA" w14:textId="77777777" w:rsidR="002B71CC" w:rsidRDefault="002B71CC" w:rsidP="002B71CC">
      <w:pPr>
        <w:spacing w:line="360" w:lineRule="auto"/>
        <w:jc w:val="both"/>
        <w:rPr>
          <w:rFonts w:cs="Arial"/>
          <w:sz w:val="22"/>
          <w:lang w:val="es-ES_tradnl"/>
        </w:rPr>
      </w:pPr>
    </w:p>
    <w:p w14:paraId="26829D9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5CB250A" w14:textId="2E127C3A" w:rsidR="002B71CC" w:rsidRDefault="00BD5BBF" w:rsidP="002B71CC">
      <w:pPr>
        <w:spacing w:line="360" w:lineRule="auto"/>
        <w:jc w:val="both"/>
        <w:rPr>
          <w:rFonts w:cs="Arial"/>
          <w:sz w:val="22"/>
          <w:szCs w:val="22"/>
        </w:rPr>
      </w:pPr>
      <w:r>
        <w:rPr>
          <w:rFonts w:cs="Arial"/>
          <w:sz w:val="22"/>
          <w:lang w:val="es-ES_tradnl"/>
        </w:rPr>
        <w:t xml:space="preserve">Instruir a la Administración, para que remita a los miembros de esta </w:t>
      </w:r>
      <w:r w:rsidRPr="008E0DC2">
        <w:rPr>
          <w:rFonts w:cs="Arial"/>
          <w:sz w:val="22"/>
          <w:lang w:val="es-ES_tradnl"/>
        </w:rPr>
        <w:t>Junta Directiva</w:t>
      </w:r>
      <w:r>
        <w:rPr>
          <w:rFonts w:cs="Arial"/>
          <w:sz w:val="22"/>
          <w:lang w:val="es-ES_tradnl"/>
        </w:rPr>
        <w:t xml:space="preserve">, para su valoración en una próxima sesión, el criterio legal </w:t>
      </w:r>
      <w:r w:rsidRPr="00FB116A">
        <w:rPr>
          <w:rFonts w:cs="Arial"/>
          <w:sz w:val="22"/>
          <w:lang w:val="es-CR"/>
        </w:rPr>
        <w:t>sobre las constituciones y uso de las servidumbres de paso o áreas de acceso excepcionales</w:t>
      </w:r>
      <w:r>
        <w:rPr>
          <w:rFonts w:cs="Arial"/>
          <w:sz w:val="22"/>
          <w:lang w:val="es-CR"/>
        </w:rPr>
        <w:t>,</w:t>
      </w:r>
      <w:r w:rsidRPr="00FB116A">
        <w:rPr>
          <w:rFonts w:cs="Arial"/>
          <w:sz w:val="22"/>
          <w:lang w:val="es-CR"/>
        </w:rPr>
        <w:t xml:space="preserve"> en terrenos para uso residencial tramitados bajo la modalidad de bono individuales</w:t>
      </w:r>
      <w:r>
        <w:rPr>
          <w:rFonts w:cs="Arial"/>
          <w:sz w:val="22"/>
          <w:lang w:val="es-CR"/>
        </w:rPr>
        <w:t>.</w:t>
      </w:r>
    </w:p>
    <w:p w14:paraId="6D58C45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170A03D" w14:textId="77777777" w:rsidR="002B71CC" w:rsidRPr="00D14EAF" w:rsidRDefault="002B71CC" w:rsidP="002B71CC">
      <w:pPr>
        <w:spacing w:line="360" w:lineRule="auto"/>
        <w:jc w:val="both"/>
        <w:rPr>
          <w:rFonts w:cs="Arial"/>
          <w:b/>
          <w:sz w:val="22"/>
        </w:rPr>
      </w:pPr>
      <w:r w:rsidRPr="00D14EAF">
        <w:rPr>
          <w:rFonts w:cs="Arial"/>
          <w:b/>
          <w:sz w:val="22"/>
        </w:rPr>
        <w:t>************</w:t>
      </w:r>
    </w:p>
    <w:p w14:paraId="58BFEFD8" w14:textId="77777777" w:rsidR="002B71CC" w:rsidRDefault="002B71CC" w:rsidP="002B71CC">
      <w:pPr>
        <w:spacing w:line="360" w:lineRule="auto"/>
        <w:jc w:val="both"/>
        <w:rPr>
          <w:rFonts w:cs="Arial"/>
          <w:sz w:val="22"/>
          <w:lang w:val="es-ES_tradnl"/>
        </w:rPr>
      </w:pPr>
    </w:p>
    <w:p w14:paraId="3384BCFE" w14:textId="77777777" w:rsidR="00F1255E" w:rsidRPr="00AB2826" w:rsidRDefault="00F1255E" w:rsidP="00F1255E">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065326E8" w14:textId="77777777" w:rsidR="00F1255E" w:rsidRDefault="00F1255E" w:rsidP="00F1255E">
      <w:pPr>
        <w:spacing w:line="360" w:lineRule="auto"/>
        <w:jc w:val="both"/>
        <w:rPr>
          <w:rFonts w:cs="Arial"/>
          <w:b/>
          <w:bCs/>
          <w:sz w:val="22"/>
          <w:szCs w:val="22"/>
        </w:rPr>
      </w:pPr>
      <w:r>
        <w:rPr>
          <w:rFonts w:cs="Arial"/>
          <w:b/>
          <w:bCs/>
          <w:sz w:val="22"/>
          <w:szCs w:val="22"/>
        </w:rPr>
        <w:t>Considerando:</w:t>
      </w:r>
    </w:p>
    <w:p w14:paraId="3F084276" w14:textId="7A225FFA" w:rsidR="00F1255E" w:rsidRDefault="00F1255E" w:rsidP="00F1255E">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Pr>
          <w:rFonts w:cs="Arial"/>
          <w:bCs/>
          <w:sz w:val="22"/>
          <w:lang w:val="es-CR"/>
        </w:rPr>
        <w:t xml:space="preserve">GG-ME-1093-2022 del 02 de setiembre de 2022, la Gerencia General remite y avala el informe </w:t>
      </w:r>
      <w:r>
        <w:rPr>
          <w:rFonts w:cs="Arial"/>
          <w:sz w:val="22"/>
          <w:szCs w:val="22"/>
          <w:lang w:val="es-CR"/>
        </w:rPr>
        <w:t>DF-OF-0928-2022 de la Dirección FOSUVI</w:t>
      </w:r>
      <w:r>
        <w:rPr>
          <w:rFonts w:cs="Arial"/>
          <w:bCs/>
          <w:sz w:val="22"/>
          <w:lang w:val="es-CR"/>
        </w:rPr>
        <w:t xml:space="preserve">, que contiene un resumen de los resultados del estudio efectuado a las solicitudes de Grupo Mutual Alajuela – La Vivienda </w:t>
      </w:r>
      <w:r>
        <w:rPr>
          <w:rFonts w:cs="Arial"/>
          <w:bCs/>
          <w:sz w:val="22"/>
          <w:lang w:val="es-ES_tradnl"/>
        </w:rPr>
        <w:t>de Ahorro y Préstamo</w:t>
      </w:r>
      <w:r>
        <w:rPr>
          <w:rFonts w:cs="Arial"/>
          <w:bCs/>
          <w:sz w:val="22"/>
          <w:szCs w:val="22"/>
        </w:rPr>
        <w:t>, INVU, Banco de Costa Rica y Coopealianza, R.L.</w:t>
      </w:r>
      <w:r>
        <w:rPr>
          <w:rFonts w:cs="Arial"/>
          <w:bCs/>
          <w:sz w:val="22"/>
          <w:szCs w:val="22"/>
          <w:lang w:val="es-ES_tradnl"/>
        </w:rPr>
        <w:t>,</w:t>
      </w:r>
      <w:r>
        <w:rPr>
          <w:rFonts w:cs="Arial"/>
          <w:bCs/>
          <w:sz w:val="22"/>
          <w:lang w:val="es-CR"/>
        </w:rPr>
        <w:t xml:space="preserve"> para financiar siete</w:t>
      </w:r>
      <w:r>
        <w:rPr>
          <w:rFonts w:cs="Arial"/>
          <w:bCs/>
          <w:sz w:val="22"/>
        </w:rPr>
        <w:t xml:space="preserve"> operaciones individuales de Bono Familiar de Vivienda, por situación de extrema necesidad, al amparo del artículo 59 de la Ley del Sistema Financiero Nacional para la Vivienda.</w:t>
      </w:r>
    </w:p>
    <w:p w14:paraId="3AEA7AD7" w14:textId="77777777" w:rsidR="00F1255E" w:rsidRDefault="00F1255E" w:rsidP="00F1255E">
      <w:pPr>
        <w:spacing w:line="360" w:lineRule="auto"/>
        <w:jc w:val="both"/>
        <w:rPr>
          <w:rFonts w:cs="Arial"/>
          <w:bCs/>
          <w:sz w:val="22"/>
        </w:rPr>
      </w:pPr>
    </w:p>
    <w:p w14:paraId="50775901" w14:textId="77777777" w:rsidR="00F1255E" w:rsidRDefault="00F1255E" w:rsidP="00F1255E">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0D9E5F79" w14:textId="77777777" w:rsidR="00F1255E" w:rsidRDefault="00F1255E" w:rsidP="00F1255E">
      <w:pPr>
        <w:spacing w:line="360" w:lineRule="auto"/>
        <w:jc w:val="both"/>
        <w:rPr>
          <w:rFonts w:cs="Arial"/>
          <w:bCs/>
          <w:sz w:val="22"/>
          <w:szCs w:val="22"/>
        </w:rPr>
      </w:pPr>
    </w:p>
    <w:p w14:paraId="0FC14BD9" w14:textId="77777777" w:rsidR="00F1255E" w:rsidRDefault="00F1255E" w:rsidP="00F1255E">
      <w:pPr>
        <w:spacing w:line="360" w:lineRule="auto"/>
        <w:jc w:val="both"/>
        <w:rPr>
          <w:rFonts w:cs="Arial"/>
          <w:bCs/>
          <w:sz w:val="22"/>
          <w:szCs w:val="22"/>
          <w:lang w:val="es-ES_tradnl"/>
        </w:rPr>
      </w:pPr>
      <w:r>
        <w:rPr>
          <w:rFonts w:cs="Arial"/>
          <w:b/>
          <w:bCs/>
          <w:sz w:val="22"/>
          <w:szCs w:val="22"/>
        </w:rPr>
        <w:lastRenderedPageBreak/>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citado informe </w:t>
      </w:r>
      <w:r>
        <w:rPr>
          <w:rFonts w:cs="Arial"/>
          <w:sz w:val="22"/>
          <w:szCs w:val="22"/>
          <w:lang w:val="es-CR"/>
        </w:rPr>
        <w:t>DF-OF-0928-2022</w:t>
      </w:r>
      <w:r>
        <w:rPr>
          <w:rFonts w:cs="Arial"/>
          <w:bCs/>
          <w:sz w:val="22"/>
          <w:szCs w:val="22"/>
        </w:rPr>
        <w:t>.</w:t>
      </w:r>
    </w:p>
    <w:p w14:paraId="058781BA" w14:textId="77777777" w:rsidR="00F1255E" w:rsidRDefault="00F1255E" w:rsidP="00F1255E">
      <w:pPr>
        <w:spacing w:line="360" w:lineRule="auto"/>
        <w:jc w:val="both"/>
        <w:rPr>
          <w:rFonts w:cs="Arial"/>
          <w:bCs/>
          <w:sz w:val="22"/>
          <w:szCs w:val="22"/>
          <w:lang w:val="es-ES_tradnl"/>
        </w:rPr>
      </w:pPr>
    </w:p>
    <w:p w14:paraId="3A887165" w14:textId="77777777" w:rsidR="00F1255E" w:rsidRDefault="00F1255E" w:rsidP="00F1255E">
      <w:pPr>
        <w:spacing w:line="360" w:lineRule="auto"/>
        <w:jc w:val="both"/>
        <w:rPr>
          <w:rFonts w:cs="Arial"/>
          <w:b/>
          <w:bCs/>
          <w:sz w:val="22"/>
          <w:szCs w:val="22"/>
        </w:rPr>
      </w:pPr>
      <w:r>
        <w:rPr>
          <w:rFonts w:cs="Arial"/>
          <w:b/>
          <w:bCs/>
          <w:sz w:val="22"/>
          <w:szCs w:val="22"/>
        </w:rPr>
        <w:t>Por tanto, se acuerda:</w:t>
      </w:r>
    </w:p>
    <w:p w14:paraId="1F730BB5" w14:textId="77777777" w:rsidR="00F1255E" w:rsidRDefault="00F1255E" w:rsidP="00F1255E">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 siete operaciones individuales de Bono Familiar de Vivienda, por situación de extrema necesidad, de conformidad con las condiciones que se consignan en el informe </w:t>
      </w:r>
      <w:r>
        <w:rPr>
          <w:rFonts w:cs="Arial"/>
          <w:sz w:val="22"/>
          <w:szCs w:val="22"/>
          <w:lang w:val="es-CR"/>
        </w:rPr>
        <w:t xml:space="preserve">DF-OF-0928-2022 </w:t>
      </w:r>
      <w:r>
        <w:rPr>
          <w:rFonts w:cs="Arial"/>
          <w:bCs/>
          <w:sz w:val="22"/>
        </w:rPr>
        <w:t>y según el siguiente detalle:</w:t>
      </w:r>
    </w:p>
    <w:p w14:paraId="1B94D455" w14:textId="77777777" w:rsidR="00F1255E" w:rsidRDefault="00F1255E" w:rsidP="00F1255E">
      <w:pPr>
        <w:spacing w:line="360" w:lineRule="auto"/>
        <w:jc w:val="both"/>
        <w:rPr>
          <w:sz w:val="22"/>
          <w:szCs w:val="22"/>
        </w:rPr>
      </w:pPr>
    </w:p>
    <w:tbl>
      <w:tblPr>
        <w:tblW w:w="8880" w:type="dxa"/>
        <w:tblInd w:w="40" w:type="dxa"/>
        <w:tblLayout w:type="fixed"/>
        <w:tblLook w:val="0400" w:firstRow="0" w:lastRow="0" w:firstColumn="0" w:lastColumn="0" w:noHBand="0" w:noVBand="1"/>
      </w:tblPr>
      <w:tblGrid>
        <w:gridCol w:w="1372"/>
        <w:gridCol w:w="709"/>
        <w:gridCol w:w="708"/>
        <w:gridCol w:w="720"/>
        <w:gridCol w:w="556"/>
        <w:gridCol w:w="376"/>
        <w:gridCol w:w="616"/>
        <w:gridCol w:w="992"/>
        <w:gridCol w:w="990"/>
        <w:gridCol w:w="849"/>
        <w:gridCol w:w="992"/>
      </w:tblGrid>
      <w:tr w:rsidR="00F1255E" w14:paraId="6D9BC122" w14:textId="77777777" w:rsidTr="00EC5E2A">
        <w:trPr>
          <w:trHeight w:val="397"/>
        </w:trPr>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7A26F7C" w14:textId="64AA28CF" w:rsidR="00F1255E" w:rsidRDefault="00F1255E" w:rsidP="00EC5E2A">
            <w:pPr>
              <w:ind w:left="87"/>
              <w:rPr>
                <w:b/>
                <w:sz w:val="20"/>
                <w:szCs w:val="20"/>
              </w:rPr>
            </w:pPr>
            <w:r>
              <w:rPr>
                <w:b/>
                <w:sz w:val="20"/>
                <w:szCs w:val="20"/>
              </w:rPr>
              <w:t xml:space="preserve">Entidad Autorizada:   </w:t>
            </w:r>
            <w:r w:rsidR="00EC5E2A">
              <w:rPr>
                <w:b/>
                <w:sz w:val="20"/>
                <w:szCs w:val="20"/>
              </w:rPr>
              <w:t xml:space="preserve">Grupo </w:t>
            </w:r>
            <w:r>
              <w:rPr>
                <w:b/>
                <w:bCs/>
                <w:sz w:val="20"/>
                <w:szCs w:val="20"/>
              </w:rPr>
              <w:t xml:space="preserve">Mutual Alajuela – La Vivienda de Ahorro y Préstamo </w:t>
            </w:r>
          </w:p>
        </w:tc>
      </w:tr>
      <w:tr w:rsidR="00F1255E" w14:paraId="2F292432" w14:textId="77777777" w:rsidTr="00EC5E2A">
        <w:trPr>
          <w:trHeight w:val="20"/>
        </w:trPr>
        <w:tc>
          <w:tcPr>
            <w:tcW w:w="1372" w:type="dxa"/>
            <w:tcBorders>
              <w:top w:val="single" w:sz="4" w:space="0" w:color="000000"/>
              <w:left w:val="single" w:sz="4" w:space="0" w:color="000000"/>
              <w:bottom w:val="nil"/>
              <w:right w:val="single" w:sz="4" w:space="0" w:color="000000"/>
            </w:tcBorders>
            <w:shd w:val="clear" w:color="auto" w:fill="F1F5F9"/>
            <w:vAlign w:val="center"/>
            <w:hideMark/>
          </w:tcPr>
          <w:p w14:paraId="0B4D346F" w14:textId="77777777" w:rsidR="00F1255E" w:rsidRDefault="00F1255E" w:rsidP="00EC5E2A">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2BE13C33" w14:textId="77777777" w:rsidR="00F1255E" w:rsidRDefault="00F1255E" w:rsidP="00EC5E2A">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7ACF3B01" w14:textId="77777777" w:rsidR="00F1255E" w:rsidRDefault="00F1255E" w:rsidP="00EC5E2A">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7B178454" w14:textId="77777777" w:rsidR="00F1255E" w:rsidRDefault="00F1255E" w:rsidP="00EC5E2A">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03C8B2B" w14:textId="77777777" w:rsidR="00F1255E" w:rsidRDefault="00F1255E" w:rsidP="00EC5E2A">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3DB3C5D1" w14:textId="77777777" w:rsidR="00F1255E" w:rsidRDefault="00F1255E" w:rsidP="00EC5E2A">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4B8AA8F" w14:textId="77777777" w:rsidR="00F1255E" w:rsidRDefault="00F1255E" w:rsidP="00EC5E2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2B73FC4D" w14:textId="77777777" w:rsidR="00F1255E" w:rsidRDefault="00F1255E" w:rsidP="00EC5E2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1BA2F356" w14:textId="77777777" w:rsidR="00F1255E" w:rsidRDefault="00F1255E" w:rsidP="00EC5E2A">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9" w:type="dxa"/>
            <w:tcBorders>
              <w:top w:val="single" w:sz="4" w:space="0" w:color="000000"/>
              <w:left w:val="nil"/>
              <w:bottom w:val="single" w:sz="4" w:space="0" w:color="000000"/>
              <w:right w:val="single" w:sz="4" w:space="0" w:color="000000"/>
            </w:tcBorders>
            <w:shd w:val="clear" w:color="auto" w:fill="F1F5F9"/>
            <w:vAlign w:val="center"/>
            <w:hideMark/>
          </w:tcPr>
          <w:p w14:paraId="555DEA28" w14:textId="77777777" w:rsidR="00F1255E" w:rsidRDefault="00F1255E" w:rsidP="00EC5E2A">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0EECD80D" w14:textId="77777777" w:rsidR="00F1255E" w:rsidRDefault="00F1255E" w:rsidP="00EC5E2A">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F1255E" w14:paraId="227A331B" w14:textId="77777777" w:rsidTr="00206A2E">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5E51DA" w14:textId="77777777" w:rsidR="00F1255E" w:rsidRDefault="00F1255E" w:rsidP="00EC5E2A">
            <w:pPr>
              <w:rPr>
                <w:rFonts w:ascii="Arial Narrow" w:eastAsia="Arial Narrow" w:hAnsi="Arial Narrow" w:cs="Arial Narrow"/>
                <w:sz w:val="16"/>
                <w:szCs w:val="16"/>
              </w:rPr>
            </w:pPr>
            <w:r>
              <w:rPr>
                <w:rFonts w:ascii="Arial Narrow" w:eastAsia="Arial Narrow" w:hAnsi="Arial Narrow" w:cs="Arial Narrow"/>
                <w:sz w:val="16"/>
                <w:szCs w:val="16"/>
              </w:rPr>
              <w:t xml:space="preserve">Guillén Gutiérrez Raquel Abigail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012C" w14:textId="77777777" w:rsidR="00F1255E" w:rsidRDefault="00F1255E" w:rsidP="00EC5E2A">
            <w:pPr>
              <w:jc w:val="center"/>
              <w:rPr>
                <w:rFonts w:ascii="Arial Narrow" w:eastAsia="Arial Narrow" w:hAnsi="Arial Narrow" w:cs="Arial Narrow"/>
                <w:sz w:val="16"/>
                <w:szCs w:val="16"/>
              </w:rPr>
            </w:pPr>
            <w:r>
              <w:rPr>
                <w:rFonts w:ascii="Arial Narrow" w:eastAsia="Arial Narrow" w:hAnsi="Arial Narrow" w:cs="Arial Narrow"/>
                <w:sz w:val="16"/>
                <w:szCs w:val="16"/>
              </w:rPr>
              <w:t>8-0131-0256</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3174BAD2" w14:textId="77777777" w:rsidR="00F1255E" w:rsidRDefault="00F1255E" w:rsidP="00EC5E2A">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2-427158</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14:paraId="662FC8DA" w14:textId="77777777" w:rsidR="00F1255E" w:rsidRDefault="00F1255E" w:rsidP="00EC5E2A">
            <w:pPr>
              <w:ind w:left="-107" w:right="-97"/>
              <w:rPr>
                <w:rFonts w:ascii="Arial Narrow" w:eastAsia="Arial Narrow" w:hAnsi="Arial Narrow" w:cs="Arial Narrow"/>
                <w:sz w:val="16"/>
                <w:szCs w:val="16"/>
              </w:rPr>
            </w:pPr>
            <w:r>
              <w:rPr>
                <w:rFonts w:ascii="Arial Narrow" w:eastAsia="Arial Narrow" w:hAnsi="Arial Narrow" w:cs="Arial Narrow"/>
                <w:sz w:val="16"/>
                <w:szCs w:val="16"/>
              </w:rPr>
              <w:t xml:space="preserve">San Carlos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946BC" w14:textId="77777777" w:rsidR="00F1255E" w:rsidRDefault="00F1255E" w:rsidP="00EC5E2A">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B7794" w14:textId="77777777" w:rsidR="00F1255E" w:rsidRDefault="00F1255E" w:rsidP="00206A2E">
            <w:pPr>
              <w:ind w:left="-107"/>
              <w:jc w:val="right"/>
              <w:rPr>
                <w:rFonts w:ascii="Arial Narrow" w:eastAsia="Arial Narrow" w:hAnsi="Arial Narrow" w:cs="Arial Narrow"/>
                <w:sz w:val="16"/>
                <w:szCs w:val="16"/>
              </w:rPr>
            </w:pPr>
            <w:r>
              <w:rPr>
                <w:rFonts w:ascii="Arial Narrow" w:eastAsia="Arial Narrow" w:hAnsi="Arial Narrow" w:cs="Arial Narrow"/>
                <w:sz w:val="16"/>
                <w:szCs w:val="16"/>
              </w:rPr>
              <w:t>8.848.000,00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22076E71" w14:textId="77777777" w:rsidR="00F1255E" w:rsidRDefault="00F1255E" w:rsidP="00206A2E">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12.447.000,00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12249A54" w14:textId="77777777" w:rsidR="00F1255E" w:rsidRDefault="00F1255E" w:rsidP="00EC5E2A">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124.872,00</w:t>
            </w:r>
          </w:p>
        </w:tc>
        <w:tc>
          <w:tcPr>
            <w:tcW w:w="849" w:type="dxa"/>
            <w:tcBorders>
              <w:top w:val="single" w:sz="4" w:space="0" w:color="000000"/>
              <w:left w:val="nil"/>
              <w:bottom w:val="single" w:sz="4" w:space="0" w:color="000000"/>
              <w:right w:val="single" w:sz="4" w:space="0" w:color="000000"/>
            </w:tcBorders>
            <w:shd w:val="clear" w:color="auto" w:fill="auto"/>
            <w:vAlign w:val="center"/>
            <w:hideMark/>
          </w:tcPr>
          <w:p w14:paraId="2141419D" w14:textId="77777777" w:rsidR="00F1255E" w:rsidRDefault="00F1255E" w:rsidP="00206A2E">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416.240,00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5F7EE73F" w14:textId="77777777" w:rsidR="00F1255E" w:rsidRDefault="00F1255E" w:rsidP="00206A2E">
            <w:pPr>
              <w:ind w:left="-103"/>
              <w:jc w:val="right"/>
              <w:rPr>
                <w:rFonts w:ascii="Arial Narrow" w:eastAsia="Arial Narrow" w:hAnsi="Arial Narrow" w:cs="Arial Narrow"/>
                <w:sz w:val="16"/>
                <w:szCs w:val="16"/>
              </w:rPr>
            </w:pPr>
            <w:r>
              <w:rPr>
                <w:rFonts w:ascii="Arial Narrow" w:eastAsia="Arial Narrow" w:hAnsi="Arial Narrow" w:cs="Arial Narrow"/>
                <w:sz w:val="16"/>
                <w:szCs w:val="16"/>
              </w:rPr>
              <w:t>21.586.368,00</w:t>
            </w:r>
          </w:p>
        </w:tc>
      </w:tr>
      <w:tr w:rsidR="00F1255E" w14:paraId="459893BD" w14:textId="77777777" w:rsidTr="00EC5E2A">
        <w:trPr>
          <w:trHeight w:val="397"/>
        </w:trPr>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50756C5" w14:textId="5492B45C" w:rsidR="00F1255E" w:rsidRDefault="00F1255E" w:rsidP="00EC5E2A">
            <w:pPr>
              <w:ind w:left="87"/>
              <w:rPr>
                <w:rFonts w:cs="Arial"/>
                <w:b/>
                <w:sz w:val="20"/>
                <w:szCs w:val="20"/>
              </w:rPr>
            </w:pPr>
            <w:r>
              <w:rPr>
                <w:rFonts w:cs="Arial"/>
                <w:b/>
                <w:sz w:val="20"/>
                <w:szCs w:val="20"/>
              </w:rPr>
              <w:t>Entidad Autorizada:</w:t>
            </w:r>
            <w:r>
              <w:rPr>
                <w:rFonts w:cs="Arial"/>
                <w:b/>
                <w:bCs/>
                <w:sz w:val="20"/>
                <w:szCs w:val="20"/>
                <w:lang w:val="es-ES_tradnl"/>
              </w:rPr>
              <w:t xml:space="preserve"> Instituto Nacional de Vivienda y Urbanismo</w:t>
            </w:r>
          </w:p>
        </w:tc>
      </w:tr>
      <w:tr w:rsidR="00F1255E" w14:paraId="2D4A6CE4" w14:textId="77777777" w:rsidTr="00EC5E2A">
        <w:trPr>
          <w:trHeight w:val="20"/>
        </w:trPr>
        <w:tc>
          <w:tcPr>
            <w:tcW w:w="1372" w:type="dxa"/>
            <w:tcBorders>
              <w:top w:val="single" w:sz="4" w:space="0" w:color="000000"/>
              <w:left w:val="single" w:sz="4" w:space="0" w:color="000000"/>
              <w:bottom w:val="nil"/>
              <w:right w:val="single" w:sz="4" w:space="0" w:color="000000"/>
            </w:tcBorders>
            <w:shd w:val="clear" w:color="auto" w:fill="F1F5F9"/>
            <w:vAlign w:val="center"/>
            <w:hideMark/>
          </w:tcPr>
          <w:p w14:paraId="0968A124" w14:textId="77777777" w:rsidR="00F1255E" w:rsidRDefault="00F1255E" w:rsidP="00EC5E2A">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0DFA8FA3" w14:textId="77777777" w:rsidR="00F1255E" w:rsidRDefault="00F1255E" w:rsidP="00EC5E2A">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60652479" w14:textId="77777777" w:rsidR="00F1255E" w:rsidRDefault="00F1255E" w:rsidP="00EC5E2A">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23352201" w14:textId="77777777" w:rsidR="00F1255E" w:rsidRDefault="00F1255E" w:rsidP="00EC5E2A">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866575B" w14:textId="77777777" w:rsidR="00F1255E" w:rsidRDefault="00F1255E" w:rsidP="00EC5E2A">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1932137B" w14:textId="77777777" w:rsidR="00F1255E" w:rsidRDefault="00F1255E" w:rsidP="00EC5E2A">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1220BDC" w14:textId="77777777" w:rsidR="00F1255E" w:rsidRDefault="00F1255E" w:rsidP="00EC5E2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022DB6EA" w14:textId="77777777" w:rsidR="00F1255E" w:rsidRDefault="00F1255E" w:rsidP="00EC5E2A">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2ECEE721" w14:textId="77777777" w:rsidR="00F1255E" w:rsidRDefault="00F1255E" w:rsidP="00EC5E2A">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9" w:type="dxa"/>
            <w:tcBorders>
              <w:top w:val="single" w:sz="4" w:space="0" w:color="000000"/>
              <w:left w:val="nil"/>
              <w:bottom w:val="single" w:sz="4" w:space="0" w:color="000000"/>
              <w:right w:val="single" w:sz="4" w:space="0" w:color="000000"/>
            </w:tcBorders>
            <w:shd w:val="clear" w:color="auto" w:fill="F1F5F9"/>
            <w:vAlign w:val="center"/>
            <w:hideMark/>
          </w:tcPr>
          <w:p w14:paraId="5285B8B4" w14:textId="77777777" w:rsidR="00F1255E" w:rsidRDefault="00F1255E" w:rsidP="00EC5E2A">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F0BA874" w14:textId="77777777" w:rsidR="00F1255E" w:rsidRDefault="00F1255E" w:rsidP="00EC5E2A">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F1255E" w14:paraId="1A79C922" w14:textId="77777777" w:rsidTr="00206A2E">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03F52" w14:textId="77777777" w:rsidR="00F1255E" w:rsidRDefault="00F1255E" w:rsidP="00EC5E2A">
            <w:pPr>
              <w:rPr>
                <w:rFonts w:ascii="Arial Narrow" w:hAnsi="Arial Narrow"/>
                <w:sz w:val="16"/>
                <w:szCs w:val="16"/>
              </w:rPr>
            </w:pPr>
            <w:r>
              <w:rPr>
                <w:rFonts w:ascii="Arial Narrow" w:hAnsi="Arial Narrow"/>
                <w:sz w:val="16"/>
                <w:szCs w:val="16"/>
              </w:rPr>
              <w:t xml:space="preserve">Mora Coronado Edwin Gerardo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9F420" w14:textId="77777777" w:rsidR="00F1255E" w:rsidRDefault="00F1255E" w:rsidP="00EC5E2A">
            <w:pPr>
              <w:jc w:val="center"/>
              <w:rPr>
                <w:rFonts w:ascii="Arial Narrow" w:hAnsi="Arial Narrow"/>
                <w:sz w:val="16"/>
                <w:szCs w:val="16"/>
              </w:rPr>
            </w:pPr>
            <w:r>
              <w:rPr>
                <w:rFonts w:ascii="Arial Narrow" w:hAnsi="Arial Narrow"/>
                <w:sz w:val="16"/>
                <w:szCs w:val="16"/>
              </w:rPr>
              <w:t>1-1314-0820</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00A7201C" w14:textId="77777777" w:rsidR="00F1255E" w:rsidRDefault="00F1255E" w:rsidP="00EC5E2A">
            <w:pPr>
              <w:jc w:val="center"/>
              <w:rPr>
                <w:rFonts w:ascii="Arial Narrow" w:hAnsi="Arial Narrow"/>
                <w:sz w:val="16"/>
                <w:szCs w:val="16"/>
              </w:rPr>
            </w:pPr>
            <w:r>
              <w:rPr>
                <w:rFonts w:ascii="Arial Narrow" w:hAnsi="Arial Narrow"/>
                <w:sz w:val="16"/>
                <w:szCs w:val="16"/>
              </w:rPr>
              <w:t>1-548510</w:t>
            </w:r>
          </w:p>
        </w:tc>
        <w:tc>
          <w:tcPr>
            <w:tcW w:w="720" w:type="dxa"/>
            <w:tcBorders>
              <w:top w:val="single" w:sz="4" w:space="0" w:color="000000"/>
              <w:left w:val="nil"/>
              <w:bottom w:val="single" w:sz="4" w:space="0" w:color="000000"/>
              <w:right w:val="single" w:sz="4" w:space="0" w:color="000000"/>
            </w:tcBorders>
            <w:shd w:val="clear" w:color="auto" w:fill="auto"/>
            <w:vAlign w:val="center"/>
            <w:hideMark/>
          </w:tcPr>
          <w:p w14:paraId="2687734B" w14:textId="77777777" w:rsidR="00F1255E" w:rsidRDefault="00F1255E" w:rsidP="00EC5E2A">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Acosta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EC2AA" w14:textId="77777777" w:rsidR="00F1255E" w:rsidRDefault="00F1255E" w:rsidP="00EC5E2A">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EBE81" w14:textId="77777777" w:rsidR="00F1255E" w:rsidRDefault="00F1255E" w:rsidP="00EC5E2A">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 xml:space="preserve">No aplica </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40BF0250" w14:textId="77777777" w:rsidR="00F1255E" w:rsidRDefault="00F1255E" w:rsidP="00206A2E">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20.000.000,00</w:t>
            </w:r>
          </w:p>
        </w:tc>
        <w:tc>
          <w:tcPr>
            <w:tcW w:w="990" w:type="dxa"/>
            <w:tcBorders>
              <w:top w:val="single" w:sz="4" w:space="0" w:color="000000"/>
              <w:left w:val="nil"/>
              <w:bottom w:val="single" w:sz="4" w:space="0" w:color="000000"/>
              <w:right w:val="single" w:sz="4" w:space="0" w:color="000000"/>
            </w:tcBorders>
            <w:shd w:val="clear" w:color="auto" w:fill="auto"/>
            <w:vAlign w:val="center"/>
            <w:hideMark/>
          </w:tcPr>
          <w:p w14:paraId="7AC89608" w14:textId="77777777" w:rsidR="00F1255E" w:rsidRDefault="00F1255E" w:rsidP="00EC5E2A">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158.016,71</w:t>
            </w:r>
          </w:p>
        </w:tc>
        <w:tc>
          <w:tcPr>
            <w:tcW w:w="849" w:type="dxa"/>
            <w:tcBorders>
              <w:top w:val="single" w:sz="4" w:space="0" w:color="000000"/>
              <w:left w:val="nil"/>
              <w:bottom w:val="single" w:sz="4" w:space="0" w:color="000000"/>
              <w:right w:val="single" w:sz="4" w:space="0" w:color="000000"/>
            </w:tcBorders>
            <w:shd w:val="clear" w:color="auto" w:fill="auto"/>
            <w:vAlign w:val="center"/>
            <w:hideMark/>
          </w:tcPr>
          <w:p w14:paraId="7C30A6B1" w14:textId="77777777" w:rsidR="00F1255E" w:rsidRDefault="00F1255E" w:rsidP="00206A2E">
            <w:pPr>
              <w:ind w:left="-104" w:right="-43"/>
              <w:jc w:val="right"/>
              <w:rPr>
                <w:rFonts w:ascii="Arial Narrow" w:eastAsia="Arial Narrow" w:hAnsi="Arial Narrow" w:cs="Arial Narrow"/>
                <w:sz w:val="16"/>
                <w:szCs w:val="16"/>
              </w:rPr>
            </w:pPr>
            <w:r>
              <w:rPr>
                <w:rFonts w:ascii="Arial Narrow" w:eastAsia="Arial Narrow" w:hAnsi="Arial Narrow" w:cs="Arial Narrow"/>
                <w:sz w:val="16"/>
                <w:szCs w:val="16"/>
              </w:rPr>
              <w:t>526.722,37</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7177C2D1" w14:textId="77777777" w:rsidR="00F1255E" w:rsidRDefault="00F1255E" w:rsidP="00206A2E">
            <w:pPr>
              <w:ind w:left="-70" w:right="-114"/>
              <w:rPr>
                <w:rFonts w:ascii="Arial Narrow" w:eastAsia="Arial Narrow" w:hAnsi="Arial Narrow" w:cs="Arial Narrow"/>
                <w:sz w:val="16"/>
                <w:szCs w:val="16"/>
              </w:rPr>
            </w:pPr>
            <w:r>
              <w:rPr>
                <w:rFonts w:ascii="Arial Narrow" w:eastAsia="Arial Narrow" w:hAnsi="Arial Narrow" w:cs="Arial Narrow"/>
                <w:sz w:val="16"/>
                <w:szCs w:val="16"/>
              </w:rPr>
              <w:t>20.368.705,66</w:t>
            </w:r>
          </w:p>
        </w:tc>
      </w:tr>
      <w:tr w:rsidR="00F1255E" w14:paraId="41CB8407" w14:textId="77777777" w:rsidTr="00BC39EC">
        <w:trPr>
          <w:trHeight w:val="454"/>
        </w:trPr>
        <w:tc>
          <w:tcPr>
            <w:tcW w:w="8880" w:type="dxa"/>
            <w:gridSpan w:val="11"/>
            <w:tcBorders>
              <w:top w:val="single" w:sz="4" w:space="0" w:color="000000"/>
              <w:left w:val="single" w:sz="4" w:space="0" w:color="000000"/>
              <w:bottom w:val="single" w:sz="4" w:space="0" w:color="000000"/>
              <w:right w:val="single" w:sz="4" w:space="0" w:color="000000"/>
            </w:tcBorders>
            <w:shd w:val="clear" w:color="auto" w:fill="E4EBF4"/>
            <w:vAlign w:val="center"/>
          </w:tcPr>
          <w:p w14:paraId="4D25E4E8" w14:textId="77777777" w:rsidR="00F1255E" w:rsidRPr="006C340C" w:rsidRDefault="00F1255E" w:rsidP="00EC5E2A">
            <w:pPr>
              <w:ind w:left="87"/>
              <w:rPr>
                <w:rFonts w:cs="Arial"/>
                <w:b/>
                <w:sz w:val="20"/>
                <w:szCs w:val="20"/>
              </w:rPr>
            </w:pPr>
            <w:r>
              <w:rPr>
                <w:rFonts w:cs="Arial"/>
                <w:b/>
                <w:sz w:val="20"/>
                <w:szCs w:val="20"/>
              </w:rPr>
              <w:t>Entidad Autorizada: Coopealianza R.L.</w:t>
            </w:r>
          </w:p>
        </w:tc>
      </w:tr>
      <w:tr w:rsidR="00F1255E" w14:paraId="2AF96FF4" w14:textId="77777777" w:rsidTr="00BC39EC">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3794E207" w14:textId="77777777" w:rsidR="00F1255E" w:rsidRDefault="00F1255E" w:rsidP="00EC5E2A">
            <w:pPr>
              <w:rPr>
                <w:rFonts w:ascii="Arial Narrow" w:hAnsi="Arial Narrow"/>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65AFE615" w14:textId="77777777" w:rsidR="00F1255E" w:rsidRDefault="00F1255E" w:rsidP="00EC5E2A">
            <w:pPr>
              <w:jc w:val="center"/>
              <w:rPr>
                <w:rFonts w:ascii="Arial Narrow" w:hAnsi="Arial Narrow"/>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281A8EAB" w14:textId="77777777" w:rsidR="00F1255E" w:rsidRDefault="00F1255E" w:rsidP="00EC5E2A">
            <w:pPr>
              <w:jc w:val="center"/>
              <w:rPr>
                <w:rFonts w:ascii="Arial Narrow" w:hAnsi="Arial Narrow"/>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1DE00433" w14:textId="77777777" w:rsidR="00F1255E" w:rsidRDefault="00F1255E" w:rsidP="00EC5E2A">
            <w:pPr>
              <w:ind w:left="-107" w:right="-97"/>
              <w:jc w:val="center"/>
              <w:rPr>
                <w:rFonts w:ascii="Arial Narrow" w:eastAsia="Arial Narrow" w:hAnsi="Arial Narrow" w:cs="Arial Narrow"/>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360DD658" w14:textId="77777777" w:rsidR="00F1255E" w:rsidRDefault="00F1255E" w:rsidP="00EC5E2A">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4BE4C230" w14:textId="77777777" w:rsidR="00F1255E" w:rsidRDefault="00F1255E" w:rsidP="00EC5E2A">
            <w:pPr>
              <w:ind w:left="-105"/>
              <w:jc w:val="center"/>
              <w:rPr>
                <w:rFonts w:ascii="Arial Narrow" w:eastAsia="Arial Narrow" w:hAnsi="Arial Narrow" w:cs="Arial Narrow"/>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21FA8B93" w14:textId="77777777" w:rsidR="00F1255E" w:rsidRDefault="00F1255E" w:rsidP="00EC5E2A">
            <w:pPr>
              <w:ind w:left="-61" w:right="-16"/>
              <w:jc w:val="center"/>
              <w:rPr>
                <w:rFonts w:ascii="Arial Narrow" w:eastAsia="Arial Narrow" w:hAnsi="Arial Narrow" w:cs="Arial Narrow"/>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23C93B9A" w14:textId="77777777" w:rsidR="00F1255E" w:rsidRDefault="00F1255E" w:rsidP="00EC5E2A">
            <w:pPr>
              <w:ind w:left="-70"/>
              <w:jc w:val="right"/>
              <w:rPr>
                <w:rFonts w:ascii="Arial Narrow" w:eastAsia="Arial Narrow" w:hAnsi="Arial Narrow" w:cs="Arial Narrow"/>
                <w:sz w:val="16"/>
                <w:szCs w:val="16"/>
              </w:rPr>
            </w:pPr>
            <w:r>
              <w:rPr>
                <w:rFonts w:ascii="Arial Narrow" w:eastAsia="Arial Narrow" w:hAnsi="Arial Narrow" w:cs="Arial Narrow"/>
                <w:b/>
                <w:sz w:val="16"/>
                <w:szCs w:val="16"/>
              </w:rPr>
              <w:t>Costo de vivienda (¢)</w:t>
            </w:r>
          </w:p>
        </w:tc>
        <w:tc>
          <w:tcPr>
            <w:tcW w:w="990" w:type="dxa"/>
            <w:tcBorders>
              <w:top w:val="single" w:sz="4" w:space="0" w:color="000000"/>
              <w:left w:val="nil"/>
              <w:bottom w:val="single" w:sz="4" w:space="0" w:color="000000"/>
              <w:right w:val="single" w:sz="4" w:space="0" w:color="000000"/>
            </w:tcBorders>
            <w:shd w:val="clear" w:color="auto" w:fill="F1F5F9"/>
            <w:vAlign w:val="center"/>
          </w:tcPr>
          <w:p w14:paraId="7A005B6F" w14:textId="77777777" w:rsidR="00F1255E" w:rsidRDefault="00F1255E" w:rsidP="00EC5E2A">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Aporte familiar (¢)</w:t>
            </w:r>
          </w:p>
        </w:tc>
        <w:tc>
          <w:tcPr>
            <w:tcW w:w="849" w:type="dxa"/>
            <w:tcBorders>
              <w:top w:val="single" w:sz="4" w:space="0" w:color="000000"/>
              <w:left w:val="nil"/>
              <w:bottom w:val="single" w:sz="4" w:space="0" w:color="000000"/>
              <w:right w:val="single" w:sz="4" w:space="0" w:color="000000"/>
            </w:tcBorders>
            <w:shd w:val="clear" w:color="auto" w:fill="F1F5F9"/>
            <w:vAlign w:val="center"/>
          </w:tcPr>
          <w:p w14:paraId="7AC09F04" w14:textId="77777777" w:rsidR="00F1255E" w:rsidRDefault="00F1255E" w:rsidP="00EC5E2A">
            <w:pPr>
              <w:ind w:right="-43"/>
              <w:jc w:val="right"/>
              <w:rPr>
                <w:rFonts w:ascii="Arial Narrow" w:eastAsia="Arial Narrow" w:hAnsi="Arial Narrow" w:cs="Arial Narrow"/>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4AA159A8" w14:textId="77777777" w:rsidR="00F1255E" w:rsidRDefault="00F1255E" w:rsidP="00EC5E2A">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Monto del Bono (¢)</w:t>
            </w:r>
          </w:p>
        </w:tc>
      </w:tr>
      <w:tr w:rsidR="00F1255E" w14:paraId="149AD89D" w14:textId="77777777" w:rsidTr="00206A2E">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A906" w14:textId="77777777" w:rsidR="00F1255E" w:rsidRDefault="00F1255E" w:rsidP="00EC5E2A">
            <w:pPr>
              <w:rPr>
                <w:rFonts w:ascii="Arial Narrow" w:hAnsi="Arial Narrow"/>
                <w:sz w:val="16"/>
                <w:szCs w:val="16"/>
              </w:rPr>
            </w:pPr>
            <w:r>
              <w:rPr>
                <w:rFonts w:ascii="Arial Narrow" w:hAnsi="Arial Narrow"/>
                <w:sz w:val="16"/>
                <w:szCs w:val="16"/>
              </w:rPr>
              <w:t xml:space="preserve">Solano Montoya Cinthia Vanessa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2CAA" w14:textId="77777777" w:rsidR="00F1255E" w:rsidRDefault="00F1255E" w:rsidP="00EC5E2A">
            <w:pPr>
              <w:jc w:val="center"/>
              <w:rPr>
                <w:rFonts w:ascii="Arial Narrow" w:hAnsi="Arial Narrow"/>
                <w:sz w:val="16"/>
                <w:szCs w:val="16"/>
              </w:rPr>
            </w:pPr>
            <w:r>
              <w:rPr>
                <w:rFonts w:ascii="Arial Narrow" w:hAnsi="Arial Narrow"/>
                <w:sz w:val="16"/>
                <w:szCs w:val="16"/>
              </w:rPr>
              <w:t>1-1005-0508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D83354D" w14:textId="77777777" w:rsidR="00F1255E" w:rsidRDefault="00F1255E" w:rsidP="00EC5E2A">
            <w:pPr>
              <w:jc w:val="center"/>
              <w:rPr>
                <w:rFonts w:ascii="Arial Narrow" w:hAnsi="Arial Narrow"/>
                <w:sz w:val="16"/>
                <w:szCs w:val="16"/>
              </w:rPr>
            </w:pPr>
            <w:r>
              <w:rPr>
                <w:rFonts w:ascii="Arial Narrow" w:hAnsi="Arial Narrow"/>
                <w:sz w:val="16"/>
                <w:szCs w:val="16"/>
              </w:rPr>
              <w:t>6-235606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DA07FA6" w14:textId="77777777" w:rsidR="00F1255E" w:rsidRDefault="00F1255E" w:rsidP="00EC5E2A">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Osa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DD162" w14:textId="77777777" w:rsidR="00F1255E" w:rsidRDefault="00F1255E" w:rsidP="00EC5E2A">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665A6B" w14:textId="77777777" w:rsidR="00F1255E" w:rsidRDefault="00F1255E" w:rsidP="00EC5E2A">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 xml:space="preserve">No aplica </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EA78F18" w14:textId="77777777" w:rsidR="00F1255E" w:rsidRDefault="00F1255E" w:rsidP="00206A2E">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18.007.466,08</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4D29457D" w14:textId="77777777" w:rsidR="00F1255E" w:rsidRDefault="00F1255E" w:rsidP="00EC5E2A">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155.645,72</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435BA7F9" w14:textId="77777777" w:rsidR="00F1255E" w:rsidRDefault="00F1255E" w:rsidP="00206A2E">
            <w:pPr>
              <w:ind w:left="-104" w:right="-43"/>
              <w:jc w:val="right"/>
              <w:rPr>
                <w:rFonts w:ascii="Arial Narrow" w:eastAsia="Arial Narrow" w:hAnsi="Arial Narrow" w:cs="Arial Narrow"/>
                <w:sz w:val="16"/>
                <w:szCs w:val="16"/>
              </w:rPr>
            </w:pPr>
            <w:r>
              <w:rPr>
                <w:rFonts w:ascii="Arial Narrow" w:eastAsia="Arial Narrow" w:hAnsi="Arial Narrow" w:cs="Arial Narrow"/>
                <w:sz w:val="16"/>
                <w:szCs w:val="16"/>
              </w:rPr>
              <w:t>518.819,05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E47D3F3" w14:textId="77777777" w:rsidR="00F1255E" w:rsidRDefault="00F1255E" w:rsidP="00206A2E">
            <w:pPr>
              <w:ind w:left="-103"/>
              <w:jc w:val="right"/>
              <w:rPr>
                <w:rFonts w:ascii="Arial Narrow" w:eastAsia="Arial Narrow" w:hAnsi="Arial Narrow" w:cs="Arial Narrow"/>
                <w:sz w:val="16"/>
                <w:szCs w:val="16"/>
              </w:rPr>
            </w:pPr>
            <w:r>
              <w:rPr>
                <w:rFonts w:ascii="Arial Narrow" w:eastAsia="Arial Narrow" w:hAnsi="Arial Narrow" w:cs="Arial Narrow"/>
                <w:sz w:val="16"/>
                <w:szCs w:val="16"/>
              </w:rPr>
              <w:t>18.370.639,42</w:t>
            </w:r>
          </w:p>
        </w:tc>
      </w:tr>
      <w:tr w:rsidR="00F1255E" w14:paraId="6AC4A03E" w14:textId="77777777" w:rsidTr="00206A2E">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4AF84" w14:textId="77777777" w:rsidR="00F1255E" w:rsidRDefault="00F1255E" w:rsidP="00EC5E2A">
            <w:pPr>
              <w:rPr>
                <w:rFonts w:ascii="Arial Narrow" w:hAnsi="Arial Narrow"/>
                <w:sz w:val="16"/>
                <w:szCs w:val="16"/>
              </w:rPr>
            </w:pPr>
            <w:r>
              <w:rPr>
                <w:rFonts w:ascii="Arial Narrow" w:hAnsi="Arial Narrow"/>
                <w:sz w:val="16"/>
                <w:szCs w:val="16"/>
              </w:rPr>
              <w:t xml:space="preserve">Pérez Silva Stephanie de los Angeles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E226E" w14:textId="77777777" w:rsidR="00F1255E" w:rsidRDefault="00F1255E" w:rsidP="00EC5E2A">
            <w:pPr>
              <w:jc w:val="center"/>
              <w:rPr>
                <w:rFonts w:ascii="Arial Narrow" w:hAnsi="Arial Narrow"/>
                <w:sz w:val="16"/>
                <w:szCs w:val="16"/>
              </w:rPr>
            </w:pPr>
            <w:r>
              <w:rPr>
                <w:rFonts w:ascii="Arial Narrow" w:hAnsi="Arial Narrow"/>
                <w:sz w:val="16"/>
                <w:szCs w:val="16"/>
              </w:rPr>
              <w:t>1-1329-0431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7FBE11A" w14:textId="77777777" w:rsidR="00F1255E" w:rsidRDefault="00F1255E" w:rsidP="00EC5E2A">
            <w:pPr>
              <w:jc w:val="center"/>
              <w:rPr>
                <w:rFonts w:ascii="Arial Narrow" w:hAnsi="Arial Narrow"/>
                <w:sz w:val="16"/>
                <w:szCs w:val="16"/>
              </w:rPr>
            </w:pPr>
            <w:r>
              <w:rPr>
                <w:rFonts w:ascii="Arial Narrow" w:hAnsi="Arial Narrow"/>
                <w:sz w:val="16"/>
                <w:szCs w:val="16"/>
              </w:rPr>
              <w:t>6-235606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4F78820" w14:textId="77777777" w:rsidR="00F1255E" w:rsidRDefault="00F1255E" w:rsidP="00EC5E2A">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Osa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DF9C2" w14:textId="77777777" w:rsidR="00F1255E" w:rsidRDefault="00F1255E" w:rsidP="00EC5E2A">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361EA" w14:textId="77777777" w:rsidR="00F1255E" w:rsidRDefault="00F1255E" w:rsidP="00EC5E2A">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7.089.000,00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D603110" w14:textId="0E35619A" w:rsidR="00F1255E" w:rsidRDefault="00F1255E" w:rsidP="00206A2E">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10.918.466,</w:t>
            </w:r>
            <w:r w:rsidR="00520D90">
              <w:rPr>
                <w:rFonts w:ascii="Arial Narrow" w:eastAsia="Arial Narrow" w:hAnsi="Arial Narrow" w:cs="Arial Narrow"/>
                <w:sz w:val="16"/>
                <w:szCs w:val="16"/>
              </w:rPr>
              <w:t>0</w:t>
            </w:r>
            <w:r>
              <w:rPr>
                <w:rFonts w:ascii="Arial Narrow" w:eastAsia="Arial Narrow" w:hAnsi="Arial Narrow" w:cs="Arial Narrow"/>
                <w:sz w:val="16"/>
                <w:szCs w:val="16"/>
              </w:rPr>
              <w:t>8</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7E471198" w14:textId="77777777" w:rsidR="00F1255E" w:rsidRDefault="00F1255E" w:rsidP="00EC5E2A">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155.645,72</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077AEBCF" w14:textId="77777777" w:rsidR="00F1255E" w:rsidRDefault="00F1255E" w:rsidP="00206A2E">
            <w:pPr>
              <w:ind w:left="-104" w:right="-43"/>
              <w:jc w:val="right"/>
              <w:rPr>
                <w:rFonts w:ascii="Arial Narrow" w:eastAsia="Arial Narrow" w:hAnsi="Arial Narrow" w:cs="Arial Narrow"/>
                <w:sz w:val="16"/>
                <w:szCs w:val="16"/>
              </w:rPr>
            </w:pPr>
            <w:r>
              <w:rPr>
                <w:rFonts w:ascii="Arial Narrow" w:eastAsia="Arial Narrow" w:hAnsi="Arial Narrow" w:cs="Arial Narrow"/>
                <w:sz w:val="16"/>
                <w:szCs w:val="16"/>
              </w:rPr>
              <w:t>518.819,05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1B513C8" w14:textId="77777777" w:rsidR="00F1255E" w:rsidRDefault="00F1255E" w:rsidP="00206A2E">
            <w:pPr>
              <w:ind w:left="-103"/>
              <w:jc w:val="right"/>
              <w:rPr>
                <w:rFonts w:ascii="Arial Narrow" w:eastAsia="Arial Narrow" w:hAnsi="Arial Narrow" w:cs="Arial Narrow"/>
                <w:sz w:val="16"/>
                <w:szCs w:val="16"/>
              </w:rPr>
            </w:pPr>
            <w:r>
              <w:rPr>
                <w:rFonts w:ascii="Arial Narrow" w:eastAsia="Arial Narrow" w:hAnsi="Arial Narrow" w:cs="Arial Narrow"/>
                <w:sz w:val="16"/>
                <w:szCs w:val="16"/>
              </w:rPr>
              <w:t>18.370.639,42</w:t>
            </w:r>
          </w:p>
        </w:tc>
      </w:tr>
      <w:tr w:rsidR="00F1255E" w14:paraId="03D12283" w14:textId="77777777" w:rsidTr="00206A2E">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45A65" w14:textId="77777777" w:rsidR="00F1255E" w:rsidRDefault="00F1255E" w:rsidP="00EC5E2A">
            <w:pPr>
              <w:rPr>
                <w:rFonts w:ascii="Arial Narrow" w:hAnsi="Arial Narrow"/>
                <w:sz w:val="16"/>
                <w:szCs w:val="16"/>
              </w:rPr>
            </w:pPr>
            <w:r>
              <w:rPr>
                <w:rFonts w:ascii="Arial Narrow" w:hAnsi="Arial Narrow"/>
                <w:sz w:val="16"/>
                <w:szCs w:val="16"/>
              </w:rPr>
              <w:t xml:space="preserve">Aguilar López Belkys Josefa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C8F83" w14:textId="77777777" w:rsidR="00F1255E" w:rsidRDefault="00F1255E" w:rsidP="00EC5E2A">
            <w:pPr>
              <w:jc w:val="center"/>
              <w:rPr>
                <w:rFonts w:ascii="Arial Narrow" w:hAnsi="Arial Narrow"/>
                <w:sz w:val="16"/>
                <w:szCs w:val="16"/>
              </w:rPr>
            </w:pPr>
            <w:r>
              <w:rPr>
                <w:rFonts w:ascii="Arial Narrow" w:hAnsi="Arial Narrow"/>
                <w:sz w:val="16"/>
                <w:szCs w:val="16"/>
              </w:rPr>
              <w:t>155821-683900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D2A5E9F" w14:textId="77777777" w:rsidR="00F1255E" w:rsidRDefault="00F1255E" w:rsidP="00EC5E2A">
            <w:pPr>
              <w:jc w:val="center"/>
              <w:rPr>
                <w:rFonts w:ascii="Arial Narrow" w:hAnsi="Arial Narrow"/>
                <w:sz w:val="16"/>
                <w:szCs w:val="16"/>
              </w:rPr>
            </w:pPr>
            <w:r>
              <w:rPr>
                <w:rFonts w:ascii="Arial Narrow" w:hAnsi="Arial Narrow"/>
                <w:sz w:val="16"/>
                <w:szCs w:val="16"/>
              </w:rPr>
              <w:t>6-231216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D7CBEEB" w14:textId="77777777" w:rsidR="00F1255E" w:rsidRDefault="00F1255E" w:rsidP="00EC5E2A">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Buenos Aires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3050" w14:textId="77777777" w:rsidR="00F1255E" w:rsidRDefault="00F1255E" w:rsidP="00EC5E2A">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CLP</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0B391E" w14:textId="77777777" w:rsidR="00F1255E" w:rsidRDefault="00F1255E" w:rsidP="00EC5E2A">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 xml:space="preserve">No aplica </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09AF562" w14:textId="77777777" w:rsidR="00F1255E" w:rsidRDefault="00F1255E" w:rsidP="00206A2E">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13.000.000,00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33C4A75E" w14:textId="77777777" w:rsidR="00F1255E" w:rsidRDefault="00F1255E" w:rsidP="00EC5E2A">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130.091,55</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1A5587CF" w14:textId="77777777" w:rsidR="00F1255E" w:rsidRDefault="00F1255E" w:rsidP="00206A2E">
            <w:pPr>
              <w:ind w:left="-104" w:right="-43"/>
              <w:jc w:val="right"/>
              <w:rPr>
                <w:rFonts w:ascii="Arial Narrow" w:eastAsia="Arial Narrow" w:hAnsi="Arial Narrow" w:cs="Arial Narrow"/>
                <w:sz w:val="16"/>
                <w:szCs w:val="16"/>
              </w:rPr>
            </w:pPr>
            <w:r>
              <w:rPr>
                <w:rFonts w:ascii="Arial Narrow" w:eastAsia="Arial Narrow" w:hAnsi="Arial Narrow" w:cs="Arial Narrow"/>
                <w:sz w:val="16"/>
                <w:szCs w:val="16"/>
              </w:rPr>
              <w:t>433.638,50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E47CEB0" w14:textId="77777777" w:rsidR="00F1255E" w:rsidRDefault="00F1255E" w:rsidP="00206A2E">
            <w:pPr>
              <w:ind w:left="-103"/>
              <w:jc w:val="right"/>
              <w:rPr>
                <w:rFonts w:ascii="Arial Narrow" w:eastAsia="Arial Narrow" w:hAnsi="Arial Narrow" w:cs="Arial Narrow"/>
                <w:sz w:val="16"/>
                <w:szCs w:val="16"/>
              </w:rPr>
            </w:pPr>
            <w:r>
              <w:rPr>
                <w:rFonts w:ascii="Arial Narrow" w:eastAsia="Arial Narrow" w:hAnsi="Arial Narrow" w:cs="Arial Narrow"/>
                <w:sz w:val="16"/>
                <w:szCs w:val="16"/>
              </w:rPr>
              <w:t>13.303.546,95</w:t>
            </w:r>
          </w:p>
        </w:tc>
      </w:tr>
      <w:tr w:rsidR="00F1255E" w14:paraId="729F596E" w14:textId="77777777" w:rsidTr="00EC5E2A">
        <w:trPr>
          <w:trHeight w:val="454"/>
        </w:trPr>
        <w:tc>
          <w:tcPr>
            <w:tcW w:w="1372" w:type="dxa"/>
            <w:tcBorders>
              <w:top w:val="single" w:sz="4" w:space="0" w:color="000000"/>
              <w:left w:val="single" w:sz="4" w:space="0" w:color="000000"/>
              <w:bottom w:val="single" w:sz="4" w:space="0" w:color="000000"/>
              <w:right w:val="single" w:sz="4" w:space="0" w:color="000000"/>
            </w:tcBorders>
            <w:vAlign w:val="center"/>
          </w:tcPr>
          <w:p w14:paraId="0925B6A3" w14:textId="3B3A5E43" w:rsidR="00F1255E" w:rsidRDefault="00F1255E" w:rsidP="00EC5E2A">
            <w:pPr>
              <w:rPr>
                <w:rFonts w:ascii="Arial Narrow" w:hAnsi="Arial Narrow"/>
                <w:sz w:val="16"/>
                <w:szCs w:val="16"/>
              </w:rPr>
            </w:pPr>
            <w:r>
              <w:rPr>
                <w:rFonts w:ascii="Arial Narrow" w:hAnsi="Arial Narrow"/>
                <w:sz w:val="16"/>
                <w:szCs w:val="16"/>
              </w:rPr>
              <w:t xml:space="preserve">Meneses Arias </w:t>
            </w:r>
            <w:proofErr w:type="spellStart"/>
            <w:r>
              <w:rPr>
                <w:rFonts w:ascii="Arial Narrow" w:hAnsi="Arial Narrow"/>
                <w:sz w:val="16"/>
                <w:szCs w:val="16"/>
              </w:rPr>
              <w:t>Ru</w:t>
            </w:r>
            <w:r w:rsidR="00520D90">
              <w:rPr>
                <w:rFonts w:ascii="Arial Narrow" w:hAnsi="Arial Narrow"/>
                <w:sz w:val="16"/>
                <w:szCs w:val="16"/>
              </w:rPr>
              <w:t>d</w:t>
            </w:r>
            <w:r>
              <w:rPr>
                <w:rFonts w:ascii="Arial Narrow" w:hAnsi="Arial Narrow"/>
                <w:sz w:val="16"/>
                <w:szCs w:val="16"/>
              </w:rPr>
              <w:t>y</w:t>
            </w:r>
            <w:r w:rsidR="00520D90">
              <w:rPr>
                <w:rFonts w:ascii="Arial Narrow" w:hAnsi="Arial Narrow"/>
                <w:sz w:val="16"/>
                <w:szCs w:val="16"/>
              </w:rPr>
              <w:t>b</w:t>
            </w:r>
            <w:r>
              <w:rPr>
                <w:rFonts w:ascii="Arial Narrow" w:hAnsi="Arial Narrow"/>
                <w:sz w:val="16"/>
                <w:szCs w:val="16"/>
              </w:rPr>
              <w:t>el</w:t>
            </w:r>
            <w:proofErr w:type="spellEnd"/>
            <w:r>
              <w:rPr>
                <w:rFonts w:ascii="Arial Narrow" w:hAnsi="Arial Narrow"/>
                <w:sz w:val="16"/>
                <w:szCs w:val="16"/>
              </w:rPr>
              <w:t xml:space="preserve"> del Rosario </w:t>
            </w:r>
          </w:p>
        </w:tc>
        <w:tc>
          <w:tcPr>
            <w:tcW w:w="709" w:type="dxa"/>
            <w:tcBorders>
              <w:top w:val="single" w:sz="4" w:space="0" w:color="000000"/>
              <w:left w:val="single" w:sz="4" w:space="0" w:color="000000"/>
              <w:bottom w:val="single" w:sz="4" w:space="0" w:color="000000"/>
              <w:right w:val="single" w:sz="4" w:space="0" w:color="000000"/>
            </w:tcBorders>
            <w:vAlign w:val="center"/>
          </w:tcPr>
          <w:p w14:paraId="06DC43CA" w14:textId="77777777" w:rsidR="00F1255E" w:rsidRPr="00ED1D89" w:rsidRDefault="00F1255E" w:rsidP="00EC5E2A">
            <w:pPr>
              <w:jc w:val="center"/>
              <w:rPr>
                <w:rFonts w:ascii="Arial Narrow" w:hAnsi="Arial Narrow"/>
                <w:sz w:val="16"/>
                <w:szCs w:val="16"/>
              </w:rPr>
            </w:pPr>
            <w:r w:rsidRPr="00ED1D89">
              <w:rPr>
                <w:rFonts w:ascii="Arial Narrow" w:hAnsi="Arial Narrow"/>
                <w:sz w:val="16"/>
                <w:szCs w:val="16"/>
              </w:rPr>
              <w:t>155812-656822</w:t>
            </w:r>
          </w:p>
        </w:tc>
        <w:tc>
          <w:tcPr>
            <w:tcW w:w="708" w:type="dxa"/>
            <w:tcBorders>
              <w:top w:val="single" w:sz="4" w:space="0" w:color="000000"/>
              <w:left w:val="nil"/>
              <w:bottom w:val="single" w:sz="4" w:space="0" w:color="000000"/>
              <w:right w:val="single" w:sz="4" w:space="0" w:color="000000"/>
            </w:tcBorders>
            <w:vAlign w:val="center"/>
          </w:tcPr>
          <w:p w14:paraId="4B21552E" w14:textId="77777777" w:rsidR="00F1255E" w:rsidRDefault="00F1255E" w:rsidP="00EC5E2A">
            <w:pPr>
              <w:jc w:val="center"/>
              <w:rPr>
                <w:rFonts w:ascii="Arial Narrow" w:hAnsi="Arial Narrow"/>
                <w:sz w:val="16"/>
                <w:szCs w:val="16"/>
              </w:rPr>
            </w:pPr>
            <w:r>
              <w:rPr>
                <w:rFonts w:ascii="Arial Narrow" w:hAnsi="Arial Narrow"/>
                <w:sz w:val="16"/>
                <w:szCs w:val="16"/>
              </w:rPr>
              <w:t>1-655812</w:t>
            </w:r>
          </w:p>
        </w:tc>
        <w:tc>
          <w:tcPr>
            <w:tcW w:w="720" w:type="dxa"/>
            <w:tcBorders>
              <w:top w:val="single" w:sz="4" w:space="0" w:color="000000"/>
              <w:left w:val="nil"/>
              <w:bottom w:val="single" w:sz="4" w:space="0" w:color="000000"/>
              <w:right w:val="single" w:sz="4" w:space="0" w:color="000000"/>
            </w:tcBorders>
            <w:vAlign w:val="center"/>
          </w:tcPr>
          <w:p w14:paraId="58CD9369" w14:textId="77777777" w:rsidR="00F1255E" w:rsidRDefault="00F1255E" w:rsidP="00EC5E2A">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Pérez Zeledón </w:t>
            </w:r>
          </w:p>
        </w:tc>
        <w:tc>
          <w:tcPr>
            <w:tcW w:w="556" w:type="dxa"/>
            <w:tcBorders>
              <w:top w:val="single" w:sz="4" w:space="0" w:color="000000"/>
              <w:left w:val="single" w:sz="4" w:space="0" w:color="000000"/>
              <w:bottom w:val="single" w:sz="4" w:space="0" w:color="000000"/>
              <w:right w:val="single" w:sz="4" w:space="0" w:color="000000"/>
            </w:tcBorders>
            <w:vAlign w:val="center"/>
          </w:tcPr>
          <w:p w14:paraId="619D0AD8" w14:textId="77777777" w:rsidR="00F1255E" w:rsidRDefault="00F1255E" w:rsidP="00EC5E2A">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0B5E94B" w14:textId="77777777" w:rsidR="00F1255E" w:rsidRDefault="00F1255E" w:rsidP="00EC5E2A">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5.002.500,00</w:t>
            </w:r>
          </w:p>
        </w:tc>
        <w:tc>
          <w:tcPr>
            <w:tcW w:w="992" w:type="dxa"/>
            <w:tcBorders>
              <w:top w:val="single" w:sz="4" w:space="0" w:color="000000"/>
              <w:left w:val="nil"/>
              <w:bottom w:val="single" w:sz="4" w:space="0" w:color="000000"/>
              <w:right w:val="single" w:sz="4" w:space="0" w:color="000000"/>
            </w:tcBorders>
            <w:vAlign w:val="center"/>
          </w:tcPr>
          <w:p w14:paraId="3DC3C082" w14:textId="77777777" w:rsidR="00F1255E" w:rsidRDefault="00F1255E" w:rsidP="00206A2E">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10.920.000,00</w:t>
            </w:r>
          </w:p>
        </w:tc>
        <w:tc>
          <w:tcPr>
            <w:tcW w:w="990" w:type="dxa"/>
            <w:tcBorders>
              <w:top w:val="single" w:sz="4" w:space="0" w:color="000000"/>
              <w:left w:val="nil"/>
              <w:bottom w:val="single" w:sz="4" w:space="0" w:color="000000"/>
              <w:right w:val="single" w:sz="4" w:space="0" w:color="000000"/>
            </w:tcBorders>
            <w:vAlign w:val="center"/>
          </w:tcPr>
          <w:p w14:paraId="19BD0209" w14:textId="77777777" w:rsidR="00F1255E" w:rsidRDefault="00F1255E" w:rsidP="00EC5E2A">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153.413,03</w:t>
            </w:r>
          </w:p>
        </w:tc>
        <w:tc>
          <w:tcPr>
            <w:tcW w:w="849" w:type="dxa"/>
            <w:tcBorders>
              <w:top w:val="single" w:sz="4" w:space="0" w:color="000000"/>
              <w:left w:val="nil"/>
              <w:bottom w:val="single" w:sz="4" w:space="0" w:color="000000"/>
              <w:right w:val="single" w:sz="4" w:space="0" w:color="000000"/>
            </w:tcBorders>
            <w:vAlign w:val="center"/>
          </w:tcPr>
          <w:p w14:paraId="0303DFB3" w14:textId="77777777" w:rsidR="00F1255E" w:rsidRDefault="00F1255E" w:rsidP="00206A2E">
            <w:pPr>
              <w:ind w:left="-104" w:right="-43"/>
              <w:jc w:val="right"/>
              <w:rPr>
                <w:rFonts w:ascii="Arial Narrow" w:eastAsia="Arial Narrow" w:hAnsi="Arial Narrow" w:cs="Arial Narrow"/>
                <w:sz w:val="16"/>
                <w:szCs w:val="16"/>
              </w:rPr>
            </w:pPr>
            <w:r>
              <w:rPr>
                <w:rFonts w:ascii="Arial Narrow" w:eastAsia="Arial Narrow" w:hAnsi="Arial Narrow" w:cs="Arial Narrow"/>
                <w:sz w:val="16"/>
                <w:szCs w:val="16"/>
              </w:rPr>
              <w:t>479.726.78</w:t>
            </w:r>
          </w:p>
        </w:tc>
        <w:tc>
          <w:tcPr>
            <w:tcW w:w="992" w:type="dxa"/>
            <w:tcBorders>
              <w:top w:val="single" w:sz="4" w:space="0" w:color="000000"/>
              <w:left w:val="nil"/>
              <w:bottom w:val="single" w:sz="4" w:space="0" w:color="000000"/>
              <w:right w:val="single" w:sz="4" w:space="0" w:color="000000"/>
            </w:tcBorders>
            <w:vAlign w:val="center"/>
          </w:tcPr>
          <w:p w14:paraId="46A993FE" w14:textId="77777777" w:rsidR="00F1255E" w:rsidRDefault="00F1255E" w:rsidP="00206A2E">
            <w:pPr>
              <w:ind w:left="-103"/>
              <w:jc w:val="right"/>
              <w:rPr>
                <w:rFonts w:ascii="Arial Narrow" w:eastAsia="Arial Narrow" w:hAnsi="Arial Narrow" w:cs="Arial Narrow"/>
                <w:sz w:val="16"/>
                <w:szCs w:val="16"/>
              </w:rPr>
            </w:pPr>
            <w:r>
              <w:rPr>
                <w:rFonts w:ascii="Arial Narrow" w:eastAsia="Arial Narrow" w:hAnsi="Arial Narrow" w:cs="Arial Narrow"/>
                <w:sz w:val="16"/>
                <w:szCs w:val="16"/>
              </w:rPr>
              <w:t>16.248.813,75</w:t>
            </w:r>
          </w:p>
        </w:tc>
      </w:tr>
      <w:tr w:rsidR="00F1255E" w14:paraId="5D6B07CD" w14:textId="77777777" w:rsidTr="00BC39EC">
        <w:trPr>
          <w:trHeight w:val="454"/>
        </w:trPr>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636BFDA" w14:textId="77777777" w:rsidR="00F1255E" w:rsidRDefault="00F1255E" w:rsidP="00EC5E2A">
            <w:pPr>
              <w:ind w:left="-70"/>
              <w:rPr>
                <w:rFonts w:ascii="Arial Narrow" w:eastAsia="Arial Narrow" w:hAnsi="Arial Narrow" w:cs="Arial Narrow"/>
                <w:sz w:val="16"/>
                <w:szCs w:val="16"/>
              </w:rPr>
            </w:pPr>
            <w:r>
              <w:rPr>
                <w:rFonts w:cs="Arial"/>
                <w:b/>
                <w:sz w:val="20"/>
                <w:szCs w:val="20"/>
              </w:rPr>
              <w:t xml:space="preserve">Entidad Autorizada:   Banco de Costa Rica </w:t>
            </w:r>
          </w:p>
        </w:tc>
      </w:tr>
      <w:tr w:rsidR="00F1255E" w14:paraId="2B5E19CA" w14:textId="77777777" w:rsidTr="00BC39EC">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F0F4FA"/>
            <w:vAlign w:val="center"/>
          </w:tcPr>
          <w:p w14:paraId="6E173C1B" w14:textId="77777777" w:rsidR="00F1255E" w:rsidRDefault="00F1255E" w:rsidP="00EC5E2A">
            <w:pPr>
              <w:rPr>
                <w:rFonts w:ascii="Arial Narrow" w:hAnsi="Arial Narrow"/>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single" w:sz="4" w:space="0" w:color="000000"/>
              <w:right w:val="single" w:sz="4" w:space="0" w:color="000000"/>
            </w:tcBorders>
            <w:shd w:val="clear" w:color="auto" w:fill="F0F4FA"/>
            <w:vAlign w:val="center"/>
          </w:tcPr>
          <w:p w14:paraId="0C69C296" w14:textId="77777777" w:rsidR="00F1255E" w:rsidRDefault="00F1255E" w:rsidP="00EC5E2A">
            <w:pPr>
              <w:jc w:val="center"/>
              <w:rPr>
                <w:rFonts w:ascii="Arial Narrow" w:hAnsi="Arial Narrow"/>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0F4FA"/>
            <w:vAlign w:val="center"/>
          </w:tcPr>
          <w:p w14:paraId="505AA1D3" w14:textId="77777777" w:rsidR="00F1255E" w:rsidRDefault="00F1255E" w:rsidP="00EC5E2A">
            <w:pPr>
              <w:jc w:val="center"/>
              <w:rPr>
                <w:rFonts w:ascii="Arial Narrow" w:hAnsi="Arial Narrow"/>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0F4FA"/>
            <w:vAlign w:val="center"/>
          </w:tcPr>
          <w:p w14:paraId="3FFEF15F" w14:textId="77777777" w:rsidR="00F1255E" w:rsidRDefault="00F1255E" w:rsidP="00EC5E2A">
            <w:pPr>
              <w:ind w:left="-107" w:right="-97"/>
              <w:jc w:val="center"/>
              <w:rPr>
                <w:rFonts w:ascii="Arial Narrow" w:eastAsia="Arial Narrow" w:hAnsi="Arial Narrow" w:cs="Arial Narrow"/>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0F4FA"/>
            <w:vAlign w:val="center"/>
          </w:tcPr>
          <w:p w14:paraId="327E9B8F" w14:textId="77777777" w:rsidR="00F1255E" w:rsidRDefault="00F1255E" w:rsidP="00EC5E2A">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3E2292D1" w14:textId="77777777" w:rsidR="00F1255E" w:rsidRDefault="00F1255E" w:rsidP="00EC5E2A">
            <w:pPr>
              <w:ind w:left="-105"/>
              <w:jc w:val="center"/>
              <w:rPr>
                <w:rFonts w:ascii="Arial Narrow" w:eastAsia="Arial Narrow" w:hAnsi="Arial Narrow" w:cs="Arial Narrow"/>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0F4FA"/>
            <w:vAlign w:val="center"/>
          </w:tcPr>
          <w:p w14:paraId="4F673BE9" w14:textId="77777777" w:rsidR="00F1255E" w:rsidRDefault="00F1255E" w:rsidP="00EC5E2A">
            <w:pPr>
              <w:ind w:left="-61" w:right="-16"/>
              <w:jc w:val="center"/>
              <w:rPr>
                <w:rFonts w:ascii="Arial Narrow" w:eastAsia="Arial Narrow" w:hAnsi="Arial Narrow" w:cs="Arial Narrow"/>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0F4FA"/>
            <w:vAlign w:val="center"/>
          </w:tcPr>
          <w:p w14:paraId="46722745" w14:textId="77777777" w:rsidR="00F1255E" w:rsidRDefault="00F1255E" w:rsidP="00EC5E2A">
            <w:pPr>
              <w:ind w:left="-70"/>
              <w:jc w:val="right"/>
              <w:rPr>
                <w:rFonts w:ascii="Arial Narrow" w:eastAsia="Arial Narrow" w:hAnsi="Arial Narrow" w:cs="Arial Narrow"/>
                <w:sz w:val="16"/>
                <w:szCs w:val="16"/>
              </w:rPr>
            </w:pPr>
            <w:r>
              <w:rPr>
                <w:rFonts w:ascii="Arial Narrow" w:eastAsia="Arial Narrow" w:hAnsi="Arial Narrow" w:cs="Arial Narrow"/>
                <w:b/>
                <w:sz w:val="16"/>
                <w:szCs w:val="16"/>
              </w:rPr>
              <w:t>Costo de vivienda (¢)</w:t>
            </w:r>
          </w:p>
        </w:tc>
        <w:tc>
          <w:tcPr>
            <w:tcW w:w="990" w:type="dxa"/>
            <w:tcBorders>
              <w:top w:val="single" w:sz="4" w:space="0" w:color="000000"/>
              <w:left w:val="nil"/>
              <w:bottom w:val="single" w:sz="4" w:space="0" w:color="000000"/>
              <w:right w:val="single" w:sz="4" w:space="0" w:color="000000"/>
            </w:tcBorders>
            <w:shd w:val="clear" w:color="auto" w:fill="F0F4FA"/>
            <w:vAlign w:val="center"/>
          </w:tcPr>
          <w:p w14:paraId="245962CD" w14:textId="77777777" w:rsidR="00F1255E" w:rsidRDefault="00F1255E" w:rsidP="00EC5E2A">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Aporte familiar (¢)</w:t>
            </w:r>
          </w:p>
        </w:tc>
        <w:tc>
          <w:tcPr>
            <w:tcW w:w="849" w:type="dxa"/>
            <w:tcBorders>
              <w:top w:val="single" w:sz="4" w:space="0" w:color="000000"/>
              <w:left w:val="nil"/>
              <w:bottom w:val="single" w:sz="4" w:space="0" w:color="000000"/>
              <w:right w:val="single" w:sz="4" w:space="0" w:color="000000"/>
            </w:tcBorders>
            <w:shd w:val="clear" w:color="auto" w:fill="F0F4FA"/>
            <w:vAlign w:val="center"/>
          </w:tcPr>
          <w:p w14:paraId="1430190F" w14:textId="77777777" w:rsidR="00F1255E" w:rsidRDefault="00F1255E" w:rsidP="00EC5E2A">
            <w:pPr>
              <w:ind w:right="-43"/>
              <w:jc w:val="right"/>
              <w:rPr>
                <w:rFonts w:ascii="Arial Narrow" w:eastAsia="Arial Narrow" w:hAnsi="Arial Narrow" w:cs="Arial Narrow"/>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0F4FA"/>
            <w:vAlign w:val="center"/>
          </w:tcPr>
          <w:p w14:paraId="143E0BF9" w14:textId="77777777" w:rsidR="00F1255E" w:rsidRDefault="00F1255E" w:rsidP="00EC5E2A">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Monto del Bono (¢)</w:t>
            </w:r>
          </w:p>
        </w:tc>
      </w:tr>
      <w:tr w:rsidR="00F1255E" w14:paraId="154C28CF" w14:textId="77777777" w:rsidTr="00EC5E2A">
        <w:trPr>
          <w:trHeight w:val="454"/>
        </w:trPr>
        <w:tc>
          <w:tcPr>
            <w:tcW w:w="1372" w:type="dxa"/>
            <w:tcBorders>
              <w:top w:val="single" w:sz="4" w:space="0" w:color="000000"/>
              <w:left w:val="single" w:sz="4" w:space="0" w:color="000000"/>
              <w:bottom w:val="single" w:sz="4" w:space="0" w:color="000000"/>
              <w:right w:val="single" w:sz="4" w:space="0" w:color="000000"/>
            </w:tcBorders>
            <w:vAlign w:val="center"/>
          </w:tcPr>
          <w:p w14:paraId="5410150D" w14:textId="77777777" w:rsidR="00F1255E" w:rsidRPr="00FF408E" w:rsidRDefault="00F1255E" w:rsidP="00EC5E2A">
            <w:pPr>
              <w:rPr>
                <w:rFonts w:ascii="Arial Narrow" w:eastAsia="Arial Narrow" w:hAnsi="Arial Narrow" w:cs="Arial Narrow"/>
                <w:bCs/>
                <w:sz w:val="16"/>
                <w:szCs w:val="16"/>
              </w:rPr>
            </w:pPr>
            <w:r w:rsidRPr="00FF408E">
              <w:rPr>
                <w:rFonts w:ascii="Arial Narrow" w:eastAsia="Arial Narrow" w:hAnsi="Arial Narrow" w:cs="Arial Narrow"/>
                <w:bCs/>
                <w:sz w:val="16"/>
                <w:szCs w:val="16"/>
              </w:rPr>
              <w:t xml:space="preserve">González Chaves Edwin Santiago </w:t>
            </w:r>
          </w:p>
        </w:tc>
        <w:tc>
          <w:tcPr>
            <w:tcW w:w="709" w:type="dxa"/>
            <w:tcBorders>
              <w:top w:val="single" w:sz="4" w:space="0" w:color="000000"/>
              <w:left w:val="single" w:sz="4" w:space="0" w:color="000000"/>
              <w:bottom w:val="single" w:sz="4" w:space="0" w:color="000000"/>
              <w:right w:val="single" w:sz="4" w:space="0" w:color="000000"/>
            </w:tcBorders>
            <w:vAlign w:val="center"/>
          </w:tcPr>
          <w:p w14:paraId="0804762F" w14:textId="77777777" w:rsidR="00F1255E" w:rsidRPr="00FF408E" w:rsidRDefault="00F1255E" w:rsidP="00EC5E2A">
            <w:pPr>
              <w:jc w:val="center"/>
              <w:rPr>
                <w:rFonts w:ascii="Arial Narrow" w:eastAsia="Arial Narrow" w:hAnsi="Arial Narrow" w:cs="Arial Narrow"/>
                <w:bCs/>
                <w:sz w:val="16"/>
                <w:szCs w:val="16"/>
              </w:rPr>
            </w:pPr>
            <w:r w:rsidRPr="00FF408E">
              <w:rPr>
                <w:rFonts w:ascii="Arial Narrow" w:eastAsia="Arial Narrow" w:hAnsi="Arial Narrow" w:cs="Arial Narrow"/>
                <w:bCs/>
                <w:sz w:val="16"/>
                <w:szCs w:val="16"/>
              </w:rPr>
              <w:t>6-0110-0487</w:t>
            </w:r>
          </w:p>
        </w:tc>
        <w:tc>
          <w:tcPr>
            <w:tcW w:w="708" w:type="dxa"/>
            <w:tcBorders>
              <w:top w:val="single" w:sz="4" w:space="0" w:color="000000"/>
              <w:left w:val="nil"/>
              <w:bottom w:val="single" w:sz="4" w:space="0" w:color="000000"/>
              <w:right w:val="single" w:sz="4" w:space="0" w:color="000000"/>
            </w:tcBorders>
            <w:vAlign w:val="center"/>
          </w:tcPr>
          <w:p w14:paraId="2E36901D" w14:textId="77777777" w:rsidR="00F1255E" w:rsidRPr="00FF408E" w:rsidRDefault="00F1255E" w:rsidP="00EC5E2A">
            <w:pPr>
              <w:jc w:val="center"/>
              <w:rPr>
                <w:rFonts w:ascii="Arial Narrow" w:eastAsia="Arial Narrow" w:hAnsi="Arial Narrow" w:cs="Arial Narrow"/>
                <w:bCs/>
                <w:sz w:val="16"/>
                <w:szCs w:val="16"/>
              </w:rPr>
            </w:pPr>
            <w:r w:rsidRPr="00FF408E">
              <w:rPr>
                <w:rFonts w:ascii="Arial Narrow" w:eastAsia="Arial Narrow" w:hAnsi="Arial Narrow" w:cs="Arial Narrow"/>
                <w:bCs/>
                <w:sz w:val="16"/>
                <w:szCs w:val="16"/>
              </w:rPr>
              <w:t>6-238645</w:t>
            </w:r>
          </w:p>
        </w:tc>
        <w:tc>
          <w:tcPr>
            <w:tcW w:w="720" w:type="dxa"/>
            <w:tcBorders>
              <w:top w:val="single" w:sz="4" w:space="0" w:color="000000"/>
              <w:left w:val="nil"/>
              <w:bottom w:val="single" w:sz="4" w:space="0" w:color="000000"/>
              <w:right w:val="single" w:sz="4" w:space="0" w:color="000000"/>
            </w:tcBorders>
            <w:vAlign w:val="center"/>
          </w:tcPr>
          <w:p w14:paraId="7E43745C" w14:textId="77777777" w:rsidR="00F1255E" w:rsidRPr="00FF408E" w:rsidRDefault="00F1255E" w:rsidP="00EC5E2A">
            <w:pPr>
              <w:ind w:left="-107" w:right="-97"/>
              <w:jc w:val="center"/>
              <w:rPr>
                <w:rFonts w:ascii="Arial Narrow" w:eastAsia="Arial Narrow" w:hAnsi="Arial Narrow" w:cs="Arial Narrow"/>
                <w:bCs/>
                <w:sz w:val="16"/>
                <w:szCs w:val="16"/>
              </w:rPr>
            </w:pPr>
            <w:r>
              <w:rPr>
                <w:rFonts w:ascii="Arial Narrow" w:eastAsia="Arial Narrow" w:hAnsi="Arial Narrow" w:cs="Arial Narrow"/>
                <w:bCs/>
                <w:sz w:val="16"/>
                <w:szCs w:val="16"/>
              </w:rPr>
              <w:t xml:space="preserve">Coto Brus </w:t>
            </w:r>
          </w:p>
        </w:tc>
        <w:tc>
          <w:tcPr>
            <w:tcW w:w="556" w:type="dxa"/>
            <w:tcBorders>
              <w:top w:val="single" w:sz="4" w:space="0" w:color="000000"/>
              <w:left w:val="single" w:sz="4" w:space="0" w:color="000000"/>
              <w:bottom w:val="single" w:sz="4" w:space="0" w:color="000000"/>
              <w:right w:val="single" w:sz="4" w:space="0" w:color="000000"/>
            </w:tcBorders>
            <w:vAlign w:val="center"/>
          </w:tcPr>
          <w:p w14:paraId="7CD3E6BA" w14:textId="77777777" w:rsidR="00F1255E" w:rsidRPr="00FF408E" w:rsidRDefault="00F1255E" w:rsidP="00EC5E2A">
            <w:pPr>
              <w:ind w:left="-106" w:right="-111"/>
              <w:jc w:val="center"/>
              <w:rPr>
                <w:rFonts w:ascii="Arial Narrow" w:eastAsia="Arial Narrow" w:hAnsi="Arial Narrow" w:cs="Arial Narrow"/>
                <w:bCs/>
                <w:sz w:val="16"/>
                <w:szCs w:val="16"/>
              </w:rPr>
            </w:pPr>
            <w:r w:rsidRPr="00FF408E">
              <w:rPr>
                <w:rFonts w:ascii="Arial Narrow" w:eastAsia="Arial Narrow" w:hAnsi="Arial Narrow" w:cs="Arial Narrow"/>
                <w:bCs/>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84770C5" w14:textId="77777777" w:rsidR="00F1255E" w:rsidRPr="00FF408E" w:rsidRDefault="00F1255E" w:rsidP="00EC5E2A">
            <w:pPr>
              <w:ind w:left="-61" w:right="-16"/>
              <w:jc w:val="center"/>
              <w:rPr>
                <w:rFonts w:ascii="Arial Narrow" w:eastAsia="Arial Narrow" w:hAnsi="Arial Narrow" w:cs="Arial Narrow"/>
                <w:bCs/>
                <w:sz w:val="16"/>
                <w:szCs w:val="16"/>
              </w:rPr>
            </w:pPr>
            <w:r>
              <w:rPr>
                <w:rFonts w:ascii="Arial Narrow" w:eastAsia="Arial Narrow" w:hAnsi="Arial Narrow" w:cs="Arial Narrow"/>
                <w:bCs/>
                <w:sz w:val="16"/>
                <w:szCs w:val="16"/>
              </w:rPr>
              <w:t>3.750.000,00</w:t>
            </w:r>
          </w:p>
        </w:tc>
        <w:tc>
          <w:tcPr>
            <w:tcW w:w="992" w:type="dxa"/>
            <w:tcBorders>
              <w:top w:val="single" w:sz="4" w:space="0" w:color="000000"/>
              <w:left w:val="nil"/>
              <w:bottom w:val="single" w:sz="4" w:space="0" w:color="000000"/>
              <w:right w:val="single" w:sz="4" w:space="0" w:color="000000"/>
            </w:tcBorders>
            <w:vAlign w:val="center"/>
          </w:tcPr>
          <w:p w14:paraId="17BE1182" w14:textId="77777777" w:rsidR="00F1255E" w:rsidRPr="00FF408E" w:rsidRDefault="00F1255E" w:rsidP="00206A2E">
            <w:pPr>
              <w:ind w:left="-107"/>
              <w:jc w:val="right"/>
              <w:rPr>
                <w:rFonts w:ascii="Arial Narrow" w:eastAsia="Arial Narrow" w:hAnsi="Arial Narrow" w:cs="Arial Narrow"/>
                <w:bCs/>
                <w:sz w:val="16"/>
                <w:szCs w:val="16"/>
              </w:rPr>
            </w:pPr>
            <w:r>
              <w:rPr>
                <w:rFonts w:ascii="Arial Narrow" w:eastAsia="Arial Narrow" w:hAnsi="Arial Narrow" w:cs="Arial Narrow"/>
                <w:bCs/>
                <w:sz w:val="16"/>
                <w:szCs w:val="16"/>
              </w:rPr>
              <w:t>12.870.000,00</w:t>
            </w:r>
          </w:p>
        </w:tc>
        <w:tc>
          <w:tcPr>
            <w:tcW w:w="990" w:type="dxa"/>
            <w:tcBorders>
              <w:top w:val="single" w:sz="4" w:space="0" w:color="000000"/>
              <w:left w:val="nil"/>
              <w:bottom w:val="single" w:sz="4" w:space="0" w:color="000000"/>
              <w:right w:val="single" w:sz="4" w:space="0" w:color="000000"/>
            </w:tcBorders>
            <w:vAlign w:val="center"/>
          </w:tcPr>
          <w:p w14:paraId="71B256D4" w14:textId="77777777" w:rsidR="00F1255E" w:rsidRPr="00FF408E" w:rsidRDefault="00F1255E" w:rsidP="00EC5E2A">
            <w:pPr>
              <w:ind w:left="-70"/>
              <w:jc w:val="center"/>
              <w:rPr>
                <w:rFonts w:ascii="Arial Narrow" w:eastAsia="Arial Narrow" w:hAnsi="Arial Narrow" w:cs="Arial Narrow"/>
                <w:bCs/>
                <w:sz w:val="16"/>
                <w:szCs w:val="16"/>
              </w:rPr>
            </w:pPr>
            <w:r>
              <w:rPr>
                <w:rFonts w:ascii="Arial Narrow" w:eastAsia="Arial Narrow" w:hAnsi="Arial Narrow" w:cs="Arial Narrow"/>
                <w:bCs/>
                <w:sz w:val="16"/>
                <w:szCs w:val="16"/>
              </w:rPr>
              <w:t>55.463,27</w:t>
            </w:r>
          </w:p>
        </w:tc>
        <w:tc>
          <w:tcPr>
            <w:tcW w:w="849" w:type="dxa"/>
            <w:tcBorders>
              <w:top w:val="single" w:sz="4" w:space="0" w:color="000000"/>
              <w:left w:val="nil"/>
              <w:bottom w:val="single" w:sz="4" w:space="0" w:color="000000"/>
              <w:right w:val="single" w:sz="4" w:space="0" w:color="000000"/>
            </w:tcBorders>
            <w:vAlign w:val="center"/>
          </w:tcPr>
          <w:p w14:paraId="61BA0278" w14:textId="77777777" w:rsidR="00F1255E" w:rsidRPr="00FF408E" w:rsidRDefault="00F1255E" w:rsidP="00206A2E">
            <w:pPr>
              <w:ind w:left="-104" w:right="-43"/>
              <w:jc w:val="right"/>
              <w:rPr>
                <w:rFonts w:ascii="Arial Narrow" w:eastAsia="Arial Narrow" w:hAnsi="Arial Narrow" w:cs="Arial Narrow"/>
                <w:bCs/>
                <w:sz w:val="16"/>
                <w:szCs w:val="16"/>
              </w:rPr>
            </w:pPr>
            <w:r>
              <w:rPr>
                <w:rFonts w:ascii="Arial Narrow" w:eastAsia="Arial Narrow" w:hAnsi="Arial Narrow" w:cs="Arial Narrow"/>
                <w:bCs/>
                <w:sz w:val="16"/>
                <w:szCs w:val="16"/>
              </w:rPr>
              <w:t>184.877,55</w:t>
            </w:r>
          </w:p>
        </w:tc>
        <w:tc>
          <w:tcPr>
            <w:tcW w:w="992" w:type="dxa"/>
            <w:tcBorders>
              <w:top w:val="single" w:sz="4" w:space="0" w:color="000000"/>
              <w:left w:val="nil"/>
              <w:bottom w:val="single" w:sz="4" w:space="0" w:color="000000"/>
              <w:right w:val="single" w:sz="4" w:space="0" w:color="000000"/>
            </w:tcBorders>
            <w:vAlign w:val="center"/>
          </w:tcPr>
          <w:p w14:paraId="37FD8E62" w14:textId="77777777" w:rsidR="00F1255E" w:rsidRPr="00FF408E" w:rsidRDefault="00F1255E" w:rsidP="00206A2E">
            <w:pPr>
              <w:ind w:left="-70" w:right="-114"/>
              <w:rPr>
                <w:rFonts w:ascii="Arial Narrow" w:eastAsia="Arial Narrow" w:hAnsi="Arial Narrow" w:cs="Arial Narrow"/>
                <w:bCs/>
                <w:sz w:val="16"/>
                <w:szCs w:val="16"/>
              </w:rPr>
            </w:pPr>
            <w:r>
              <w:rPr>
                <w:rFonts w:ascii="Arial Narrow" w:eastAsia="Arial Narrow" w:hAnsi="Arial Narrow" w:cs="Arial Narrow"/>
                <w:bCs/>
                <w:sz w:val="16"/>
                <w:szCs w:val="16"/>
              </w:rPr>
              <w:t>16.749.414,29</w:t>
            </w:r>
          </w:p>
        </w:tc>
      </w:tr>
      <w:tr w:rsidR="00F1255E" w14:paraId="65A8B7EC" w14:textId="77777777" w:rsidTr="00C30E2C">
        <w:trPr>
          <w:trHeight w:val="239"/>
        </w:trPr>
        <w:tc>
          <w:tcPr>
            <w:tcW w:w="4441" w:type="dxa"/>
            <w:gridSpan w:val="6"/>
            <w:tcBorders>
              <w:top w:val="nil"/>
              <w:left w:val="single" w:sz="4" w:space="0" w:color="000000"/>
              <w:bottom w:val="single" w:sz="4" w:space="0" w:color="000000"/>
              <w:right w:val="single" w:sz="4" w:space="0" w:color="000000"/>
            </w:tcBorders>
            <w:shd w:val="clear" w:color="auto" w:fill="FFFFFF"/>
            <w:vAlign w:val="center"/>
            <w:hideMark/>
          </w:tcPr>
          <w:p w14:paraId="25C6538F" w14:textId="77777777" w:rsidR="00F1255E" w:rsidRDefault="00F1255E" w:rsidP="00EC5E2A">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p w14:paraId="0BA04A28" w14:textId="36085B04" w:rsidR="00F1255E" w:rsidRDefault="00F1255E" w:rsidP="00EC5E2A">
            <w:pPr>
              <w:jc w:val="both"/>
              <w:rPr>
                <w:rFonts w:ascii="Arial Narrow" w:eastAsia="Arial Narrow" w:hAnsi="Arial Narrow" w:cs="Arial Narrow"/>
                <w:sz w:val="16"/>
                <w:szCs w:val="16"/>
              </w:rPr>
            </w:pPr>
            <w:r>
              <w:rPr>
                <w:rFonts w:ascii="Arial Narrow" w:eastAsia="Arial Narrow" w:hAnsi="Arial Narrow" w:cs="Arial Narrow"/>
                <w:sz w:val="16"/>
                <w:szCs w:val="16"/>
              </w:rPr>
              <w:t xml:space="preserve">     CVE: Compra de Vivienda Existente</w:t>
            </w:r>
          </w:p>
        </w:tc>
        <w:tc>
          <w:tcPr>
            <w:tcW w:w="4439" w:type="dxa"/>
            <w:gridSpan w:val="5"/>
            <w:tcBorders>
              <w:top w:val="nil"/>
              <w:left w:val="single" w:sz="4" w:space="0" w:color="000000"/>
              <w:bottom w:val="single" w:sz="4" w:space="0" w:color="000000"/>
              <w:right w:val="single" w:sz="4" w:space="0" w:color="000000"/>
            </w:tcBorders>
            <w:shd w:val="clear" w:color="auto" w:fill="FFFFFF"/>
          </w:tcPr>
          <w:p w14:paraId="1F499A14" w14:textId="3BCF0C0D" w:rsidR="00F1255E" w:rsidRDefault="00C30E2C" w:rsidP="00C30E2C">
            <w:pPr>
              <w:rPr>
                <w:rFonts w:ascii="Arial Narrow" w:eastAsia="Arial Narrow" w:hAnsi="Arial Narrow" w:cs="Arial Narrow"/>
                <w:b/>
                <w:bCs/>
                <w:sz w:val="16"/>
                <w:szCs w:val="16"/>
              </w:rPr>
            </w:pPr>
            <w:r>
              <w:rPr>
                <w:rFonts w:ascii="Arial Narrow" w:eastAsia="Arial Narrow" w:hAnsi="Arial Narrow" w:cs="Arial Narrow"/>
                <w:sz w:val="16"/>
                <w:szCs w:val="16"/>
              </w:rPr>
              <w:t>CLP:  Construcción en Lote Propio</w:t>
            </w:r>
          </w:p>
        </w:tc>
      </w:tr>
    </w:tbl>
    <w:p w14:paraId="14A4BD97" w14:textId="77777777" w:rsidR="00F1255E" w:rsidRDefault="00F1255E" w:rsidP="00F1255E">
      <w:pPr>
        <w:spacing w:line="360" w:lineRule="auto"/>
        <w:jc w:val="both"/>
        <w:rPr>
          <w:sz w:val="22"/>
          <w:szCs w:val="22"/>
        </w:rPr>
      </w:pPr>
    </w:p>
    <w:p w14:paraId="0F0A1011" w14:textId="77777777" w:rsidR="00F1255E" w:rsidRDefault="00F1255E" w:rsidP="00F1255E">
      <w:pPr>
        <w:spacing w:line="360" w:lineRule="auto"/>
        <w:jc w:val="both"/>
        <w:rPr>
          <w:sz w:val="22"/>
          <w:szCs w:val="22"/>
        </w:rPr>
      </w:pPr>
      <w:r>
        <w:rPr>
          <w:b/>
          <w:sz w:val="22"/>
          <w:szCs w:val="22"/>
        </w:rPr>
        <w:lastRenderedPageBreak/>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10171739" w14:textId="77777777" w:rsidR="00F1255E" w:rsidRDefault="00F1255E" w:rsidP="00F1255E">
      <w:pPr>
        <w:spacing w:line="360" w:lineRule="auto"/>
        <w:jc w:val="both"/>
        <w:rPr>
          <w:rFonts w:cs="Arial"/>
          <w:bCs/>
          <w:sz w:val="22"/>
          <w:szCs w:val="22"/>
        </w:rPr>
      </w:pPr>
    </w:p>
    <w:p w14:paraId="60E29E47" w14:textId="77777777" w:rsidR="00F1255E" w:rsidRDefault="00F1255E" w:rsidP="00F1255E">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0DEE8F3" w14:textId="77777777" w:rsidR="00F1255E" w:rsidRDefault="00F1255E" w:rsidP="00F1255E">
      <w:pPr>
        <w:spacing w:line="360" w:lineRule="auto"/>
        <w:jc w:val="both"/>
        <w:rPr>
          <w:sz w:val="22"/>
          <w:szCs w:val="22"/>
        </w:rPr>
      </w:pPr>
    </w:p>
    <w:p w14:paraId="329BA658" w14:textId="77777777" w:rsidR="00F1255E" w:rsidRDefault="00F1255E" w:rsidP="00F1255E">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18493F62" w14:textId="77777777" w:rsidR="00F1255E" w:rsidRDefault="00F1255E" w:rsidP="00F1255E">
      <w:pPr>
        <w:spacing w:line="360" w:lineRule="auto"/>
        <w:jc w:val="both"/>
        <w:rPr>
          <w:rFonts w:cs="Arial"/>
          <w:bCs/>
          <w:sz w:val="22"/>
          <w:szCs w:val="22"/>
        </w:rPr>
      </w:pPr>
    </w:p>
    <w:p w14:paraId="4D115C08" w14:textId="77777777" w:rsidR="00F1255E" w:rsidRDefault="00F1255E" w:rsidP="00F1255E">
      <w:pPr>
        <w:spacing w:line="360" w:lineRule="auto"/>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E04790C" w14:textId="77777777" w:rsidR="00F1255E" w:rsidRDefault="00F1255E" w:rsidP="00F1255E">
      <w:pPr>
        <w:pStyle w:val="Ttulo2"/>
        <w:spacing w:line="360" w:lineRule="auto"/>
        <w:rPr>
          <w:rFonts w:cs="Arial"/>
          <w:szCs w:val="22"/>
          <w:lang w:val="es-ES_tradnl"/>
        </w:rPr>
      </w:pPr>
      <w:r>
        <w:rPr>
          <w:rFonts w:cs="Arial"/>
          <w:szCs w:val="22"/>
        </w:rPr>
        <w:t>Acuerdo Unánime y Firme.-</w:t>
      </w:r>
    </w:p>
    <w:p w14:paraId="7CA4888A" w14:textId="77777777" w:rsidR="00F1255E" w:rsidRDefault="00F1255E" w:rsidP="00F1255E">
      <w:pPr>
        <w:spacing w:line="360" w:lineRule="auto"/>
        <w:jc w:val="both"/>
        <w:rPr>
          <w:rFonts w:cs="Arial"/>
          <w:b/>
          <w:sz w:val="22"/>
        </w:rPr>
      </w:pPr>
      <w:r>
        <w:rPr>
          <w:rFonts w:cs="Arial"/>
          <w:b/>
          <w:sz w:val="22"/>
        </w:rPr>
        <w:t>************</w:t>
      </w:r>
    </w:p>
    <w:p w14:paraId="360B8698" w14:textId="77777777" w:rsidR="002B71CC" w:rsidRDefault="002B71CC" w:rsidP="002B71CC">
      <w:pPr>
        <w:spacing w:line="360" w:lineRule="auto"/>
        <w:jc w:val="both"/>
        <w:rPr>
          <w:rFonts w:cs="Arial"/>
          <w:sz w:val="22"/>
          <w:lang w:val="es-ES_tradnl"/>
        </w:rPr>
      </w:pPr>
    </w:p>
    <w:p w14:paraId="73374F0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8D0B2CD" w14:textId="5C6189A8" w:rsidR="002B71CC" w:rsidRDefault="003E7DB3" w:rsidP="002B71CC">
      <w:pPr>
        <w:spacing w:line="360" w:lineRule="auto"/>
        <w:jc w:val="both"/>
        <w:rPr>
          <w:rFonts w:cs="Arial"/>
          <w:sz w:val="22"/>
          <w:szCs w:val="22"/>
        </w:rPr>
      </w:pPr>
      <w:r>
        <w:rPr>
          <w:rFonts w:cs="Arial"/>
          <w:sz w:val="22"/>
          <w:szCs w:val="22"/>
        </w:rPr>
        <w:t xml:space="preserve">Instruir a la </w:t>
      </w:r>
      <w:r w:rsidR="007A49E8">
        <w:rPr>
          <w:rFonts w:cs="Arial"/>
          <w:sz w:val="22"/>
          <w:szCs w:val="22"/>
        </w:rPr>
        <w:t>Dirección FOSUVI</w:t>
      </w:r>
      <w:r>
        <w:rPr>
          <w:rFonts w:cs="Arial"/>
          <w:sz w:val="22"/>
          <w:szCs w:val="22"/>
          <w:lang w:val="es-ES_tradnl"/>
        </w:rPr>
        <w:t xml:space="preserve">, para que quincenalmente </w:t>
      </w:r>
      <w:r w:rsidR="0041375E">
        <w:rPr>
          <w:rFonts w:cs="Arial"/>
          <w:sz w:val="22"/>
          <w:szCs w:val="22"/>
          <w:lang w:val="es-ES_tradnl"/>
        </w:rPr>
        <w:t xml:space="preserve">informe </w:t>
      </w:r>
      <w:r>
        <w:rPr>
          <w:rFonts w:cs="Arial"/>
          <w:sz w:val="22"/>
          <w:szCs w:val="22"/>
          <w:lang w:val="es-ES_tradnl"/>
        </w:rPr>
        <w:t xml:space="preserve">a esta </w:t>
      </w:r>
      <w:r w:rsidRPr="003E7DB3">
        <w:rPr>
          <w:rFonts w:cs="Arial"/>
          <w:sz w:val="22"/>
          <w:szCs w:val="22"/>
          <w:lang w:val="es-ES_tradnl"/>
        </w:rPr>
        <w:t>Junta Directiva</w:t>
      </w:r>
      <w:r>
        <w:rPr>
          <w:rFonts w:cs="Arial"/>
          <w:sz w:val="22"/>
          <w:szCs w:val="22"/>
          <w:lang w:val="es-ES_tradnl"/>
        </w:rPr>
        <w:t xml:space="preserve">, </w:t>
      </w:r>
      <w:r w:rsidR="0041375E" w:rsidRPr="0041375E">
        <w:rPr>
          <w:rFonts w:cs="Arial"/>
          <w:sz w:val="22"/>
          <w:szCs w:val="22"/>
          <w:lang w:val="es-ES_tradnl"/>
        </w:rPr>
        <w:t xml:space="preserve">sobre la gestión del Departamento de Análisis y Control, con respecto a las solicitudes individuales de </w:t>
      </w:r>
      <w:r w:rsidR="0041375E">
        <w:rPr>
          <w:rFonts w:cs="Arial"/>
          <w:sz w:val="22"/>
          <w:szCs w:val="22"/>
          <w:lang w:val="es-ES_tradnl"/>
        </w:rPr>
        <w:t xml:space="preserve">bono ordinario y </w:t>
      </w:r>
      <w:r w:rsidR="0041375E" w:rsidRPr="0041375E">
        <w:rPr>
          <w:rFonts w:cs="Arial"/>
          <w:sz w:val="22"/>
          <w:szCs w:val="22"/>
          <w:lang w:val="es-ES_tradnl"/>
        </w:rPr>
        <w:t xml:space="preserve">al amparo del artículo 59 de la Ley 7052, indicando la cantidad de solicitudes que han ingresado en </w:t>
      </w:r>
      <w:r w:rsidR="0041375E">
        <w:rPr>
          <w:rFonts w:cs="Arial"/>
          <w:sz w:val="22"/>
          <w:szCs w:val="22"/>
          <w:lang w:val="es-ES_tradnl"/>
        </w:rPr>
        <w:t xml:space="preserve">el período </w:t>
      </w:r>
      <w:r w:rsidR="0041375E" w:rsidRPr="0041375E">
        <w:rPr>
          <w:rFonts w:cs="Arial"/>
          <w:sz w:val="22"/>
          <w:szCs w:val="22"/>
          <w:lang w:val="es-ES_tradnl"/>
        </w:rPr>
        <w:t>y el número de casos revisados</w:t>
      </w:r>
      <w:r w:rsidR="0041375E">
        <w:rPr>
          <w:rFonts w:cs="Arial"/>
          <w:sz w:val="22"/>
          <w:szCs w:val="22"/>
          <w:lang w:val="es-ES_tradnl"/>
        </w:rPr>
        <w:t>, así como el detalle de</w:t>
      </w:r>
      <w:r w:rsidR="004532C3" w:rsidRPr="004532C3">
        <w:rPr>
          <w:rFonts w:cs="Arial"/>
          <w:sz w:val="22"/>
          <w:szCs w:val="22"/>
          <w:lang w:val="es-CR"/>
        </w:rPr>
        <w:t xml:space="preserve"> la antigüedad de los expedientes pendientes de revisar.</w:t>
      </w:r>
    </w:p>
    <w:p w14:paraId="3769CA4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0829F72" w14:textId="77777777" w:rsidR="002B71CC" w:rsidRPr="00D14EAF" w:rsidRDefault="002B71CC" w:rsidP="002B71CC">
      <w:pPr>
        <w:spacing w:line="360" w:lineRule="auto"/>
        <w:jc w:val="both"/>
        <w:rPr>
          <w:rFonts w:cs="Arial"/>
          <w:b/>
          <w:sz w:val="22"/>
        </w:rPr>
      </w:pPr>
      <w:r w:rsidRPr="00D14EAF">
        <w:rPr>
          <w:rFonts w:cs="Arial"/>
          <w:b/>
          <w:sz w:val="22"/>
        </w:rPr>
        <w:t>************</w:t>
      </w:r>
    </w:p>
    <w:p w14:paraId="5E2BD073" w14:textId="77777777" w:rsidR="002B71CC" w:rsidRDefault="002B71CC" w:rsidP="002B71CC">
      <w:pPr>
        <w:spacing w:line="360" w:lineRule="auto"/>
        <w:jc w:val="both"/>
        <w:rPr>
          <w:rFonts w:cs="Arial"/>
          <w:sz w:val="22"/>
          <w:lang w:val="es-ES_tradnl"/>
        </w:rPr>
      </w:pPr>
    </w:p>
    <w:p w14:paraId="51E8A55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5222B937" w14:textId="7DC17D60" w:rsidR="002B71CC" w:rsidRDefault="007A49E8" w:rsidP="002B71CC">
      <w:pPr>
        <w:spacing w:line="360" w:lineRule="auto"/>
        <w:jc w:val="both"/>
        <w:rPr>
          <w:rFonts w:cs="Arial"/>
          <w:sz w:val="22"/>
          <w:szCs w:val="22"/>
        </w:rPr>
      </w:pPr>
      <w:r>
        <w:rPr>
          <w:rFonts w:cs="Arial"/>
          <w:sz w:val="22"/>
          <w:szCs w:val="22"/>
        </w:rPr>
        <w:t xml:space="preserve">Instruir a la </w:t>
      </w:r>
      <w:r w:rsidRPr="007A49E8">
        <w:rPr>
          <w:rFonts w:cs="Arial"/>
          <w:sz w:val="22"/>
          <w:szCs w:val="22"/>
          <w:lang w:val="es-CR"/>
        </w:rPr>
        <w:t>Gerencia General</w:t>
      </w:r>
      <w:r>
        <w:rPr>
          <w:rFonts w:cs="Arial"/>
          <w:sz w:val="22"/>
          <w:szCs w:val="22"/>
          <w:lang w:val="es-CR"/>
        </w:rPr>
        <w:t>, para que</w:t>
      </w:r>
      <w:r w:rsidR="00B06577">
        <w:rPr>
          <w:rFonts w:cs="Arial"/>
          <w:sz w:val="22"/>
          <w:szCs w:val="22"/>
          <w:lang w:val="es-CR"/>
        </w:rPr>
        <w:t xml:space="preserve"> elabore y</w:t>
      </w:r>
      <w:r>
        <w:rPr>
          <w:rFonts w:cs="Arial"/>
          <w:sz w:val="22"/>
          <w:szCs w:val="22"/>
          <w:lang w:val="es-CR"/>
        </w:rPr>
        <w:t xml:space="preserve"> presente a esta </w:t>
      </w:r>
      <w:r w:rsidRPr="007A49E8">
        <w:rPr>
          <w:rFonts w:cs="Arial"/>
          <w:sz w:val="22"/>
          <w:szCs w:val="22"/>
          <w:lang w:val="es-ES_tradnl"/>
        </w:rPr>
        <w:t>Junta Directiva</w:t>
      </w:r>
      <w:r w:rsidR="00B06577">
        <w:rPr>
          <w:rFonts w:cs="Arial"/>
          <w:sz w:val="22"/>
          <w:szCs w:val="22"/>
          <w:lang w:val="es-ES_tradnl"/>
        </w:rPr>
        <w:t>,</w:t>
      </w:r>
      <w:r>
        <w:rPr>
          <w:rFonts w:cs="Arial"/>
          <w:sz w:val="22"/>
          <w:szCs w:val="22"/>
          <w:lang w:val="es-ES_tradnl"/>
        </w:rPr>
        <w:t xml:space="preserve"> una propuesta </w:t>
      </w:r>
      <w:r w:rsidR="00D66477">
        <w:rPr>
          <w:rFonts w:cs="Arial"/>
          <w:sz w:val="22"/>
          <w:szCs w:val="22"/>
          <w:lang w:val="es-ES_tradnl"/>
        </w:rPr>
        <w:t xml:space="preserve">de </w:t>
      </w:r>
      <w:r w:rsidR="00B06577">
        <w:rPr>
          <w:rFonts w:cs="Arial"/>
          <w:sz w:val="22"/>
          <w:szCs w:val="22"/>
          <w:lang w:val="es-ES_tradnl"/>
        </w:rPr>
        <w:t xml:space="preserve">reuniones </w:t>
      </w:r>
      <w:r w:rsidR="002A7883">
        <w:rPr>
          <w:rFonts w:cs="Arial"/>
          <w:sz w:val="22"/>
          <w:szCs w:val="22"/>
          <w:lang w:val="es-ES_tradnl"/>
        </w:rPr>
        <w:t xml:space="preserve">entre </w:t>
      </w:r>
      <w:r w:rsidR="00B06577">
        <w:rPr>
          <w:rFonts w:cs="Arial"/>
          <w:sz w:val="22"/>
          <w:szCs w:val="22"/>
          <w:lang w:val="es-ES_tradnl"/>
        </w:rPr>
        <w:t xml:space="preserve">este Órgano Colegiado </w:t>
      </w:r>
      <w:r w:rsidR="002A7883">
        <w:rPr>
          <w:rFonts w:cs="Arial"/>
          <w:sz w:val="22"/>
          <w:szCs w:val="22"/>
          <w:lang w:val="es-ES_tradnl"/>
        </w:rPr>
        <w:t xml:space="preserve">y </w:t>
      </w:r>
      <w:r w:rsidR="00B06577">
        <w:rPr>
          <w:rFonts w:cs="Arial"/>
          <w:sz w:val="22"/>
          <w:szCs w:val="22"/>
          <w:lang w:val="es-ES_tradnl"/>
        </w:rPr>
        <w:t xml:space="preserve">las autoridades de las entidades que tienen mayor participación en el </w:t>
      </w:r>
      <w:r w:rsidR="00B06577" w:rsidRPr="00B06577">
        <w:rPr>
          <w:rFonts w:cs="Arial"/>
          <w:sz w:val="22"/>
          <w:szCs w:val="22"/>
          <w:lang w:val="es-ES_tradnl"/>
        </w:rPr>
        <w:t>Sistema Financiero Nacional para la Vivienda</w:t>
      </w:r>
      <w:r w:rsidR="00B06577">
        <w:rPr>
          <w:rFonts w:cs="Arial"/>
          <w:sz w:val="22"/>
          <w:szCs w:val="22"/>
          <w:lang w:val="es-ES_tradnl"/>
        </w:rPr>
        <w:t xml:space="preserve">, </w:t>
      </w:r>
      <w:r w:rsidR="00D66477">
        <w:rPr>
          <w:rFonts w:cs="Arial"/>
          <w:sz w:val="22"/>
          <w:szCs w:val="22"/>
          <w:lang w:val="es-ES_tradnl"/>
        </w:rPr>
        <w:t>con el</w:t>
      </w:r>
      <w:r w:rsidR="00050C88">
        <w:rPr>
          <w:rFonts w:cs="Arial"/>
          <w:sz w:val="22"/>
          <w:szCs w:val="22"/>
          <w:lang w:val="es-ES_tradnl"/>
        </w:rPr>
        <w:t xml:space="preserve"> objetivo</w:t>
      </w:r>
      <w:r w:rsidR="00D66477">
        <w:rPr>
          <w:rFonts w:cs="Arial"/>
          <w:sz w:val="22"/>
          <w:szCs w:val="22"/>
          <w:lang w:val="es-ES_tradnl"/>
        </w:rPr>
        <w:t xml:space="preserve"> de </w:t>
      </w:r>
      <w:r w:rsidR="00A96231">
        <w:rPr>
          <w:rFonts w:cs="Arial"/>
          <w:sz w:val="22"/>
          <w:szCs w:val="22"/>
          <w:lang w:val="es-ES_tradnl"/>
        </w:rPr>
        <w:t xml:space="preserve">intercambiar criterios, intereses y </w:t>
      </w:r>
      <w:r w:rsidR="00050C88">
        <w:rPr>
          <w:rFonts w:cs="Arial"/>
          <w:sz w:val="22"/>
          <w:szCs w:val="22"/>
          <w:lang w:val="es-ES_tradnl"/>
        </w:rPr>
        <w:t>propósitos para los próximos años.</w:t>
      </w:r>
    </w:p>
    <w:p w14:paraId="192844A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8DE940F" w14:textId="77777777" w:rsidR="002B71CC" w:rsidRPr="00D14EAF" w:rsidRDefault="002B71CC" w:rsidP="002B71CC">
      <w:pPr>
        <w:spacing w:line="360" w:lineRule="auto"/>
        <w:jc w:val="both"/>
        <w:rPr>
          <w:rFonts w:cs="Arial"/>
          <w:b/>
          <w:sz w:val="22"/>
        </w:rPr>
      </w:pPr>
      <w:r w:rsidRPr="00D14EAF">
        <w:rPr>
          <w:rFonts w:cs="Arial"/>
          <w:b/>
          <w:sz w:val="22"/>
        </w:rPr>
        <w:t>************</w:t>
      </w:r>
    </w:p>
    <w:p w14:paraId="4DE2D1AD" w14:textId="77777777" w:rsidR="002B71CC" w:rsidRDefault="002B71CC" w:rsidP="002B71CC">
      <w:pPr>
        <w:spacing w:line="360" w:lineRule="auto"/>
        <w:jc w:val="both"/>
        <w:rPr>
          <w:rFonts w:cs="Arial"/>
          <w:sz w:val="22"/>
          <w:lang w:val="es-ES_tradnl"/>
        </w:rPr>
      </w:pPr>
    </w:p>
    <w:p w14:paraId="1192A59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3D51A498" w14:textId="3E81B356" w:rsidR="00806C47" w:rsidRDefault="00806C47" w:rsidP="00806C47">
      <w:pPr>
        <w:spacing w:line="360" w:lineRule="auto"/>
        <w:jc w:val="both"/>
        <w:rPr>
          <w:rFonts w:cs="Arial"/>
          <w:sz w:val="22"/>
          <w:szCs w:val="22"/>
          <w:lang w:val="es-ES_tradnl"/>
        </w:rPr>
      </w:pPr>
      <w:r>
        <w:rPr>
          <w:rFonts w:cs="Arial"/>
          <w:sz w:val="22"/>
          <w:szCs w:val="22"/>
          <w:lang w:val="es-CR"/>
        </w:rPr>
        <w:t xml:space="preserve">De conformidad con lo expuesto por la </w:t>
      </w:r>
      <w:r w:rsidRPr="00806C47">
        <w:rPr>
          <w:rFonts w:cs="Arial"/>
          <w:sz w:val="22"/>
          <w:szCs w:val="22"/>
          <w:lang w:val="es-CR"/>
        </w:rPr>
        <w:t>Gerencia General</w:t>
      </w:r>
      <w:r>
        <w:rPr>
          <w:rFonts w:cs="Arial"/>
          <w:sz w:val="22"/>
          <w:szCs w:val="22"/>
          <w:lang w:val="es-CR"/>
        </w:rPr>
        <w:t xml:space="preserve"> y la Asesoría Legal en los oficios GG-OF-1097-2022 y AL-OF-062-2022, respectivamente, se autoriza a la empresa </w:t>
      </w:r>
      <w:r w:rsidRPr="0046424F">
        <w:rPr>
          <w:rFonts w:cs="Arial"/>
          <w:sz w:val="22"/>
          <w:szCs w:val="22"/>
          <w:lang w:val="es-CR"/>
        </w:rPr>
        <w:t>Construcciones Modulares de Costa Rica S.A.</w:t>
      </w:r>
      <w:r>
        <w:rPr>
          <w:rFonts w:cs="Arial"/>
          <w:sz w:val="22"/>
          <w:szCs w:val="22"/>
          <w:lang w:val="es-CR"/>
        </w:rPr>
        <w:t>,</w:t>
      </w:r>
      <w:r w:rsidRPr="0046424F">
        <w:rPr>
          <w:rFonts w:cs="Arial"/>
          <w:sz w:val="22"/>
          <w:szCs w:val="22"/>
          <w:lang w:val="es-CR"/>
        </w:rPr>
        <w:t xml:space="preserve"> </w:t>
      </w:r>
      <w:r>
        <w:rPr>
          <w:rFonts w:cs="Arial"/>
          <w:sz w:val="22"/>
          <w:szCs w:val="22"/>
          <w:lang w:val="es-CR"/>
        </w:rPr>
        <w:t xml:space="preserve">para que, a través de Grupo Mutual Alajuela – La Vivienda </w:t>
      </w:r>
      <w:r w:rsidRPr="00806C47">
        <w:rPr>
          <w:rFonts w:cs="Arial"/>
          <w:sz w:val="22"/>
          <w:szCs w:val="22"/>
          <w:lang w:val="es-ES_tradnl"/>
        </w:rPr>
        <w:t>de Ahorro y Préstamo</w:t>
      </w:r>
      <w:r>
        <w:rPr>
          <w:rFonts w:cs="Arial"/>
          <w:sz w:val="22"/>
          <w:szCs w:val="22"/>
          <w:lang w:val="es-ES_tradnl"/>
        </w:rPr>
        <w:t xml:space="preserve">, </w:t>
      </w:r>
      <w:r w:rsidRPr="0046424F">
        <w:rPr>
          <w:rFonts w:cs="Arial"/>
          <w:sz w:val="22"/>
          <w:szCs w:val="22"/>
          <w:lang w:val="es-CR"/>
        </w:rPr>
        <w:t>presente una solicitud de financiamiento adicional por</w:t>
      </w:r>
      <w:r>
        <w:rPr>
          <w:rFonts w:cs="Arial"/>
          <w:sz w:val="22"/>
          <w:szCs w:val="22"/>
          <w:lang w:val="es-CR"/>
        </w:rPr>
        <w:t xml:space="preserve"> </w:t>
      </w:r>
      <w:r w:rsidRPr="0046424F">
        <w:rPr>
          <w:rFonts w:cs="Arial"/>
          <w:sz w:val="22"/>
          <w:szCs w:val="22"/>
          <w:lang w:val="es-CR"/>
        </w:rPr>
        <w:t>incrementos en los costos d</w:t>
      </w:r>
      <w:r>
        <w:rPr>
          <w:rFonts w:cs="Arial"/>
          <w:sz w:val="22"/>
          <w:szCs w:val="22"/>
          <w:lang w:val="es-CR"/>
        </w:rPr>
        <w:t>e</w:t>
      </w:r>
      <w:r w:rsidRPr="0046424F">
        <w:rPr>
          <w:rFonts w:cs="Arial"/>
          <w:sz w:val="22"/>
          <w:szCs w:val="22"/>
          <w:lang w:val="es-CR"/>
        </w:rPr>
        <w:t xml:space="preserve"> los insumos en </w:t>
      </w:r>
      <w:r>
        <w:rPr>
          <w:rFonts w:cs="Arial"/>
          <w:sz w:val="22"/>
          <w:szCs w:val="22"/>
          <w:lang w:val="es-CR"/>
        </w:rPr>
        <w:t>el</w:t>
      </w:r>
      <w:r w:rsidRPr="0046424F">
        <w:rPr>
          <w:rFonts w:cs="Arial"/>
          <w:sz w:val="22"/>
          <w:szCs w:val="22"/>
          <w:lang w:val="es-CR"/>
        </w:rPr>
        <w:t xml:space="preserve"> proyecto Santa Luisa II, </w:t>
      </w:r>
      <w:r>
        <w:rPr>
          <w:rFonts w:cs="Arial"/>
          <w:sz w:val="22"/>
          <w:szCs w:val="22"/>
          <w:lang w:val="es-CR"/>
        </w:rPr>
        <w:t xml:space="preserve">con el fin de </w:t>
      </w:r>
      <w:r w:rsidRPr="0046424F">
        <w:rPr>
          <w:rFonts w:cs="Arial"/>
          <w:sz w:val="22"/>
          <w:szCs w:val="22"/>
          <w:lang w:val="es-CR"/>
        </w:rPr>
        <w:t>garantizar el equilibrio econ</w:t>
      </w:r>
      <w:r>
        <w:rPr>
          <w:rFonts w:cs="Arial"/>
          <w:sz w:val="22"/>
          <w:szCs w:val="22"/>
          <w:lang w:val="es-CR"/>
        </w:rPr>
        <w:t>ó</w:t>
      </w:r>
      <w:r w:rsidRPr="0046424F">
        <w:rPr>
          <w:rFonts w:cs="Arial"/>
          <w:sz w:val="22"/>
          <w:szCs w:val="22"/>
          <w:lang w:val="es-CR"/>
        </w:rPr>
        <w:t>mico del contrato</w:t>
      </w:r>
      <w:r>
        <w:rPr>
          <w:rFonts w:cs="Arial"/>
          <w:sz w:val="22"/>
          <w:szCs w:val="22"/>
          <w:lang w:val="es-CR"/>
        </w:rPr>
        <w:t xml:space="preserve">, dado que </w:t>
      </w:r>
      <w:r w:rsidRPr="0046424F">
        <w:rPr>
          <w:rFonts w:cs="Arial"/>
          <w:sz w:val="22"/>
          <w:szCs w:val="22"/>
          <w:lang w:val="es-CR"/>
        </w:rPr>
        <w:t xml:space="preserve">en los </w:t>
      </w:r>
      <w:r>
        <w:rPr>
          <w:rFonts w:cs="Arial"/>
          <w:sz w:val="22"/>
          <w:szCs w:val="22"/>
          <w:lang w:val="es-CR"/>
        </w:rPr>
        <w:t>ú</w:t>
      </w:r>
      <w:r w:rsidRPr="0046424F">
        <w:rPr>
          <w:rFonts w:cs="Arial"/>
          <w:sz w:val="22"/>
          <w:szCs w:val="22"/>
          <w:lang w:val="es-CR"/>
        </w:rPr>
        <w:t>ltimos meses se han</w:t>
      </w:r>
      <w:r>
        <w:rPr>
          <w:rFonts w:cs="Arial"/>
          <w:sz w:val="22"/>
          <w:szCs w:val="22"/>
          <w:lang w:val="es-CR"/>
        </w:rPr>
        <w:t xml:space="preserve"> </w:t>
      </w:r>
      <w:r w:rsidRPr="0046424F">
        <w:rPr>
          <w:rFonts w:cs="Arial"/>
          <w:sz w:val="22"/>
          <w:szCs w:val="22"/>
          <w:lang w:val="es-CR"/>
        </w:rPr>
        <w:t xml:space="preserve">venido presentando circunstancias muy excepcionales relacionadas </w:t>
      </w:r>
      <w:r>
        <w:rPr>
          <w:rFonts w:cs="Arial"/>
          <w:sz w:val="22"/>
          <w:szCs w:val="22"/>
          <w:lang w:val="es-CR"/>
        </w:rPr>
        <w:t xml:space="preserve">con </w:t>
      </w:r>
      <w:r w:rsidRPr="0046424F">
        <w:rPr>
          <w:rFonts w:cs="Arial"/>
          <w:sz w:val="22"/>
          <w:szCs w:val="22"/>
          <w:lang w:val="es-CR"/>
        </w:rPr>
        <w:t xml:space="preserve">incrementos </w:t>
      </w:r>
      <w:r>
        <w:rPr>
          <w:rFonts w:cs="Arial"/>
          <w:sz w:val="22"/>
          <w:szCs w:val="22"/>
          <w:lang w:val="es-CR"/>
        </w:rPr>
        <w:t>e</w:t>
      </w:r>
      <w:r w:rsidRPr="0046424F">
        <w:rPr>
          <w:rFonts w:cs="Arial"/>
          <w:sz w:val="22"/>
          <w:szCs w:val="22"/>
          <w:lang w:val="es-CR"/>
        </w:rPr>
        <w:t>n los</w:t>
      </w:r>
      <w:r>
        <w:rPr>
          <w:rFonts w:cs="Arial"/>
          <w:sz w:val="22"/>
          <w:szCs w:val="22"/>
          <w:lang w:val="es-CR"/>
        </w:rPr>
        <w:t xml:space="preserve"> </w:t>
      </w:r>
      <w:r w:rsidRPr="0046424F">
        <w:rPr>
          <w:rFonts w:cs="Arial"/>
          <w:sz w:val="22"/>
          <w:szCs w:val="22"/>
          <w:lang w:val="es-CR"/>
        </w:rPr>
        <w:t xml:space="preserve">costos de </w:t>
      </w:r>
      <w:r>
        <w:rPr>
          <w:rFonts w:cs="Arial"/>
          <w:sz w:val="22"/>
          <w:szCs w:val="22"/>
          <w:lang w:val="es-CR"/>
        </w:rPr>
        <w:t>l</w:t>
      </w:r>
      <w:r w:rsidRPr="0046424F">
        <w:rPr>
          <w:rFonts w:cs="Arial"/>
          <w:sz w:val="22"/>
          <w:szCs w:val="22"/>
          <w:lang w:val="es-CR"/>
        </w:rPr>
        <w:t>a construcci</w:t>
      </w:r>
      <w:r>
        <w:rPr>
          <w:rFonts w:cs="Arial"/>
          <w:sz w:val="22"/>
          <w:szCs w:val="22"/>
          <w:lang w:val="es-CR"/>
        </w:rPr>
        <w:t>ó</w:t>
      </w:r>
      <w:r w:rsidRPr="0046424F">
        <w:rPr>
          <w:rFonts w:cs="Arial"/>
          <w:sz w:val="22"/>
          <w:szCs w:val="22"/>
          <w:lang w:val="es-CR"/>
        </w:rPr>
        <w:t xml:space="preserve">n y que el desarrollador no hubiera podido prever en </w:t>
      </w:r>
      <w:r>
        <w:rPr>
          <w:rFonts w:cs="Arial"/>
          <w:sz w:val="22"/>
          <w:szCs w:val="22"/>
          <w:lang w:val="es-CR"/>
        </w:rPr>
        <w:t>l</w:t>
      </w:r>
      <w:r w:rsidRPr="0046424F">
        <w:rPr>
          <w:rFonts w:cs="Arial"/>
          <w:sz w:val="22"/>
          <w:szCs w:val="22"/>
          <w:lang w:val="es-CR"/>
        </w:rPr>
        <w:t>a presenta</w:t>
      </w:r>
      <w:r>
        <w:rPr>
          <w:rFonts w:cs="Arial"/>
          <w:sz w:val="22"/>
          <w:szCs w:val="22"/>
          <w:lang w:val="es-CR"/>
        </w:rPr>
        <w:t>ción de l</w:t>
      </w:r>
      <w:r w:rsidRPr="0046424F">
        <w:rPr>
          <w:rFonts w:cs="Arial"/>
          <w:sz w:val="22"/>
          <w:szCs w:val="22"/>
          <w:lang w:val="es-CR"/>
        </w:rPr>
        <w:t>a propuesta del proyecto.</w:t>
      </w:r>
    </w:p>
    <w:p w14:paraId="574145FD" w14:textId="77777777" w:rsidR="00806C47" w:rsidRDefault="00806C47" w:rsidP="00806C47">
      <w:pPr>
        <w:spacing w:line="360" w:lineRule="auto"/>
        <w:jc w:val="both"/>
        <w:rPr>
          <w:rFonts w:cs="Arial"/>
          <w:sz w:val="22"/>
          <w:szCs w:val="22"/>
          <w:lang w:val="es-CR"/>
        </w:rPr>
      </w:pPr>
    </w:p>
    <w:p w14:paraId="6F46A803" w14:textId="7AD23A1D" w:rsidR="002B71CC" w:rsidRDefault="00B836B7" w:rsidP="002B71CC">
      <w:pPr>
        <w:spacing w:line="360" w:lineRule="auto"/>
        <w:jc w:val="both"/>
        <w:rPr>
          <w:rFonts w:cs="Arial"/>
          <w:sz w:val="22"/>
          <w:szCs w:val="22"/>
        </w:rPr>
      </w:pPr>
      <w:r>
        <w:rPr>
          <w:rFonts w:cs="Arial"/>
          <w:sz w:val="22"/>
          <w:szCs w:val="22"/>
          <w:lang w:val="es-CR"/>
        </w:rPr>
        <w:t xml:space="preserve">La </w:t>
      </w:r>
      <w:r w:rsidR="00806C47" w:rsidRPr="0046424F">
        <w:rPr>
          <w:rFonts w:cs="Arial"/>
          <w:sz w:val="22"/>
          <w:szCs w:val="22"/>
          <w:lang w:val="es-CR"/>
        </w:rPr>
        <w:t>entidad autorizada deber</w:t>
      </w:r>
      <w:r w:rsidR="00806C47">
        <w:rPr>
          <w:rFonts w:cs="Arial"/>
          <w:sz w:val="22"/>
          <w:szCs w:val="22"/>
          <w:lang w:val="es-CR"/>
        </w:rPr>
        <w:t>á</w:t>
      </w:r>
      <w:r w:rsidR="00806C47" w:rsidRPr="0046424F">
        <w:rPr>
          <w:rFonts w:cs="Arial"/>
          <w:sz w:val="22"/>
          <w:szCs w:val="22"/>
          <w:lang w:val="es-CR"/>
        </w:rPr>
        <w:t xml:space="preserve"> presentar a</w:t>
      </w:r>
      <w:r w:rsidR="00806C47">
        <w:rPr>
          <w:rFonts w:cs="Arial"/>
          <w:sz w:val="22"/>
          <w:szCs w:val="22"/>
          <w:lang w:val="es-CR"/>
        </w:rPr>
        <w:t xml:space="preserve"> la </w:t>
      </w:r>
      <w:r w:rsidR="00806C47" w:rsidRPr="0046424F">
        <w:rPr>
          <w:rFonts w:cs="Arial"/>
          <w:sz w:val="22"/>
          <w:szCs w:val="22"/>
          <w:lang w:val="es-CR"/>
        </w:rPr>
        <w:t>Direc</w:t>
      </w:r>
      <w:r w:rsidR="00806C47">
        <w:rPr>
          <w:rFonts w:cs="Arial"/>
          <w:sz w:val="22"/>
          <w:szCs w:val="22"/>
          <w:lang w:val="es-CR"/>
        </w:rPr>
        <w:t xml:space="preserve">ción </w:t>
      </w:r>
      <w:r w:rsidR="00806C47" w:rsidRPr="0046424F">
        <w:rPr>
          <w:rFonts w:cs="Arial"/>
          <w:sz w:val="22"/>
          <w:szCs w:val="22"/>
          <w:lang w:val="es-CR"/>
        </w:rPr>
        <w:t xml:space="preserve">FOSUVI </w:t>
      </w:r>
      <w:r w:rsidR="00806C47">
        <w:rPr>
          <w:rFonts w:cs="Arial"/>
          <w:sz w:val="22"/>
          <w:szCs w:val="22"/>
          <w:lang w:val="es-CR"/>
        </w:rPr>
        <w:t>l</w:t>
      </w:r>
      <w:r w:rsidR="00806C47" w:rsidRPr="0046424F">
        <w:rPr>
          <w:rFonts w:cs="Arial"/>
          <w:sz w:val="22"/>
          <w:szCs w:val="22"/>
          <w:lang w:val="es-CR"/>
        </w:rPr>
        <w:t>a solicitud de financiamiento adicional</w:t>
      </w:r>
      <w:r>
        <w:rPr>
          <w:rFonts w:cs="Arial"/>
          <w:sz w:val="22"/>
          <w:szCs w:val="22"/>
          <w:lang w:val="es-CR"/>
        </w:rPr>
        <w:t>,</w:t>
      </w:r>
      <w:r w:rsidR="00806C47" w:rsidRPr="0046424F">
        <w:rPr>
          <w:rFonts w:cs="Arial"/>
          <w:sz w:val="22"/>
          <w:szCs w:val="22"/>
          <w:lang w:val="es-CR"/>
        </w:rPr>
        <w:t xml:space="preserve"> de acuerdo con </w:t>
      </w:r>
      <w:r w:rsidR="00806C47">
        <w:rPr>
          <w:rFonts w:cs="Arial"/>
          <w:sz w:val="22"/>
          <w:szCs w:val="22"/>
          <w:lang w:val="es-CR"/>
        </w:rPr>
        <w:t>l</w:t>
      </w:r>
      <w:r w:rsidR="00806C47" w:rsidRPr="0046424F">
        <w:rPr>
          <w:rFonts w:cs="Arial"/>
          <w:sz w:val="22"/>
          <w:szCs w:val="22"/>
          <w:lang w:val="es-CR"/>
        </w:rPr>
        <w:t>a normativa</w:t>
      </w:r>
      <w:r w:rsidR="00806C47">
        <w:rPr>
          <w:rFonts w:cs="Arial"/>
          <w:sz w:val="22"/>
          <w:szCs w:val="22"/>
          <w:lang w:val="es-CR"/>
        </w:rPr>
        <w:t xml:space="preserve"> </w:t>
      </w:r>
      <w:r w:rsidR="00806C47" w:rsidRPr="0046424F">
        <w:rPr>
          <w:rFonts w:cs="Arial"/>
          <w:sz w:val="22"/>
          <w:szCs w:val="22"/>
          <w:lang w:val="es-CR"/>
        </w:rPr>
        <w:t>destinada para tal fin, tomando en consideraci</w:t>
      </w:r>
      <w:r w:rsidR="00806C47">
        <w:rPr>
          <w:rFonts w:cs="Arial"/>
          <w:sz w:val="22"/>
          <w:szCs w:val="22"/>
          <w:lang w:val="es-CR"/>
        </w:rPr>
        <w:t>ó</w:t>
      </w:r>
      <w:r w:rsidR="00806C47" w:rsidRPr="0046424F">
        <w:rPr>
          <w:rFonts w:cs="Arial"/>
          <w:sz w:val="22"/>
          <w:szCs w:val="22"/>
          <w:lang w:val="es-CR"/>
        </w:rPr>
        <w:t xml:space="preserve">n que para poder </w:t>
      </w:r>
      <w:r>
        <w:rPr>
          <w:rFonts w:cs="Arial"/>
          <w:sz w:val="22"/>
          <w:szCs w:val="22"/>
          <w:lang w:val="es-CR"/>
        </w:rPr>
        <w:t xml:space="preserve">otorgar </w:t>
      </w:r>
      <w:r w:rsidR="00806C47" w:rsidRPr="0046424F">
        <w:rPr>
          <w:rFonts w:cs="Arial"/>
          <w:sz w:val="22"/>
          <w:szCs w:val="22"/>
          <w:lang w:val="es-CR"/>
        </w:rPr>
        <w:t>un</w:t>
      </w:r>
      <w:r w:rsidR="00806C47">
        <w:rPr>
          <w:rFonts w:cs="Arial"/>
          <w:sz w:val="22"/>
          <w:szCs w:val="22"/>
          <w:lang w:val="es-CR"/>
        </w:rPr>
        <w:t xml:space="preserve"> </w:t>
      </w:r>
      <w:r w:rsidR="00806C47" w:rsidRPr="0046424F">
        <w:rPr>
          <w:rFonts w:cs="Arial"/>
          <w:sz w:val="22"/>
          <w:szCs w:val="22"/>
          <w:lang w:val="es-CR"/>
        </w:rPr>
        <w:t>financiamiento adicional es necesario ten</w:t>
      </w:r>
      <w:r w:rsidR="00806C47">
        <w:rPr>
          <w:rFonts w:cs="Arial"/>
          <w:sz w:val="22"/>
          <w:szCs w:val="22"/>
          <w:lang w:val="es-CR"/>
        </w:rPr>
        <w:t>e</w:t>
      </w:r>
      <w:r w:rsidR="00806C47" w:rsidRPr="0046424F">
        <w:rPr>
          <w:rFonts w:cs="Arial"/>
          <w:sz w:val="22"/>
          <w:szCs w:val="22"/>
          <w:lang w:val="es-CR"/>
        </w:rPr>
        <w:t xml:space="preserve">r </w:t>
      </w:r>
      <w:r>
        <w:rPr>
          <w:rFonts w:cs="Arial"/>
          <w:sz w:val="22"/>
          <w:szCs w:val="22"/>
          <w:lang w:val="es-CR"/>
        </w:rPr>
        <w:t xml:space="preserve">vigentes tanto </w:t>
      </w:r>
      <w:r w:rsidR="00806C47" w:rsidRPr="0046424F">
        <w:rPr>
          <w:rFonts w:cs="Arial"/>
          <w:sz w:val="22"/>
          <w:szCs w:val="22"/>
          <w:lang w:val="es-CR"/>
        </w:rPr>
        <w:t>el contrato de</w:t>
      </w:r>
      <w:r w:rsidR="00806C47">
        <w:rPr>
          <w:rFonts w:cs="Arial"/>
          <w:sz w:val="22"/>
          <w:szCs w:val="22"/>
          <w:lang w:val="es-CR"/>
        </w:rPr>
        <w:t xml:space="preserve"> </w:t>
      </w:r>
      <w:r w:rsidR="00806C47" w:rsidRPr="0046424F">
        <w:rPr>
          <w:rFonts w:cs="Arial"/>
          <w:sz w:val="22"/>
          <w:szCs w:val="22"/>
          <w:lang w:val="es-CR"/>
        </w:rPr>
        <w:t>administraci</w:t>
      </w:r>
      <w:r w:rsidR="00806C47">
        <w:rPr>
          <w:rFonts w:cs="Arial"/>
          <w:sz w:val="22"/>
          <w:szCs w:val="22"/>
          <w:lang w:val="es-CR"/>
        </w:rPr>
        <w:t>ó</w:t>
      </w:r>
      <w:r w:rsidR="00806C47" w:rsidRPr="0046424F">
        <w:rPr>
          <w:rFonts w:cs="Arial"/>
          <w:sz w:val="22"/>
          <w:szCs w:val="22"/>
          <w:lang w:val="es-CR"/>
        </w:rPr>
        <w:t>n de recursos</w:t>
      </w:r>
      <w:r>
        <w:rPr>
          <w:rFonts w:cs="Arial"/>
          <w:sz w:val="22"/>
          <w:szCs w:val="22"/>
          <w:lang w:val="es-CR"/>
        </w:rPr>
        <w:t>, como</w:t>
      </w:r>
      <w:r w:rsidR="00806C47" w:rsidRPr="0046424F">
        <w:rPr>
          <w:rFonts w:cs="Arial"/>
          <w:sz w:val="22"/>
          <w:szCs w:val="22"/>
          <w:lang w:val="es-CR"/>
        </w:rPr>
        <w:t xml:space="preserve"> el contrato de obra deter</w:t>
      </w:r>
      <w:r w:rsidR="00806C47">
        <w:rPr>
          <w:rFonts w:cs="Arial"/>
          <w:sz w:val="22"/>
          <w:szCs w:val="22"/>
          <w:lang w:val="es-CR"/>
        </w:rPr>
        <w:t>minada</w:t>
      </w:r>
      <w:r w:rsidR="00806C47" w:rsidRPr="0046424F">
        <w:rPr>
          <w:rFonts w:cs="Arial"/>
          <w:sz w:val="22"/>
          <w:szCs w:val="22"/>
          <w:lang w:val="es-CR"/>
        </w:rPr>
        <w:t>.</w:t>
      </w:r>
    </w:p>
    <w:p w14:paraId="04A86C89" w14:textId="6282E285"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F83509">
        <w:rPr>
          <w:rFonts w:cs="Arial"/>
          <w:szCs w:val="22"/>
        </w:rPr>
        <w:t>por Mayoría</w:t>
      </w:r>
      <w:r w:rsidRPr="00AB2826">
        <w:rPr>
          <w:rFonts w:cs="Arial"/>
          <w:szCs w:val="22"/>
        </w:rPr>
        <w:t>.-</w:t>
      </w:r>
    </w:p>
    <w:p w14:paraId="4C58778B" w14:textId="77777777" w:rsidR="002B71CC" w:rsidRPr="00D14EAF" w:rsidRDefault="002B71CC" w:rsidP="002B71CC">
      <w:pPr>
        <w:spacing w:line="360" w:lineRule="auto"/>
        <w:jc w:val="both"/>
        <w:rPr>
          <w:rFonts w:cs="Arial"/>
          <w:b/>
          <w:sz w:val="22"/>
        </w:rPr>
      </w:pPr>
      <w:r w:rsidRPr="00D14EAF">
        <w:rPr>
          <w:rFonts w:cs="Arial"/>
          <w:b/>
          <w:sz w:val="22"/>
        </w:rPr>
        <w:t>************</w:t>
      </w:r>
    </w:p>
    <w:p w14:paraId="78EEFD0A" w14:textId="77777777" w:rsidR="002B71CC" w:rsidRDefault="002B71CC" w:rsidP="002B71CC">
      <w:pPr>
        <w:spacing w:line="360" w:lineRule="auto"/>
        <w:jc w:val="both"/>
        <w:rPr>
          <w:rFonts w:cs="Arial"/>
          <w:sz w:val="22"/>
          <w:szCs w:val="22"/>
        </w:rPr>
      </w:pPr>
    </w:p>
    <w:p w14:paraId="036E57E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18B42E39" w14:textId="7B3C6785" w:rsidR="002B71CC" w:rsidRDefault="00F630D4" w:rsidP="002B71CC">
      <w:pPr>
        <w:spacing w:line="360" w:lineRule="auto"/>
        <w:jc w:val="both"/>
        <w:rPr>
          <w:rFonts w:cs="Arial"/>
          <w:sz w:val="22"/>
          <w:szCs w:val="22"/>
        </w:rPr>
      </w:pPr>
      <w:r>
        <w:rPr>
          <w:rFonts w:cs="Arial"/>
          <w:sz w:val="22"/>
          <w:szCs w:val="22"/>
        </w:rPr>
        <w:t>Instruir a la</w:t>
      </w:r>
      <w:r w:rsidR="001F3811">
        <w:rPr>
          <w:rFonts w:cs="Arial"/>
          <w:sz w:val="22"/>
          <w:szCs w:val="22"/>
        </w:rPr>
        <w:t xml:space="preserve"> </w:t>
      </w:r>
      <w:r w:rsidR="001F3811" w:rsidRPr="001F3811">
        <w:rPr>
          <w:rFonts w:cs="Arial"/>
          <w:sz w:val="22"/>
          <w:szCs w:val="22"/>
          <w:lang w:val="es-CR"/>
        </w:rPr>
        <w:t>Gerencia General</w:t>
      </w:r>
      <w:r>
        <w:rPr>
          <w:rFonts w:cs="Arial"/>
          <w:sz w:val="22"/>
          <w:szCs w:val="22"/>
          <w:lang w:val="es-ES_tradnl"/>
        </w:rPr>
        <w:t xml:space="preserve">, para que </w:t>
      </w:r>
      <w:r w:rsidR="001F3811">
        <w:rPr>
          <w:rFonts w:cs="Arial"/>
          <w:sz w:val="22"/>
          <w:szCs w:val="22"/>
          <w:lang w:val="es-ES_tradnl"/>
        </w:rPr>
        <w:t xml:space="preserve">gestione el pronunciamiento de la </w:t>
      </w:r>
      <w:r w:rsidR="001F3811" w:rsidRPr="00BF0EE7">
        <w:rPr>
          <w:rFonts w:cs="Arial"/>
          <w:sz w:val="22"/>
          <w:lang w:val="es-ES_tradnl"/>
        </w:rPr>
        <w:t>Procuraduría General de la República</w:t>
      </w:r>
      <w:r w:rsidR="001F3811">
        <w:rPr>
          <w:rFonts w:cs="Arial"/>
          <w:sz w:val="22"/>
          <w:lang w:val="es-ES_tradnl"/>
        </w:rPr>
        <w:t>, con respecto a la legalidad de otorgar financiamientos adicionales por incremento de costos, a los casos individuales del artículo 59 que se encuentran formalizados, incluyendo naturalmente los casos de los proyectos tramitados en la modalidad S-002.</w:t>
      </w:r>
    </w:p>
    <w:p w14:paraId="535DF1A2" w14:textId="0EC61F9D"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F83509">
        <w:rPr>
          <w:rFonts w:cs="Arial"/>
          <w:szCs w:val="22"/>
        </w:rPr>
        <w:t>por Mayoría</w:t>
      </w:r>
      <w:r w:rsidRPr="00AB2826">
        <w:rPr>
          <w:rFonts w:cs="Arial"/>
          <w:szCs w:val="22"/>
        </w:rPr>
        <w:t>.-</w:t>
      </w:r>
    </w:p>
    <w:p w14:paraId="560BC524" w14:textId="77777777" w:rsidR="002B71CC" w:rsidRPr="00D14EAF" w:rsidRDefault="002B71CC" w:rsidP="002B71CC">
      <w:pPr>
        <w:spacing w:line="360" w:lineRule="auto"/>
        <w:jc w:val="both"/>
        <w:rPr>
          <w:rFonts w:cs="Arial"/>
          <w:b/>
          <w:sz w:val="22"/>
        </w:rPr>
      </w:pPr>
      <w:r w:rsidRPr="00D14EAF">
        <w:rPr>
          <w:rFonts w:cs="Arial"/>
          <w:b/>
          <w:sz w:val="22"/>
        </w:rPr>
        <w:t>************</w:t>
      </w:r>
    </w:p>
    <w:p w14:paraId="1C96E87F" w14:textId="77777777" w:rsidR="002B71CC" w:rsidRDefault="002B71CC" w:rsidP="002B71CC">
      <w:pPr>
        <w:spacing w:line="360" w:lineRule="auto"/>
        <w:jc w:val="both"/>
        <w:rPr>
          <w:rFonts w:cs="Arial"/>
          <w:sz w:val="22"/>
          <w:szCs w:val="22"/>
        </w:rPr>
      </w:pPr>
    </w:p>
    <w:p w14:paraId="6462119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214AF786" w14:textId="5A01C599" w:rsidR="002B71CC" w:rsidRPr="00E429B8" w:rsidRDefault="00E429B8" w:rsidP="002B71CC">
      <w:pPr>
        <w:spacing w:line="360" w:lineRule="auto"/>
        <w:jc w:val="both"/>
        <w:rPr>
          <w:rFonts w:cs="Arial"/>
          <w:b/>
          <w:bCs/>
          <w:sz w:val="22"/>
          <w:szCs w:val="22"/>
        </w:rPr>
      </w:pPr>
      <w:r w:rsidRPr="00E429B8">
        <w:rPr>
          <w:rFonts w:cs="Arial"/>
          <w:b/>
          <w:bCs/>
          <w:sz w:val="22"/>
          <w:szCs w:val="22"/>
        </w:rPr>
        <w:t>Considerando:</w:t>
      </w:r>
    </w:p>
    <w:p w14:paraId="110676EC" w14:textId="1F56F960" w:rsidR="00E429B8" w:rsidRDefault="00E429B8" w:rsidP="002B71CC">
      <w:pPr>
        <w:spacing w:line="360" w:lineRule="auto"/>
        <w:jc w:val="both"/>
        <w:rPr>
          <w:rFonts w:cs="Arial"/>
          <w:sz w:val="22"/>
          <w:szCs w:val="22"/>
        </w:rPr>
      </w:pPr>
      <w:r w:rsidRPr="00E429B8">
        <w:rPr>
          <w:rFonts w:cs="Arial"/>
          <w:b/>
          <w:bCs/>
          <w:sz w:val="22"/>
          <w:szCs w:val="22"/>
        </w:rPr>
        <w:t xml:space="preserve">Primero: </w:t>
      </w:r>
      <w:r>
        <w:rPr>
          <w:rFonts w:cs="Arial"/>
          <w:sz w:val="22"/>
          <w:szCs w:val="22"/>
        </w:rPr>
        <w:t xml:space="preserve">Que por medio del acuerdo N° 3 de la sesión 38-2022, del 01 de agosto de 2022, y de conformidad con las consideraciones que se indican en dicha resolución, esta </w:t>
      </w:r>
      <w:r w:rsidRPr="00E429B8">
        <w:rPr>
          <w:rFonts w:cs="Arial"/>
          <w:sz w:val="22"/>
          <w:szCs w:val="22"/>
          <w:lang w:val="es-ES_tradnl"/>
        </w:rPr>
        <w:t>Junta Directiva</w:t>
      </w:r>
      <w:r>
        <w:rPr>
          <w:rFonts w:cs="Arial"/>
          <w:sz w:val="22"/>
          <w:szCs w:val="22"/>
          <w:lang w:val="es-ES_tradnl"/>
        </w:rPr>
        <w:t xml:space="preserve"> dispuso lo siguiente:</w:t>
      </w:r>
    </w:p>
    <w:p w14:paraId="5406A5B2" w14:textId="6BCDD166" w:rsidR="002B71CC" w:rsidRDefault="002B71CC" w:rsidP="00805AA3">
      <w:pPr>
        <w:ind w:left="142" w:right="193"/>
        <w:jc w:val="both"/>
        <w:rPr>
          <w:rFonts w:cs="Arial"/>
          <w:sz w:val="22"/>
          <w:szCs w:val="22"/>
        </w:rPr>
      </w:pPr>
    </w:p>
    <w:p w14:paraId="12D7752A" w14:textId="2BAD71DA" w:rsidR="00E429B8" w:rsidRPr="00E429B8" w:rsidRDefault="00E429B8" w:rsidP="00805AA3">
      <w:pPr>
        <w:ind w:left="142" w:right="193"/>
        <w:jc w:val="both"/>
        <w:rPr>
          <w:rFonts w:cs="Arial"/>
          <w:sz w:val="22"/>
          <w:szCs w:val="22"/>
        </w:rPr>
      </w:pPr>
      <w:r>
        <w:rPr>
          <w:rFonts w:cs="Arial"/>
          <w:sz w:val="22"/>
          <w:szCs w:val="22"/>
        </w:rPr>
        <w:lastRenderedPageBreak/>
        <w:t>“</w:t>
      </w:r>
      <w:r w:rsidRPr="00E429B8">
        <w:rPr>
          <w:rFonts w:cs="Arial"/>
          <w:sz w:val="22"/>
          <w:szCs w:val="22"/>
        </w:rPr>
        <w:t>A) Llamar la atención a la Fundación para la Vivienda Rural Costa Rica – Canadá, por las circunstancias que han llevado a esta Junta Directiva, según lo resuelto en el acuerdo N° 6 de la presente sesión, a rechazar la solicitud para ampliar el plazo del contrato de administración de recursos del proyecto de vivienda Cartagena.</w:t>
      </w:r>
    </w:p>
    <w:p w14:paraId="6EB679F6" w14:textId="77777777" w:rsidR="00E429B8" w:rsidRPr="00E429B8" w:rsidRDefault="00E429B8" w:rsidP="00805AA3">
      <w:pPr>
        <w:ind w:left="142" w:right="193"/>
        <w:jc w:val="both"/>
        <w:rPr>
          <w:rFonts w:cs="Arial"/>
          <w:sz w:val="22"/>
          <w:szCs w:val="22"/>
        </w:rPr>
      </w:pPr>
      <w:r w:rsidRPr="00E429B8">
        <w:rPr>
          <w:rFonts w:cs="Arial"/>
          <w:sz w:val="22"/>
          <w:szCs w:val="22"/>
        </w:rPr>
        <w:t>B) Se le hacer ver a la Fundación para la Vivienda Rural Costa Rica – Canadá que, tal y como se indica en dicha resolución, la última prórroga aprobada para entregar el cierre técnico y financiero del proyecto venció desde el pasado 7 de mayo y, sin embargo, esa entidad no cumplió con ese plazo.  Además, siendo que el proceso de formalización de las operaciones de bono está a cargo de las entidades autorizadas, el retraso que se ha dado para concluir la formalización de las operaciones de este proyecto es responsabilidad de la Fundación para la Vivienda Rural Costa Rica – Canadá, sin que se haya presentado a esta Junta Directiva alguna justificación de ese retraso.</w:t>
      </w:r>
    </w:p>
    <w:p w14:paraId="51E73056" w14:textId="1708EC73" w:rsidR="003448DC" w:rsidRDefault="00E429B8" w:rsidP="00805AA3">
      <w:pPr>
        <w:ind w:left="142" w:right="193"/>
        <w:jc w:val="both"/>
        <w:rPr>
          <w:rFonts w:cs="Arial"/>
          <w:sz w:val="22"/>
          <w:szCs w:val="22"/>
        </w:rPr>
      </w:pPr>
      <w:r w:rsidRPr="00E429B8">
        <w:rPr>
          <w:rFonts w:cs="Arial"/>
          <w:sz w:val="22"/>
          <w:szCs w:val="22"/>
        </w:rPr>
        <w:t>C) Se instruye a la Fundación para la Vivienda Rural Costa Rica – Canadá, para que presente a este Banco las medidas que estará tomando para evitar que, en adelante, se repitan las situaciones inadecuadas que se han dado en el proceso de liquidación de dicho proyecto de vivienda.</w:t>
      </w:r>
      <w:r>
        <w:rPr>
          <w:rFonts w:cs="Arial"/>
          <w:sz w:val="22"/>
          <w:szCs w:val="22"/>
        </w:rPr>
        <w:t>”</w:t>
      </w:r>
    </w:p>
    <w:p w14:paraId="14F03356" w14:textId="2FDF9735" w:rsidR="003448DC" w:rsidRDefault="003448DC" w:rsidP="002B71CC">
      <w:pPr>
        <w:spacing w:line="360" w:lineRule="auto"/>
        <w:jc w:val="both"/>
        <w:rPr>
          <w:rFonts w:cs="Arial"/>
          <w:sz w:val="22"/>
          <w:szCs w:val="22"/>
        </w:rPr>
      </w:pPr>
    </w:p>
    <w:p w14:paraId="2FB88F8A" w14:textId="32E13471" w:rsidR="00E429B8" w:rsidRDefault="00E429B8" w:rsidP="002B71CC">
      <w:pPr>
        <w:spacing w:line="360" w:lineRule="auto"/>
        <w:jc w:val="both"/>
        <w:rPr>
          <w:rFonts w:cs="Arial"/>
          <w:sz w:val="22"/>
          <w:szCs w:val="22"/>
          <w:lang w:val="es-ES_tradnl"/>
        </w:rPr>
      </w:pPr>
      <w:r w:rsidRPr="00E429B8">
        <w:rPr>
          <w:rFonts w:cs="Arial"/>
          <w:b/>
          <w:bCs/>
          <w:sz w:val="22"/>
          <w:szCs w:val="22"/>
        </w:rPr>
        <w:t>Segundo:</w:t>
      </w:r>
      <w:r>
        <w:rPr>
          <w:rFonts w:cs="Arial"/>
          <w:sz w:val="22"/>
          <w:szCs w:val="22"/>
        </w:rPr>
        <w:t xml:space="preserve"> Que </w:t>
      </w:r>
      <w:r w:rsidR="009D3A30">
        <w:rPr>
          <w:rFonts w:cs="Arial"/>
          <w:sz w:val="22"/>
          <w:szCs w:val="22"/>
        </w:rPr>
        <w:t xml:space="preserve">complementariamente y mediante el acuerdo N° 1 de la sesión 41-2022, del 18 de agosto de 2022, esta </w:t>
      </w:r>
      <w:r w:rsidR="009D3A30" w:rsidRPr="009D3A30">
        <w:rPr>
          <w:rFonts w:cs="Arial"/>
          <w:sz w:val="22"/>
          <w:szCs w:val="22"/>
          <w:lang w:val="es-ES_tradnl"/>
        </w:rPr>
        <w:t>Junta Directiva</w:t>
      </w:r>
      <w:r w:rsidR="009D3A30">
        <w:rPr>
          <w:rFonts w:cs="Arial"/>
          <w:sz w:val="22"/>
          <w:szCs w:val="22"/>
          <w:lang w:val="es-ES_tradnl"/>
        </w:rPr>
        <w:t xml:space="preserve"> resolvió, en lo que ahora interesa, lo siguiente:</w:t>
      </w:r>
    </w:p>
    <w:p w14:paraId="74046F94" w14:textId="04A59285" w:rsidR="009D3A30" w:rsidRDefault="009D3A30" w:rsidP="009D3A30">
      <w:pPr>
        <w:ind w:left="142" w:right="193"/>
        <w:jc w:val="both"/>
        <w:rPr>
          <w:rFonts w:cs="Arial"/>
          <w:sz w:val="22"/>
          <w:szCs w:val="22"/>
          <w:lang w:val="es-ES_tradnl"/>
        </w:rPr>
      </w:pPr>
    </w:p>
    <w:p w14:paraId="5EF2A605" w14:textId="6A3882F9" w:rsidR="009D3A30" w:rsidRDefault="009D3A30" w:rsidP="009D3A30">
      <w:pPr>
        <w:ind w:left="142" w:right="193"/>
        <w:jc w:val="both"/>
        <w:rPr>
          <w:rFonts w:cs="Arial"/>
          <w:sz w:val="22"/>
          <w:szCs w:val="22"/>
          <w:lang w:val="es-ES_tradnl"/>
        </w:rPr>
      </w:pPr>
      <w:r>
        <w:rPr>
          <w:rFonts w:cs="Arial"/>
          <w:sz w:val="22"/>
          <w:szCs w:val="22"/>
          <w:lang w:val="es-ES_tradnl"/>
        </w:rPr>
        <w:t>“</w:t>
      </w:r>
      <w:r w:rsidRPr="009D3A30">
        <w:rPr>
          <w:rFonts w:cs="Arial"/>
          <w:sz w:val="22"/>
          <w:szCs w:val="22"/>
          <w:lang w:val="es-ES_tradnl"/>
        </w:rPr>
        <w:t>B-) Otorgar a la Fundación para la Vivienda Rural Costa Rica – Canadá, un plazo máximo de 10 días hábiles a partir de la fecha de comunicación del presente acuerdo, para atender lo dispuesto en el inciso C), del acuerdo N° 13 de la sesión 38-2022, del 01 de agosto de 2022, en cuanto a presentar a este Banco las medidas que estará tomando para evitar que, en adelante, se repitan las situaciones inadecuadas que se han dado en el proceso de liquidación del proyecto de vivienda Cartagena.</w:t>
      </w:r>
      <w:r>
        <w:rPr>
          <w:rFonts w:cs="Arial"/>
          <w:sz w:val="22"/>
          <w:szCs w:val="22"/>
          <w:lang w:val="es-ES_tradnl"/>
        </w:rPr>
        <w:t>”</w:t>
      </w:r>
    </w:p>
    <w:p w14:paraId="5A4FA74B" w14:textId="77777777" w:rsidR="009D3A30" w:rsidRDefault="009D3A30" w:rsidP="002B71CC">
      <w:pPr>
        <w:spacing w:line="360" w:lineRule="auto"/>
        <w:jc w:val="both"/>
        <w:rPr>
          <w:rFonts w:cs="Arial"/>
          <w:sz w:val="22"/>
          <w:szCs w:val="22"/>
        </w:rPr>
      </w:pPr>
    </w:p>
    <w:p w14:paraId="4A000C30" w14:textId="1BCC3140" w:rsidR="00E429B8" w:rsidRDefault="00E429B8" w:rsidP="002B71CC">
      <w:pPr>
        <w:spacing w:line="360" w:lineRule="auto"/>
        <w:jc w:val="both"/>
        <w:rPr>
          <w:rFonts w:cs="Arial"/>
          <w:sz w:val="22"/>
          <w:szCs w:val="22"/>
        </w:rPr>
      </w:pPr>
      <w:r w:rsidRPr="00E429B8">
        <w:rPr>
          <w:rFonts w:cs="Arial"/>
          <w:b/>
          <w:bCs/>
          <w:sz w:val="22"/>
          <w:szCs w:val="22"/>
        </w:rPr>
        <w:t>Tercero:</w:t>
      </w:r>
      <w:r>
        <w:rPr>
          <w:rFonts w:cs="Arial"/>
          <w:sz w:val="22"/>
          <w:szCs w:val="22"/>
        </w:rPr>
        <w:t xml:space="preserve"> Que </w:t>
      </w:r>
      <w:r w:rsidR="00E55EB5">
        <w:rPr>
          <w:rFonts w:cs="Arial"/>
          <w:sz w:val="22"/>
          <w:szCs w:val="22"/>
        </w:rPr>
        <w:t>por medio del oficio FVR-GG-137-2022 del 27 de agosto de 2022, el señor Juan José Umaña Vargas, en su condición de representante legal de la Fundación para la Vivienda Rural Costa Rica – Canadá</w:t>
      </w:r>
      <w:r w:rsidR="00FC29D6">
        <w:rPr>
          <w:rFonts w:cs="Arial"/>
          <w:sz w:val="22"/>
          <w:szCs w:val="22"/>
        </w:rPr>
        <w:t xml:space="preserve"> (en adelante Fundación)</w:t>
      </w:r>
      <w:r w:rsidR="00E55EB5">
        <w:rPr>
          <w:rFonts w:cs="Arial"/>
          <w:sz w:val="22"/>
          <w:szCs w:val="22"/>
        </w:rPr>
        <w:t xml:space="preserve">, </w:t>
      </w:r>
      <w:r w:rsidR="00542F89">
        <w:rPr>
          <w:rFonts w:cs="Arial"/>
          <w:sz w:val="22"/>
          <w:szCs w:val="22"/>
        </w:rPr>
        <w:t xml:space="preserve">se refiere a los alcances de los citados acuerdos y, con fundamento en los hechos y argumentos que detalla en dicho escrito, </w:t>
      </w:r>
      <w:r w:rsidR="00A76F38">
        <w:rPr>
          <w:rFonts w:cs="Arial"/>
          <w:sz w:val="22"/>
          <w:szCs w:val="22"/>
        </w:rPr>
        <w:t xml:space="preserve">solicita a esta </w:t>
      </w:r>
      <w:r w:rsidR="00A76F38" w:rsidRPr="00A76F38">
        <w:rPr>
          <w:rFonts w:cs="Arial"/>
          <w:sz w:val="22"/>
          <w:szCs w:val="22"/>
          <w:lang w:val="es-ES_tradnl"/>
        </w:rPr>
        <w:t>Junta Directiva</w:t>
      </w:r>
      <w:r w:rsidR="00A76F38">
        <w:rPr>
          <w:rFonts w:cs="Arial"/>
          <w:sz w:val="22"/>
          <w:szCs w:val="22"/>
          <w:lang w:val="es-ES_tradnl"/>
        </w:rPr>
        <w:t>, en lo conducente, lo siguiente:</w:t>
      </w:r>
    </w:p>
    <w:p w14:paraId="172ABA1E" w14:textId="5D32D90E" w:rsidR="00E429B8" w:rsidRDefault="00E429B8" w:rsidP="008854FE">
      <w:pPr>
        <w:ind w:left="142" w:right="193"/>
        <w:jc w:val="both"/>
        <w:rPr>
          <w:rFonts w:cs="Arial"/>
          <w:sz w:val="22"/>
          <w:szCs w:val="22"/>
        </w:rPr>
      </w:pPr>
    </w:p>
    <w:p w14:paraId="1B0AD576" w14:textId="17ACF346" w:rsidR="00423EC2" w:rsidRPr="00423EC2" w:rsidRDefault="008854FE" w:rsidP="008854FE">
      <w:pPr>
        <w:ind w:left="142" w:right="193"/>
        <w:jc w:val="both"/>
        <w:rPr>
          <w:rFonts w:cs="Arial"/>
          <w:sz w:val="22"/>
          <w:szCs w:val="22"/>
          <w:lang w:val="es-CR"/>
        </w:rPr>
      </w:pPr>
      <w:r>
        <w:rPr>
          <w:rFonts w:cs="Arial"/>
          <w:sz w:val="22"/>
          <w:szCs w:val="22"/>
          <w:lang w:val="es-CR"/>
        </w:rPr>
        <w:t>“…</w:t>
      </w:r>
      <w:r w:rsidR="00423EC2" w:rsidRPr="00423EC2">
        <w:rPr>
          <w:rFonts w:cs="Arial"/>
          <w:sz w:val="22"/>
          <w:szCs w:val="22"/>
          <w:lang w:val="es-CR"/>
        </w:rPr>
        <w:t xml:space="preserve">Basados en lo expuesto, con todo respeto se solicita a </w:t>
      </w:r>
      <w:r w:rsidR="00423EC2">
        <w:rPr>
          <w:rFonts w:cs="Arial"/>
          <w:sz w:val="22"/>
          <w:szCs w:val="22"/>
          <w:lang w:val="es-CR"/>
        </w:rPr>
        <w:t>l</w:t>
      </w:r>
      <w:r w:rsidR="00423EC2" w:rsidRPr="00423EC2">
        <w:rPr>
          <w:rFonts w:cs="Arial"/>
          <w:sz w:val="22"/>
          <w:szCs w:val="22"/>
          <w:lang w:val="es-CR"/>
        </w:rPr>
        <w:t>a Junta Directiva del BANHVI lo</w:t>
      </w:r>
      <w:r w:rsidR="00423EC2">
        <w:rPr>
          <w:rFonts w:cs="Arial"/>
          <w:sz w:val="22"/>
          <w:szCs w:val="22"/>
          <w:lang w:val="es-CR"/>
        </w:rPr>
        <w:t xml:space="preserve"> siguiente:</w:t>
      </w:r>
    </w:p>
    <w:p w14:paraId="64C0E787" w14:textId="3145B529" w:rsidR="00423EC2" w:rsidRPr="00423EC2" w:rsidRDefault="00423EC2" w:rsidP="008854FE">
      <w:pPr>
        <w:ind w:left="142" w:right="193"/>
        <w:jc w:val="both"/>
        <w:rPr>
          <w:rFonts w:cs="Arial"/>
          <w:sz w:val="22"/>
          <w:szCs w:val="22"/>
          <w:lang w:val="es-CR"/>
        </w:rPr>
      </w:pPr>
      <w:r w:rsidRPr="00423EC2">
        <w:rPr>
          <w:rFonts w:cs="Arial"/>
          <w:sz w:val="22"/>
          <w:szCs w:val="22"/>
          <w:lang w:val="es-CR"/>
        </w:rPr>
        <w:t xml:space="preserve">a) Se retire </w:t>
      </w:r>
      <w:r>
        <w:rPr>
          <w:rFonts w:cs="Arial"/>
          <w:sz w:val="22"/>
          <w:szCs w:val="22"/>
          <w:lang w:val="es-CR"/>
        </w:rPr>
        <w:t>l</w:t>
      </w:r>
      <w:r w:rsidRPr="00423EC2">
        <w:rPr>
          <w:rFonts w:cs="Arial"/>
          <w:sz w:val="22"/>
          <w:szCs w:val="22"/>
          <w:lang w:val="es-CR"/>
        </w:rPr>
        <w:t xml:space="preserve">a </w:t>
      </w:r>
      <w:r>
        <w:rPr>
          <w:rFonts w:cs="Arial"/>
          <w:sz w:val="22"/>
          <w:szCs w:val="22"/>
          <w:lang w:val="es-CR"/>
        </w:rPr>
        <w:t>ll</w:t>
      </w:r>
      <w:r w:rsidRPr="00423EC2">
        <w:rPr>
          <w:rFonts w:cs="Arial"/>
          <w:sz w:val="22"/>
          <w:szCs w:val="22"/>
          <w:lang w:val="es-CR"/>
        </w:rPr>
        <w:t>amada de atenci</w:t>
      </w:r>
      <w:r>
        <w:rPr>
          <w:rFonts w:cs="Arial"/>
          <w:sz w:val="22"/>
          <w:szCs w:val="22"/>
          <w:lang w:val="es-CR"/>
        </w:rPr>
        <w:t>ó</w:t>
      </w:r>
      <w:r w:rsidRPr="00423EC2">
        <w:rPr>
          <w:rFonts w:cs="Arial"/>
          <w:sz w:val="22"/>
          <w:szCs w:val="22"/>
          <w:lang w:val="es-CR"/>
        </w:rPr>
        <w:t xml:space="preserve">n girada a </w:t>
      </w:r>
      <w:r>
        <w:rPr>
          <w:rFonts w:cs="Arial"/>
          <w:sz w:val="22"/>
          <w:szCs w:val="22"/>
          <w:lang w:val="es-CR"/>
        </w:rPr>
        <w:t>l</w:t>
      </w:r>
      <w:r w:rsidRPr="00423EC2">
        <w:rPr>
          <w:rFonts w:cs="Arial"/>
          <w:sz w:val="22"/>
          <w:szCs w:val="22"/>
          <w:lang w:val="es-CR"/>
        </w:rPr>
        <w:t>a Fundaci</w:t>
      </w:r>
      <w:r>
        <w:rPr>
          <w:rFonts w:cs="Arial"/>
          <w:sz w:val="22"/>
          <w:szCs w:val="22"/>
          <w:lang w:val="es-CR"/>
        </w:rPr>
        <w:t>ó</w:t>
      </w:r>
      <w:r w:rsidRPr="00423EC2">
        <w:rPr>
          <w:rFonts w:cs="Arial"/>
          <w:sz w:val="22"/>
          <w:szCs w:val="22"/>
          <w:lang w:val="es-CR"/>
        </w:rPr>
        <w:t>n ya que hemos podido</w:t>
      </w:r>
      <w:r>
        <w:rPr>
          <w:rFonts w:cs="Arial"/>
          <w:sz w:val="22"/>
          <w:szCs w:val="22"/>
          <w:lang w:val="es-CR"/>
        </w:rPr>
        <w:t xml:space="preserve"> </w:t>
      </w:r>
      <w:r w:rsidRPr="00423EC2">
        <w:rPr>
          <w:rFonts w:cs="Arial"/>
          <w:sz w:val="22"/>
          <w:szCs w:val="22"/>
          <w:lang w:val="es-CR"/>
        </w:rPr>
        <w:t xml:space="preserve">demostrar que las razones que han motivado </w:t>
      </w:r>
      <w:r>
        <w:rPr>
          <w:rFonts w:cs="Arial"/>
          <w:sz w:val="22"/>
          <w:szCs w:val="22"/>
          <w:lang w:val="es-CR"/>
        </w:rPr>
        <w:t>l</w:t>
      </w:r>
      <w:r w:rsidRPr="00423EC2">
        <w:rPr>
          <w:rFonts w:cs="Arial"/>
          <w:sz w:val="22"/>
          <w:szCs w:val="22"/>
          <w:lang w:val="es-CR"/>
        </w:rPr>
        <w:t>a misma resultan improcedentes, al</w:t>
      </w:r>
      <w:r>
        <w:rPr>
          <w:rFonts w:cs="Arial"/>
          <w:sz w:val="22"/>
          <w:szCs w:val="22"/>
          <w:lang w:val="es-CR"/>
        </w:rPr>
        <w:t xml:space="preserve"> </w:t>
      </w:r>
      <w:r w:rsidRPr="00423EC2">
        <w:rPr>
          <w:rFonts w:cs="Arial"/>
          <w:sz w:val="22"/>
          <w:szCs w:val="22"/>
          <w:lang w:val="es-CR"/>
        </w:rPr>
        <w:t xml:space="preserve">haberse acreditado que el atraso en </w:t>
      </w:r>
      <w:r>
        <w:rPr>
          <w:rFonts w:cs="Arial"/>
          <w:sz w:val="22"/>
          <w:szCs w:val="22"/>
          <w:lang w:val="es-CR"/>
        </w:rPr>
        <w:t>l</w:t>
      </w:r>
      <w:r w:rsidRPr="00423EC2">
        <w:rPr>
          <w:rFonts w:cs="Arial"/>
          <w:sz w:val="22"/>
          <w:szCs w:val="22"/>
          <w:lang w:val="es-CR"/>
        </w:rPr>
        <w:t>a formalizaci</w:t>
      </w:r>
      <w:r>
        <w:rPr>
          <w:rFonts w:cs="Arial"/>
          <w:sz w:val="22"/>
          <w:szCs w:val="22"/>
          <w:lang w:val="es-CR"/>
        </w:rPr>
        <w:t>ó</w:t>
      </w:r>
      <w:r w:rsidRPr="00423EC2">
        <w:rPr>
          <w:rFonts w:cs="Arial"/>
          <w:sz w:val="22"/>
          <w:szCs w:val="22"/>
          <w:lang w:val="es-CR"/>
        </w:rPr>
        <w:t xml:space="preserve">n del </w:t>
      </w:r>
      <w:r>
        <w:rPr>
          <w:rFonts w:cs="Arial"/>
          <w:sz w:val="22"/>
          <w:szCs w:val="22"/>
          <w:lang w:val="es-CR"/>
        </w:rPr>
        <w:t>ú</w:t>
      </w:r>
      <w:r w:rsidRPr="00423EC2">
        <w:rPr>
          <w:rFonts w:cs="Arial"/>
          <w:sz w:val="22"/>
          <w:szCs w:val="22"/>
          <w:lang w:val="es-CR"/>
        </w:rPr>
        <w:t>ltimo caso del proyecto</w:t>
      </w:r>
      <w:r>
        <w:rPr>
          <w:rFonts w:cs="Arial"/>
          <w:sz w:val="22"/>
          <w:szCs w:val="22"/>
          <w:lang w:val="es-CR"/>
        </w:rPr>
        <w:t xml:space="preserve"> </w:t>
      </w:r>
      <w:r w:rsidRPr="00423EC2">
        <w:rPr>
          <w:rFonts w:cs="Arial"/>
          <w:sz w:val="22"/>
          <w:szCs w:val="22"/>
          <w:lang w:val="es-CR"/>
        </w:rPr>
        <w:t xml:space="preserve">Cartagena fue responsabilidad de terceros, diferentes a </w:t>
      </w:r>
      <w:r>
        <w:rPr>
          <w:rFonts w:cs="Arial"/>
          <w:sz w:val="22"/>
          <w:szCs w:val="22"/>
          <w:lang w:val="es-CR"/>
        </w:rPr>
        <w:t>l</w:t>
      </w:r>
      <w:r w:rsidRPr="00423EC2">
        <w:rPr>
          <w:rFonts w:cs="Arial"/>
          <w:sz w:val="22"/>
          <w:szCs w:val="22"/>
          <w:lang w:val="es-CR"/>
        </w:rPr>
        <w:t>a Fundaci</w:t>
      </w:r>
      <w:r>
        <w:rPr>
          <w:rFonts w:cs="Arial"/>
          <w:sz w:val="22"/>
          <w:szCs w:val="22"/>
          <w:lang w:val="es-CR"/>
        </w:rPr>
        <w:t>ó</w:t>
      </w:r>
      <w:r w:rsidRPr="00423EC2">
        <w:rPr>
          <w:rFonts w:cs="Arial"/>
          <w:sz w:val="22"/>
          <w:szCs w:val="22"/>
          <w:lang w:val="es-CR"/>
        </w:rPr>
        <w:t>n (banco</w:t>
      </w:r>
      <w:r>
        <w:rPr>
          <w:rFonts w:cs="Arial"/>
          <w:sz w:val="22"/>
          <w:szCs w:val="22"/>
          <w:lang w:val="es-CR"/>
        </w:rPr>
        <w:t xml:space="preserve"> </w:t>
      </w:r>
      <w:r w:rsidRPr="00423EC2">
        <w:rPr>
          <w:rFonts w:cs="Arial"/>
          <w:sz w:val="22"/>
          <w:szCs w:val="22"/>
          <w:lang w:val="es-CR"/>
        </w:rPr>
        <w:t xml:space="preserve">fiduciario y desarrolladora) y que, pese a ella, </w:t>
      </w:r>
      <w:r>
        <w:rPr>
          <w:rFonts w:cs="Arial"/>
          <w:sz w:val="22"/>
          <w:szCs w:val="22"/>
          <w:lang w:val="es-CR"/>
        </w:rPr>
        <w:t>l</w:t>
      </w:r>
      <w:r w:rsidRPr="00423EC2">
        <w:rPr>
          <w:rFonts w:cs="Arial"/>
          <w:sz w:val="22"/>
          <w:szCs w:val="22"/>
          <w:lang w:val="es-CR"/>
        </w:rPr>
        <w:t>a Fundaci</w:t>
      </w:r>
      <w:r>
        <w:rPr>
          <w:rFonts w:cs="Arial"/>
          <w:sz w:val="22"/>
          <w:szCs w:val="22"/>
          <w:lang w:val="es-CR"/>
        </w:rPr>
        <w:t>ó</w:t>
      </w:r>
      <w:r w:rsidRPr="00423EC2">
        <w:rPr>
          <w:rFonts w:cs="Arial"/>
          <w:sz w:val="22"/>
          <w:szCs w:val="22"/>
          <w:lang w:val="es-CR"/>
        </w:rPr>
        <w:t>n ha mediado o</w:t>
      </w:r>
      <w:r>
        <w:rPr>
          <w:rFonts w:cs="Arial"/>
          <w:sz w:val="22"/>
          <w:szCs w:val="22"/>
          <w:lang w:val="es-CR"/>
        </w:rPr>
        <w:t xml:space="preserve"> </w:t>
      </w:r>
      <w:r w:rsidRPr="00423EC2">
        <w:rPr>
          <w:rFonts w:cs="Arial"/>
          <w:sz w:val="22"/>
          <w:szCs w:val="22"/>
          <w:lang w:val="es-CR"/>
        </w:rPr>
        <w:t>intercedido para solucionar el diferendo presentado, motivados en el inter</w:t>
      </w:r>
      <w:r>
        <w:rPr>
          <w:rFonts w:cs="Arial"/>
          <w:sz w:val="22"/>
          <w:szCs w:val="22"/>
          <w:lang w:val="es-CR"/>
        </w:rPr>
        <w:t>é</w:t>
      </w:r>
      <w:r w:rsidRPr="00423EC2">
        <w:rPr>
          <w:rFonts w:cs="Arial"/>
          <w:sz w:val="22"/>
          <w:szCs w:val="22"/>
          <w:lang w:val="es-CR"/>
        </w:rPr>
        <w:t>s</w:t>
      </w:r>
      <w:r>
        <w:rPr>
          <w:rFonts w:cs="Arial"/>
          <w:sz w:val="22"/>
          <w:szCs w:val="22"/>
          <w:lang w:val="es-CR"/>
        </w:rPr>
        <w:t xml:space="preserve"> </w:t>
      </w:r>
      <w:r w:rsidRPr="00423EC2">
        <w:rPr>
          <w:rFonts w:cs="Arial"/>
          <w:sz w:val="22"/>
          <w:szCs w:val="22"/>
          <w:lang w:val="es-CR"/>
        </w:rPr>
        <w:t xml:space="preserve">superior y derechos que asisten a </w:t>
      </w:r>
      <w:r>
        <w:rPr>
          <w:rFonts w:cs="Arial"/>
          <w:sz w:val="22"/>
          <w:szCs w:val="22"/>
          <w:lang w:val="es-CR"/>
        </w:rPr>
        <w:t>l</w:t>
      </w:r>
      <w:r w:rsidRPr="00423EC2">
        <w:rPr>
          <w:rFonts w:cs="Arial"/>
          <w:sz w:val="22"/>
          <w:szCs w:val="22"/>
          <w:lang w:val="es-CR"/>
        </w:rPr>
        <w:t>a familia beneficiada.</w:t>
      </w:r>
    </w:p>
    <w:p w14:paraId="678E22D6" w14:textId="7696CA41" w:rsidR="00423EC2" w:rsidRPr="00423EC2" w:rsidRDefault="00423EC2" w:rsidP="008854FE">
      <w:pPr>
        <w:ind w:left="142" w:right="193"/>
        <w:jc w:val="both"/>
        <w:rPr>
          <w:rFonts w:cs="Arial"/>
          <w:sz w:val="22"/>
          <w:szCs w:val="22"/>
          <w:lang w:val="es-CR"/>
        </w:rPr>
      </w:pPr>
      <w:r w:rsidRPr="00423EC2">
        <w:rPr>
          <w:rFonts w:cs="Arial"/>
          <w:sz w:val="22"/>
          <w:szCs w:val="22"/>
          <w:lang w:val="es-CR"/>
        </w:rPr>
        <w:t xml:space="preserve">b) Se autorice </w:t>
      </w:r>
      <w:r>
        <w:rPr>
          <w:rFonts w:cs="Arial"/>
          <w:sz w:val="22"/>
          <w:szCs w:val="22"/>
          <w:lang w:val="es-CR"/>
        </w:rPr>
        <w:t>l</w:t>
      </w:r>
      <w:r w:rsidRPr="00423EC2">
        <w:rPr>
          <w:rFonts w:cs="Arial"/>
          <w:sz w:val="22"/>
          <w:szCs w:val="22"/>
          <w:lang w:val="es-CR"/>
        </w:rPr>
        <w:t>a pr</w:t>
      </w:r>
      <w:r>
        <w:rPr>
          <w:rFonts w:cs="Arial"/>
          <w:sz w:val="22"/>
          <w:szCs w:val="22"/>
          <w:lang w:val="es-CR"/>
        </w:rPr>
        <w:t>ó</w:t>
      </w:r>
      <w:r w:rsidRPr="00423EC2">
        <w:rPr>
          <w:rFonts w:cs="Arial"/>
          <w:sz w:val="22"/>
          <w:szCs w:val="22"/>
          <w:lang w:val="es-CR"/>
        </w:rPr>
        <w:t xml:space="preserve">rroga solicitada por </w:t>
      </w:r>
      <w:r>
        <w:rPr>
          <w:rFonts w:cs="Arial"/>
          <w:sz w:val="22"/>
          <w:szCs w:val="22"/>
          <w:lang w:val="es-CR"/>
        </w:rPr>
        <w:t>l</w:t>
      </w:r>
      <w:r w:rsidRPr="00423EC2">
        <w:rPr>
          <w:rFonts w:cs="Arial"/>
          <w:sz w:val="22"/>
          <w:szCs w:val="22"/>
          <w:lang w:val="es-CR"/>
        </w:rPr>
        <w:t>a Fundaci</w:t>
      </w:r>
      <w:r>
        <w:rPr>
          <w:rFonts w:cs="Arial"/>
          <w:sz w:val="22"/>
          <w:szCs w:val="22"/>
          <w:lang w:val="es-CR"/>
        </w:rPr>
        <w:t>ó</w:t>
      </w:r>
      <w:r w:rsidRPr="00423EC2">
        <w:rPr>
          <w:rFonts w:cs="Arial"/>
          <w:sz w:val="22"/>
          <w:szCs w:val="22"/>
          <w:lang w:val="es-CR"/>
        </w:rPr>
        <w:t>n, misma que ya cuenta con</w:t>
      </w:r>
      <w:r>
        <w:rPr>
          <w:rFonts w:cs="Arial"/>
          <w:sz w:val="22"/>
          <w:szCs w:val="22"/>
          <w:lang w:val="es-CR"/>
        </w:rPr>
        <w:t xml:space="preserve"> </w:t>
      </w:r>
      <w:r w:rsidRPr="00423EC2">
        <w:rPr>
          <w:rFonts w:cs="Arial"/>
          <w:sz w:val="22"/>
          <w:szCs w:val="22"/>
          <w:lang w:val="es-CR"/>
        </w:rPr>
        <w:t xml:space="preserve">dictamen positivo de </w:t>
      </w:r>
      <w:r>
        <w:rPr>
          <w:rFonts w:cs="Arial"/>
          <w:sz w:val="22"/>
          <w:szCs w:val="22"/>
          <w:lang w:val="es-CR"/>
        </w:rPr>
        <w:t>l</w:t>
      </w:r>
      <w:r w:rsidRPr="00423EC2">
        <w:rPr>
          <w:rFonts w:cs="Arial"/>
          <w:sz w:val="22"/>
          <w:szCs w:val="22"/>
          <w:lang w:val="es-CR"/>
        </w:rPr>
        <w:t>a Direcci</w:t>
      </w:r>
      <w:r>
        <w:rPr>
          <w:rFonts w:cs="Arial"/>
          <w:sz w:val="22"/>
          <w:szCs w:val="22"/>
          <w:lang w:val="es-CR"/>
        </w:rPr>
        <w:t>ó</w:t>
      </w:r>
      <w:r w:rsidRPr="00423EC2">
        <w:rPr>
          <w:rFonts w:cs="Arial"/>
          <w:sz w:val="22"/>
          <w:szCs w:val="22"/>
          <w:lang w:val="es-CR"/>
        </w:rPr>
        <w:t>n FOSUVI, seg</w:t>
      </w:r>
      <w:r>
        <w:rPr>
          <w:rFonts w:cs="Arial"/>
          <w:sz w:val="22"/>
          <w:szCs w:val="22"/>
          <w:lang w:val="es-CR"/>
        </w:rPr>
        <w:t>ú</w:t>
      </w:r>
      <w:r w:rsidRPr="00423EC2">
        <w:rPr>
          <w:rFonts w:cs="Arial"/>
          <w:sz w:val="22"/>
          <w:szCs w:val="22"/>
          <w:lang w:val="es-CR"/>
        </w:rPr>
        <w:t xml:space="preserve">n lo expuso ya </w:t>
      </w:r>
      <w:r>
        <w:rPr>
          <w:rFonts w:cs="Arial"/>
          <w:sz w:val="22"/>
          <w:szCs w:val="22"/>
          <w:lang w:val="es-CR"/>
        </w:rPr>
        <w:t>l</w:t>
      </w:r>
      <w:r w:rsidRPr="00423EC2">
        <w:rPr>
          <w:rFonts w:cs="Arial"/>
          <w:sz w:val="22"/>
          <w:szCs w:val="22"/>
          <w:lang w:val="es-CR"/>
        </w:rPr>
        <w:t>a se</w:t>
      </w:r>
      <w:r>
        <w:rPr>
          <w:rFonts w:cs="Arial"/>
          <w:sz w:val="22"/>
          <w:szCs w:val="22"/>
          <w:lang w:val="es-CR"/>
        </w:rPr>
        <w:t>ñ</w:t>
      </w:r>
      <w:r w:rsidRPr="00423EC2">
        <w:rPr>
          <w:rFonts w:cs="Arial"/>
          <w:sz w:val="22"/>
          <w:szCs w:val="22"/>
          <w:lang w:val="es-CR"/>
        </w:rPr>
        <w:t>ora Directora</w:t>
      </w:r>
      <w:r>
        <w:rPr>
          <w:rFonts w:cs="Arial"/>
          <w:sz w:val="22"/>
          <w:szCs w:val="22"/>
          <w:lang w:val="es-CR"/>
        </w:rPr>
        <w:t xml:space="preserve"> </w:t>
      </w:r>
      <w:r w:rsidRPr="00423EC2">
        <w:rPr>
          <w:rFonts w:cs="Arial"/>
          <w:sz w:val="22"/>
          <w:szCs w:val="22"/>
          <w:lang w:val="es-CR"/>
        </w:rPr>
        <w:t xml:space="preserve">del FOSUVI en </w:t>
      </w:r>
      <w:r>
        <w:rPr>
          <w:rFonts w:cs="Arial"/>
          <w:sz w:val="22"/>
          <w:szCs w:val="22"/>
          <w:lang w:val="es-CR"/>
        </w:rPr>
        <w:t>l</w:t>
      </w:r>
      <w:r w:rsidRPr="00423EC2">
        <w:rPr>
          <w:rFonts w:cs="Arial"/>
          <w:sz w:val="22"/>
          <w:szCs w:val="22"/>
          <w:lang w:val="es-CR"/>
        </w:rPr>
        <w:t>a sesi</w:t>
      </w:r>
      <w:r>
        <w:rPr>
          <w:rFonts w:cs="Arial"/>
          <w:sz w:val="22"/>
          <w:szCs w:val="22"/>
          <w:lang w:val="es-CR"/>
        </w:rPr>
        <w:t>ó</w:t>
      </w:r>
      <w:r w:rsidRPr="00423EC2">
        <w:rPr>
          <w:rFonts w:cs="Arial"/>
          <w:sz w:val="22"/>
          <w:szCs w:val="22"/>
          <w:lang w:val="es-CR"/>
        </w:rPr>
        <w:t>n citada; para efectos de que se proceda con el pago de</w:t>
      </w:r>
      <w:r>
        <w:rPr>
          <w:rFonts w:cs="Arial"/>
          <w:sz w:val="22"/>
          <w:szCs w:val="22"/>
          <w:lang w:val="es-CR"/>
        </w:rPr>
        <w:t xml:space="preserve"> </w:t>
      </w:r>
      <w:r w:rsidRPr="00423EC2">
        <w:rPr>
          <w:rFonts w:cs="Arial"/>
          <w:sz w:val="22"/>
          <w:szCs w:val="22"/>
          <w:lang w:val="es-CR"/>
        </w:rPr>
        <w:t xml:space="preserve">los </w:t>
      </w:r>
      <w:r w:rsidRPr="00423EC2">
        <w:rPr>
          <w:rFonts w:cs="Arial"/>
          <w:sz w:val="22"/>
          <w:szCs w:val="22"/>
          <w:lang w:val="es-CR"/>
        </w:rPr>
        <w:lastRenderedPageBreak/>
        <w:t>honorarios y comisi</w:t>
      </w:r>
      <w:r>
        <w:rPr>
          <w:rFonts w:cs="Arial"/>
          <w:sz w:val="22"/>
          <w:szCs w:val="22"/>
          <w:lang w:val="es-CR"/>
        </w:rPr>
        <w:t>ó</w:t>
      </w:r>
      <w:r w:rsidRPr="00423EC2">
        <w:rPr>
          <w:rFonts w:cs="Arial"/>
          <w:sz w:val="22"/>
          <w:szCs w:val="22"/>
          <w:lang w:val="es-CR"/>
        </w:rPr>
        <w:t xml:space="preserve">n del </w:t>
      </w:r>
      <w:r>
        <w:rPr>
          <w:rFonts w:cs="Arial"/>
          <w:sz w:val="22"/>
          <w:szCs w:val="22"/>
          <w:lang w:val="es-CR"/>
        </w:rPr>
        <w:t>ú</w:t>
      </w:r>
      <w:r w:rsidRPr="00423EC2">
        <w:rPr>
          <w:rFonts w:cs="Arial"/>
          <w:sz w:val="22"/>
          <w:szCs w:val="22"/>
          <w:lang w:val="es-CR"/>
        </w:rPr>
        <w:t xml:space="preserve">ltimo caso formalizado, o en su defecto, </w:t>
      </w:r>
      <w:r>
        <w:rPr>
          <w:rFonts w:cs="Arial"/>
          <w:sz w:val="22"/>
          <w:szCs w:val="22"/>
          <w:lang w:val="es-CR"/>
        </w:rPr>
        <w:t>l</w:t>
      </w:r>
      <w:r w:rsidRPr="00423EC2">
        <w:rPr>
          <w:rFonts w:cs="Arial"/>
          <w:sz w:val="22"/>
          <w:szCs w:val="22"/>
          <w:lang w:val="es-CR"/>
        </w:rPr>
        <w:t>a Fundaci</w:t>
      </w:r>
      <w:r>
        <w:rPr>
          <w:rFonts w:cs="Arial"/>
          <w:sz w:val="22"/>
          <w:szCs w:val="22"/>
          <w:lang w:val="es-CR"/>
        </w:rPr>
        <w:t>ó</w:t>
      </w:r>
      <w:r w:rsidRPr="00423EC2">
        <w:rPr>
          <w:rFonts w:cs="Arial"/>
          <w:sz w:val="22"/>
          <w:szCs w:val="22"/>
          <w:lang w:val="es-CR"/>
        </w:rPr>
        <w:t>n</w:t>
      </w:r>
      <w:r>
        <w:rPr>
          <w:rFonts w:cs="Arial"/>
          <w:sz w:val="22"/>
          <w:szCs w:val="22"/>
          <w:lang w:val="es-CR"/>
        </w:rPr>
        <w:t xml:space="preserve"> </w:t>
      </w:r>
      <w:r w:rsidRPr="00423EC2">
        <w:rPr>
          <w:rFonts w:cs="Arial"/>
          <w:sz w:val="22"/>
          <w:szCs w:val="22"/>
          <w:lang w:val="es-CR"/>
        </w:rPr>
        <w:t xml:space="preserve">solicita que de manera oficiosa se instruya a </w:t>
      </w:r>
      <w:r>
        <w:rPr>
          <w:rFonts w:cs="Arial"/>
          <w:sz w:val="22"/>
          <w:szCs w:val="22"/>
          <w:lang w:val="es-CR"/>
        </w:rPr>
        <w:t>l</w:t>
      </w:r>
      <w:r w:rsidRPr="00423EC2">
        <w:rPr>
          <w:rFonts w:cs="Arial"/>
          <w:sz w:val="22"/>
          <w:szCs w:val="22"/>
          <w:lang w:val="es-CR"/>
        </w:rPr>
        <w:t>a administraci</w:t>
      </w:r>
      <w:r>
        <w:rPr>
          <w:rFonts w:cs="Arial"/>
          <w:sz w:val="22"/>
          <w:szCs w:val="22"/>
          <w:lang w:val="es-CR"/>
        </w:rPr>
        <w:t>ó</w:t>
      </w:r>
      <w:r w:rsidRPr="00423EC2">
        <w:rPr>
          <w:rFonts w:cs="Arial"/>
          <w:sz w:val="22"/>
          <w:szCs w:val="22"/>
          <w:lang w:val="es-CR"/>
        </w:rPr>
        <w:t>n del BANHVI para</w:t>
      </w:r>
      <w:r>
        <w:rPr>
          <w:rFonts w:cs="Arial"/>
          <w:sz w:val="22"/>
          <w:szCs w:val="22"/>
          <w:lang w:val="es-CR"/>
        </w:rPr>
        <w:t xml:space="preserve"> </w:t>
      </w:r>
      <w:r w:rsidRPr="00423EC2">
        <w:rPr>
          <w:rFonts w:cs="Arial"/>
          <w:sz w:val="22"/>
          <w:szCs w:val="22"/>
          <w:lang w:val="es-CR"/>
        </w:rPr>
        <w:t>que se proceda con el pago de los extremos citados; en caso de que se considere</w:t>
      </w:r>
      <w:r>
        <w:rPr>
          <w:rFonts w:cs="Arial"/>
          <w:sz w:val="22"/>
          <w:szCs w:val="22"/>
          <w:lang w:val="es-CR"/>
        </w:rPr>
        <w:t xml:space="preserve"> </w:t>
      </w:r>
      <w:r w:rsidRPr="00423EC2">
        <w:rPr>
          <w:rFonts w:cs="Arial"/>
          <w:sz w:val="22"/>
          <w:szCs w:val="22"/>
          <w:lang w:val="es-CR"/>
        </w:rPr>
        <w:t>que dicha prorroga resulta innecesaria, dado que el proyecto Cartagena se</w:t>
      </w:r>
      <w:r>
        <w:rPr>
          <w:rFonts w:cs="Arial"/>
          <w:sz w:val="22"/>
          <w:szCs w:val="22"/>
          <w:lang w:val="es-CR"/>
        </w:rPr>
        <w:t xml:space="preserve"> </w:t>
      </w:r>
      <w:r w:rsidRPr="00423EC2">
        <w:rPr>
          <w:rFonts w:cs="Arial"/>
          <w:sz w:val="22"/>
          <w:szCs w:val="22"/>
          <w:lang w:val="es-CR"/>
        </w:rPr>
        <w:t xml:space="preserve">encuentra concluido a </w:t>
      </w:r>
      <w:r>
        <w:rPr>
          <w:rFonts w:cs="Arial"/>
          <w:sz w:val="22"/>
          <w:szCs w:val="22"/>
          <w:lang w:val="es-CR"/>
        </w:rPr>
        <w:t>l</w:t>
      </w:r>
      <w:r w:rsidRPr="00423EC2">
        <w:rPr>
          <w:rFonts w:cs="Arial"/>
          <w:sz w:val="22"/>
          <w:szCs w:val="22"/>
          <w:lang w:val="es-CR"/>
        </w:rPr>
        <w:t>a fecha y adem</w:t>
      </w:r>
      <w:r>
        <w:rPr>
          <w:rFonts w:cs="Arial"/>
          <w:sz w:val="22"/>
          <w:szCs w:val="22"/>
          <w:lang w:val="es-CR"/>
        </w:rPr>
        <w:t>á</w:t>
      </w:r>
      <w:r w:rsidRPr="00423EC2">
        <w:rPr>
          <w:rFonts w:cs="Arial"/>
          <w:sz w:val="22"/>
          <w:szCs w:val="22"/>
          <w:lang w:val="es-CR"/>
        </w:rPr>
        <w:t>s todos los casos est</w:t>
      </w:r>
      <w:r>
        <w:rPr>
          <w:rFonts w:cs="Arial"/>
          <w:sz w:val="22"/>
          <w:szCs w:val="22"/>
          <w:lang w:val="es-CR"/>
        </w:rPr>
        <w:t>á</w:t>
      </w:r>
      <w:r w:rsidRPr="00423EC2">
        <w:rPr>
          <w:rFonts w:cs="Arial"/>
          <w:sz w:val="22"/>
          <w:szCs w:val="22"/>
          <w:lang w:val="es-CR"/>
        </w:rPr>
        <w:t>n formalizados.</w:t>
      </w:r>
    </w:p>
    <w:p w14:paraId="02BDC4DB" w14:textId="07CDB855" w:rsidR="00E429B8" w:rsidRDefault="00423EC2" w:rsidP="008854FE">
      <w:pPr>
        <w:ind w:left="142" w:right="193"/>
        <w:jc w:val="both"/>
        <w:rPr>
          <w:rFonts w:cs="Arial"/>
          <w:sz w:val="22"/>
          <w:szCs w:val="22"/>
        </w:rPr>
      </w:pPr>
      <w:r w:rsidRPr="00423EC2">
        <w:rPr>
          <w:rFonts w:cs="Arial"/>
          <w:sz w:val="22"/>
          <w:szCs w:val="22"/>
          <w:lang w:val="es-CR"/>
        </w:rPr>
        <w:t xml:space="preserve">Una vez escuchado el audio de </w:t>
      </w:r>
      <w:r>
        <w:rPr>
          <w:rFonts w:cs="Arial"/>
          <w:sz w:val="22"/>
          <w:szCs w:val="22"/>
          <w:lang w:val="es-CR"/>
        </w:rPr>
        <w:t>l</w:t>
      </w:r>
      <w:r w:rsidRPr="00423EC2">
        <w:rPr>
          <w:rFonts w:cs="Arial"/>
          <w:sz w:val="22"/>
          <w:szCs w:val="22"/>
          <w:lang w:val="es-CR"/>
        </w:rPr>
        <w:t>a sesi</w:t>
      </w:r>
      <w:r>
        <w:rPr>
          <w:rFonts w:cs="Arial"/>
          <w:sz w:val="22"/>
          <w:szCs w:val="22"/>
          <w:lang w:val="es-CR"/>
        </w:rPr>
        <w:t>ó</w:t>
      </w:r>
      <w:r w:rsidRPr="00423EC2">
        <w:rPr>
          <w:rFonts w:cs="Arial"/>
          <w:sz w:val="22"/>
          <w:szCs w:val="22"/>
          <w:lang w:val="es-CR"/>
        </w:rPr>
        <w:t xml:space="preserve">n citada, compartimos </w:t>
      </w:r>
      <w:r>
        <w:rPr>
          <w:rFonts w:cs="Arial"/>
          <w:sz w:val="22"/>
          <w:szCs w:val="22"/>
          <w:lang w:val="es-CR"/>
        </w:rPr>
        <w:t>l</w:t>
      </w:r>
      <w:r w:rsidRPr="00423EC2">
        <w:rPr>
          <w:rFonts w:cs="Arial"/>
          <w:sz w:val="22"/>
          <w:szCs w:val="22"/>
          <w:lang w:val="es-CR"/>
        </w:rPr>
        <w:t>a preocupaci</w:t>
      </w:r>
      <w:r>
        <w:rPr>
          <w:rFonts w:cs="Arial"/>
          <w:sz w:val="22"/>
          <w:szCs w:val="22"/>
          <w:lang w:val="es-CR"/>
        </w:rPr>
        <w:t>ó</w:t>
      </w:r>
      <w:r w:rsidRPr="00423EC2">
        <w:rPr>
          <w:rFonts w:cs="Arial"/>
          <w:sz w:val="22"/>
          <w:szCs w:val="22"/>
          <w:lang w:val="es-CR"/>
        </w:rPr>
        <w:t xml:space="preserve">n de </w:t>
      </w:r>
      <w:r>
        <w:rPr>
          <w:rFonts w:cs="Arial"/>
          <w:sz w:val="22"/>
          <w:szCs w:val="22"/>
          <w:lang w:val="es-CR"/>
        </w:rPr>
        <w:t>l</w:t>
      </w:r>
      <w:r w:rsidRPr="00423EC2">
        <w:rPr>
          <w:rFonts w:cs="Arial"/>
          <w:sz w:val="22"/>
          <w:szCs w:val="22"/>
          <w:lang w:val="es-CR"/>
        </w:rPr>
        <w:t>a Junta</w:t>
      </w:r>
      <w:r>
        <w:rPr>
          <w:rFonts w:cs="Arial"/>
          <w:sz w:val="22"/>
          <w:szCs w:val="22"/>
          <w:lang w:val="es-CR"/>
        </w:rPr>
        <w:t xml:space="preserve"> </w:t>
      </w:r>
      <w:r w:rsidRPr="00423EC2">
        <w:rPr>
          <w:rFonts w:cs="Arial"/>
          <w:sz w:val="22"/>
          <w:szCs w:val="22"/>
          <w:lang w:val="es-CR"/>
        </w:rPr>
        <w:t>Directiva del BANHVI en cuanto a las implicaciones de las solicitudes de ampliaci</w:t>
      </w:r>
      <w:r>
        <w:rPr>
          <w:rFonts w:cs="Arial"/>
          <w:sz w:val="22"/>
          <w:szCs w:val="22"/>
          <w:lang w:val="es-CR"/>
        </w:rPr>
        <w:t>ó</w:t>
      </w:r>
      <w:r w:rsidRPr="00423EC2">
        <w:rPr>
          <w:rFonts w:cs="Arial"/>
          <w:sz w:val="22"/>
          <w:szCs w:val="22"/>
          <w:lang w:val="es-CR"/>
        </w:rPr>
        <w:t>n de</w:t>
      </w:r>
      <w:r>
        <w:rPr>
          <w:rFonts w:cs="Arial"/>
          <w:sz w:val="22"/>
          <w:szCs w:val="22"/>
          <w:lang w:val="es-CR"/>
        </w:rPr>
        <w:t xml:space="preserve"> </w:t>
      </w:r>
      <w:r w:rsidRPr="00423EC2">
        <w:rPr>
          <w:rFonts w:cs="Arial"/>
          <w:sz w:val="22"/>
          <w:szCs w:val="22"/>
          <w:lang w:val="es-CR"/>
        </w:rPr>
        <w:t>plazo de los diferentes proyectos sin embargo es necesario aclarar que las solicitudes</w:t>
      </w:r>
      <w:r>
        <w:rPr>
          <w:rFonts w:cs="Arial"/>
          <w:sz w:val="22"/>
          <w:szCs w:val="22"/>
          <w:lang w:val="es-CR"/>
        </w:rPr>
        <w:t xml:space="preserve"> </w:t>
      </w:r>
      <w:r w:rsidRPr="00423EC2">
        <w:rPr>
          <w:rFonts w:cs="Arial"/>
          <w:sz w:val="22"/>
          <w:szCs w:val="22"/>
          <w:lang w:val="es-CR"/>
        </w:rPr>
        <w:t xml:space="preserve">planteadas por </w:t>
      </w:r>
      <w:r>
        <w:rPr>
          <w:rFonts w:cs="Arial"/>
          <w:sz w:val="22"/>
          <w:szCs w:val="22"/>
          <w:lang w:val="es-CR"/>
        </w:rPr>
        <w:t>l</w:t>
      </w:r>
      <w:r w:rsidRPr="00423EC2">
        <w:rPr>
          <w:rFonts w:cs="Arial"/>
          <w:sz w:val="22"/>
          <w:szCs w:val="22"/>
          <w:lang w:val="es-CR"/>
        </w:rPr>
        <w:t>a Fundaci</w:t>
      </w:r>
      <w:r>
        <w:rPr>
          <w:rFonts w:cs="Arial"/>
          <w:sz w:val="22"/>
          <w:szCs w:val="22"/>
          <w:lang w:val="es-CR"/>
        </w:rPr>
        <w:t>ó</w:t>
      </w:r>
      <w:r w:rsidRPr="00423EC2">
        <w:rPr>
          <w:rFonts w:cs="Arial"/>
          <w:sz w:val="22"/>
          <w:szCs w:val="22"/>
          <w:lang w:val="es-CR"/>
        </w:rPr>
        <w:t>n van siempre acompa</w:t>
      </w:r>
      <w:r>
        <w:rPr>
          <w:rFonts w:cs="Arial"/>
          <w:sz w:val="22"/>
          <w:szCs w:val="22"/>
          <w:lang w:val="es-CR"/>
        </w:rPr>
        <w:t>ñ</w:t>
      </w:r>
      <w:r w:rsidRPr="00423EC2">
        <w:rPr>
          <w:rFonts w:cs="Arial"/>
          <w:sz w:val="22"/>
          <w:szCs w:val="22"/>
          <w:lang w:val="es-CR"/>
        </w:rPr>
        <w:t xml:space="preserve">adas de </w:t>
      </w:r>
      <w:r>
        <w:rPr>
          <w:rFonts w:cs="Arial"/>
          <w:sz w:val="22"/>
          <w:szCs w:val="22"/>
          <w:lang w:val="es-CR"/>
        </w:rPr>
        <w:t>l</w:t>
      </w:r>
      <w:r w:rsidRPr="00423EC2">
        <w:rPr>
          <w:rFonts w:cs="Arial"/>
          <w:sz w:val="22"/>
          <w:szCs w:val="22"/>
          <w:lang w:val="es-CR"/>
        </w:rPr>
        <w:t>a debida justif</w:t>
      </w:r>
      <w:r>
        <w:rPr>
          <w:rFonts w:cs="Arial"/>
          <w:sz w:val="22"/>
          <w:szCs w:val="22"/>
          <w:lang w:val="es-CR"/>
        </w:rPr>
        <w:t>i</w:t>
      </w:r>
      <w:r w:rsidRPr="00423EC2">
        <w:rPr>
          <w:rFonts w:cs="Arial"/>
          <w:sz w:val="22"/>
          <w:szCs w:val="22"/>
          <w:lang w:val="es-CR"/>
        </w:rPr>
        <w:t>caci</w:t>
      </w:r>
      <w:r>
        <w:rPr>
          <w:rFonts w:cs="Arial"/>
          <w:sz w:val="22"/>
          <w:szCs w:val="22"/>
          <w:lang w:val="es-CR"/>
        </w:rPr>
        <w:t>ó</w:t>
      </w:r>
      <w:r w:rsidRPr="00423EC2">
        <w:rPr>
          <w:rFonts w:cs="Arial"/>
          <w:sz w:val="22"/>
          <w:szCs w:val="22"/>
          <w:lang w:val="es-CR"/>
        </w:rPr>
        <w:t>n que</w:t>
      </w:r>
      <w:r>
        <w:rPr>
          <w:rFonts w:cs="Arial"/>
          <w:sz w:val="22"/>
          <w:szCs w:val="22"/>
          <w:lang w:val="es-CR"/>
        </w:rPr>
        <w:t xml:space="preserve"> </w:t>
      </w:r>
      <w:r w:rsidRPr="00423EC2">
        <w:rPr>
          <w:rFonts w:cs="Arial"/>
          <w:sz w:val="22"/>
          <w:szCs w:val="22"/>
          <w:lang w:val="es-CR"/>
        </w:rPr>
        <w:t xml:space="preserve">ampara cada una, explicando los hechos concretos, </w:t>
      </w:r>
      <w:r>
        <w:rPr>
          <w:rFonts w:cs="Arial"/>
          <w:sz w:val="22"/>
          <w:szCs w:val="22"/>
          <w:lang w:val="es-CR"/>
        </w:rPr>
        <w:t>l</w:t>
      </w:r>
      <w:r w:rsidRPr="00423EC2">
        <w:rPr>
          <w:rFonts w:cs="Arial"/>
          <w:sz w:val="22"/>
          <w:szCs w:val="22"/>
          <w:lang w:val="es-CR"/>
        </w:rPr>
        <w:t>a causa y su incidencia en el proceso</w:t>
      </w:r>
      <w:r>
        <w:rPr>
          <w:rFonts w:cs="Arial"/>
          <w:sz w:val="22"/>
          <w:szCs w:val="22"/>
          <w:lang w:val="es-CR"/>
        </w:rPr>
        <w:t xml:space="preserve"> </w:t>
      </w:r>
      <w:r w:rsidRPr="00423EC2">
        <w:rPr>
          <w:rFonts w:cs="Arial"/>
          <w:sz w:val="22"/>
          <w:szCs w:val="22"/>
          <w:lang w:val="es-CR"/>
        </w:rPr>
        <w:t>de ejecuci</w:t>
      </w:r>
      <w:r>
        <w:rPr>
          <w:rFonts w:cs="Arial"/>
          <w:sz w:val="22"/>
          <w:szCs w:val="22"/>
          <w:lang w:val="es-CR"/>
        </w:rPr>
        <w:t>ó</w:t>
      </w:r>
      <w:r w:rsidRPr="00423EC2">
        <w:rPr>
          <w:rFonts w:cs="Arial"/>
          <w:sz w:val="22"/>
          <w:szCs w:val="22"/>
          <w:lang w:val="es-CR"/>
        </w:rPr>
        <w:t>n normal de cada proyecto</w:t>
      </w:r>
      <w:r>
        <w:rPr>
          <w:rFonts w:cs="Arial"/>
          <w:sz w:val="22"/>
          <w:szCs w:val="22"/>
          <w:lang w:val="es-CR"/>
        </w:rPr>
        <w:t>…”</w:t>
      </w:r>
    </w:p>
    <w:p w14:paraId="0D58AD7A" w14:textId="1E03D1CD" w:rsidR="00423EC2" w:rsidRDefault="00423EC2" w:rsidP="002B71CC">
      <w:pPr>
        <w:spacing w:line="360" w:lineRule="auto"/>
        <w:jc w:val="both"/>
        <w:rPr>
          <w:rFonts w:cs="Arial"/>
          <w:sz w:val="22"/>
          <w:szCs w:val="22"/>
        </w:rPr>
      </w:pPr>
    </w:p>
    <w:p w14:paraId="408AD875" w14:textId="267ACEBF" w:rsidR="006546C6" w:rsidRDefault="00E429B8" w:rsidP="006546C6">
      <w:pPr>
        <w:spacing w:line="360" w:lineRule="auto"/>
        <w:jc w:val="both"/>
        <w:rPr>
          <w:rFonts w:cs="Arial"/>
          <w:sz w:val="22"/>
          <w:szCs w:val="22"/>
          <w:lang w:val="es-ES_tradnl"/>
        </w:rPr>
      </w:pPr>
      <w:r w:rsidRPr="00E429B8">
        <w:rPr>
          <w:rFonts w:cs="Arial"/>
          <w:b/>
          <w:bCs/>
          <w:sz w:val="22"/>
          <w:szCs w:val="22"/>
        </w:rPr>
        <w:t>Cuarto:</w:t>
      </w:r>
      <w:r>
        <w:rPr>
          <w:rFonts w:cs="Arial"/>
          <w:sz w:val="22"/>
          <w:szCs w:val="22"/>
        </w:rPr>
        <w:t xml:space="preserve"> </w:t>
      </w:r>
      <w:proofErr w:type="gramStart"/>
      <w:r>
        <w:rPr>
          <w:rFonts w:cs="Arial"/>
          <w:sz w:val="22"/>
          <w:szCs w:val="22"/>
        </w:rPr>
        <w:t>Que</w:t>
      </w:r>
      <w:proofErr w:type="gramEnd"/>
      <w:r>
        <w:rPr>
          <w:rFonts w:cs="Arial"/>
          <w:sz w:val="22"/>
          <w:szCs w:val="22"/>
        </w:rPr>
        <w:t xml:space="preserve"> </w:t>
      </w:r>
      <w:r w:rsidR="006546C6">
        <w:rPr>
          <w:rFonts w:cs="Arial"/>
          <w:sz w:val="22"/>
          <w:szCs w:val="22"/>
        </w:rPr>
        <w:t xml:space="preserve">una vez conocido el referido oficio de la Fundación, se </w:t>
      </w:r>
      <w:r w:rsidR="006546C6">
        <w:rPr>
          <w:rFonts w:cs="Arial"/>
          <w:sz w:val="22"/>
          <w:szCs w:val="22"/>
          <w:lang w:val="es-ES_tradnl"/>
        </w:rPr>
        <w:t xml:space="preserve">estima </w:t>
      </w:r>
      <w:r w:rsidR="00FC29D6">
        <w:rPr>
          <w:rFonts w:cs="Arial"/>
          <w:sz w:val="22"/>
          <w:szCs w:val="22"/>
          <w:lang w:val="es-ES_tradnl"/>
        </w:rPr>
        <w:t xml:space="preserve">primordial </w:t>
      </w:r>
      <w:r w:rsidR="006546C6">
        <w:rPr>
          <w:rFonts w:cs="Arial"/>
          <w:sz w:val="22"/>
          <w:szCs w:val="22"/>
          <w:lang w:val="es-ES_tradnl"/>
        </w:rPr>
        <w:t xml:space="preserve">indicarle a esa entidad autorizada, que el acuerdo </w:t>
      </w:r>
      <w:r w:rsidR="006546C6">
        <w:rPr>
          <w:rFonts w:cs="Arial"/>
          <w:sz w:val="22"/>
          <w:szCs w:val="22"/>
        </w:rPr>
        <w:t xml:space="preserve">N° 3 de la sesión 38-2022 fue emitido por esta </w:t>
      </w:r>
      <w:r w:rsidR="006546C6" w:rsidRPr="006546C6">
        <w:rPr>
          <w:rFonts w:cs="Arial"/>
          <w:sz w:val="22"/>
          <w:szCs w:val="22"/>
          <w:lang w:val="es-ES_tradnl"/>
        </w:rPr>
        <w:t>Junta Directiva</w:t>
      </w:r>
      <w:r w:rsidR="006546C6">
        <w:rPr>
          <w:rFonts w:cs="Arial"/>
          <w:sz w:val="22"/>
          <w:szCs w:val="22"/>
          <w:lang w:val="es-ES_tradnl"/>
        </w:rPr>
        <w:t xml:space="preserve"> con base en la información disponible y discutida en esa ocasión, la cual omit</w:t>
      </w:r>
      <w:r w:rsidR="00304299">
        <w:rPr>
          <w:rFonts w:cs="Arial"/>
          <w:sz w:val="22"/>
          <w:szCs w:val="22"/>
          <w:lang w:val="es-ES_tradnl"/>
        </w:rPr>
        <w:t>ía</w:t>
      </w:r>
      <w:r w:rsidR="006546C6">
        <w:rPr>
          <w:rFonts w:cs="Arial"/>
          <w:sz w:val="22"/>
          <w:szCs w:val="22"/>
          <w:lang w:val="es-ES_tradnl"/>
        </w:rPr>
        <w:t xml:space="preserve"> </w:t>
      </w:r>
      <w:r w:rsidR="001532F7">
        <w:rPr>
          <w:rFonts w:cs="Arial"/>
          <w:sz w:val="22"/>
          <w:szCs w:val="22"/>
          <w:lang w:val="es-ES_tradnl"/>
        </w:rPr>
        <w:t xml:space="preserve">una serie de </w:t>
      </w:r>
      <w:r w:rsidR="006546C6">
        <w:rPr>
          <w:rFonts w:cs="Arial"/>
          <w:sz w:val="22"/>
          <w:szCs w:val="22"/>
          <w:lang w:val="es-ES_tradnl"/>
        </w:rPr>
        <w:t xml:space="preserve">aspectos </w:t>
      </w:r>
      <w:r w:rsidR="001532F7">
        <w:rPr>
          <w:rFonts w:cs="Arial"/>
          <w:sz w:val="22"/>
          <w:szCs w:val="22"/>
          <w:lang w:val="es-ES_tradnl"/>
        </w:rPr>
        <w:t xml:space="preserve">relevantes que ahora </w:t>
      </w:r>
      <w:r w:rsidR="00304299">
        <w:rPr>
          <w:rFonts w:cs="Arial"/>
          <w:sz w:val="22"/>
          <w:szCs w:val="22"/>
          <w:lang w:val="es-ES_tradnl"/>
        </w:rPr>
        <w:t xml:space="preserve">han sido aportados por la Fundación </w:t>
      </w:r>
      <w:r w:rsidR="001532F7">
        <w:rPr>
          <w:rFonts w:cs="Arial"/>
          <w:sz w:val="22"/>
          <w:szCs w:val="22"/>
          <w:lang w:val="es-ES_tradnl"/>
        </w:rPr>
        <w:t xml:space="preserve">en el </w:t>
      </w:r>
      <w:r w:rsidR="0055462E">
        <w:rPr>
          <w:rFonts w:cs="Arial"/>
          <w:sz w:val="22"/>
          <w:szCs w:val="22"/>
          <w:lang w:val="es-ES_tradnl"/>
        </w:rPr>
        <w:t xml:space="preserve">oficio </w:t>
      </w:r>
      <w:r w:rsidR="00FC29D6">
        <w:rPr>
          <w:rFonts w:cs="Arial"/>
          <w:sz w:val="22"/>
          <w:szCs w:val="22"/>
          <w:lang w:val="es-ES_tradnl"/>
        </w:rPr>
        <w:t>remitido</w:t>
      </w:r>
      <w:r w:rsidR="00304299">
        <w:rPr>
          <w:rFonts w:cs="Arial"/>
          <w:sz w:val="22"/>
          <w:szCs w:val="22"/>
        </w:rPr>
        <w:t>, tales como los siguientes:</w:t>
      </w:r>
    </w:p>
    <w:p w14:paraId="0ACD2E83" w14:textId="35D33FA2" w:rsidR="008511B3" w:rsidRDefault="00304299" w:rsidP="006546C6">
      <w:pPr>
        <w:spacing w:line="360" w:lineRule="auto"/>
        <w:jc w:val="both"/>
        <w:rPr>
          <w:rFonts w:cs="Arial"/>
          <w:sz w:val="22"/>
          <w:szCs w:val="22"/>
        </w:rPr>
      </w:pPr>
      <w:r>
        <w:rPr>
          <w:rFonts w:cs="Arial"/>
          <w:sz w:val="22"/>
          <w:szCs w:val="22"/>
          <w:lang w:val="es-ES_tradnl"/>
        </w:rPr>
        <w:t>a) Cuando en dicha sesión se</w:t>
      </w:r>
      <w:r w:rsidR="006546C6">
        <w:rPr>
          <w:rFonts w:cs="Arial"/>
          <w:sz w:val="22"/>
          <w:szCs w:val="22"/>
        </w:rPr>
        <w:t xml:space="preserve"> consultó a la Dirección FOSUVI sobre el caso </w:t>
      </w:r>
      <w:r w:rsidR="0093200A">
        <w:rPr>
          <w:rFonts w:cs="Arial"/>
          <w:sz w:val="22"/>
          <w:szCs w:val="22"/>
        </w:rPr>
        <w:t xml:space="preserve">que había estado </w:t>
      </w:r>
      <w:r w:rsidR="006546C6">
        <w:rPr>
          <w:rFonts w:cs="Arial"/>
          <w:sz w:val="22"/>
          <w:szCs w:val="22"/>
        </w:rPr>
        <w:t>pendiente de formaliza</w:t>
      </w:r>
      <w:r w:rsidR="0093200A">
        <w:rPr>
          <w:rFonts w:cs="Arial"/>
          <w:sz w:val="22"/>
          <w:szCs w:val="22"/>
        </w:rPr>
        <w:t xml:space="preserve">r, </w:t>
      </w:r>
      <w:r w:rsidR="006546C6">
        <w:rPr>
          <w:rFonts w:cs="Arial"/>
          <w:sz w:val="22"/>
          <w:szCs w:val="22"/>
        </w:rPr>
        <w:t>se indicó que no se tenía conocimiento</w:t>
      </w:r>
      <w:r w:rsidR="0093200A">
        <w:rPr>
          <w:rFonts w:cs="Arial"/>
          <w:sz w:val="22"/>
          <w:szCs w:val="22"/>
        </w:rPr>
        <w:t xml:space="preserve">, a pesar de que es razonable pensar </w:t>
      </w:r>
      <w:proofErr w:type="gramStart"/>
      <w:r w:rsidR="0093200A">
        <w:rPr>
          <w:rFonts w:cs="Arial"/>
          <w:sz w:val="22"/>
          <w:szCs w:val="22"/>
        </w:rPr>
        <w:t>que</w:t>
      </w:r>
      <w:proofErr w:type="gramEnd"/>
      <w:r w:rsidR="0093200A">
        <w:rPr>
          <w:rFonts w:cs="Arial"/>
          <w:sz w:val="22"/>
          <w:szCs w:val="22"/>
        </w:rPr>
        <w:t xml:space="preserve"> para valorar y </w:t>
      </w:r>
      <w:r w:rsidR="006546C6">
        <w:rPr>
          <w:rFonts w:cs="Arial"/>
          <w:sz w:val="22"/>
          <w:szCs w:val="22"/>
        </w:rPr>
        <w:t xml:space="preserve">emitir criterio sobre la referida solicitud de ampliación de plazo, esa Dirección debió </w:t>
      </w:r>
      <w:r w:rsidR="008511B3">
        <w:rPr>
          <w:rFonts w:cs="Arial"/>
          <w:sz w:val="22"/>
          <w:szCs w:val="22"/>
        </w:rPr>
        <w:t xml:space="preserve">conocer </w:t>
      </w:r>
      <w:r w:rsidR="00FC29D6">
        <w:rPr>
          <w:rFonts w:cs="Arial"/>
          <w:sz w:val="22"/>
          <w:szCs w:val="22"/>
        </w:rPr>
        <w:t>las razones d</w:t>
      </w:r>
      <w:r w:rsidR="006546C6">
        <w:rPr>
          <w:rFonts w:cs="Arial"/>
          <w:sz w:val="22"/>
          <w:szCs w:val="22"/>
        </w:rPr>
        <w:t xml:space="preserve">el retraso que se había dado en la formalización de </w:t>
      </w:r>
      <w:r w:rsidR="00FC29D6">
        <w:rPr>
          <w:rFonts w:cs="Arial"/>
          <w:sz w:val="22"/>
          <w:szCs w:val="22"/>
        </w:rPr>
        <w:t>la</w:t>
      </w:r>
      <w:r w:rsidR="006546C6">
        <w:rPr>
          <w:rFonts w:cs="Arial"/>
          <w:sz w:val="22"/>
          <w:szCs w:val="22"/>
        </w:rPr>
        <w:t xml:space="preserve"> operación</w:t>
      </w:r>
      <w:r w:rsidR="008511B3">
        <w:rPr>
          <w:rFonts w:cs="Arial"/>
          <w:sz w:val="22"/>
          <w:szCs w:val="22"/>
        </w:rPr>
        <w:t>.</w:t>
      </w:r>
      <w:r w:rsidR="00755850">
        <w:rPr>
          <w:rFonts w:cs="Arial"/>
          <w:sz w:val="22"/>
          <w:szCs w:val="22"/>
        </w:rPr>
        <w:t xml:space="preserve">  </w:t>
      </w:r>
      <w:r w:rsidR="008511B3">
        <w:rPr>
          <w:rFonts w:cs="Arial"/>
          <w:sz w:val="22"/>
          <w:szCs w:val="22"/>
        </w:rPr>
        <w:t>No obstante, ahora se sabe</w:t>
      </w:r>
      <w:r w:rsidR="006546C6">
        <w:rPr>
          <w:rFonts w:cs="Arial"/>
          <w:sz w:val="22"/>
          <w:szCs w:val="22"/>
        </w:rPr>
        <w:t xml:space="preserve"> (según lo informado por la </w:t>
      </w:r>
      <w:r w:rsidR="008511B3">
        <w:rPr>
          <w:rFonts w:cs="Arial"/>
          <w:sz w:val="22"/>
          <w:szCs w:val="22"/>
        </w:rPr>
        <w:t>Fundación</w:t>
      </w:r>
      <w:r w:rsidR="006546C6">
        <w:rPr>
          <w:rFonts w:cs="Arial"/>
          <w:sz w:val="22"/>
          <w:szCs w:val="22"/>
        </w:rPr>
        <w:t>)</w:t>
      </w:r>
      <w:r w:rsidR="008511B3">
        <w:rPr>
          <w:rFonts w:cs="Arial"/>
          <w:sz w:val="22"/>
          <w:szCs w:val="22"/>
        </w:rPr>
        <w:t>, por un lado,</w:t>
      </w:r>
      <w:r w:rsidR="006546C6">
        <w:rPr>
          <w:rFonts w:cs="Arial"/>
          <w:sz w:val="22"/>
          <w:szCs w:val="22"/>
        </w:rPr>
        <w:t xml:space="preserve"> que había una discusión de carácter pecuniario entre el desarrollador y el fiduciario, y que esa discusión llevó a </w:t>
      </w:r>
      <w:r w:rsidR="008511B3">
        <w:rPr>
          <w:rFonts w:cs="Arial"/>
          <w:sz w:val="22"/>
          <w:szCs w:val="22"/>
        </w:rPr>
        <w:t>postergar hasta el 16 de diciembre de 20</w:t>
      </w:r>
      <w:r w:rsidR="00FC29D6">
        <w:rPr>
          <w:rFonts w:cs="Arial"/>
          <w:sz w:val="22"/>
          <w:szCs w:val="22"/>
        </w:rPr>
        <w:t>2</w:t>
      </w:r>
      <w:r w:rsidR="008511B3">
        <w:rPr>
          <w:rFonts w:cs="Arial"/>
          <w:sz w:val="22"/>
          <w:szCs w:val="22"/>
        </w:rPr>
        <w:t xml:space="preserve">1, </w:t>
      </w:r>
      <w:r w:rsidR="006546C6">
        <w:rPr>
          <w:rFonts w:cs="Arial"/>
          <w:sz w:val="22"/>
          <w:szCs w:val="22"/>
        </w:rPr>
        <w:t xml:space="preserve">la formalización del </w:t>
      </w:r>
      <w:r w:rsidR="008511B3">
        <w:rPr>
          <w:rFonts w:cs="Arial"/>
          <w:sz w:val="22"/>
          <w:szCs w:val="22"/>
        </w:rPr>
        <w:t>último subsidio del proyecto</w:t>
      </w:r>
      <w:r w:rsidR="006546C6">
        <w:rPr>
          <w:rFonts w:cs="Arial"/>
          <w:sz w:val="22"/>
          <w:szCs w:val="22"/>
        </w:rPr>
        <w:t>.</w:t>
      </w:r>
      <w:r w:rsidR="008511B3">
        <w:rPr>
          <w:rFonts w:cs="Arial"/>
          <w:sz w:val="22"/>
          <w:szCs w:val="22"/>
        </w:rPr>
        <w:t xml:space="preserve">  </w:t>
      </w:r>
      <w:proofErr w:type="gramStart"/>
      <w:r w:rsidR="008511B3">
        <w:rPr>
          <w:rFonts w:cs="Arial"/>
          <w:sz w:val="22"/>
          <w:szCs w:val="22"/>
        </w:rPr>
        <w:t>Y</w:t>
      </w:r>
      <w:proofErr w:type="gramEnd"/>
      <w:r w:rsidR="008511B3">
        <w:rPr>
          <w:rFonts w:cs="Arial"/>
          <w:sz w:val="22"/>
          <w:szCs w:val="22"/>
        </w:rPr>
        <w:t xml:space="preserve"> </w:t>
      </w:r>
      <w:r w:rsidR="0014798C">
        <w:rPr>
          <w:rFonts w:cs="Arial"/>
          <w:sz w:val="22"/>
          <w:szCs w:val="22"/>
        </w:rPr>
        <w:t xml:space="preserve">por otro lado, la Fundación también ha afirmado que esta situación era del conocimiento de la Dirección FOSUVI desde enero de 2022, según se le informó mediante el oficio </w:t>
      </w:r>
      <w:r w:rsidR="008511B3" w:rsidRPr="008511B3">
        <w:rPr>
          <w:rFonts w:cs="Arial"/>
          <w:sz w:val="22"/>
          <w:szCs w:val="22"/>
          <w:lang w:val="es-CR"/>
        </w:rPr>
        <w:t>FVR-GN-UT-0002-2022, del 4 de enero de 2022</w:t>
      </w:r>
      <w:r w:rsidR="0014798C">
        <w:rPr>
          <w:rFonts w:cs="Arial"/>
          <w:sz w:val="22"/>
          <w:szCs w:val="22"/>
          <w:lang w:val="es-CR"/>
        </w:rPr>
        <w:t>.</w:t>
      </w:r>
    </w:p>
    <w:p w14:paraId="0A4D5EEC" w14:textId="553F2C1F" w:rsidR="008511B3" w:rsidRDefault="008511B3" w:rsidP="006546C6">
      <w:pPr>
        <w:spacing w:line="360" w:lineRule="auto"/>
        <w:jc w:val="both"/>
        <w:rPr>
          <w:rFonts w:cs="Arial"/>
          <w:sz w:val="22"/>
          <w:szCs w:val="22"/>
        </w:rPr>
      </w:pPr>
    </w:p>
    <w:p w14:paraId="0E948A90" w14:textId="77777777" w:rsidR="001D4647" w:rsidRDefault="008511B3" w:rsidP="006546C6">
      <w:pPr>
        <w:spacing w:line="360" w:lineRule="auto"/>
        <w:jc w:val="both"/>
        <w:rPr>
          <w:rFonts w:cs="Arial"/>
          <w:sz w:val="22"/>
          <w:szCs w:val="22"/>
        </w:rPr>
      </w:pPr>
      <w:r>
        <w:rPr>
          <w:rFonts w:cs="Arial"/>
          <w:sz w:val="22"/>
          <w:szCs w:val="22"/>
        </w:rPr>
        <w:t xml:space="preserve">b) </w:t>
      </w:r>
      <w:r w:rsidR="0014798C">
        <w:rPr>
          <w:rFonts w:cs="Arial"/>
          <w:sz w:val="22"/>
          <w:szCs w:val="22"/>
        </w:rPr>
        <w:t xml:space="preserve">Cuando </w:t>
      </w:r>
      <w:r w:rsidR="006546C6">
        <w:rPr>
          <w:rFonts w:cs="Arial"/>
          <w:sz w:val="22"/>
          <w:szCs w:val="22"/>
        </w:rPr>
        <w:t xml:space="preserve">en la sesión 38-2022 se discutió el tema relacionado con el hecho de que la entidad presentó la solicitud para ampliar el plazo con posterioridad a que el contrato había vencido, tampoco se explicó la razón de este retraso, según lo hizo ver esta </w:t>
      </w:r>
      <w:r w:rsidR="006546C6" w:rsidRPr="001D5A95">
        <w:rPr>
          <w:rFonts w:cs="Arial"/>
          <w:sz w:val="22"/>
          <w:szCs w:val="22"/>
          <w:lang w:val="es-ES_tradnl"/>
        </w:rPr>
        <w:t>Junta Directiva</w:t>
      </w:r>
      <w:r w:rsidR="006546C6">
        <w:rPr>
          <w:rFonts w:cs="Arial"/>
          <w:sz w:val="22"/>
          <w:szCs w:val="22"/>
          <w:lang w:val="es-ES_tradnl"/>
        </w:rPr>
        <w:t xml:space="preserve"> en el </w:t>
      </w:r>
      <w:r w:rsidR="001D4647">
        <w:rPr>
          <w:rFonts w:cs="Arial"/>
          <w:sz w:val="22"/>
          <w:szCs w:val="22"/>
          <w:lang w:val="es-ES_tradnl"/>
        </w:rPr>
        <w:t xml:space="preserve">referido </w:t>
      </w:r>
      <w:r w:rsidR="006546C6">
        <w:rPr>
          <w:rFonts w:cs="Arial"/>
          <w:sz w:val="22"/>
          <w:szCs w:val="22"/>
        </w:rPr>
        <w:t>acuerdo N° 3 de la sesión 38-2022.</w:t>
      </w:r>
    </w:p>
    <w:p w14:paraId="232EF394" w14:textId="77777777" w:rsidR="001D4647" w:rsidRDefault="001D4647" w:rsidP="006546C6">
      <w:pPr>
        <w:spacing w:line="360" w:lineRule="auto"/>
        <w:jc w:val="both"/>
        <w:rPr>
          <w:rFonts w:cs="Arial"/>
          <w:sz w:val="22"/>
          <w:szCs w:val="22"/>
        </w:rPr>
      </w:pPr>
    </w:p>
    <w:p w14:paraId="11563A7E" w14:textId="538264DF" w:rsidR="006546C6" w:rsidRDefault="001D4647" w:rsidP="006546C6">
      <w:pPr>
        <w:spacing w:line="360" w:lineRule="auto"/>
        <w:jc w:val="both"/>
        <w:rPr>
          <w:rFonts w:cs="Arial"/>
          <w:sz w:val="22"/>
          <w:szCs w:val="22"/>
        </w:rPr>
      </w:pPr>
      <w:r>
        <w:rPr>
          <w:rFonts w:cs="Arial"/>
          <w:sz w:val="22"/>
          <w:szCs w:val="22"/>
        </w:rPr>
        <w:t xml:space="preserve">c) Cuando en esa misma sesión </w:t>
      </w:r>
      <w:r w:rsidR="006546C6">
        <w:rPr>
          <w:rFonts w:cs="Arial"/>
          <w:sz w:val="22"/>
          <w:szCs w:val="22"/>
        </w:rPr>
        <w:t xml:space="preserve">se analizó esta solicitud de ampliación </w:t>
      </w:r>
      <w:r w:rsidR="00755850">
        <w:rPr>
          <w:rFonts w:cs="Arial"/>
          <w:sz w:val="22"/>
          <w:szCs w:val="22"/>
        </w:rPr>
        <w:t xml:space="preserve">de plazo, </w:t>
      </w:r>
      <w:r w:rsidR="006546C6">
        <w:rPr>
          <w:rFonts w:cs="Arial"/>
          <w:sz w:val="22"/>
          <w:szCs w:val="22"/>
        </w:rPr>
        <w:t>se señaló</w:t>
      </w:r>
      <w:r w:rsidR="00755850">
        <w:rPr>
          <w:rFonts w:cs="Arial"/>
          <w:sz w:val="22"/>
          <w:szCs w:val="22"/>
        </w:rPr>
        <w:t xml:space="preserve"> expresamente </w:t>
      </w:r>
      <w:r w:rsidR="006546C6">
        <w:rPr>
          <w:rFonts w:cs="Arial"/>
          <w:sz w:val="22"/>
          <w:szCs w:val="22"/>
        </w:rPr>
        <w:t xml:space="preserve">que como lo único que restaba era efectuar el cierre técnico y financiero del proyecto, no se requería una nueva ampliación, porque con el contrato vencido se podía </w:t>
      </w:r>
      <w:r w:rsidR="006546C6">
        <w:rPr>
          <w:rFonts w:cs="Arial"/>
          <w:sz w:val="22"/>
          <w:szCs w:val="22"/>
        </w:rPr>
        <w:lastRenderedPageBreak/>
        <w:t>desarrollar esta gestión, sin que se haya mencionado la necesidad de mantener la vigencia del contrato para realizar un pago pendiente al desarrollador.</w:t>
      </w:r>
    </w:p>
    <w:p w14:paraId="4A526F89" w14:textId="77777777" w:rsidR="006546C6" w:rsidRDefault="006546C6" w:rsidP="006546C6">
      <w:pPr>
        <w:spacing w:line="360" w:lineRule="auto"/>
        <w:jc w:val="both"/>
        <w:rPr>
          <w:rFonts w:cs="Arial"/>
          <w:sz w:val="22"/>
          <w:szCs w:val="22"/>
        </w:rPr>
      </w:pPr>
    </w:p>
    <w:p w14:paraId="578DC252" w14:textId="54C50970" w:rsidR="006546C6" w:rsidRDefault="00755850" w:rsidP="006546C6">
      <w:pPr>
        <w:spacing w:line="360" w:lineRule="auto"/>
        <w:jc w:val="both"/>
        <w:rPr>
          <w:rFonts w:cs="Arial"/>
          <w:sz w:val="22"/>
          <w:szCs w:val="22"/>
        </w:rPr>
      </w:pPr>
      <w:r w:rsidRPr="0077366C">
        <w:rPr>
          <w:rFonts w:cs="Arial"/>
          <w:b/>
          <w:bCs/>
          <w:sz w:val="22"/>
          <w:szCs w:val="22"/>
        </w:rPr>
        <w:t>Quinto:</w:t>
      </w:r>
      <w:r>
        <w:rPr>
          <w:rFonts w:cs="Arial"/>
          <w:sz w:val="22"/>
          <w:szCs w:val="22"/>
        </w:rPr>
        <w:t xml:space="preserve"> Que con base en lo anterior y estando claro que el acuerdo </w:t>
      </w:r>
      <w:r w:rsidR="000D1AB8">
        <w:rPr>
          <w:rFonts w:cs="Arial"/>
          <w:sz w:val="22"/>
          <w:szCs w:val="22"/>
        </w:rPr>
        <w:t>N° 3 de la sesión 38-2022</w:t>
      </w:r>
      <w:r w:rsidR="000D1AB8" w:rsidRPr="000D1AB8">
        <w:rPr>
          <w:rFonts w:cs="Arial"/>
          <w:sz w:val="22"/>
          <w:szCs w:val="22"/>
          <w:lang w:val="es-ES_tradnl"/>
        </w:rPr>
        <w:t xml:space="preserve"> </w:t>
      </w:r>
      <w:r w:rsidR="000D1AB8">
        <w:rPr>
          <w:rFonts w:cs="Arial"/>
          <w:sz w:val="22"/>
          <w:szCs w:val="22"/>
          <w:lang w:val="es-ES_tradnl"/>
        </w:rPr>
        <w:t>se emitió con base en la información disponible y discutida en esa ocasión,</w:t>
      </w:r>
      <w:r w:rsidR="00243BD2">
        <w:rPr>
          <w:rFonts w:cs="Arial"/>
          <w:sz w:val="22"/>
          <w:szCs w:val="22"/>
          <w:lang w:val="es-ES_tradnl"/>
        </w:rPr>
        <w:t xml:space="preserve"> </w:t>
      </w:r>
      <w:r w:rsidR="00967A06">
        <w:rPr>
          <w:rFonts w:cs="Arial"/>
          <w:sz w:val="22"/>
          <w:szCs w:val="22"/>
          <w:lang w:val="es-ES_tradnl"/>
        </w:rPr>
        <w:t xml:space="preserve">los argumentos expuestos por la Fundación se estiman consecuentes y suficientes; razón por la cual lo que procede es dejar sin efecto </w:t>
      </w:r>
      <w:r w:rsidR="00D504C5">
        <w:rPr>
          <w:rFonts w:cs="Arial"/>
          <w:sz w:val="22"/>
          <w:szCs w:val="22"/>
          <w:lang w:val="es-ES_tradnl"/>
        </w:rPr>
        <w:t xml:space="preserve">la llamada de atención a la que se refieren </w:t>
      </w:r>
      <w:r w:rsidR="00967A06">
        <w:rPr>
          <w:rFonts w:cs="Arial"/>
          <w:sz w:val="22"/>
          <w:szCs w:val="22"/>
          <w:lang w:val="es-ES_tradnl"/>
        </w:rPr>
        <w:t xml:space="preserve">los acuerdos </w:t>
      </w:r>
      <w:r w:rsidR="00967A06">
        <w:rPr>
          <w:rFonts w:cs="Arial"/>
          <w:sz w:val="22"/>
          <w:szCs w:val="22"/>
        </w:rPr>
        <w:t>N° 3 de la sesión 38-2022</w:t>
      </w:r>
      <w:r w:rsidR="00967A06" w:rsidRPr="000D1AB8">
        <w:rPr>
          <w:rFonts w:cs="Arial"/>
          <w:sz w:val="22"/>
          <w:szCs w:val="22"/>
          <w:lang w:val="es-ES_tradnl"/>
        </w:rPr>
        <w:t xml:space="preserve"> </w:t>
      </w:r>
      <w:r w:rsidR="00967A06">
        <w:rPr>
          <w:rFonts w:cs="Arial"/>
          <w:sz w:val="22"/>
          <w:szCs w:val="22"/>
          <w:lang w:val="es-ES_tradnl"/>
        </w:rPr>
        <w:t xml:space="preserve">y </w:t>
      </w:r>
      <w:r w:rsidR="00967A06">
        <w:rPr>
          <w:rFonts w:cs="Arial"/>
          <w:sz w:val="22"/>
          <w:szCs w:val="22"/>
        </w:rPr>
        <w:t>N° 1 de la sesión 41-2022</w:t>
      </w:r>
      <w:r w:rsidR="00D504C5">
        <w:rPr>
          <w:rFonts w:cs="Arial"/>
          <w:sz w:val="22"/>
          <w:szCs w:val="22"/>
        </w:rPr>
        <w:t xml:space="preserve">, y autorizar la prórroga solicitada al contrato de administración de recursos del proyecto Cartagena, en los </w:t>
      </w:r>
      <w:r w:rsidR="00FC29D6">
        <w:rPr>
          <w:rFonts w:cs="Arial"/>
          <w:sz w:val="22"/>
          <w:szCs w:val="22"/>
        </w:rPr>
        <w:t xml:space="preserve">mismos </w:t>
      </w:r>
      <w:r w:rsidR="00D504C5">
        <w:rPr>
          <w:rFonts w:cs="Arial"/>
          <w:sz w:val="22"/>
          <w:szCs w:val="22"/>
        </w:rPr>
        <w:t xml:space="preserve">términos propuestos por la Dirección FOSUVI y la </w:t>
      </w:r>
      <w:r w:rsidR="00D504C5" w:rsidRPr="00D504C5">
        <w:rPr>
          <w:rFonts w:cs="Arial"/>
          <w:sz w:val="22"/>
          <w:szCs w:val="22"/>
          <w:lang w:val="es-CR"/>
        </w:rPr>
        <w:t>Gerencia General</w:t>
      </w:r>
      <w:r w:rsidR="00D504C5">
        <w:rPr>
          <w:rFonts w:cs="Arial"/>
          <w:sz w:val="22"/>
          <w:szCs w:val="22"/>
          <w:lang w:val="es-CR"/>
        </w:rPr>
        <w:t xml:space="preserve"> en los oficios DF-OF-0625-2022 y GG-ME-823-2022 respectivamente, pero </w:t>
      </w:r>
      <w:r w:rsidR="00D504C5">
        <w:rPr>
          <w:rFonts w:cs="Arial"/>
          <w:sz w:val="22"/>
          <w:szCs w:val="22"/>
        </w:rPr>
        <w:t xml:space="preserve">estableciendo un plazo de hasta dos meses </w:t>
      </w:r>
      <w:r w:rsidR="00D504C5">
        <w:rPr>
          <w:rFonts w:cs="Arial"/>
          <w:sz w:val="22"/>
          <w:szCs w:val="22"/>
          <w:lang w:val="es-ES_tradnl"/>
        </w:rPr>
        <w:t>para que la entidad autorizada presente a este Banco el cierre técnico y financiero del proyecto, el cual</w:t>
      </w:r>
      <w:r w:rsidR="003A3B46">
        <w:rPr>
          <w:rFonts w:cs="Arial"/>
          <w:sz w:val="22"/>
          <w:szCs w:val="22"/>
          <w:lang w:val="es-ES_tradnl"/>
        </w:rPr>
        <w:t xml:space="preserve"> –según lo afirmado por el Gerente General–</w:t>
      </w:r>
      <w:r w:rsidR="00D504C5">
        <w:rPr>
          <w:rFonts w:cs="Arial"/>
          <w:sz w:val="22"/>
          <w:szCs w:val="22"/>
          <w:lang w:val="es-ES_tradnl"/>
        </w:rPr>
        <w:t xml:space="preserve"> se</w:t>
      </w:r>
      <w:r w:rsidR="003A3B46">
        <w:rPr>
          <w:rFonts w:cs="Arial"/>
          <w:sz w:val="22"/>
          <w:szCs w:val="22"/>
          <w:lang w:val="es-ES_tradnl"/>
        </w:rPr>
        <w:t xml:space="preserve"> considera</w:t>
      </w:r>
      <w:r w:rsidR="00D504C5">
        <w:rPr>
          <w:rFonts w:cs="Arial"/>
          <w:sz w:val="22"/>
          <w:szCs w:val="22"/>
          <w:lang w:val="es-ES_tradnl"/>
        </w:rPr>
        <w:t xml:space="preserve"> suficiente para realizar esta labor.</w:t>
      </w:r>
    </w:p>
    <w:p w14:paraId="74649EAD" w14:textId="77777777" w:rsidR="006546C6" w:rsidRDefault="006546C6" w:rsidP="006546C6">
      <w:pPr>
        <w:spacing w:line="360" w:lineRule="auto"/>
        <w:jc w:val="both"/>
        <w:rPr>
          <w:rFonts w:cs="Arial"/>
          <w:sz w:val="22"/>
          <w:szCs w:val="22"/>
        </w:rPr>
      </w:pPr>
    </w:p>
    <w:p w14:paraId="0F6C3F23" w14:textId="0635F989" w:rsidR="00A36493" w:rsidRDefault="00D504C5" w:rsidP="006546C6">
      <w:pPr>
        <w:spacing w:line="360" w:lineRule="auto"/>
        <w:jc w:val="both"/>
        <w:rPr>
          <w:rFonts w:cs="Arial"/>
          <w:sz w:val="22"/>
          <w:szCs w:val="22"/>
        </w:rPr>
      </w:pPr>
      <w:r>
        <w:rPr>
          <w:rFonts w:cs="Arial"/>
          <w:b/>
          <w:bCs/>
          <w:sz w:val="22"/>
          <w:szCs w:val="22"/>
        </w:rPr>
        <w:t>Sexto</w:t>
      </w:r>
      <w:r w:rsidRPr="0077366C">
        <w:rPr>
          <w:rFonts w:cs="Arial"/>
          <w:b/>
          <w:bCs/>
          <w:sz w:val="22"/>
          <w:szCs w:val="22"/>
        </w:rPr>
        <w:t>:</w:t>
      </w:r>
      <w:r>
        <w:rPr>
          <w:rFonts w:cs="Arial"/>
          <w:sz w:val="22"/>
          <w:szCs w:val="22"/>
        </w:rPr>
        <w:t xml:space="preserve"> Que no obstante lo anterior</w:t>
      </w:r>
      <w:r w:rsidR="003C1CC8">
        <w:rPr>
          <w:rFonts w:cs="Arial"/>
          <w:sz w:val="22"/>
          <w:szCs w:val="22"/>
        </w:rPr>
        <w:t>,</w:t>
      </w:r>
      <w:r>
        <w:rPr>
          <w:rFonts w:cs="Arial"/>
          <w:sz w:val="22"/>
          <w:szCs w:val="22"/>
        </w:rPr>
        <w:t xml:space="preserve"> </w:t>
      </w:r>
      <w:r w:rsidR="00A36493">
        <w:rPr>
          <w:rFonts w:cs="Arial"/>
          <w:sz w:val="22"/>
          <w:szCs w:val="22"/>
        </w:rPr>
        <w:t xml:space="preserve">si </w:t>
      </w:r>
      <w:r w:rsidR="0029291E">
        <w:rPr>
          <w:rFonts w:cs="Arial"/>
          <w:sz w:val="22"/>
          <w:szCs w:val="22"/>
        </w:rPr>
        <w:t xml:space="preserve">la escritura de la última operación de bono se firmó desde el 16 de diciembre de 2021 (según </w:t>
      </w:r>
      <w:r w:rsidR="00A36493">
        <w:rPr>
          <w:rFonts w:cs="Arial"/>
          <w:sz w:val="22"/>
          <w:szCs w:val="22"/>
        </w:rPr>
        <w:t xml:space="preserve">lo indica la Fundación en el </w:t>
      </w:r>
      <w:r w:rsidR="003C1CC8">
        <w:rPr>
          <w:rFonts w:cs="Arial"/>
          <w:sz w:val="22"/>
          <w:szCs w:val="22"/>
        </w:rPr>
        <w:t>oficio FVR-GG-137-2022</w:t>
      </w:r>
      <w:r w:rsidR="0029291E">
        <w:rPr>
          <w:rFonts w:cs="Arial"/>
          <w:sz w:val="22"/>
          <w:szCs w:val="22"/>
        </w:rPr>
        <w:t>)</w:t>
      </w:r>
      <w:r w:rsidR="00A36493">
        <w:rPr>
          <w:rFonts w:cs="Arial"/>
          <w:sz w:val="22"/>
          <w:szCs w:val="22"/>
        </w:rPr>
        <w:t xml:space="preserve">, </w:t>
      </w:r>
      <w:r w:rsidR="0029291E">
        <w:rPr>
          <w:rFonts w:cs="Arial"/>
          <w:sz w:val="22"/>
          <w:szCs w:val="22"/>
        </w:rPr>
        <w:t xml:space="preserve">se estima oportuno solicitar a dicha entidad que informe a esta </w:t>
      </w:r>
      <w:r w:rsidR="0029291E" w:rsidRPr="0029291E">
        <w:rPr>
          <w:rFonts w:cs="Arial"/>
          <w:sz w:val="22"/>
          <w:szCs w:val="22"/>
          <w:lang w:val="es-ES_tradnl"/>
        </w:rPr>
        <w:t>Junta Directiva</w:t>
      </w:r>
      <w:r w:rsidR="0029291E">
        <w:rPr>
          <w:rFonts w:cs="Arial"/>
          <w:sz w:val="22"/>
          <w:szCs w:val="22"/>
          <w:lang w:val="es-ES_tradnl"/>
        </w:rPr>
        <w:t xml:space="preserve"> sobre las razones por las cuales </w:t>
      </w:r>
      <w:r w:rsidR="00A36493">
        <w:rPr>
          <w:rFonts w:cs="Arial"/>
          <w:sz w:val="22"/>
          <w:szCs w:val="22"/>
        </w:rPr>
        <w:t>la prórroga de tres meses autorizada con el acuerdo N° 7 de la sesión 04-2022, del 17 de enero de 2022, la cual venció el 07 de mayo de 2022, no fue suficiente para efectuar el cierre técnico y financiero del proyecto</w:t>
      </w:r>
      <w:r w:rsidR="0029291E">
        <w:rPr>
          <w:rFonts w:cs="Arial"/>
          <w:sz w:val="22"/>
          <w:szCs w:val="22"/>
        </w:rPr>
        <w:t>.</w:t>
      </w:r>
    </w:p>
    <w:p w14:paraId="20C398F6" w14:textId="77777777" w:rsidR="00A36493" w:rsidRDefault="00A36493" w:rsidP="006546C6">
      <w:pPr>
        <w:spacing w:line="360" w:lineRule="auto"/>
        <w:jc w:val="both"/>
        <w:rPr>
          <w:rFonts w:cs="Arial"/>
          <w:sz w:val="22"/>
          <w:szCs w:val="22"/>
        </w:rPr>
      </w:pPr>
    </w:p>
    <w:p w14:paraId="3E6D53E0" w14:textId="6A9CF972" w:rsidR="00E429B8" w:rsidRPr="008854FE" w:rsidRDefault="0029291E" w:rsidP="002B71CC">
      <w:pPr>
        <w:spacing w:line="360" w:lineRule="auto"/>
        <w:jc w:val="both"/>
        <w:rPr>
          <w:rFonts w:cs="Arial"/>
          <w:b/>
          <w:bCs/>
          <w:sz w:val="22"/>
          <w:szCs w:val="22"/>
        </w:rPr>
      </w:pPr>
      <w:r w:rsidRPr="008854FE">
        <w:rPr>
          <w:rFonts w:cs="Arial"/>
          <w:b/>
          <w:bCs/>
          <w:sz w:val="22"/>
          <w:szCs w:val="22"/>
        </w:rPr>
        <w:t>Por tanto, se acuerda:</w:t>
      </w:r>
    </w:p>
    <w:p w14:paraId="2B2D9FF4" w14:textId="4962B401" w:rsidR="004D1A8C" w:rsidRDefault="004D1A8C" w:rsidP="002B71CC">
      <w:pPr>
        <w:spacing w:line="360" w:lineRule="auto"/>
        <w:jc w:val="both"/>
        <w:rPr>
          <w:rFonts w:cs="Arial"/>
          <w:sz w:val="22"/>
          <w:szCs w:val="22"/>
        </w:rPr>
      </w:pPr>
      <w:r w:rsidRPr="002065F6">
        <w:rPr>
          <w:rFonts w:cs="Arial"/>
          <w:b/>
          <w:bCs/>
          <w:sz w:val="22"/>
          <w:szCs w:val="22"/>
        </w:rPr>
        <w:t>1)</w:t>
      </w:r>
      <w:r>
        <w:rPr>
          <w:rFonts w:cs="Arial"/>
          <w:sz w:val="22"/>
          <w:szCs w:val="22"/>
        </w:rPr>
        <w:t xml:space="preserve"> De conformidad con los argumentos expuestos por la Fundación para la Vivienda Rural Costa Rica – Canadá en el oficio FVR-GG-137-2022, del 27 de agosto de 2022, se dejan sin efecto los </w:t>
      </w:r>
      <w:r w:rsidR="0036149F">
        <w:rPr>
          <w:rFonts w:cs="Arial"/>
          <w:sz w:val="22"/>
          <w:szCs w:val="22"/>
          <w:lang w:val="es-ES_tradnl"/>
        </w:rPr>
        <w:t xml:space="preserve">acuerdos </w:t>
      </w:r>
      <w:r w:rsidR="0036149F">
        <w:rPr>
          <w:rFonts w:cs="Arial"/>
          <w:sz w:val="22"/>
          <w:szCs w:val="22"/>
        </w:rPr>
        <w:t>N° 3 de la sesión 38-2022</w:t>
      </w:r>
      <w:r w:rsidR="0036149F" w:rsidRPr="000D1AB8">
        <w:rPr>
          <w:rFonts w:cs="Arial"/>
          <w:sz w:val="22"/>
          <w:szCs w:val="22"/>
          <w:lang w:val="es-ES_tradnl"/>
        </w:rPr>
        <w:t xml:space="preserve"> </w:t>
      </w:r>
      <w:r w:rsidR="0036149F">
        <w:rPr>
          <w:rFonts w:cs="Arial"/>
          <w:sz w:val="22"/>
          <w:szCs w:val="22"/>
          <w:lang w:val="es-ES_tradnl"/>
        </w:rPr>
        <w:t xml:space="preserve">y </w:t>
      </w:r>
      <w:r w:rsidR="0036149F">
        <w:rPr>
          <w:rFonts w:cs="Arial"/>
          <w:sz w:val="22"/>
          <w:szCs w:val="22"/>
        </w:rPr>
        <w:t>N° 1 de la sesión 41-2022</w:t>
      </w:r>
      <w:r>
        <w:rPr>
          <w:rFonts w:cs="Arial"/>
          <w:sz w:val="22"/>
          <w:szCs w:val="22"/>
        </w:rPr>
        <w:t>.</w:t>
      </w:r>
    </w:p>
    <w:p w14:paraId="059C7509" w14:textId="77777777" w:rsidR="004D1A8C" w:rsidRDefault="004D1A8C" w:rsidP="002B71CC">
      <w:pPr>
        <w:spacing w:line="360" w:lineRule="auto"/>
        <w:jc w:val="both"/>
        <w:rPr>
          <w:rFonts w:cs="Arial"/>
          <w:sz w:val="22"/>
          <w:szCs w:val="22"/>
        </w:rPr>
      </w:pPr>
    </w:p>
    <w:p w14:paraId="7490A770" w14:textId="1FABB948" w:rsidR="004D1A8C" w:rsidRDefault="004D1A8C" w:rsidP="002B71CC">
      <w:pPr>
        <w:spacing w:line="360" w:lineRule="auto"/>
        <w:jc w:val="both"/>
        <w:rPr>
          <w:rFonts w:cs="Arial"/>
          <w:sz w:val="22"/>
          <w:szCs w:val="22"/>
        </w:rPr>
      </w:pPr>
      <w:r w:rsidRPr="002065F6">
        <w:rPr>
          <w:rFonts w:cs="Arial"/>
          <w:b/>
          <w:bCs/>
          <w:sz w:val="22"/>
          <w:szCs w:val="22"/>
        </w:rPr>
        <w:t>2)</w:t>
      </w:r>
      <w:r>
        <w:rPr>
          <w:rFonts w:cs="Arial"/>
          <w:sz w:val="22"/>
          <w:szCs w:val="22"/>
        </w:rPr>
        <w:t xml:space="preserve"> Autorizar a la Fundación para la Vivienda Rural Costa Rica – Canadá</w:t>
      </w:r>
      <w:r w:rsidR="0036149F">
        <w:rPr>
          <w:rFonts w:cs="Arial"/>
          <w:sz w:val="22"/>
          <w:szCs w:val="22"/>
        </w:rPr>
        <w:t xml:space="preserve">, </w:t>
      </w:r>
      <w:r w:rsidR="002065F6">
        <w:rPr>
          <w:rFonts w:cs="Arial"/>
          <w:sz w:val="22"/>
          <w:szCs w:val="22"/>
        </w:rPr>
        <w:t>para el proyecto de vivienda Cartagena, un plazo adicional de dos meses, a partir de la firma del nuevo contrato de administración de recursos entre el BANHVI y dicha entidad autorizada, para que entregue a este Banco el cierre técnico y financiero de dicho proyecto.</w:t>
      </w:r>
    </w:p>
    <w:p w14:paraId="4A6F24EC" w14:textId="77777777" w:rsidR="004D1A8C" w:rsidRDefault="004D1A8C" w:rsidP="002B71CC">
      <w:pPr>
        <w:spacing w:line="360" w:lineRule="auto"/>
        <w:jc w:val="both"/>
        <w:rPr>
          <w:rFonts w:cs="Arial"/>
          <w:sz w:val="22"/>
          <w:szCs w:val="22"/>
        </w:rPr>
      </w:pPr>
    </w:p>
    <w:p w14:paraId="7FA50CB1" w14:textId="3602602B" w:rsidR="004D1A8C" w:rsidRDefault="002065F6" w:rsidP="002B71CC">
      <w:pPr>
        <w:spacing w:line="360" w:lineRule="auto"/>
        <w:jc w:val="both"/>
        <w:rPr>
          <w:rFonts w:cs="Arial"/>
          <w:sz w:val="22"/>
          <w:szCs w:val="22"/>
        </w:rPr>
      </w:pPr>
      <w:r w:rsidRPr="00207B6F">
        <w:rPr>
          <w:rFonts w:cs="Arial"/>
          <w:b/>
          <w:bCs/>
          <w:sz w:val="22"/>
          <w:szCs w:val="22"/>
        </w:rPr>
        <w:t>3)</w:t>
      </w:r>
      <w:r>
        <w:rPr>
          <w:rFonts w:cs="Arial"/>
          <w:sz w:val="22"/>
          <w:szCs w:val="22"/>
        </w:rPr>
        <w:t xml:space="preserve"> Conforme lo recomendado por la Dirección FOSUVI en el informe DF-OF-</w:t>
      </w:r>
      <w:r w:rsidR="003A3B46">
        <w:rPr>
          <w:rFonts w:cs="Arial"/>
          <w:sz w:val="22"/>
          <w:szCs w:val="22"/>
        </w:rPr>
        <w:t>0625</w:t>
      </w:r>
      <w:r>
        <w:rPr>
          <w:rFonts w:cs="Arial"/>
          <w:sz w:val="22"/>
          <w:szCs w:val="22"/>
        </w:rPr>
        <w:t xml:space="preserve">-2022, se aclara que no se hará reconocimiento alguno de costos adicionales asociados a esta </w:t>
      </w:r>
      <w:r>
        <w:rPr>
          <w:rFonts w:cs="Arial"/>
          <w:sz w:val="22"/>
          <w:szCs w:val="22"/>
        </w:rPr>
        <w:lastRenderedPageBreak/>
        <w:t>ampliación de plazo, ya que la responsabilidad de la formalización en el plazo establecido en el contrato es</w:t>
      </w:r>
      <w:r w:rsidR="00207B6F">
        <w:rPr>
          <w:rFonts w:cs="Arial"/>
          <w:sz w:val="22"/>
          <w:szCs w:val="22"/>
        </w:rPr>
        <w:t xml:space="preserve"> de la entidad autorizada.</w:t>
      </w:r>
    </w:p>
    <w:p w14:paraId="1C8C4F87" w14:textId="0127295D" w:rsidR="00207B6F" w:rsidRDefault="00207B6F" w:rsidP="002B71CC">
      <w:pPr>
        <w:spacing w:line="360" w:lineRule="auto"/>
        <w:jc w:val="both"/>
        <w:rPr>
          <w:rFonts w:cs="Arial"/>
          <w:sz w:val="22"/>
          <w:szCs w:val="22"/>
        </w:rPr>
      </w:pPr>
    </w:p>
    <w:p w14:paraId="6D02CCAD" w14:textId="1E2BE9D3" w:rsidR="00207B6F" w:rsidRDefault="00207B6F" w:rsidP="002B71CC">
      <w:pPr>
        <w:spacing w:line="360" w:lineRule="auto"/>
        <w:jc w:val="both"/>
        <w:rPr>
          <w:rFonts w:cs="Arial"/>
          <w:sz w:val="22"/>
          <w:szCs w:val="22"/>
        </w:rPr>
      </w:pPr>
      <w:r w:rsidRPr="00207B6F">
        <w:rPr>
          <w:rFonts w:cs="Arial"/>
          <w:b/>
          <w:bCs/>
          <w:sz w:val="22"/>
          <w:szCs w:val="22"/>
        </w:rPr>
        <w:t>4)</w:t>
      </w:r>
      <w:r>
        <w:rPr>
          <w:rFonts w:cs="Arial"/>
          <w:sz w:val="22"/>
          <w:szCs w:val="22"/>
        </w:rPr>
        <w:t xml:space="preserve"> Deberá realizarse un contrato de administración de recursos, independiente al principal, con el plazo establecido en el presente acuerdo.</w:t>
      </w:r>
    </w:p>
    <w:p w14:paraId="234FBD75" w14:textId="28499DD4" w:rsidR="003448DC" w:rsidRDefault="003448DC" w:rsidP="002B71CC">
      <w:pPr>
        <w:spacing w:line="360" w:lineRule="auto"/>
        <w:jc w:val="both"/>
        <w:rPr>
          <w:rFonts w:cs="Arial"/>
          <w:sz w:val="22"/>
          <w:szCs w:val="22"/>
        </w:rPr>
      </w:pPr>
    </w:p>
    <w:p w14:paraId="556ABEE0" w14:textId="6233D459" w:rsidR="002B71CC" w:rsidRDefault="00207B6F" w:rsidP="002B71CC">
      <w:pPr>
        <w:spacing w:line="360" w:lineRule="auto"/>
        <w:jc w:val="both"/>
        <w:rPr>
          <w:rFonts w:cs="Arial"/>
          <w:sz w:val="22"/>
          <w:szCs w:val="22"/>
        </w:rPr>
      </w:pPr>
      <w:r w:rsidRPr="00207B6F">
        <w:rPr>
          <w:rFonts w:cs="Arial"/>
          <w:b/>
          <w:bCs/>
          <w:sz w:val="22"/>
          <w:szCs w:val="22"/>
        </w:rPr>
        <w:t>5)</w:t>
      </w:r>
      <w:r>
        <w:rPr>
          <w:rFonts w:cs="Arial"/>
          <w:sz w:val="22"/>
          <w:szCs w:val="22"/>
        </w:rPr>
        <w:t xml:space="preserve"> Debido a que la escritura de la última operación de bono se firmó desde el 16 de diciembre de 2021 (según lo indica la Fundación en el oficio FVR-GG-137-2022), se solicita a dicha entidad autorizada, informar a esta </w:t>
      </w:r>
      <w:r w:rsidRPr="0029291E">
        <w:rPr>
          <w:rFonts w:cs="Arial"/>
          <w:sz w:val="22"/>
          <w:szCs w:val="22"/>
          <w:lang w:val="es-ES_tradnl"/>
        </w:rPr>
        <w:t>Junta Directiva</w:t>
      </w:r>
      <w:r>
        <w:rPr>
          <w:rFonts w:cs="Arial"/>
          <w:sz w:val="22"/>
          <w:szCs w:val="22"/>
          <w:lang w:val="es-ES_tradnl"/>
        </w:rPr>
        <w:t xml:space="preserve"> sobre las razones por las cuales </w:t>
      </w:r>
      <w:r>
        <w:rPr>
          <w:rFonts w:cs="Arial"/>
          <w:sz w:val="22"/>
          <w:szCs w:val="22"/>
        </w:rPr>
        <w:t xml:space="preserve">la prórroga de tres meses, autorizada por este Banco </w:t>
      </w:r>
      <w:r w:rsidR="001C5EDA">
        <w:rPr>
          <w:rFonts w:cs="Arial"/>
          <w:sz w:val="22"/>
          <w:szCs w:val="22"/>
        </w:rPr>
        <w:t>con</w:t>
      </w:r>
      <w:r>
        <w:rPr>
          <w:rFonts w:cs="Arial"/>
          <w:sz w:val="22"/>
          <w:szCs w:val="22"/>
        </w:rPr>
        <w:t xml:space="preserve"> el acuerdo N° 7 de la sesión 04-2022, del 17 de enero de 2022, la cual venció el 07 de mayo de 2022, no fue suficiente para efectuar el cierre técnico y financiero del proyecto.</w:t>
      </w:r>
    </w:p>
    <w:p w14:paraId="7B2978D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10E4F77" w14:textId="77777777" w:rsidR="002B71CC" w:rsidRPr="00D14EAF" w:rsidRDefault="002B71CC" w:rsidP="002B71CC">
      <w:pPr>
        <w:spacing w:line="360" w:lineRule="auto"/>
        <w:jc w:val="both"/>
        <w:rPr>
          <w:rFonts w:cs="Arial"/>
          <w:b/>
          <w:sz w:val="22"/>
        </w:rPr>
      </w:pPr>
      <w:r w:rsidRPr="00D14EAF">
        <w:rPr>
          <w:rFonts w:cs="Arial"/>
          <w:b/>
          <w:sz w:val="22"/>
        </w:rPr>
        <w:t>************</w:t>
      </w:r>
    </w:p>
    <w:p w14:paraId="1D0B3CE8" w14:textId="77777777" w:rsidR="002B71CC" w:rsidRDefault="002B71CC" w:rsidP="002B71CC">
      <w:pPr>
        <w:spacing w:line="360" w:lineRule="auto"/>
        <w:jc w:val="both"/>
        <w:rPr>
          <w:rFonts w:cs="Arial"/>
          <w:sz w:val="22"/>
          <w:lang w:val="es-ES_tradnl"/>
        </w:rPr>
      </w:pPr>
    </w:p>
    <w:p w14:paraId="53D349E1"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73D7" w14:textId="77777777" w:rsidR="00EC5E2A" w:rsidRDefault="00EC5E2A">
      <w:r>
        <w:separator/>
      </w:r>
    </w:p>
  </w:endnote>
  <w:endnote w:type="continuationSeparator" w:id="0">
    <w:p w14:paraId="48CAACA0" w14:textId="77777777" w:rsidR="00EC5E2A" w:rsidRDefault="00EC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3213" w14:textId="77777777" w:rsidR="00EC5E2A" w:rsidRDefault="00EC5E2A">
      <w:r>
        <w:separator/>
      </w:r>
    </w:p>
  </w:footnote>
  <w:footnote w:type="continuationSeparator" w:id="0">
    <w:p w14:paraId="06655907" w14:textId="77777777" w:rsidR="00EC5E2A" w:rsidRDefault="00EC5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57AB" w14:textId="77777777" w:rsidR="00EC5E2A" w:rsidRDefault="00EC5E2A">
    <w:pPr>
      <w:pStyle w:val="Encabezado"/>
      <w:rPr>
        <w:lang w:val="es-ES"/>
      </w:rPr>
    </w:pPr>
  </w:p>
  <w:p w14:paraId="0065E1B7" w14:textId="7FE789B2" w:rsidR="00EC5E2A" w:rsidRDefault="00EC5E2A">
    <w:pPr>
      <w:pStyle w:val="Encabezado"/>
      <w:rPr>
        <w:rStyle w:val="Nmerodepgina"/>
        <w:sz w:val="18"/>
      </w:rPr>
    </w:pPr>
    <w:r>
      <w:rPr>
        <w:sz w:val="18"/>
        <w:lang w:val="es-ES"/>
      </w:rPr>
      <w:t xml:space="preserve">    Minuta de la sesión Nº 46-2022                   05 de setiembre de 2022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5F90CB7F" w14:textId="77777777" w:rsidR="00EC5E2A" w:rsidRDefault="00EC5E2A">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7A96C3D"/>
    <w:multiLevelType w:val="hybridMultilevel"/>
    <w:tmpl w:val="5DCAABD6"/>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9DD76CF"/>
    <w:multiLevelType w:val="hybridMultilevel"/>
    <w:tmpl w:val="6A9A0DA6"/>
    <w:lvl w:ilvl="0" w:tplc="8CFC0684">
      <w:start w:val="2007"/>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7E4685"/>
    <w:multiLevelType w:val="hybridMultilevel"/>
    <w:tmpl w:val="370A0BE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661927103">
    <w:abstractNumId w:val="7"/>
  </w:num>
  <w:num w:numId="2" w16cid:durableId="799304226">
    <w:abstractNumId w:val="2"/>
  </w:num>
  <w:num w:numId="3" w16cid:durableId="692001291">
    <w:abstractNumId w:val="10"/>
  </w:num>
  <w:num w:numId="4" w16cid:durableId="884486631">
    <w:abstractNumId w:val="1"/>
  </w:num>
  <w:num w:numId="5" w16cid:durableId="1177574205">
    <w:abstractNumId w:val="0"/>
  </w:num>
  <w:num w:numId="6" w16cid:durableId="1409114053">
    <w:abstractNumId w:val="12"/>
  </w:num>
  <w:num w:numId="7" w16cid:durableId="689649309">
    <w:abstractNumId w:val="17"/>
  </w:num>
  <w:num w:numId="8" w16cid:durableId="1669286017">
    <w:abstractNumId w:val="8"/>
  </w:num>
  <w:num w:numId="9" w16cid:durableId="204610879">
    <w:abstractNumId w:val="6"/>
  </w:num>
  <w:num w:numId="10" w16cid:durableId="121461592">
    <w:abstractNumId w:val="3"/>
  </w:num>
  <w:num w:numId="11" w16cid:durableId="1760056320">
    <w:abstractNumId w:val="5"/>
  </w:num>
  <w:num w:numId="12" w16cid:durableId="971138271">
    <w:abstractNumId w:val="18"/>
  </w:num>
  <w:num w:numId="13" w16cid:durableId="1213075505">
    <w:abstractNumId w:val="16"/>
  </w:num>
  <w:num w:numId="14" w16cid:durableId="787507294">
    <w:abstractNumId w:val="15"/>
  </w:num>
  <w:num w:numId="15" w16cid:durableId="575821140">
    <w:abstractNumId w:val="9"/>
  </w:num>
  <w:num w:numId="16" w16cid:durableId="1817792015">
    <w:abstractNumId w:val="14"/>
  </w:num>
  <w:num w:numId="17" w16cid:durableId="1183473236">
    <w:abstractNumId w:val="13"/>
  </w:num>
  <w:num w:numId="18" w16cid:durableId="912355295">
    <w:abstractNumId w:val="4"/>
  </w:num>
  <w:num w:numId="19" w16cid:durableId="17015911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clgY2GJASZVUIJA4+3/yjQhjGw8A3cV/g+HCExbdNsZ0DmHWQMB1U+TlLB8UurNIM5B2HlIOsqu8PCgMizuMQ==" w:salt="EMkllrWSfZUWRV2cXs18N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40"/>
    <w:rsid w:val="0000085A"/>
    <w:rsid w:val="00011DC1"/>
    <w:rsid w:val="0001401F"/>
    <w:rsid w:val="00020E51"/>
    <w:rsid w:val="00026DCA"/>
    <w:rsid w:val="00027E78"/>
    <w:rsid w:val="0003318B"/>
    <w:rsid w:val="00036A8B"/>
    <w:rsid w:val="00044513"/>
    <w:rsid w:val="00050C88"/>
    <w:rsid w:val="00052F86"/>
    <w:rsid w:val="00053A32"/>
    <w:rsid w:val="000547A2"/>
    <w:rsid w:val="00067B32"/>
    <w:rsid w:val="00076A47"/>
    <w:rsid w:val="00081BB0"/>
    <w:rsid w:val="00085DF1"/>
    <w:rsid w:val="0009389D"/>
    <w:rsid w:val="00096814"/>
    <w:rsid w:val="000A0E4E"/>
    <w:rsid w:val="000A314F"/>
    <w:rsid w:val="000A56F3"/>
    <w:rsid w:val="000A6259"/>
    <w:rsid w:val="000B011D"/>
    <w:rsid w:val="000B0F7B"/>
    <w:rsid w:val="000C4E35"/>
    <w:rsid w:val="000C5661"/>
    <w:rsid w:val="000D1AB8"/>
    <w:rsid w:val="000D6E19"/>
    <w:rsid w:val="000E2DEC"/>
    <w:rsid w:val="000F546B"/>
    <w:rsid w:val="000F5F31"/>
    <w:rsid w:val="000F6B26"/>
    <w:rsid w:val="000F6DBD"/>
    <w:rsid w:val="00105CCE"/>
    <w:rsid w:val="001104CC"/>
    <w:rsid w:val="0011401E"/>
    <w:rsid w:val="001147C3"/>
    <w:rsid w:val="00117E78"/>
    <w:rsid w:val="00120A17"/>
    <w:rsid w:val="001227FE"/>
    <w:rsid w:val="001231BF"/>
    <w:rsid w:val="0014798C"/>
    <w:rsid w:val="00150D69"/>
    <w:rsid w:val="00152B91"/>
    <w:rsid w:val="001532F7"/>
    <w:rsid w:val="00154E36"/>
    <w:rsid w:val="00175B58"/>
    <w:rsid w:val="00183234"/>
    <w:rsid w:val="00185CE7"/>
    <w:rsid w:val="0018634C"/>
    <w:rsid w:val="00186766"/>
    <w:rsid w:val="001909BE"/>
    <w:rsid w:val="0019399D"/>
    <w:rsid w:val="00193B2D"/>
    <w:rsid w:val="00193C22"/>
    <w:rsid w:val="00196DD0"/>
    <w:rsid w:val="001B6D7C"/>
    <w:rsid w:val="001B703A"/>
    <w:rsid w:val="001C229D"/>
    <w:rsid w:val="001C25A8"/>
    <w:rsid w:val="001C3F1B"/>
    <w:rsid w:val="001C5EDA"/>
    <w:rsid w:val="001D4647"/>
    <w:rsid w:val="001D5A95"/>
    <w:rsid w:val="001D7E23"/>
    <w:rsid w:val="001E5915"/>
    <w:rsid w:val="001F277B"/>
    <w:rsid w:val="001F3811"/>
    <w:rsid w:val="001F64C2"/>
    <w:rsid w:val="001F7D2C"/>
    <w:rsid w:val="002026DC"/>
    <w:rsid w:val="00204086"/>
    <w:rsid w:val="002065F6"/>
    <w:rsid w:val="00206A2E"/>
    <w:rsid w:val="00207B6F"/>
    <w:rsid w:val="00210B7F"/>
    <w:rsid w:val="00213FA6"/>
    <w:rsid w:val="0021434E"/>
    <w:rsid w:val="00214849"/>
    <w:rsid w:val="002163C7"/>
    <w:rsid w:val="002219A3"/>
    <w:rsid w:val="00236CA9"/>
    <w:rsid w:val="00237191"/>
    <w:rsid w:val="00240946"/>
    <w:rsid w:val="00243275"/>
    <w:rsid w:val="00243461"/>
    <w:rsid w:val="00243BD2"/>
    <w:rsid w:val="00253CA2"/>
    <w:rsid w:val="00253D8D"/>
    <w:rsid w:val="00260325"/>
    <w:rsid w:val="00261C88"/>
    <w:rsid w:val="00270B9C"/>
    <w:rsid w:val="00273438"/>
    <w:rsid w:val="002736F3"/>
    <w:rsid w:val="00273AB5"/>
    <w:rsid w:val="002751C8"/>
    <w:rsid w:val="00277DD3"/>
    <w:rsid w:val="00282671"/>
    <w:rsid w:val="00282C93"/>
    <w:rsid w:val="0028301A"/>
    <w:rsid w:val="0028757E"/>
    <w:rsid w:val="0029218B"/>
    <w:rsid w:val="0029291E"/>
    <w:rsid w:val="002A51F3"/>
    <w:rsid w:val="002A53D3"/>
    <w:rsid w:val="002A6A4B"/>
    <w:rsid w:val="002A7883"/>
    <w:rsid w:val="002B2B51"/>
    <w:rsid w:val="002B3822"/>
    <w:rsid w:val="002B71CC"/>
    <w:rsid w:val="002D0146"/>
    <w:rsid w:val="002D158A"/>
    <w:rsid w:val="002D36F7"/>
    <w:rsid w:val="002E1BAC"/>
    <w:rsid w:val="002F3D41"/>
    <w:rsid w:val="003004E7"/>
    <w:rsid w:val="0030131C"/>
    <w:rsid w:val="00304299"/>
    <w:rsid w:val="003156CD"/>
    <w:rsid w:val="00317B31"/>
    <w:rsid w:val="00320F35"/>
    <w:rsid w:val="00320F9C"/>
    <w:rsid w:val="00325635"/>
    <w:rsid w:val="00335993"/>
    <w:rsid w:val="0034172F"/>
    <w:rsid w:val="00343CAA"/>
    <w:rsid w:val="003448DC"/>
    <w:rsid w:val="00345E78"/>
    <w:rsid w:val="00346C2F"/>
    <w:rsid w:val="003473D2"/>
    <w:rsid w:val="00352AFB"/>
    <w:rsid w:val="00353979"/>
    <w:rsid w:val="00353CFE"/>
    <w:rsid w:val="00354FC9"/>
    <w:rsid w:val="0036149F"/>
    <w:rsid w:val="00367B23"/>
    <w:rsid w:val="00373725"/>
    <w:rsid w:val="00373B50"/>
    <w:rsid w:val="00373CF7"/>
    <w:rsid w:val="00374710"/>
    <w:rsid w:val="003803AB"/>
    <w:rsid w:val="00380645"/>
    <w:rsid w:val="003853CD"/>
    <w:rsid w:val="00386AA9"/>
    <w:rsid w:val="003A3B46"/>
    <w:rsid w:val="003A4E5A"/>
    <w:rsid w:val="003A5204"/>
    <w:rsid w:val="003A70CE"/>
    <w:rsid w:val="003B0676"/>
    <w:rsid w:val="003B1738"/>
    <w:rsid w:val="003B20EA"/>
    <w:rsid w:val="003C1CC8"/>
    <w:rsid w:val="003C6FEB"/>
    <w:rsid w:val="003E7DB3"/>
    <w:rsid w:val="00407CC4"/>
    <w:rsid w:val="0041375E"/>
    <w:rsid w:val="00421BEA"/>
    <w:rsid w:val="00423EC2"/>
    <w:rsid w:val="004311FD"/>
    <w:rsid w:val="004313CF"/>
    <w:rsid w:val="00432126"/>
    <w:rsid w:val="00445673"/>
    <w:rsid w:val="00447127"/>
    <w:rsid w:val="004532C3"/>
    <w:rsid w:val="0046424F"/>
    <w:rsid w:val="004755F8"/>
    <w:rsid w:val="0047593B"/>
    <w:rsid w:val="00476318"/>
    <w:rsid w:val="0048086A"/>
    <w:rsid w:val="0048746C"/>
    <w:rsid w:val="004930AA"/>
    <w:rsid w:val="00496B93"/>
    <w:rsid w:val="00497711"/>
    <w:rsid w:val="004A4077"/>
    <w:rsid w:val="004B373F"/>
    <w:rsid w:val="004B7456"/>
    <w:rsid w:val="004C5B22"/>
    <w:rsid w:val="004C724E"/>
    <w:rsid w:val="004D1A8C"/>
    <w:rsid w:val="004E10F9"/>
    <w:rsid w:val="004E1777"/>
    <w:rsid w:val="004E5D21"/>
    <w:rsid w:val="004F0195"/>
    <w:rsid w:val="004F0770"/>
    <w:rsid w:val="004F3752"/>
    <w:rsid w:val="004F41BB"/>
    <w:rsid w:val="005011AD"/>
    <w:rsid w:val="00513B4F"/>
    <w:rsid w:val="00520D90"/>
    <w:rsid w:val="00531B93"/>
    <w:rsid w:val="00542F89"/>
    <w:rsid w:val="005459D0"/>
    <w:rsid w:val="005504E6"/>
    <w:rsid w:val="00553129"/>
    <w:rsid w:val="0055462E"/>
    <w:rsid w:val="00555C19"/>
    <w:rsid w:val="0057519A"/>
    <w:rsid w:val="00575AFC"/>
    <w:rsid w:val="00585347"/>
    <w:rsid w:val="00595395"/>
    <w:rsid w:val="0059625B"/>
    <w:rsid w:val="0059666F"/>
    <w:rsid w:val="00596AB4"/>
    <w:rsid w:val="005A32C2"/>
    <w:rsid w:val="005A63B8"/>
    <w:rsid w:val="005B45E6"/>
    <w:rsid w:val="005B67A2"/>
    <w:rsid w:val="005C18D2"/>
    <w:rsid w:val="005C6147"/>
    <w:rsid w:val="005E7559"/>
    <w:rsid w:val="005E758D"/>
    <w:rsid w:val="005F2BC7"/>
    <w:rsid w:val="00615FBF"/>
    <w:rsid w:val="006226DC"/>
    <w:rsid w:val="00623D36"/>
    <w:rsid w:val="006305DD"/>
    <w:rsid w:val="006321F4"/>
    <w:rsid w:val="00646C5C"/>
    <w:rsid w:val="006546C6"/>
    <w:rsid w:val="0066494B"/>
    <w:rsid w:val="0066756A"/>
    <w:rsid w:val="0067406E"/>
    <w:rsid w:val="00681878"/>
    <w:rsid w:val="00683504"/>
    <w:rsid w:val="00692A55"/>
    <w:rsid w:val="006979B4"/>
    <w:rsid w:val="006A474B"/>
    <w:rsid w:val="006A511C"/>
    <w:rsid w:val="006A779D"/>
    <w:rsid w:val="006B7846"/>
    <w:rsid w:val="006C0086"/>
    <w:rsid w:val="006C1542"/>
    <w:rsid w:val="006C1D3B"/>
    <w:rsid w:val="006C1F07"/>
    <w:rsid w:val="006C378D"/>
    <w:rsid w:val="006C6AAA"/>
    <w:rsid w:val="006C772C"/>
    <w:rsid w:val="006D4763"/>
    <w:rsid w:val="006D5482"/>
    <w:rsid w:val="006E31FB"/>
    <w:rsid w:val="006E7C0F"/>
    <w:rsid w:val="006F7DB3"/>
    <w:rsid w:val="007062BD"/>
    <w:rsid w:val="00711E6C"/>
    <w:rsid w:val="00723211"/>
    <w:rsid w:val="0073530A"/>
    <w:rsid w:val="00735384"/>
    <w:rsid w:val="00737234"/>
    <w:rsid w:val="00751002"/>
    <w:rsid w:val="00755850"/>
    <w:rsid w:val="007605D2"/>
    <w:rsid w:val="00765327"/>
    <w:rsid w:val="00770CEB"/>
    <w:rsid w:val="0077366C"/>
    <w:rsid w:val="007749FC"/>
    <w:rsid w:val="00780AB2"/>
    <w:rsid w:val="00797660"/>
    <w:rsid w:val="007A2ABF"/>
    <w:rsid w:val="007A49E8"/>
    <w:rsid w:val="007B2EB9"/>
    <w:rsid w:val="007B5EDF"/>
    <w:rsid w:val="007C2929"/>
    <w:rsid w:val="007C3229"/>
    <w:rsid w:val="007C39B9"/>
    <w:rsid w:val="007D3E39"/>
    <w:rsid w:val="007D6EF8"/>
    <w:rsid w:val="007E2DC6"/>
    <w:rsid w:val="007E31DD"/>
    <w:rsid w:val="007F614F"/>
    <w:rsid w:val="007F66D6"/>
    <w:rsid w:val="008006FA"/>
    <w:rsid w:val="00805AA3"/>
    <w:rsid w:val="00806C47"/>
    <w:rsid w:val="008110AA"/>
    <w:rsid w:val="00811427"/>
    <w:rsid w:val="00825856"/>
    <w:rsid w:val="00833590"/>
    <w:rsid w:val="008343A2"/>
    <w:rsid w:val="00834957"/>
    <w:rsid w:val="00834A2F"/>
    <w:rsid w:val="00840BDF"/>
    <w:rsid w:val="00846281"/>
    <w:rsid w:val="008511B3"/>
    <w:rsid w:val="00851373"/>
    <w:rsid w:val="00854DE9"/>
    <w:rsid w:val="008552A6"/>
    <w:rsid w:val="008554D8"/>
    <w:rsid w:val="00861680"/>
    <w:rsid w:val="008626B8"/>
    <w:rsid w:val="00870163"/>
    <w:rsid w:val="0087106C"/>
    <w:rsid w:val="00875497"/>
    <w:rsid w:val="008854FE"/>
    <w:rsid w:val="00895A5D"/>
    <w:rsid w:val="00896BC6"/>
    <w:rsid w:val="008D0318"/>
    <w:rsid w:val="008D35D8"/>
    <w:rsid w:val="008D6E0F"/>
    <w:rsid w:val="008E0DC2"/>
    <w:rsid w:val="008F38A8"/>
    <w:rsid w:val="008F6C96"/>
    <w:rsid w:val="008F7042"/>
    <w:rsid w:val="00911F06"/>
    <w:rsid w:val="0093200A"/>
    <w:rsid w:val="00940420"/>
    <w:rsid w:val="009449EE"/>
    <w:rsid w:val="00944E75"/>
    <w:rsid w:val="009669CF"/>
    <w:rsid w:val="00967A06"/>
    <w:rsid w:val="009703E1"/>
    <w:rsid w:val="00986348"/>
    <w:rsid w:val="00990996"/>
    <w:rsid w:val="0099609E"/>
    <w:rsid w:val="009A2963"/>
    <w:rsid w:val="009B2CBC"/>
    <w:rsid w:val="009C11C0"/>
    <w:rsid w:val="009C3F99"/>
    <w:rsid w:val="009D03FE"/>
    <w:rsid w:val="009D1F46"/>
    <w:rsid w:val="009D3A30"/>
    <w:rsid w:val="009D4431"/>
    <w:rsid w:val="009D70A8"/>
    <w:rsid w:val="009D78B0"/>
    <w:rsid w:val="009E0614"/>
    <w:rsid w:val="009E1B07"/>
    <w:rsid w:val="009E1B1B"/>
    <w:rsid w:val="009F2788"/>
    <w:rsid w:val="009F62A9"/>
    <w:rsid w:val="00A04F3C"/>
    <w:rsid w:val="00A1101F"/>
    <w:rsid w:val="00A16384"/>
    <w:rsid w:val="00A21C67"/>
    <w:rsid w:val="00A262CA"/>
    <w:rsid w:val="00A3046D"/>
    <w:rsid w:val="00A3146D"/>
    <w:rsid w:val="00A3264F"/>
    <w:rsid w:val="00A32AC1"/>
    <w:rsid w:val="00A330FA"/>
    <w:rsid w:val="00A36493"/>
    <w:rsid w:val="00A41D86"/>
    <w:rsid w:val="00A536DE"/>
    <w:rsid w:val="00A57ECD"/>
    <w:rsid w:val="00A70A82"/>
    <w:rsid w:val="00A72383"/>
    <w:rsid w:val="00A73DC5"/>
    <w:rsid w:val="00A76F38"/>
    <w:rsid w:val="00A775DD"/>
    <w:rsid w:val="00A837EB"/>
    <w:rsid w:val="00A86030"/>
    <w:rsid w:val="00A96231"/>
    <w:rsid w:val="00AA4E2A"/>
    <w:rsid w:val="00AB10BF"/>
    <w:rsid w:val="00AB15C1"/>
    <w:rsid w:val="00AB1E41"/>
    <w:rsid w:val="00AB2826"/>
    <w:rsid w:val="00AB4B39"/>
    <w:rsid w:val="00AB5B7D"/>
    <w:rsid w:val="00AC2749"/>
    <w:rsid w:val="00AD4F06"/>
    <w:rsid w:val="00AE7AB3"/>
    <w:rsid w:val="00AF1A13"/>
    <w:rsid w:val="00AF4C49"/>
    <w:rsid w:val="00B00832"/>
    <w:rsid w:val="00B019A0"/>
    <w:rsid w:val="00B06577"/>
    <w:rsid w:val="00B15BA9"/>
    <w:rsid w:val="00B2152C"/>
    <w:rsid w:val="00B32E84"/>
    <w:rsid w:val="00B34414"/>
    <w:rsid w:val="00B3640B"/>
    <w:rsid w:val="00B36CE6"/>
    <w:rsid w:val="00B43B1F"/>
    <w:rsid w:val="00B5583C"/>
    <w:rsid w:val="00B56F87"/>
    <w:rsid w:val="00B62E28"/>
    <w:rsid w:val="00B64449"/>
    <w:rsid w:val="00B66D8C"/>
    <w:rsid w:val="00B836B7"/>
    <w:rsid w:val="00B90B59"/>
    <w:rsid w:val="00B915E1"/>
    <w:rsid w:val="00BA0552"/>
    <w:rsid w:val="00BA3517"/>
    <w:rsid w:val="00BA3C35"/>
    <w:rsid w:val="00BA58F6"/>
    <w:rsid w:val="00BA5ECD"/>
    <w:rsid w:val="00BA7805"/>
    <w:rsid w:val="00BB034D"/>
    <w:rsid w:val="00BB057D"/>
    <w:rsid w:val="00BC1E08"/>
    <w:rsid w:val="00BC39EC"/>
    <w:rsid w:val="00BD11AC"/>
    <w:rsid w:val="00BD5BBF"/>
    <w:rsid w:val="00BE0F52"/>
    <w:rsid w:val="00BE452A"/>
    <w:rsid w:val="00BE452D"/>
    <w:rsid w:val="00BE7BC3"/>
    <w:rsid w:val="00BF0C80"/>
    <w:rsid w:val="00BF0EE7"/>
    <w:rsid w:val="00BF124E"/>
    <w:rsid w:val="00BF1940"/>
    <w:rsid w:val="00C0084E"/>
    <w:rsid w:val="00C01425"/>
    <w:rsid w:val="00C06B76"/>
    <w:rsid w:val="00C12152"/>
    <w:rsid w:val="00C308C3"/>
    <w:rsid w:val="00C30E2C"/>
    <w:rsid w:val="00C36F84"/>
    <w:rsid w:val="00C42332"/>
    <w:rsid w:val="00C448C8"/>
    <w:rsid w:val="00C4730D"/>
    <w:rsid w:val="00C50AAF"/>
    <w:rsid w:val="00C676D8"/>
    <w:rsid w:val="00C709B7"/>
    <w:rsid w:val="00C75C25"/>
    <w:rsid w:val="00C80B39"/>
    <w:rsid w:val="00C91FDB"/>
    <w:rsid w:val="00CA3661"/>
    <w:rsid w:val="00CA42F6"/>
    <w:rsid w:val="00CB39E4"/>
    <w:rsid w:val="00CC0A79"/>
    <w:rsid w:val="00CC60FC"/>
    <w:rsid w:val="00CC7940"/>
    <w:rsid w:val="00CD7A02"/>
    <w:rsid w:val="00CE6A9D"/>
    <w:rsid w:val="00CF0E50"/>
    <w:rsid w:val="00CF2485"/>
    <w:rsid w:val="00CF4BE9"/>
    <w:rsid w:val="00D034AB"/>
    <w:rsid w:val="00D101DA"/>
    <w:rsid w:val="00D13B6B"/>
    <w:rsid w:val="00D22B80"/>
    <w:rsid w:val="00D330C4"/>
    <w:rsid w:val="00D35784"/>
    <w:rsid w:val="00D37592"/>
    <w:rsid w:val="00D41B8B"/>
    <w:rsid w:val="00D504C5"/>
    <w:rsid w:val="00D509A7"/>
    <w:rsid w:val="00D51B2B"/>
    <w:rsid w:val="00D54758"/>
    <w:rsid w:val="00D55D7C"/>
    <w:rsid w:val="00D60482"/>
    <w:rsid w:val="00D61F89"/>
    <w:rsid w:val="00D66477"/>
    <w:rsid w:val="00D72C3B"/>
    <w:rsid w:val="00D92DCF"/>
    <w:rsid w:val="00DA156E"/>
    <w:rsid w:val="00DA4C56"/>
    <w:rsid w:val="00DB38FB"/>
    <w:rsid w:val="00DC0BA0"/>
    <w:rsid w:val="00DC32CD"/>
    <w:rsid w:val="00DC34D7"/>
    <w:rsid w:val="00DE0BBA"/>
    <w:rsid w:val="00DE2F5A"/>
    <w:rsid w:val="00DE7715"/>
    <w:rsid w:val="00DF1988"/>
    <w:rsid w:val="00DF3717"/>
    <w:rsid w:val="00DF77EF"/>
    <w:rsid w:val="00E0071B"/>
    <w:rsid w:val="00E14A40"/>
    <w:rsid w:val="00E2143B"/>
    <w:rsid w:val="00E31F79"/>
    <w:rsid w:val="00E429B8"/>
    <w:rsid w:val="00E436EB"/>
    <w:rsid w:val="00E54814"/>
    <w:rsid w:val="00E55EB5"/>
    <w:rsid w:val="00E6200A"/>
    <w:rsid w:val="00E6222D"/>
    <w:rsid w:val="00E63068"/>
    <w:rsid w:val="00E63BC8"/>
    <w:rsid w:val="00E646C7"/>
    <w:rsid w:val="00E66AB2"/>
    <w:rsid w:val="00E72369"/>
    <w:rsid w:val="00E76C46"/>
    <w:rsid w:val="00E8788A"/>
    <w:rsid w:val="00E95F3B"/>
    <w:rsid w:val="00E96123"/>
    <w:rsid w:val="00E97960"/>
    <w:rsid w:val="00E979D2"/>
    <w:rsid w:val="00EA21D1"/>
    <w:rsid w:val="00EA53B9"/>
    <w:rsid w:val="00EA6D8F"/>
    <w:rsid w:val="00EC02B6"/>
    <w:rsid w:val="00EC5E2A"/>
    <w:rsid w:val="00EC6324"/>
    <w:rsid w:val="00EC7E01"/>
    <w:rsid w:val="00ED4DFE"/>
    <w:rsid w:val="00EE139E"/>
    <w:rsid w:val="00EE228C"/>
    <w:rsid w:val="00EE4383"/>
    <w:rsid w:val="00EE491C"/>
    <w:rsid w:val="00EF048B"/>
    <w:rsid w:val="00EF7D85"/>
    <w:rsid w:val="00F00FF1"/>
    <w:rsid w:val="00F027C2"/>
    <w:rsid w:val="00F1255E"/>
    <w:rsid w:val="00F1305E"/>
    <w:rsid w:val="00F16E81"/>
    <w:rsid w:val="00F24236"/>
    <w:rsid w:val="00F27E2C"/>
    <w:rsid w:val="00F30531"/>
    <w:rsid w:val="00F31891"/>
    <w:rsid w:val="00F343EA"/>
    <w:rsid w:val="00F357CB"/>
    <w:rsid w:val="00F42278"/>
    <w:rsid w:val="00F47189"/>
    <w:rsid w:val="00F541D9"/>
    <w:rsid w:val="00F630D4"/>
    <w:rsid w:val="00F83509"/>
    <w:rsid w:val="00F83C00"/>
    <w:rsid w:val="00F83E99"/>
    <w:rsid w:val="00F9130B"/>
    <w:rsid w:val="00F97718"/>
    <w:rsid w:val="00FA1809"/>
    <w:rsid w:val="00FA2104"/>
    <w:rsid w:val="00FA4CCB"/>
    <w:rsid w:val="00FA539B"/>
    <w:rsid w:val="00FB116A"/>
    <w:rsid w:val="00FB2DA5"/>
    <w:rsid w:val="00FC257F"/>
    <w:rsid w:val="00FC29D6"/>
    <w:rsid w:val="00FD3671"/>
    <w:rsid w:val="00FE310F"/>
    <w:rsid w:val="00FE4822"/>
    <w:rsid w:val="00FE57D3"/>
    <w:rsid w:val="00FF365E"/>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D09AC"/>
  <w15:docId w15:val="{1CC19C98-1722-443E-9368-6F7C2685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F1255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1901</TotalTime>
  <Pages>22</Pages>
  <Words>7614</Words>
  <Characters>40302</Characters>
  <Application>Microsoft Office Word</Application>
  <DocSecurity>8</DocSecurity>
  <Lines>335</Lines>
  <Paragraphs>95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120</cp:revision>
  <cp:lastPrinted>2011-09-07T16:03:00Z</cp:lastPrinted>
  <dcterms:created xsi:type="dcterms:W3CDTF">2022-09-06T15:30:00Z</dcterms:created>
  <dcterms:modified xsi:type="dcterms:W3CDTF">2022-09-23T17:46:00Z</dcterms:modified>
</cp:coreProperties>
</file>