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D4" w14:textId="77777777" w:rsidR="00FA4CCB" w:rsidRDefault="00FA4CCB">
      <w:pPr>
        <w:pStyle w:val="Ttulo"/>
        <w:ind w:right="51"/>
        <w:rPr>
          <w:rFonts w:cs="Arial"/>
        </w:rPr>
      </w:pPr>
      <w:r>
        <w:rPr>
          <w:rFonts w:cs="Arial"/>
        </w:rPr>
        <w:t>BANCO HIPOTECARIO DE LA VIVIENDA</w:t>
      </w:r>
    </w:p>
    <w:p w14:paraId="59EDE89A" w14:textId="77777777" w:rsidR="00FA4CCB" w:rsidRDefault="00FA4CCB">
      <w:pPr>
        <w:spacing w:line="360" w:lineRule="auto"/>
        <w:ind w:right="51"/>
        <w:jc w:val="center"/>
        <w:rPr>
          <w:rFonts w:cs="Arial"/>
          <w:b/>
          <w:sz w:val="22"/>
          <w:u w:val="single"/>
        </w:rPr>
      </w:pPr>
      <w:r>
        <w:rPr>
          <w:rFonts w:cs="Arial"/>
          <w:b/>
          <w:sz w:val="22"/>
          <w:u w:val="single"/>
        </w:rPr>
        <w:t>JUNTA DIRECTIVA</w:t>
      </w:r>
    </w:p>
    <w:p w14:paraId="170131E4" w14:textId="77777777" w:rsidR="00FA4CCB" w:rsidRDefault="00FA4CCB">
      <w:pPr>
        <w:spacing w:line="360" w:lineRule="auto"/>
        <w:ind w:right="51"/>
        <w:jc w:val="center"/>
        <w:rPr>
          <w:rFonts w:cs="Arial"/>
          <w:b/>
          <w:sz w:val="22"/>
          <w:u w:val="single"/>
        </w:rPr>
      </w:pPr>
    </w:p>
    <w:p w14:paraId="23E3B86B" w14:textId="428BEFB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D299A">
        <w:rPr>
          <w:rFonts w:cs="Arial"/>
          <w:b/>
          <w:sz w:val="22"/>
          <w:u w:val="single"/>
        </w:rPr>
        <w:t>44</w:t>
      </w:r>
      <w:r>
        <w:rPr>
          <w:rFonts w:cs="Arial"/>
          <w:b/>
          <w:sz w:val="22"/>
          <w:u w:val="single"/>
        </w:rPr>
        <w:t>-</w:t>
      </w:r>
      <w:r w:rsidR="005F2BC7">
        <w:rPr>
          <w:rFonts w:cs="Arial"/>
          <w:b/>
          <w:sz w:val="22"/>
          <w:u w:val="single"/>
        </w:rPr>
        <w:t>2022</w:t>
      </w:r>
    </w:p>
    <w:p w14:paraId="7226AA5F" w14:textId="49F0D032" w:rsidR="00FA4CCB" w:rsidRDefault="00FA4CCB">
      <w:pPr>
        <w:spacing w:line="360" w:lineRule="auto"/>
        <w:ind w:right="51"/>
        <w:jc w:val="center"/>
        <w:rPr>
          <w:rFonts w:cs="Arial"/>
          <w:b/>
          <w:sz w:val="22"/>
          <w:u w:val="single"/>
        </w:rPr>
      </w:pPr>
      <w:r>
        <w:rPr>
          <w:rFonts w:cs="Arial"/>
          <w:b/>
          <w:sz w:val="22"/>
          <w:u w:val="single"/>
        </w:rPr>
        <w:t xml:space="preserve">DEL </w:t>
      </w:r>
      <w:r w:rsidR="005D299A">
        <w:rPr>
          <w:rFonts w:cs="Arial"/>
          <w:b/>
          <w:sz w:val="22"/>
          <w:u w:val="single"/>
        </w:rPr>
        <w:t>29</w:t>
      </w:r>
      <w:r>
        <w:rPr>
          <w:rFonts w:cs="Arial"/>
          <w:b/>
          <w:sz w:val="22"/>
          <w:u w:val="single"/>
        </w:rPr>
        <w:t xml:space="preserve"> DE </w:t>
      </w:r>
      <w:r w:rsidR="005D299A">
        <w:rPr>
          <w:rFonts w:cs="Arial"/>
          <w:b/>
          <w:sz w:val="22"/>
          <w:u w:val="single"/>
        </w:rPr>
        <w:t>AGOSTO</w:t>
      </w:r>
      <w:r>
        <w:rPr>
          <w:rFonts w:cs="Arial"/>
          <w:b/>
          <w:sz w:val="22"/>
          <w:u w:val="single"/>
        </w:rPr>
        <w:t xml:space="preserve"> DE </w:t>
      </w:r>
      <w:r w:rsidR="005F2BC7">
        <w:rPr>
          <w:rFonts w:cs="Arial"/>
          <w:b/>
          <w:sz w:val="22"/>
          <w:u w:val="single"/>
        </w:rPr>
        <w:t>2022</w:t>
      </w:r>
    </w:p>
    <w:p w14:paraId="506305F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1E9579D" w14:textId="77777777" w:rsidR="00FA4CCB" w:rsidRDefault="00FA4CCB">
      <w:pPr>
        <w:spacing w:line="360" w:lineRule="auto"/>
        <w:ind w:right="51"/>
        <w:jc w:val="center"/>
        <w:rPr>
          <w:rFonts w:cs="Arial"/>
          <w:b/>
          <w:sz w:val="22"/>
          <w:u w:val="single"/>
        </w:rPr>
      </w:pPr>
    </w:p>
    <w:p w14:paraId="6FD2C4F3" w14:textId="27594174"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5D299A">
        <w:rPr>
          <w:rFonts w:cs="Arial"/>
          <w:sz w:val="22"/>
        </w:rPr>
        <w:t>S</w:t>
      </w:r>
      <w:r w:rsidR="009449EE">
        <w:rPr>
          <w:rFonts w:cs="Arial"/>
          <w:sz w:val="22"/>
        </w:rPr>
        <w:t>e inicia la sesión a las dieci</w:t>
      </w:r>
      <w:r w:rsidR="005D299A">
        <w:rPr>
          <w:rFonts w:cs="Arial"/>
          <w:sz w:val="22"/>
        </w:rPr>
        <w:t>séis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1F29A5">
        <w:rPr>
          <w:rFonts w:cs="Arial"/>
          <w:sz w:val="22"/>
        </w:rPr>
        <w:t>, quien se incorpora a la sesión a partir del minuto 12:20.</w:t>
      </w:r>
    </w:p>
    <w:p w14:paraId="03DA90D9" w14:textId="77777777" w:rsidR="00AD4F06" w:rsidRDefault="00AD4F06" w:rsidP="0066494B">
      <w:pPr>
        <w:spacing w:line="360" w:lineRule="auto"/>
        <w:jc w:val="both"/>
        <w:rPr>
          <w:rFonts w:cs="Arial"/>
          <w:sz w:val="22"/>
        </w:rPr>
      </w:pPr>
    </w:p>
    <w:p w14:paraId="72F394E5" w14:textId="79D5FD23" w:rsidR="00FA4CCB" w:rsidRDefault="00FA4CCB" w:rsidP="0066494B">
      <w:pPr>
        <w:spacing w:line="360" w:lineRule="auto"/>
        <w:jc w:val="both"/>
        <w:rPr>
          <w:rFonts w:cs="Arial"/>
          <w:sz w:val="22"/>
        </w:rPr>
      </w:pPr>
      <w:r>
        <w:rPr>
          <w:rFonts w:cs="Arial"/>
          <w:sz w:val="22"/>
        </w:rPr>
        <w:t>Asisten también los siguientes funcionarios:</w:t>
      </w:r>
      <w:r w:rsidR="005D299A">
        <w:rPr>
          <w:rFonts w:cs="Arial"/>
          <w:sz w:val="22"/>
        </w:rPr>
        <w:t xml:space="preserve"> Carlos Castro Miranda, asistente de la </w:t>
      </w:r>
      <w:r w:rsidR="005D299A" w:rsidRPr="005D299A">
        <w:rPr>
          <w:rFonts w:cs="Arial"/>
          <w:sz w:val="22"/>
          <w:szCs w:val="22"/>
          <w:lang w:val="es-CR"/>
        </w:rPr>
        <w:t>Gerencia General</w:t>
      </w:r>
      <w:r w:rsidR="00DB38FB">
        <w:rPr>
          <w:rFonts w:cs="Arial"/>
          <w:sz w:val="22"/>
        </w:rPr>
        <w:t>;</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5A3FAA6" w14:textId="77777777" w:rsidR="007749FC" w:rsidRDefault="007749FC" w:rsidP="0066494B">
      <w:pPr>
        <w:spacing w:line="360" w:lineRule="auto"/>
        <w:jc w:val="both"/>
        <w:rPr>
          <w:rFonts w:cs="Arial"/>
          <w:sz w:val="22"/>
        </w:rPr>
      </w:pPr>
    </w:p>
    <w:p w14:paraId="7ED363AE" w14:textId="083AAB90" w:rsidR="007749FC" w:rsidRDefault="007749FC" w:rsidP="0066494B">
      <w:pPr>
        <w:spacing w:line="360" w:lineRule="auto"/>
        <w:jc w:val="both"/>
        <w:rPr>
          <w:rFonts w:cs="Arial"/>
          <w:sz w:val="22"/>
        </w:rPr>
      </w:pPr>
      <w:r>
        <w:rPr>
          <w:rFonts w:cs="Arial"/>
          <w:sz w:val="22"/>
        </w:rPr>
        <w:t>Ausente con justificación:</w:t>
      </w:r>
      <w:r w:rsidR="005D299A" w:rsidRPr="005D299A">
        <w:rPr>
          <w:rFonts w:cs="Arial"/>
          <w:sz w:val="22"/>
        </w:rPr>
        <w:t xml:space="preserve"> </w:t>
      </w:r>
      <w:r w:rsidR="005D299A">
        <w:rPr>
          <w:rFonts w:cs="Arial"/>
          <w:sz w:val="22"/>
        </w:rPr>
        <w:t>Dagoberto Hidalgo Cortés, Gerente General.</w:t>
      </w:r>
    </w:p>
    <w:p w14:paraId="0EA3FEF4" w14:textId="77777777" w:rsidR="006321F4" w:rsidRPr="00D14EAF" w:rsidRDefault="006321F4" w:rsidP="006321F4">
      <w:pPr>
        <w:spacing w:line="360" w:lineRule="auto"/>
        <w:jc w:val="both"/>
        <w:rPr>
          <w:rFonts w:cs="Arial"/>
          <w:b/>
          <w:sz w:val="22"/>
        </w:rPr>
      </w:pPr>
      <w:r w:rsidRPr="00D14EAF">
        <w:rPr>
          <w:rFonts w:cs="Arial"/>
          <w:b/>
          <w:sz w:val="22"/>
        </w:rPr>
        <w:t>************</w:t>
      </w:r>
    </w:p>
    <w:p w14:paraId="44788A1E" w14:textId="77777777" w:rsidR="00FA4CCB" w:rsidRDefault="00FA4CCB" w:rsidP="0066494B">
      <w:pPr>
        <w:spacing w:line="360" w:lineRule="auto"/>
        <w:jc w:val="both"/>
        <w:rPr>
          <w:rFonts w:cs="Arial"/>
          <w:sz w:val="22"/>
        </w:rPr>
      </w:pPr>
    </w:p>
    <w:p w14:paraId="5F577292" w14:textId="77777777" w:rsidR="00FA4CCB" w:rsidRDefault="00FA4CCB" w:rsidP="0066494B">
      <w:pPr>
        <w:pStyle w:val="Ttulo4"/>
        <w:spacing w:line="360" w:lineRule="auto"/>
        <w:jc w:val="both"/>
        <w:rPr>
          <w:rFonts w:cs="Arial"/>
        </w:rPr>
      </w:pPr>
      <w:r>
        <w:rPr>
          <w:rFonts w:cs="Arial"/>
        </w:rPr>
        <w:t>Asuntos conocidos en la presente sesión</w:t>
      </w:r>
    </w:p>
    <w:p w14:paraId="38D3246E" w14:textId="77777777" w:rsidR="00FA4CCB" w:rsidRDefault="00FA4CCB" w:rsidP="0066494B">
      <w:pPr>
        <w:spacing w:line="360" w:lineRule="auto"/>
        <w:jc w:val="both"/>
        <w:rPr>
          <w:rFonts w:cs="Arial"/>
          <w:b/>
          <w:sz w:val="22"/>
        </w:rPr>
      </w:pPr>
    </w:p>
    <w:p w14:paraId="17295E3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958D245" w14:textId="334DA6F0" w:rsidR="00047191" w:rsidRPr="007D1D86" w:rsidRDefault="00047191" w:rsidP="007D1D86">
      <w:pPr>
        <w:pStyle w:val="Prrafodelista"/>
        <w:numPr>
          <w:ilvl w:val="0"/>
          <w:numId w:val="18"/>
        </w:numPr>
        <w:spacing w:line="360" w:lineRule="auto"/>
        <w:ind w:left="567" w:hanging="567"/>
        <w:jc w:val="both"/>
        <w:rPr>
          <w:rFonts w:cs="Arial"/>
          <w:sz w:val="22"/>
          <w:lang w:val="es-ES_tradnl"/>
        </w:rPr>
      </w:pPr>
      <w:r w:rsidRPr="007D1D86">
        <w:rPr>
          <w:rFonts w:cs="Arial"/>
          <w:sz w:val="22"/>
          <w:lang w:val="es-ES_tradnl"/>
        </w:rPr>
        <w:t xml:space="preserve">Propuestas de </w:t>
      </w:r>
      <w:proofErr w:type="gramStart"/>
      <w:r w:rsidR="00D25FD0" w:rsidRPr="007D1D86">
        <w:rPr>
          <w:rFonts w:cs="Arial"/>
          <w:sz w:val="22"/>
          <w:lang w:val="es-ES_tradnl"/>
        </w:rPr>
        <w:t xml:space="preserve">las señoras y </w:t>
      </w:r>
      <w:r w:rsidRPr="007D1D86">
        <w:rPr>
          <w:rFonts w:cs="Arial"/>
          <w:sz w:val="22"/>
          <w:lang w:val="es-ES_tradnl"/>
        </w:rPr>
        <w:t>señores</w:t>
      </w:r>
      <w:proofErr w:type="gramEnd"/>
      <w:r w:rsidR="00D25FD0" w:rsidRPr="007D1D86">
        <w:rPr>
          <w:rFonts w:cs="Arial"/>
          <w:sz w:val="22"/>
          <w:lang w:val="es-ES_tradnl"/>
        </w:rPr>
        <w:t xml:space="preserve"> </w:t>
      </w:r>
      <w:r w:rsidRPr="007D1D86">
        <w:rPr>
          <w:rFonts w:cs="Arial"/>
          <w:sz w:val="22"/>
          <w:lang w:val="es-ES_tradnl"/>
        </w:rPr>
        <w:t>Directores.</w:t>
      </w:r>
    </w:p>
    <w:p w14:paraId="2F4F91DE" w14:textId="23A36816"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t>Lectura y aprobación de las actas N° 40-2022 del 11/08/2022 y N° 41-2022 del 18/08/2022.</w:t>
      </w:r>
    </w:p>
    <w:p w14:paraId="2DD3749A" w14:textId="0F3EEC87"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rPr>
        <w:t>Solicitud de aprobación de cuatro bonos extraordinarios individuales.</w:t>
      </w:r>
    </w:p>
    <w:p w14:paraId="6CE58229" w14:textId="657D66FE"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t>Solicitud de aprobación de financiamiento adicional para el proyecto Nueva Angostura.</w:t>
      </w:r>
    </w:p>
    <w:p w14:paraId="338E436C" w14:textId="43340A6E"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t>Propuesta de Presupuesto Extraordinario No. 2-2022.</w:t>
      </w:r>
    </w:p>
    <w:p w14:paraId="4163BE5C" w14:textId="516E181B"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t>Solicitud de autorización para la capitalización de los resultados acumulados de los periodos 2019, 2020 y 2021.</w:t>
      </w:r>
    </w:p>
    <w:p w14:paraId="26FEE4D2" w14:textId="5516150E"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lastRenderedPageBreak/>
        <w:t>Recurso de apelación presentado por la empresa Bermúdez Méndez, contra el acto de adjudicación a favor de la empresa Van Der Leer, en la contratación de una empresa que realice un estudio de puestos.</w:t>
      </w:r>
    </w:p>
    <w:p w14:paraId="49A6D5B6" w14:textId="2332E7AE" w:rsidR="00047191" w:rsidRPr="007D1D86" w:rsidRDefault="00047191" w:rsidP="007D1D86">
      <w:pPr>
        <w:pStyle w:val="Prrafodelista"/>
        <w:numPr>
          <w:ilvl w:val="0"/>
          <w:numId w:val="18"/>
        </w:numPr>
        <w:spacing w:line="360" w:lineRule="auto"/>
        <w:ind w:left="567" w:hanging="567"/>
        <w:jc w:val="both"/>
        <w:rPr>
          <w:rFonts w:cs="Arial"/>
          <w:sz w:val="22"/>
        </w:rPr>
      </w:pPr>
      <w:r w:rsidRPr="007D1D86">
        <w:rPr>
          <w:rFonts w:cs="Arial"/>
          <w:sz w:val="22"/>
          <w:lang w:val="es-ES_tradnl"/>
        </w:rPr>
        <w:t>Criterio sobre el texto base del proyecto de ley “</w:t>
      </w:r>
      <w:r w:rsidRPr="007D1D86">
        <w:rPr>
          <w:rFonts w:cs="Arial"/>
          <w:i/>
          <w:iCs/>
          <w:sz w:val="22"/>
          <w:lang w:val="es-ES_tradnl"/>
        </w:rPr>
        <w:t>Adición de un inciso f) al artículo 72 de la Ley No. 7052 Ley del Sistema Financiero Nacional para la Vivienda del 13 de noviembre de 1986. Ley para adicionar a la Caja de Ahorro y Préstamos de la Asociación Nacional de Educadores (Caja de Ande) como Entidad Autorizada del Sistema Financiero Nacional para la Vivienda</w:t>
      </w:r>
      <w:r w:rsidRPr="007D1D86">
        <w:rPr>
          <w:rFonts w:cs="Arial"/>
          <w:sz w:val="22"/>
          <w:lang w:val="es-ES_tradnl"/>
        </w:rPr>
        <w:t>”, Expediente Legislativo No. 22.638.</w:t>
      </w:r>
    </w:p>
    <w:p w14:paraId="0772C3DF" w14:textId="69E8A349" w:rsidR="007749FC" w:rsidRPr="007D1D86" w:rsidRDefault="00047191" w:rsidP="007D1D86">
      <w:pPr>
        <w:pStyle w:val="Prrafodelista"/>
        <w:numPr>
          <w:ilvl w:val="0"/>
          <w:numId w:val="18"/>
        </w:numPr>
        <w:spacing w:line="360" w:lineRule="auto"/>
        <w:ind w:left="567" w:hanging="567"/>
        <w:jc w:val="both"/>
        <w:rPr>
          <w:rFonts w:cs="Arial"/>
          <w:sz w:val="22"/>
          <w:lang w:val="es-ES_tradnl"/>
        </w:rPr>
      </w:pPr>
      <w:r w:rsidRPr="007D1D86">
        <w:rPr>
          <w:rFonts w:cs="Arial"/>
          <w:sz w:val="22"/>
          <w:lang w:val="es-ES_tradnl"/>
        </w:rPr>
        <w:t>Criterio sobre el texto base del proyecto de ley “</w:t>
      </w:r>
      <w:r w:rsidRPr="007D1D86">
        <w:rPr>
          <w:rFonts w:cs="Arial"/>
          <w:i/>
          <w:iCs/>
          <w:sz w:val="22"/>
          <w:lang w:val="es-ES_tradnl"/>
        </w:rPr>
        <w:t>Ley de aprobación de la “Enmienda al Tratado de Libre Comercio entre los Estados Unidos Mexicanos y las repúblicas de Costa Rica, El Salvador, Guatemala, Honduras y Nicaragua”, Ley de aprobación N° 9122 del 06 de marzo de 2013, para incorporar el anexo de cobertura al Capítulo Décimo sobre contratación pública</w:t>
      </w:r>
      <w:r w:rsidRPr="007D1D86">
        <w:rPr>
          <w:rFonts w:cs="Arial"/>
          <w:sz w:val="22"/>
          <w:lang w:val="es-ES_tradnl"/>
        </w:rPr>
        <w:t>”, Expediente Legislativo No. 23.226.</w:t>
      </w:r>
    </w:p>
    <w:p w14:paraId="50FE6B24" w14:textId="149BDFDF" w:rsidR="007749FC" w:rsidRPr="006C4FA0" w:rsidRDefault="00A57F73" w:rsidP="006476AE">
      <w:pPr>
        <w:pStyle w:val="Prrafodelista"/>
        <w:numPr>
          <w:ilvl w:val="0"/>
          <w:numId w:val="18"/>
        </w:numPr>
        <w:spacing w:line="360" w:lineRule="auto"/>
        <w:ind w:left="567" w:hanging="567"/>
        <w:jc w:val="both"/>
        <w:rPr>
          <w:rFonts w:cs="Arial"/>
          <w:sz w:val="22"/>
        </w:rPr>
      </w:pPr>
      <w:r w:rsidRPr="006C4FA0">
        <w:rPr>
          <w:rFonts w:cs="Arial"/>
          <w:sz w:val="22"/>
          <w:lang w:val="es-ES_tradnl"/>
        </w:rPr>
        <w:t>Información del señor Auditor Interno, sobre documentos remitidos a la Junta Directiva, sobre el proceso de contratación de las plazas de subgerentes y la realización de sesiones virtuales.</w:t>
      </w:r>
    </w:p>
    <w:p w14:paraId="4B6123B0" w14:textId="77777777" w:rsidR="006321F4" w:rsidRPr="00D14EAF" w:rsidRDefault="006321F4" w:rsidP="006321F4">
      <w:pPr>
        <w:spacing w:line="360" w:lineRule="auto"/>
        <w:jc w:val="both"/>
        <w:rPr>
          <w:rFonts w:cs="Arial"/>
          <w:b/>
          <w:sz w:val="22"/>
        </w:rPr>
      </w:pPr>
      <w:r w:rsidRPr="00D14EAF">
        <w:rPr>
          <w:rFonts w:cs="Arial"/>
          <w:b/>
          <w:sz w:val="22"/>
        </w:rPr>
        <w:t>************</w:t>
      </w:r>
    </w:p>
    <w:p w14:paraId="68A2E815" w14:textId="77777777" w:rsidR="007F614F" w:rsidRPr="00AB2826" w:rsidRDefault="007F614F" w:rsidP="002D0146">
      <w:pPr>
        <w:spacing w:line="360" w:lineRule="auto"/>
        <w:jc w:val="both"/>
        <w:rPr>
          <w:rFonts w:cs="Arial"/>
          <w:b/>
          <w:sz w:val="22"/>
          <w:szCs w:val="22"/>
          <w:u w:val="single"/>
          <w:lang w:val="es-ES_tradnl"/>
        </w:rPr>
      </w:pPr>
    </w:p>
    <w:p w14:paraId="4CAE62F7" w14:textId="30973FB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45505" w:rsidRPr="00F45505">
        <w:rPr>
          <w:rFonts w:cs="Arial"/>
          <w:b/>
          <w:sz w:val="22"/>
          <w:szCs w:val="22"/>
          <w:u w:val="single"/>
          <w:lang w:val="es-ES_tradnl"/>
        </w:rPr>
        <w:t xml:space="preserve">Propuestas de </w:t>
      </w:r>
      <w:proofErr w:type="gramStart"/>
      <w:r w:rsidR="00F45505" w:rsidRPr="00F45505">
        <w:rPr>
          <w:rFonts w:cs="Arial"/>
          <w:b/>
          <w:sz w:val="22"/>
          <w:szCs w:val="22"/>
          <w:u w:val="single"/>
          <w:lang w:val="es-ES_tradnl"/>
        </w:rPr>
        <w:t>las señoras y señores</w:t>
      </w:r>
      <w:proofErr w:type="gramEnd"/>
      <w:r w:rsidR="00F45505" w:rsidRPr="00F45505">
        <w:rPr>
          <w:rFonts w:cs="Arial"/>
          <w:b/>
          <w:sz w:val="22"/>
          <w:szCs w:val="22"/>
          <w:u w:val="single"/>
          <w:lang w:val="es-ES_tradnl"/>
        </w:rPr>
        <w:t xml:space="preserve"> Directores</w:t>
      </w:r>
    </w:p>
    <w:p w14:paraId="591788CD" w14:textId="77777777" w:rsidR="00FA4CCB" w:rsidRDefault="00FA4CCB" w:rsidP="002D0146">
      <w:pPr>
        <w:spacing w:line="360" w:lineRule="auto"/>
        <w:jc w:val="both"/>
        <w:rPr>
          <w:rFonts w:cs="Arial"/>
          <w:sz w:val="22"/>
          <w:szCs w:val="22"/>
        </w:rPr>
      </w:pPr>
    </w:p>
    <w:p w14:paraId="521EF21F" w14:textId="1484961A" w:rsidR="00DA4904" w:rsidRDefault="00F95D17" w:rsidP="00F95D17">
      <w:pPr>
        <w:spacing w:line="360" w:lineRule="auto"/>
        <w:jc w:val="both"/>
        <w:rPr>
          <w:rFonts w:cs="Arial"/>
          <w:sz w:val="22"/>
          <w:lang w:val="es-ES_tradnl"/>
        </w:rPr>
      </w:pPr>
      <w:r w:rsidRPr="0039311E">
        <w:rPr>
          <w:rFonts w:cs="Arial"/>
          <w:sz w:val="22"/>
          <w:u w:val="single"/>
          <w:lang w:val="es-ES_tradnl"/>
        </w:rPr>
        <w:t xml:space="preserve">Minuto </w:t>
      </w:r>
      <w:r w:rsidR="00DA4904">
        <w:rPr>
          <w:rFonts w:cs="Arial"/>
          <w:sz w:val="22"/>
          <w:u w:val="single"/>
          <w:lang w:val="es-ES_tradnl"/>
        </w:rPr>
        <w:t>01</w:t>
      </w:r>
      <w:r w:rsidRPr="0039311E">
        <w:rPr>
          <w:rFonts w:cs="Arial"/>
          <w:sz w:val="22"/>
          <w:u w:val="single"/>
          <w:lang w:val="es-ES_tradnl"/>
        </w:rPr>
        <w:t>:</w:t>
      </w:r>
      <w:r w:rsidR="00DA4904">
        <w:rPr>
          <w:rFonts w:cs="Arial"/>
          <w:sz w:val="22"/>
          <w:u w:val="single"/>
          <w:lang w:val="es-ES_tradnl"/>
        </w:rPr>
        <w:t>58</w:t>
      </w:r>
      <w:r>
        <w:rPr>
          <w:rFonts w:cs="Arial"/>
          <w:sz w:val="22"/>
          <w:lang w:val="es-ES_tradnl"/>
        </w:rPr>
        <w:t xml:space="preserve"> </w:t>
      </w:r>
      <w:r w:rsidR="00DA4904">
        <w:rPr>
          <w:rFonts w:cs="Arial"/>
          <w:sz w:val="22"/>
          <w:lang w:val="es-ES_tradnl"/>
        </w:rPr>
        <w:t>Se conoce y avala</w:t>
      </w:r>
      <w:r w:rsidR="0039200B">
        <w:rPr>
          <w:rFonts w:cs="Arial"/>
          <w:sz w:val="22"/>
          <w:lang w:val="es-ES_tradnl"/>
        </w:rPr>
        <w:t>,</w:t>
      </w:r>
      <w:r w:rsidR="00DA4904">
        <w:rPr>
          <w:rFonts w:cs="Arial"/>
          <w:sz w:val="22"/>
          <w:lang w:val="es-ES_tradnl"/>
        </w:rPr>
        <w:t xml:space="preserve"> en forma unánime</w:t>
      </w:r>
      <w:r w:rsidR="0039200B">
        <w:rPr>
          <w:rFonts w:cs="Arial"/>
          <w:sz w:val="22"/>
          <w:lang w:val="es-ES_tradnl"/>
        </w:rPr>
        <w:t>,</w:t>
      </w:r>
      <w:r w:rsidR="00DA4904">
        <w:rPr>
          <w:rFonts w:cs="Arial"/>
          <w:sz w:val="22"/>
          <w:lang w:val="es-ES_tradnl"/>
        </w:rPr>
        <w:t xml:space="preserve"> una moción</w:t>
      </w:r>
      <w:r w:rsidR="00ED42FF">
        <w:rPr>
          <w:rFonts w:cs="Arial"/>
          <w:sz w:val="22"/>
          <w:lang w:val="es-ES_tradnl"/>
        </w:rPr>
        <w:t xml:space="preserve"> del </w:t>
      </w:r>
      <w:r w:rsidR="00DA4904">
        <w:rPr>
          <w:rFonts w:cs="Arial"/>
          <w:sz w:val="22"/>
          <w:lang w:val="es-ES_tradnl"/>
        </w:rPr>
        <w:t xml:space="preserve">Director Carazo Campos, para variar el orden del día y entrar a conocer en este momento las propuestas de </w:t>
      </w:r>
      <w:proofErr w:type="gramStart"/>
      <w:r w:rsidR="00DA4904">
        <w:rPr>
          <w:rFonts w:cs="Arial"/>
          <w:sz w:val="22"/>
          <w:lang w:val="es-ES_tradnl"/>
        </w:rPr>
        <w:t>las señoras y los señores</w:t>
      </w:r>
      <w:proofErr w:type="gramEnd"/>
      <w:r w:rsidR="00DA4904">
        <w:rPr>
          <w:rFonts w:cs="Arial"/>
          <w:sz w:val="22"/>
          <w:lang w:val="es-ES_tradnl"/>
        </w:rPr>
        <w:t xml:space="preserve"> Directores.</w:t>
      </w:r>
    </w:p>
    <w:p w14:paraId="6B279183" w14:textId="77777777" w:rsidR="00DA4904" w:rsidRDefault="00DA4904" w:rsidP="00F95D17">
      <w:pPr>
        <w:spacing w:line="360" w:lineRule="auto"/>
        <w:jc w:val="both"/>
        <w:rPr>
          <w:rFonts w:cs="Arial"/>
          <w:sz w:val="22"/>
          <w:lang w:val="es-ES_tradnl"/>
        </w:rPr>
      </w:pPr>
    </w:p>
    <w:p w14:paraId="6A8EAB8B" w14:textId="76547134" w:rsidR="00F95D17" w:rsidRDefault="00DA4904" w:rsidP="00F95D1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3E4685">
        <w:rPr>
          <w:rFonts w:cs="Arial"/>
          <w:sz w:val="22"/>
          <w:u w:val="single"/>
          <w:lang w:val="es-ES_tradnl"/>
        </w:rPr>
        <w:t>5</w:t>
      </w:r>
      <w:r w:rsidRPr="0039311E">
        <w:rPr>
          <w:rFonts w:cs="Arial"/>
          <w:sz w:val="22"/>
          <w:u w:val="single"/>
          <w:lang w:val="es-ES_tradnl"/>
        </w:rPr>
        <w:t>:</w:t>
      </w:r>
      <w:r w:rsidR="003E4685">
        <w:rPr>
          <w:rFonts w:cs="Arial"/>
          <w:sz w:val="22"/>
          <w:u w:val="single"/>
          <w:lang w:val="es-ES_tradnl"/>
        </w:rPr>
        <w:t>53</w:t>
      </w:r>
      <w:r>
        <w:rPr>
          <w:rFonts w:cs="Arial"/>
          <w:sz w:val="22"/>
          <w:lang w:val="es-ES_tradnl"/>
        </w:rPr>
        <w:t xml:space="preserve"> </w:t>
      </w:r>
      <w:r w:rsidR="00BB6563">
        <w:rPr>
          <w:rFonts w:cs="Arial"/>
          <w:sz w:val="22"/>
          <w:lang w:val="es-ES_tradnl"/>
        </w:rPr>
        <w:t xml:space="preserve">El Lic. Castro Miranda </w:t>
      </w:r>
      <w:r w:rsidR="00554142">
        <w:rPr>
          <w:rFonts w:cs="Arial"/>
          <w:sz w:val="22"/>
          <w:lang w:val="es-ES_tradnl"/>
        </w:rPr>
        <w:t xml:space="preserve">atiende una consulta del Director Alvarado sobre </w:t>
      </w:r>
      <w:r w:rsidR="001F29A5">
        <w:rPr>
          <w:rFonts w:cs="Arial"/>
          <w:sz w:val="22"/>
          <w:lang w:val="es-ES_tradnl"/>
        </w:rPr>
        <w:t xml:space="preserve">el estado de </w:t>
      </w:r>
      <w:r w:rsidR="00554142">
        <w:rPr>
          <w:rFonts w:cs="Arial"/>
          <w:sz w:val="22"/>
          <w:lang w:val="es-ES_tradnl"/>
        </w:rPr>
        <w:t>los informes que requirió hace tres semanas</w:t>
      </w:r>
      <w:r w:rsidR="001F29A5">
        <w:rPr>
          <w:rFonts w:cs="Arial"/>
          <w:sz w:val="22"/>
          <w:lang w:val="es-ES_tradnl"/>
        </w:rPr>
        <w:t xml:space="preserve"> (sesión 39-2022)</w:t>
      </w:r>
      <w:r w:rsidR="00554142">
        <w:rPr>
          <w:rFonts w:cs="Arial"/>
          <w:sz w:val="22"/>
          <w:lang w:val="es-ES_tradnl"/>
        </w:rPr>
        <w:t xml:space="preserve">, en relación con la situación de los proyectos Las Brisas II, Ivannia y La Flor.  </w:t>
      </w:r>
      <w:r w:rsidR="001F29A5">
        <w:rPr>
          <w:rFonts w:cs="Arial"/>
          <w:sz w:val="22"/>
          <w:lang w:val="es-ES_tradnl"/>
        </w:rPr>
        <w:t>Dado</w:t>
      </w:r>
      <w:r w:rsidR="00554142">
        <w:rPr>
          <w:rFonts w:cs="Arial"/>
          <w:sz w:val="22"/>
          <w:lang w:val="es-ES_tradnl"/>
        </w:rPr>
        <w:t xml:space="preserve"> que el Lic. Castro explica que se había estado a la espera de alguna información adicional</w:t>
      </w:r>
      <w:r w:rsidR="0066620F">
        <w:rPr>
          <w:rFonts w:cs="Arial"/>
          <w:sz w:val="22"/>
          <w:lang w:val="es-ES_tradnl"/>
        </w:rPr>
        <w:t xml:space="preserve"> </w:t>
      </w:r>
      <w:r w:rsidR="001F29A5">
        <w:rPr>
          <w:rFonts w:cs="Arial"/>
          <w:sz w:val="22"/>
          <w:lang w:val="es-ES_tradnl"/>
        </w:rPr>
        <w:t xml:space="preserve">pero </w:t>
      </w:r>
      <w:r w:rsidR="0066620F">
        <w:rPr>
          <w:rFonts w:cs="Arial"/>
          <w:sz w:val="22"/>
          <w:lang w:val="es-ES_tradnl"/>
        </w:rPr>
        <w:t>ya se estarán incluyen</w:t>
      </w:r>
      <w:r w:rsidR="001F29A5">
        <w:rPr>
          <w:rFonts w:cs="Arial"/>
          <w:sz w:val="22"/>
          <w:lang w:val="es-ES_tradnl"/>
        </w:rPr>
        <w:t>do</w:t>
      </w:r>
      <w:r w:rsidR="0066620F">
        <w:rPr>
          <w:rFonts w:cs="Arial"/>
          <w:sz w:val="22"/>
          <w:lang w:val="es-ES_tradnl"/>
        </w:rPr>
        <w:t xml:space="preserve"> en la agenda de una próxima sesión</w:t>
      </w:r>
      <w:r w:rsidR="00554142">
        <w:rPr>
          <w:rFonts w:cs="Arial"/>
          <w:sz w:val="22"/>
          <w:lang w:val="es-ES_tradnl"/>
        </w:rPr>
        <w:t xml:space="preserve">, </w:t>
      </w:r>
      <w:r w:rsidR="0066620F">
        <w:rPr>
          <w:rFonts w:cs="Arial"/>
          <w:sz w:val="22"/>
          <w:lang w:val="es-ES_tradnl"/>
        </w:rPr>
        <w:t xml:space="preserve">el Director Alvarado Herrera comenta las situaciones que, en su criterio, requieren que esta </w:t>
      </w:r>
      <w:r w:rsidR="0066620F" w:rsidRPr="0066620F">
        <w:rPr>
          <w:rFonts w:cs="Arial"/>
          <w:sz w:val="22"/>
          <w:lang w:val="es-ES_tradnl"/>
        </w:rPr>
        <w:t>Junta Directiva</w:t>
      </w:r>
      <w:r w:rsidR="0066620F">
        <w:rPr>
          <w:rFonts w:cs="Arial"/>
          <w:sz w:val="22"/>
          <w:lang w:val="es-ES_tradnl"/>
        </w:rPr>
        <w:t xml:space="preserve"> conozca con carácter prioritario, las acciones que se están ejecutando desarrollar estos proyectos.</w:t>
      </w:r>
    </w:p>
    <w:p w14:paraId="177B3209" w14:textId="6C3B3A90" w:rsidR="001F29A5" w:rsidRDefault="001F29A5" w:rsidP="00F95D17">
      <w:pPr>
        <w:spacing w:line="360" w:lineRule="auto"/>
        <w:jc w:val="both"/>
        <w:rPr>
          <w:rFonts w:cs="Arial"/>
          <w:sz w:val="22"/>
          <w:lang w:val="es-ES_tradnl"/>
        </w:rPr>
      </w:pPr>
    </w:p>
    <w:p w14:paraId="1345A457" w14:textId="57C2D18A" w:rsidR="001F29A5" w:rsidRDefault="001F29A5" w:rsidP="001F29A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w:t>
      </w:r>
      <w:r w:rsidRPr="00A25DB7">
        <w:rPr>
          <w:rFonts w:cs="Arial"/>
          <w:sz w:val="22"/>
          <w:u w:val="single"/>
          <w:lang w:val="es-ES_tradnl"/>
        </w:rPr>
        <w:t>:</w:t>
      </w:r>
      <w:r>
        <w:rPr>
          <w:rFonts w:cs="Arial"/>
          <w:sz w:val="22"/>
          <w:u w:val="single"/>
          <w:lang w:val="es-ES_tradnl"/>
        </w:rPr>
        <w:t>59</w:t>
      </w:r>
      <w:r>
        <w:rPr>
          <w:rFonts w:cs="Arial"/>
          <w:sz w:val="22"/>
          <w:lang w:val="es-ES_tradnl"/>
        </w:rPr>
        <w:t xml:space="preserve"> Atendiendo </w:t>
      </w:r>
      <w:r w:rsidR="00004C23">
        <w:rPr>
          <w:rFonts w:cs="Arial"/>
          <w:sz w:val="22"/>
          <w:lang w:val="es-ES_tradnl"/>
        </w:rPr>
        <w:t xml:space="preserve">lo solicitado en la sesión </w:t>
      </w:r>
      <w:r w:rsidR="006177B1">
        <w:rPr>
          <w:rFonts w:cs="Arial"/>
          <w:sz w:val="22"/>
          <w:lang w:val="es-ES_tradnl"/>
        </w:rPr>
        <w:t>39</w:t>
      </w:r>
      <w:r w:rsidR="00004C23">
        <w:rPr>
          <w:rFonts w:cs="Arial"/>
          <w:sz w:val="22"/>
          <w:lang w:val="es-ES_tradnl"/>
        </w:rPr>
        <w:t xml:space="preserve">-2022 del pasado </w:t>
      </w:r>
      <w:r w:rsidR="006177B1">
        <w:rPr>
          <w:rFonts w:cs="Arial"/>
          <w:sz w:val="22"/>
          <w:lang w:val="es-ES_tradnl"/>
        </w:rPr>
        <w:t>08</w:t>
      </w:r>
      <w:r w:rsidR="00004C23">
        <w:rPr>
          <w:rFonts w:cs="Arial"/>
          <w:sz w:val="22"/>
          <w:lang w:val="es-ES_tradnl"/>
        </w:rPr>
        <w:t xml:space="preserve"> de agosto, el Director Alvarado Herrera informa </w:t>
      </w:r>
      <w:r w:rsidR="00A26D72">
        <w:rPr>
          <w:rFonts w:cs="Arial"/>
          <w:sz w:val="22"/>
          <w:lang w:val="es-ES_tradnl"/>
        </w:rPr>
        <w:t>y solicita dejar constancia de que</w:t>
      </w:r>
      <w:r w:rsidR="00384212">
        <w:rPr>
          <w:rFonts w:cs="Arial"/>
          <w:sz w:val="22"/>
          <w:lang w:val="es-ES_tradnl"/>
        </w:rPr>
        <w:t>,</w:t>
      </w:r>
      <w:r w:rsidR="00A26D72">
        <w:rPr>
          <w:rFonts w:cs="Arial"/>
          <w:sz w:val="22"/>
          <w:lang w:val="es-ES_tradnl"/>
        </w:rPr>
        <w:t xml:space="preserve"> </w:t>
      </w:r>
      <w:r w:rsidR="00004C23">
        <w:rPr>
          <w:rFonts w:cs="Arial"/>
          <w:sz w:val="22"/>
          <w:lang w:val="es-ES_tradnl"/>
        </w:rPr>
        <w:t xml:space="preserve">con base en la revisión </w:t>
      </w:r>
      <w:r w:rsidR="00004C23">
        <w:rPr>
          <w:rFonts w:cs="Arial"/>
          <w:sz w:val="22"/>
          <w:lang w:val="es-ES_tradnl"/>
        </w:rPr>
        <w:lastRenderedPageBreak/>
        <w:t xml:space="preserve">de las minutas del presente año, </w:t>
      </w:r>
      <w:r w:rsidR="00384212">
        <w:rPr>
          <w:rFonts w:cs="Arial"/>
          <w:sz w:val="22"/>
          <w:lang w:val="es-ES_tradnl"/>
        </w:rPr>
        <w:t xml:space="preserve">ha sometido a la consideración de los demás señores Directores (mediante correo electrónico), </w:t>
      </w:r>
      <w:r w:rsidR="006177B1">
        <w:rPr>
          <w:rFonts w:cs="Arial"/>
          <w:sz w:val="22"/>
          <w:lang w:val="es-ES_tradnl"/>
        </w:rPr>
        <w:t xml:space="preserve">la siguiente </w:t>
      </w:r>
      <w:r w:rsidR="00004C23">
        <w:rPr>
          <w:rFonts w:cs="Arial"/>
          <w:sz w:val="22"/>
          <w:lang w:val="es-ES_tradnl"/>
        </w:rPr>
        <w:t>lista de temas que se encuentran pendientes de conocer por parte de este Órgano Colegiado</w:t>
      </w:r>
      <w:r w:rsidR="006177B1">
        <w:rPr>
          <w:rFonts w:cs="Arial"/>
          <w:sz w:val="22"/>
          <w:lang w:val="es-ES_tradnl"/>
        </w:rPr>
        <w:t>:</w:t>
      </w:r>
      <w:r w:rsidR="00004C23">
        <w:rPr>
          <w:rFonts w:cs="Arial"/>
          <w:sz w:val="22"/>
          <w:lang w:val="es-ES_tradnl"/>
        </w:rPr>
        <w:t xml:space="preserve"> </w:t>
      </w:r>
    </w:p>
    <w:p w14:paraId="6597A2F8" w14:textId="4CB87778" w:rsidR="0039200B" w:rsidRPr="0039200B" w:rsidRDefault="006177B1" w:rsidP="0039200B">
      <w:pPr>
        <w:spacing w:line="360" w:lineRule="auto"/>
        <w:jc w:val="both"/>
        <w:rPr>
          <w:rFonts w:cs="Arial"/>
          <w:sz w:val="22"/>
          <w:szCs w:val="22"/>
        </w:rPr>
      </w:pPr>
      <w:r>
        <w:rPr>
          <w:rFonts w:cs="Arial"/>
          <w:sz w:val="22"/>
          <w:szCs w:val="22"/>
        </w:rPr>
        <w:t>“</w:t>
      </w:r>
      <w:r w:rsidR="0039200B" w:rsidRPr="0039200B">
        <w:rPr>
          <w:rFonts w:cs="Arial"/>
          <w:sz w:val="22"/>
          <w:szCs w:val="22"/>
        </w:rPr>
        <w:t>1. Resultado de la consulta Pública al reglamento para la determinación de la población objetivo en proyectos art. 59.</w:t>
      </w:r>
    </w:p>
    <w:p w14:paraId="0553F996" w14:textId="77777777" w:rsidR="0039200B" w:rsidRPr="0039200B" w:rsidRDefault="0039200B" w:rsidP="0039200B">
      <w:pPr>
        <w:spacing w:line="360" w:lineRule="auto"/>
        <w:jc w:val="both"/>
        <w:rPr>
          <w:rFonts w:cs="Arial"/>
          <w:sz w:val="22"/>
          <w:szCs w:val="22"/>
        </w:rPr>
      </w:pPr>
      <w:r w:rsidRPr="0039200B">
        <w:rPr>
          <w:rFonts w:cs="Arial"/>
          <w:sz w:val="22"/>
          <w:szCs w:val="22"/>
        </w:rPr>
        <w:t>2. Presentación del Plan Estratégico Institucional.</w:t>
      </w:r>
    </w:p>
    <w:p w14:paraId="019A9BC7" w14:textId="77777777" w:rsidR="0039200B" w:rsidRPr="0039200B" w:rsidRDefault="0039200B" w:rsidP="0039200B">
      <w:pPr>
        <w:spacing w:line="360" w:lineRule="auto"/>
        <w:jc w:val="both"/>
        <w:rPr>
          <w:rFonts w:cs="Arial"/>
          <w:sz w:val="22"/>
          <w:szCs w:val="22"/>
        </w:rPr>
      </w:pPr>
      <w:r w:rsidRPr="0039200B">
        <w:rPr>
          <w:rFonts w:cs="Arial"/>
          <w:sz w:val="22"/>
          <w:szCs w:val="22"/>
        </w:rPr>
        <w:t>3. Proyectos Ivannia y La Flor: situación legal, maduración del nuevo proyecto Ivannia (contratación del TEC) y tema de planta de tratamiento en el proyecto La Flor.</w:t>
      </w:r>
    </w:p>
    <w:p w14:paraId="2356E22F" w14:textId="77777777" w:rsidR="0039200B" w:rsidRPr="0039200B" w:rsidRDefault="0039200B" w:rsidP="0039200B">
      <w:pPr>
        <w:spacing w:line="360" w:lineRule="auto"/>
        <w:jc w:val="both"/>
        <w:rPr>
          <w:rFonts w:cs="Arial"/>
          <w:sz w:val="22"/>
          <w:szCs w:val="22"/>
        </w:rPr>
      </w:pPr>
      <w:r w:rsidRPr="0039200B">
        <w:rPr>
          <w:rFonts w:cs="Arial"/>
          <w:sz w:val="22"/>
          <w:szCs w:val="22"/>
        </w:rPr>
        <w:t>4. Ejecución de consulta pública en territorios indígenas ordenada por la Sala Constitucional en resolución No. 2017013918 del 1 de setiembre 2017.</w:t>
      </w:r>
    </w:p>
    <w:p w14:paraId="572FE417" w14:textId="77777777" w:rsidR="0039200B" w:rsidRPr="0039200B" w:rsidRDefault="0039200B" w:rsidP="0039200B">
      <w:pPr>
        <w:spacing w:line="360" w:lineRule="auto"/>
        <w:jc w:val="both"/>
        <w:rPr>
          <w:rFonts w:cs="Arial"/>
          <w:sz w:val="22"/>
          <w:szCs w:val="22"/>
        </w:rPr>
      </w:pPr>
      <w:r w:rsidRPr="0039200B">
        <w:rPr>
          <w:rFonts w:cs="Arial"/>
          <w:sz w:val="22"/>
          <w:szCs w:val="22"/>
        </w:rPr>
        <w:t>5. Contratación de consultoría para el proceso de modernización institucional y la implementación.</w:t>
      </w:r>
    </w:p>
    <w:p w14:paraId="634E227A" w14:textId="77777777" w:rsidR="0039200B" w:rsidRPr="0039200B" w:rsidRDefault="0039200B" w:rsidP="0039200B">
      <w:pPr>
        <w:spacing w:line="360" w:lineRule="auto"/>
        <w:jc w:val="both"/>
        <w:rPr>
          <w:rFonts w:cs="Arial"/>
          <w:sz w:val="22"/>
          <w:szCs w:val="22"/>
        </w:rPr>
      </w:pPr>
      <w:r w:rsidRPr="0039200B">
        <w:rPr>
          <w:rFonts w:cs="Arial"/>
          <w:sz w:val="22"/>
          <w:szCs w:val="22"/>
        </w:rPr>
        <w:t>6. Presentación de propuesta de regulación para ajustar los precios de las soluciones habitacionales bajo modalidad S02 al amparo del art. 59.</w:t>
      </w:r>
    </w:p>
    <w:p w14:paraId="478D9BDB" w14:textId="77777777" w:rsidR="0039200B" w:rsidRPr="0039200B" w:rsidRDefault="0039200B" w:rsidP="0039200B">
      <w:pPr>
        <w:spacing w:line="360" w:lineRule="auto"/>
        <w:jc w:val="both"/>
        <w:rPr>
          <w:rFonts w:cs="Arial"/>
          <w:sz w:val="22"/>
          <w:szCs w:val="22"/>
        </w:rPr>
      </w:pPr>
      <w:r w:rsidRPr="0039200B">
        <w:rPr>
          <w:rFonts w:cs="Arial"/>
          <w:sz w:val="22"/>
          <w:szCs w:val="22"/>
        </w:rPr>
        <w:t>7. Criterio legal para otorgar financiamiento adicional por ajuste de precios de grupo de soluciones individuales en territorios indígenas al amparo del art. 59.</w:t>
      </w:r>
    </w:p>
    <w:p w14:paraId="1EA0EBDD" w14:textId="77777777" w:rsidR="0039200B" w:rsidRPr="0039200B" w:rsidRDefault="0039200B" w:rsidP="0039200B">
      <w:pPr>
        <w:spacing w:line="360" w:lineRule="auto"/>
        <w:jc w:val="both"/>
        <w:rPr>
          <w:rFonts w:cs="Arial"/>
          <w:sz w:val="22"/>
          <w:szCs w:val="22"/>
        </w:rPr>
      </w:pPr>
      <w:r w:rsidRPr="0039200B">
        <w:rPr>
          <w:rFonts w:cs="Arial"/>
          <w:sz w:val="22"/>
          <w:szCs w:val="22"/>
        </w:rPr>
        <w:t>8. Presentación de propuesta de regulación para ajustar los precios de grupos de casos individuales en territorios indígenas al amparo del art. 59.</w:t>
      </w:r>
    </w:p>
    <w:p w14:paraId="1E8545D1" w14:textId="77777777" w:rsidR="0039200B" w:rsidRPr="0039200B" w:rsidRDefault="0039200B" w:rsidP="0039200B">
      <w:pPr>
        <w:spacing w:line="360" w:lineRule="auto"/>
        <w:jc w:val="both"/>
        <w:rPr>
          <w:rFonts w:cs="Arial"/>
          <w:sz w:val="22"/>
          <w:szCs w:val="22"/>
        </w:rPr>
      </w:pPr>
      <w:r w:rsidRPr="0039200B">
        <w:rPr>
          <w:rFonts w:cs="Arial"/>
          <w:sz w:val="22"/>
          <w:szCs w:val="22"/>
        </w:rPr>
        <w:t>9. Presentación de observaciones al “Marco de acciones preventivas y correctivas aplicadas a las Entidades Autorizadas”, y las recomendaciones correspondientes.</w:t>
      </w:r>
    </w:p>
    <w:p w14:paraId="79D4362B" w14:textId="77777777" w:rsidR="0039200B" w:rsidRPr="0039200B" w:rsidRDefault="0039200B" w:rsidP="0039200B">
      <w:pPr>
        <w:spacing w:line="360" w:lineRule="auto"/>
        <w:jc w:val="both"/>
        <w:rPr>
          <w:rFonts w:cs="Arial"/>
          <w:sz w:val="22"/>
          <w:szCs w:val="22"/>
        </w:rPr>
      </w:pPr>
      <w:r w:rsidRPr="0039200B">
        <w:rPr>
          <w:rFonts w:cs="Arial"/>
          <w:sz w:val="22"/>
          <w:szCs w:val="22"/>
        </w:rPr>
        <w:t>10. Propuesta de cálculo de anualidades y su incorporación eventual al Estatuto de Personal del artículo que sustituya el artículo 23 derogado.</w:t>
      </w:r>
    </w:p>
    <w:p w14:paraId="5D2F0841" w14:textId="77777777" w:rsidR="0039200B" w:rsidRPr="0039200B" w:rsidRDefault="0039200B" w:rsidP="0039200B">
      <w:pPr>
        <w:spacing w:line="360" w:lineRule="auto"/>
        <w:jc w:val="both"/>
        <w:rPr>
          <w:rFonts w:cs="Arial"/>
          <w:sz w:val="22"/>
          <w:szCs w:val="22"/>
        </w:rPr>
      </w:pPr>
      <w:r w:rsidRPr="0039200B">
        <w:rPr>
          <w:rFonts w:cs="Arial"/>
          <w:sz w:val="22"/>
          <w:szCs w:val="22"/>
        </w:rPr>
        <w:t>11. Implementación del nuevo modelo de evaluación del desempeño del personal institucional.</w:t>
      </w:r>
    </w:p>
    <w:p w14:paraId="705C9089" w14:textId="77777777" w:rsidR="0039200B" w:rsidRPr="0039200B" w:rsidRDefault="0039200B" w:rsidP="0039200B">
      <w:pPr>
        <w:spacing w:line="360" w:lineRule="auto"/>
        <w:jc w:val="both"/>
        <w:rPr>
          <w:rFonts w:cs="Arial"/>
          <w:sz w:val="22"/>
          <w:szCs w:val="22"/>
        </w:rPr>
      </w:pPr>
      <w:r w:rsidRPr="0039200B">
        <w:rPr>
          <w:rFonts w:cs="Arial"/>
          <w:sz w:val="22"/>
          <w:szCs w:val="22"/>
        </w:rPr>
        <w:t>12. Cumplimiento del cronograma de implementación del proyecto de Expediente Electrónico.</w:t>
      </w:r>
    </w:p>
    <w:p w14:paraId="2A21B954" w14:textId="77777777" w:rsidR="0039200B" w:rsidRPr="0039200B" w:rsidRDefault="0039200B" w:rsidP="0039200B">
      <w:pPr>
        <w:spacing w:line="360" w:lineRule="auto"/>
        <w:jc w:val="both"/>
        <w:rPr>
          <w:rFonts w:cs="Arial"/>
          <w:sz w:val="22"/>
          <w:szCs w:val="22"/>
        </w:rPr>
      </w:pPr>
      <w:r w:rsidRPr="0039200B">
        <w:rPr>
          <w:rFonts w:cs="Arial"/>
          <w:sz w:val="22"/>
          <w:szCs w:val="22"/>
        </w:rPr>
        <w:t>13. Reforzamiento estructural del Edificio.</w:t>
      </w:r>
    </w:p>
    <w:p w14:paraId="6ACF922C" w14:textId="77777777" w:rsidR="0039200B" w:rsidRPr="0039200B" w:rsidRDefault="0039200B" w:rsidP="0039200B">
      <w:pPr>
        <w:spacing w:line="360" w:lineRule="auto"/>
        <w:jc w:val="both"/>
        <w:rPr>
          <w:rFonts w:cs="Arial"/>
          <w:sz w:val="22"/>
          <w:szCs w:val="22"/>
        </w:rPr>
      </w:pPr>
      <w:r w:rsidRPr="0039200B">
        <w:rPr>
          <w:rFonts w:cs="Arial"/>
          <w:sz w:val="22"/>
          <w:szCs w:val="22"/>
        </w:rPr>
        <w:t>14. Situación del proyecto Las Brisas ll sobre la construcción de los tres edificios faltantes y la propuesta para el proceso de contracción administrativa para su construcción.</w:t>
      </w:r>
    </w:p>
    <w:p w14:paraId="382786D7" w14:textId="77777777" w:rsidR="0039200B" w:rsidRPr="0039200B" w:rsidRDefault="0039200B" w:rsidP="0039200B">
      <w:pPr>
        <w:spacing w:line="360" w:lineRule="auto"/>
        <w:jc w:val="both"/>
        <w:rPr>
          <w:rFonts w:cs="Arial"/>
          <w:sz w:val="22"/>
          <w:szCs w:val="22"/>
        </w:rPr>
      </w:pPr>
      <w:r w:rsidRPr="0039200B">
        <w:rPr>
          <w:rFonts w:cs="Arial"/>
          <w:sz w:val="22"/>
          <w:szCs w:val="22"/>
        </w:rPr>
        <w:t>15. Informe de avance en la construcción de los proyectos de FUPROVI y fechas de finalización de obras, principalmente de los proyectos Torres de la Montaña, Santa Fe y Hojancha.</w:t>
      </w:r>
    </w:p>
    <w:p w14:paraId="5F6CAC76" w14:textId="77777777" w:rsidR="0039200B" w:rsidRPr="0039200B" w:rsidRDefault="0039200B" w:rsidP="0039200B">
      <w:pPr>
        <w:spacing w:line="360" w:lineRule="auto"/>
        <w:jc w:val="both"/>
        <w:rPr>
          <w:rFonts w:cs="Arial"/>
          <w:sz w:val="22"/>
          <w:szCs w:val="22"/>
        </w:rPr>
      </w:pPr>
      <w:r w:rsidRPr="0039200B">
        <w:rPr>
          <w:rFonts w:cs="Arial"/>
          <w:sz w:val="22"/>
          <w:szCs w:val="22"/>
        </w:rPr>
        <w:lastRenderedPageBreak/>
        <w:t>16. Estado actual del proyecto Limón 2000, recurso de revocatoria presentado el 17 de mayo 2022 y conocimiento de dos solicitudes de ampliación de plazo del 24 de marzo y 23 de julio.</w:t>
      </w:r>
    </w:p>
    <w:p w14:paraId="67211A35" w14:textId="77777777" w:rsidR="0039200B" w:rsidRPr="0039200B" w:rsidRDefault="0039200B" w:rsidP="0039200B">
      <w:pPr>
        <w:spacing w:line="360" w:lineRule="auto"/>
        <w:jc w:val="both"/>
        <w:rPr>
          <w:rFonts w:cs="Arial"/>
          <w:sz w:val="22"/>
          <w:szCs w:val="22"/>
        </w:rPr>
      </w:pPr>
      <w:r w:rsidRPr="0039200B">
        <w:rPr>
          <w:rFonts w:cs="Arial"/>
          <w:sz w:val="22"/>
          <w:szCs w:val="22"/>
        </w:rPr>
        <w:t>17. Estado actual del proyecto Vistas de Miravalles, cronograma de actividades pendientes y costos preliminares para lograr su conclusión.</w:t>
      </w:r>
    </w:p>
    <w:p w14:paraId="7BF7604E" w14:textId="77777777" w:rsidR="0039200B" w:rsidRPr="0039200B" w:rsidRDefault="0039200B" w:rsidP="0039200B">
      <w:pPr>
        <w:spacing w:line="360" w:lineRule="auto"/>
        <w:jc w:val="both"/>
        <w:rPr>
          <w:rFonts w:cs="Arial"/>
          <w:sz w:val="22"/>
          <w:szCs w:val="22"/>
        </w:rPr>
      </w:pPr>
      <w:r w:rsidRPr="0039200B">
        <w:rPr>
          <w:rFonts w:cs="Arial"/>
          <w:sz w:val="22"/>
          <w:szCs w:val="22"/>
        </w:rPr>
        <w:t>18. Estado actual del proyecto Horquetas y acciones para lograr su conclusión.</w:t>
      </w:r>
    </w:p>
    <w:p w14:paraId="7E2F280D" w14:textId="7D6AFA6B" w:rsidR="0039200B" w:rsidRPr="0039200B" w:rsidRDefault="0039200B" w:rsidP="0039200B">
      <w:pPr>
        <w:spacing w:line="360" w:lineRule="auto"/>
        <w:jc w:val="both"/>
        <w:rPr>
          <w:rFonts w:cs="Arial"/>
          <w:sz w:val="22"/>
          <w:szCs w:val="22"/>
        </w:rPr>
      </w:pPr>
      <w:r w:rsidRPr="0039200B">
        <w:rPr>
          <w:rFonts w:cs="Arial"/>
          <w:sz w:val="22"/>
          <w:szCs w:val="22"/>
        </w:rPr>
        <w:t>19. Estado actual de los proyectos:</w:t>
      </w:r>
      <w:r>
        <w:rPr>
          <w:rFonts w:cs="Arial"/>
          <w:sz w:val="22"/>
          <w:szCs w:val="22"/>
        </w:rPr>
        <w:t xml:space="preserve"> </w:t>
      </w:r>
      <w:r w:rsidRPr="0039200B">
        <w:rPr>
          <w:rFonts w:cs="Arial"/>
          <w:sz w:val="22"/>
          <w:szCs w:val="22"/>
        </w:rPr>
        <w:t>COBASUR</w:t>
      </w:r>
      <w:r>
        <w:rPr>
          <w:rFonts w:cs="Arial"/>
          <w:sz w:val="22"/>
          <w:szCs w:val="22"/>
        </w:rPr>
        <w:t xml:space="preserve">, </w:t>
      </w:r>
      <w:r w:rsidRPr="0039200B">
        <w:rPr>
          <w:rFonts w:cs="Arial"/>
          <w:sz w:val="22"/>
          <w:szCs w:val="22"/>
        </w:rPr>
        <w:t>Angostura</w:t>
      </w:r>
      <w:r>
        <w:rPr>
          <w:rFonts w:cs="Arial"/>
          <w:sz w:val="22"/>
          <w:szCs w:val="22"/>
        </w:rPr>
        <w:t xml:space="preserve">, </w:t>
      </w:r>
      <w:r w:rsidRPr="0039200B">
        <w:rPr>
          <w:rFonts w:cs="Arial"/>
          <w:sz w:val="22"/>
          <w:szCs w:val="22"/>
        </w:rPr>
        <w:t>Juan Pablo ll</w:t>
      </w:r>
      <w:r>
        <w:rPr>
          <w:rFonts w:cs="Arial"/>
          <w:sz w:val="22"/>
          <w:szCs w:val="22"/>
        </w:rPr>
        <w:t xml:space="preserve">, </w:t>
      </w:r>
      <w:r w:rsidRPr="0039200B">
        <w:rPr>
          <w:rFonts w:cs="Arial"/>
          <w:sz w:val="22"/>
          <w:szCs w:val="22"/>
        </w:rPr>
        <w:t>María Agüero</w:t>
      </w:r>
      <w:r>
        <w:rPr>
          <w:rFonts w:cs="Arial"/>
          <w:sz w:val="22"/>
          <w:szCs w:val="22"/>
        </w:rPr>
        <w:t xml:space="preserve"> y </w:t>
      </w:r>
      <w:r w:rsidRPr="0039200B">
        <w:rPr>
          <w:rFonts w:cs="Arial"/>
          <w:sz w:val="22"/>
          <w:szCs w:val="22"/>
        </w:rPr>
        <w:t>Condominio Andrómeda</w:t>
      </w:r>
      <w:r>
        <w:rPr>
          <w:rFonts w:cs="Arial"/>
          <w:sz w:val="22"/>
          <w:szCs w:val="22"/>
        </w:rPr>
        <w:t>.</w:t>
      </w:r>
    </w:p>
    <w:p w14:paraId="72207C1F" w14:textId="77777777" w:rsidR="0039200B" w:rsidRPr="0039200B" w:rsidRDefault="0039200B" w:rsidP="0039200B">
      <w:pPr>
        <w:spacing w:line="360" w:lineRule="auto"/>
        <w:jc w:val="both"/>
        <w:rPr>
          <w:rFonts w:cs="Arial"/>
          <w:sz w:val="22"/>
          <w:szCs w:val="22"/>
        </w:rPr>
      </w:pPr>
      <w:r w:rsidRPr="0039200B">
        <w:rPr>
          <w:rFonts w:cs="Arial"/>
          <w:sz w:val="22"/>
          <w:szCs w:val="22"/>
        </w:rPr>
        <w:t>20. Implementación proyecto OPTIMUS contracción de personal y establecimiento de las “cadenas” para lograr que ocho puestos se incorporen tiempo completo.</w:t>
      </w:r>
    </w:p>
    <w:p w14:paraId="6346A5C6" w14:textId="77777777" w:rsidR="0039200B" w:rsidRPr="0039200B" w:rsidRDefault="0039200B" w:rsidP="0039200B">
      <w:pPr>
        <w:spacing w:line="360" w:lineRule="auto"/>
        <w:jc w:val="both"/>
        <w:rPr>
          <w:rFonts w:cs="Arial"/>
          <w:sz w:val="22"/>
          <w:szCs w:val="22"/>
        </w:rPr>
      </w:pPr>
      <w:r w:rsidRPr="0039200B">
        <w:rPr>
          <w:rFonts w:cs="Arial"/>
          <w:sz w:val="22"/>
          <w:szCs w:val="22"/>
        </w:rPr>
        <w:t>21. Presentación para aprobación de acciones y costos para lograr la conectividad de la primera etapa del proyecto Vistas del Golfo .</w:t>
      </w:r>
    </w:p>
    <w:p w14:paraId="28528827" w14:textId="77777777" w:rsidR="0039200B" w:rsidRPr="0039200B" w:rsidRDefault="0039200B" w:rsidP="0039200B">
      <w:pPr>
        <w:spacing w:line="360" w:lineRule="auto"/>
        <w:jc w:val="both"/>
        <w:rPr>
          <w:rFonts w:cs="Arial"/>
          <w:sz w:val="22"/>
          <w:szCs w:val="22"/>
        </w:rPr>
      </w:pPr>
      <w:r w:rsidRPr="0039200B">
        <w:rPr>
          <w:rFonts w:cs="Arial"/>
          <w:sz w:val="22"/>
          <w:szCs w:val="22"/>
        </w:rPr>
        <w:t>22. Presentación de regulación para lograr el financiamiento de la variable de acompañamiento social en los proyectos de vivienda, principalmente bajo el régimen condominal.</w:t>
      </w:r>
    </w:p>
    <w:p w14:paraId="013E173D" w14:textId="77777777" w:rsidR="0039200B" w:rsidRPr="0039200B" w:rsidRDefault="0039200B" w:rsidP="0039200B">
      <w:pPr>
        <w:spacing w:line="360" w:lineRule="auto"/>
        <w:jc w:val="both"/>
        <w:rPr>
          <w:rFonts w:cs="Arial"/>
          <w:sz w:val="22"/>
          <w:szCs w:val="22"/>
        </w:rPr>
      </w:pPr>
      <w:r w:rsidRPr="0039200B">
        <w:rPr>
          <w:rFonts w:cs="Arial"/>
          <w:sz w:val="22"/>
          <w:szCs w:val="22"/>
        </w:rPr>
        <w:t>23. Conocimiento de criterios de legalidad sobre la liquidación del rubro de imprevistos.</w:t>
      </w:r>
    </w:p>
    <w:p w14:paraId="460E352F" w14:textId="77777777" w:rsidR="0039200B" w:rsidRPr="0039200B" w:rsidRDefault="0039200B" w:rsidP="0039200B">
      <w:pPr>
        <w:spacing w:line="360" w:lineRule="auto"/>
        <w:jc w:val="both"/>
        <w:rPr>
          <w:rFonts w:cs="Arial"/>
          <w:sz w:val="22"/>
          <w:szCs w:val="22"/>
        </w:rPr>
      </w:pPr>
      <w:r w:rsidRPr="0039200B">
        <w:rPr>
          <w:rFonts w:cs="Arial"/>
          <w:sz w:val="22"/>
          <w:szCs w:val="22"/>
        </w:rPr>
        <w:t>24. Presentación de informe sobre relación de costos del plan piloto del Programa de Vivienda Urbana inclusiva y sostenible y su valor social.</w:t>
      </w:r>
    </w:p>
    <w:p w14:paraId="2A1B247E" w14:textId="77777777" w:rsidR="0039200B" w:rsidRPr="0039200B" w:rsidRDefault="0039200B" w:rsidP="0039200B">
      <w:pPr>
        <w:spacing w:line="360" w:lineRule="auto"/>
        <w:jc w:val="both"/>
        <w:rPr>
          <w:rFonts w:cs="Arial"/>
          <w:sz w:val="22"/>
          <w:szCs w:val="22"/>
        </w:rPr>
      </w:pPr>
      <w:r w:rsidRPr="0039200B">
        <w:rPr>
          <w:rFonts w:cs="Arial"/>
          <w:sz w:val="22"/>
          <w:szCs w:val="22"/>
        </w:rPr>
        <w:t>25. Liquidación del proyecto 25 de julio (año 2011) por parte del INVU.</w:t>
      </w:r>
    </w:p>
    <w:p w14:paraId="6E53C199" w14:textId="77777777" w:rsidR="0039200B" w:rsidRPr="0039200B" w:rsidRDefault="0039200B" w:rsidP="0039200B">
      <w:pPr>
        <w:spacing w:line="360" w:lineRule="auto"/>
        <w:jc w:val="both"/>
        <w:rPr>
          <w:rFonts w:cs="Arial"/>
          <w:sz w:val="22"/>
          <w:szCs w:val="22"/>
        </w:rPr>
      </w:pPr>
      <w:r w:rsidRPr="0039200B">
        <w:rPr>
          <w:rFonts w:cs="Arial"/>
          <w:sz w:val="22"/>
          <w:szCs w:val="22"/>
        </w:rPr>
        <w:t>26. Tipología constructiva en territorios indígenas.</w:t>
      </w:r>
    </w:p>
    <w:p w14:paraId="1E3703E5" w14:textId="77777777" w:rsidR="0039200B" w:rsidRPr="0039200B" w:rsidRDefault="0039200B" w:rsidP="0039200B">
      <w:pPr>
        <w:spacing w:line="360" w:lineRule="auto"/>
        <w:jc w:val="both"/>
        <w:rPr>
          <w:rFonts w:cs="Arial"/>
          <w:sz w:val="22"/>
          <w:szCs w:val="22"/>
        </w:rPr>
      </w:pPr>
      <w:r w:rsidRPr="0039200B">
        <w:rPr>
          <w:rFonts w:cs="Arial"/>
          <w:sz w:val="22"/>
          <w:szCs w:val="22"/>
        </w:rPr>
        <w:t xml:space="preserve">27. Informe sobre las PTAR que todavía no han sido recibidas por </w:t>
      </w:r>
      <w:proofErr w:type="spellStart"/>
      <w:r w:rsidRPr="0039200B">
        <w:rPr>
          <w:rFonts w:cs="Arial"/>
          <w:sz w:val="22"/>
          <w:szCs w:val="22"/>
        </w:rPr>
        <w:t>AyA</w:t>
      </w:r>
      <w:proofErr w:type="spellEnd"/>
      <w:r w:rsidRPr="0039200B">
        <w:rPr>
          <w:rFonts w:cs="Arial"/>
          <w:sz w:val="22"/>
          <w:szCs w:val="22"/>
        </w:rPr>
        <w:t xml:space="preserve"> y montos que han costado su financiamiento de administración, tanto en proyectos como Bono Comunitario.</w:t>
      </w:r>
    </w:p>
    <w:p w14:paraId="3F9D1EAA" w14:textId="77777777" w:rsidR="0039200B" w:rsidRPr="0039200B" w:rsidRDefault="0039200B" w:rsidP="0039200B">
      <w:pPr>
        <w:spacing w:line="360" w:lineRule="auto"/>
        <w:jc w:val="both"/>
        <w:rPr>
          <w:rFonts w:cs="Arial"/>
          <w:sz w:val="22"/>
          <w:szCs w:val="22"/>
        </w:rPr>
      </w:pPr>
      <w:r w:rsidRPr="0039200B">
        <w:rPr>
          <w:rFonts w:cs="Arial"/>
          <w:sz w:val="22"/>
          <w:szCs w:val="22"/>
        </w:rPr>
        <w:t>28. Conocimiento del oficio CABANHVI-018-2022 del 4 de abril sobre el plan de acción de la Dirección FOSUVI para atender recomendaciones de auditoría interna y externa, así como acuerdos de JD a marzo 2022.</w:t>
      </w:r>
    </w:p>
    <w:p w14:paraId="09AE3BA0" w14:textId="77777777" w:rsidR="0039200B" w:rsidRPr="0039200B" w:rsidRDefault="0039200B" w:rsidP="0039200B">
      <w:pPr>
        <w:spacing w:line="360" w:lineRule="auto"/>
        <w:jc w:val="both"/>
        <w:rPr>
          <w:rFonts w:cs="Arial"/>
          <w:sz w:val="22"/>
          <w:szCs w:val="22"/>
        </w:rPr>
      </w:pPr>
      <w:r w:rsidRPr="0039200B">
        <w:rPr>
          <w:rFonts w:cs="Arial"/>
          <w:sz w:val="22"/>
          <w:szCs w:val="22"/>
        </w:rPr>
        <w:t>29. Conocimiento de oficio CABANHVI-013-2022 del 22 de marzo sobre el estado de recomendaciones de los órganos de fiscalización y control a diciembre 2021. Se solicitó actualización a la Auditoria Interna.</w:t>
      </w:r>
    </w:p>
    <w:p w14:paraId="7C3210C2" w14:textId="77777777" w:rsidR="0039200B" w:rsidRPr="0039200B" w:rsidRDefault="0039200B" w:rsidP="0039200B">
      <w:pPr>
        <w:spacing w:line="360" w:lineRule="auto"/>
        <w:jc w:val="both"/>
        <w:rPr>
          <w:rFonts w:cs="Arial"/>
          <w:sz w:val="22"/>
          <w:szCs w:val="22"/>
        </w:rPr>
      </w:pPr>
      <w:r w:rsidRPr="0039200B">
        <w:rPr>
          <w:rFonts w:cs="Arial"/>
          <w:sz w:val="22"/>
          <w:szCs w:val="22"/>
        </w:rPr>
        <w:t>30. Entrega de PTAR del proyecto Las Brisas ll a la Municipalidad y propuesta para continuar el mantenimiento y operación.</w:t>
      </w:r>
    </w:p>
    <w:p w14:paraId="27B9E60D" w14:textId="50567AC0" w:rsidR="0039200B" w:rsidRPr="0039200B" w:rsidRDefault="0039200B" w:rsidP="0039200B">
      <w:pPr>
        <w:spacing w:line="360" w:lineRule="auto"/>
        <w:jc w:val="both"/>
        <w:rPr>
          <w:rFonts w:cs="Arial"/>
          <w:sz w:val="22"/>
          <w:szCs w:val="22"/>
        </w:rPr>
      </w:pPr>
      <w:r w:rsidRPr="0039200B">
        <w:rPr>
          <w:rFonts w:cs="Arial"/>
          <w:sz w:val="22"/>
          <w:szCs w:val="22"/>
        </w:rPr>
        <w:t xml:space="preserve">31. Estado de implementación de las oportunidades de mejora identificados en estudio anterior ya que la CGR </w:t>
      </w:r>
      <w:r w:rsidR="005234C2">
        <w:rPr>
          <w:rFonts w:cs="Arial"/>
          <w:sz w:val="22"/>
          <w:szCs w:val="22"/>
        </w:rPr>
        <w:t>h</w:t>
      </w:r>
      <w:r w:rsidRPr="0039200B">
        <w:rPr>
          <w:rFonts w:cs="Arial"/>
          <w:sz w:val="22"/>
          <w:szCs w:val="22"/>
        </w:rPr>
        <w:t xml:space="preserve">a informado de la aplicación del </w:t>
      </w:r>
      <w:r w:rsidR="002B54F2" w:rsidRPr="0039200B">
        <w:rPr>
          <w:rFonts w:cs="Arial"/>
          <w:sz w:val="22"/>
          <w:szCs w:val="22"/>
        </w:rPr>
        <w:t>Índice</w:t>
      </w:r>
      <w:r w:rsidRPr="0039200B">
        <w:rPr>
          <w:rFonts w:cs="Arial"/>
          <w:sz w:val="22"/>
          <w:szCs w:val="22"/>
        </w:rPr>
        <w:t xml:space="preserve"> de Capacidad de Gestión en el 2023.</w:t>
      </w:r>
    </w:p>
    <w:p w14:paraId="21BB5911" w14:textId="77777777" w:rsidR="0039200B" w:rsidRPr="0039200B" w:rsidRDefault="0039200B" w:rsidP="0039200B">
      <w:pPr>
        <w:spacing w:line="360" w:lineRule="auto"/>
        <w:jc w:val="both"/>
        <w:rPr>
          <w:rFonts w:cs="Arial"/>
          <w:sz w:val="22"/>
          <w:szCs w:val="22"/>
        </w:rPr>
      </w:pPr>
      <w:r w:rsidRPr="0039200B">
        <w:rPr>
          <w:rFonts w:cs="Arial"/>
          <w:sz w:val="22"/>
          <w:szCs w:val="22"/>
        </w:rPr>
        <w:lastRenderedPageBreak/>
        <w:t>32. Informe sobre corrección de deficiencias del proyecto Don Sergio l y su corrección en Don Sergio ll.</w:t>
      </w:r>
    </w:p>
    <w:p w14:paraId="2B549A93" w14:textId="77777777" w:rsidR="0039200B" w:rsidRPr="0039200B" w:rsidRDefault="0039200B" w:rsidP="0039200B">
      <w:pPr>
        <w:spacing w:line="360" w:lineRule="auto"/>
        <w:jc w:val="both"/>
        <w:rPr>
          <w:rFonts w:cs="Arial"/>
          <w:sz w:val="22"/>
          <w:szCs w:val="22"/>
        </w:rPr>
      </w:pPr>
      <w:r w:rsidRPr="0039200B">
        <w:rPr>
          <w:rFonts w:cs="Arial"/>
          <w:sz w:val="22"/>
          <w:szCs w:val="22"/>
        </w:rPr>
        <w:t>33. Presentación plan de trabajo para elaborar una guía de trámites y requisitos vigentes para los diferentes programas de financiamiento con recursos FOSUVI.</w:t>
      </w:r>
    </w:p>
    <w:p w14:paraId="67BAB21F" w14:textId="77777777" w:rsidR="0039200B" w:rsidRPr="0039200B" w:rsidRDefault="0039200B" w:rsidP="0039200B">
      <w:pPr>
        <w:spacing w:line="360" w:lineRule="auto"/>
        <w:jc w:val="both"/>
        <w:rPr>
          <w:rFonts w:cs="Arial"/>
          <w:sz w:val="22"/>
          <w:szCs w:val="22"/>
        </w:rPr>
      </w:pPr>
      <w:r w:rsidRPr="0039200B">
        <w:rPr>
          <w:rFonts w:cs="Arial"/>
          <w:sz w:val="22"/>
          <w:szCs w:val="22"/>
        </w:rPr>
        <w:t>34. Presentación de la “Estrategia Interinstitucional para fortalecer el acceso de las mujeres a la vivienda adecuada y el Hábitat”, y su inclusión al plan estratégico institucional.</w:t>
      </w:r>
    </w:p>
    <w:p w14:paraId="00503C5D" w14:textId="77777777" w:rsidR="0039200B" w:rsidRPr="0039200B" w:rsidRDefault="0039200B" w:rsidP="0039200B">
      <w:pPr>
        <w:spacing w:line="360" w:lineRule="auto"/>
        <w:jc w:val="both"/>
        <w:rPr>
          <w:rFonts w:cs="Arial"/>
          <w:sz w:val="22"/>
          <w:szCs w:val="22"/>
        </w:rPr>
      </w:pPr>
      <w:r w:rsidRPr="0039200B">
        <w:rPr>
          <w:rFonts w:cs="Arial"/>
          <w:sz w:val="22"/>
          <w:szCs w:val="22"/>
        </w:rPr>
        <w:t>35. Programa de capacitación para reforzar el tema de control interno.</w:t>
      </w:r>
    </w:p>
    <w:p w14:paraId="21285AE2" w14:textId="77777777" w:rsidR="0039200B" w:rsidRPr="0039200B" w:rsidRDefault="0039200B" w:rsidP="0039200B">
      <w:pPr>
        <w:spacing w:line="360" w:lineRule="auto"/>
        <w:jc w:val="both"/>
        <w:rPr>
          <w:rFonts w:cs="Arial"/>
          <w:sz w:val="22"/>
          <w:szCs w:val="22"/>
        </w:rPr>
      </w:pPr>
      <w:r w:rsidRPr="0039200B">
        <w:rPr>
          <w:rFonts w:cs="Arial"/>
          <w:sz w:val="22"/>
          <w:szCs w:val="22"/>
        </w:rPr>
        <w:t>36. Contratación de consultoría para lograr una cultura de cumplimiento y de control interno.</w:t>
      </w:r>
    </w:p>
    <w:p w14:paraId="24335231" w14:textId="77777777" w:rsidR="0039200B" w:rsidRPr="0039200B" w:rsidRDefault="0039200B" w:rsidP="0039200B">
      <w:pPr>
        <w:spacing w:line="360" w:lineRule="auto"/>
        <w:jc w:val="both"/>
        <w:rPr>
          <w:rFonts w:cs="Arial"/>
          <w:sz w:val="22"/>
          <w:szCs w:val="22"/>
        </w:rPr>
      </w:pPr>
      <w:r w:rsidRPr="0039200B">
        <w:rPr>
          <w:rFonts w:cs="Arial"/>
          <w:sz w:val="22"/>
          <w:szCs w:val="22"/>
        </w:rPr>
        <w:t>37. Presentación de informe sobre solicitud de la Asociación de Desarrollo Integral de Purral Abajo sobre donación de terreno (plazo al 7 de marzo).</w:t>
      </w:r>
    </w:p>
    <w:p w14:paraId="5FE4EB9B" w14:textId="658C238D" w:rsidR="0039200B" w:rsidRPr="0039200B" w:rsidRDefault="0039200B" w:rsidP="0039200B">
      <w:pPr>
        <w:spacing w:line="360" w:lineRule="auto"/>
        <w:jc w:val="both"/>
        <w:rPr>
          <w:rFonts w:cs="Arial"/>
          <w:sz w:val="22"/>
          <w:szCs w:val="22"/>
        </w:rPr>
      </w:pPr>
      <w:r w:rsidRPr="0039200B">
        <w:rPr>
          <w:rFonts w:cs="Arial"/>
          <w:sz w:val="22"/>
          <w:szCs w:val="22"/>
        </w:rPr>
        <w:t>38. Respuesta a solicitud de la constructora Davivienda sobre financiamiento por incremento de precios en el proyecto Las Palmas del 25 de marzo 2022.</w:t>
      </w:r>
      <w:r w:rsidR="006177B1">
        <w:rPr>
          <w:rFonts w:cs="Arial"/>
          <w:sz w:val="22"/>
          <w:szCs w:val="22"/>
        </w:rPr>
        <w:t>”</w:t>
      </w:r>
    </w:p>
    <w:p w14:paraId="2071F951" w14:textId="4F7650EC" w:rsidR="007A0BDA" w:rsidRDefault="007A0BDA" w:rsidP="00F95D17">
      <w:pPr>
        <w:spacing w:line="360" w:lineRule="auto"/>
        <w:jc w:val="both"/>
        <w:rPr>
          <w:rFonts w:cs="Arial"/>
          <w:sz w:val="22"/>
          <w:szCs w:val="22"/>
        </w:rPr>
      </w:pPr>
    </w:p>
    <w:p w14:paraId="6F3E428C" w14:textId="032CA4D8" w:rsidR="00CC20A5" w:rsidRDefault="00C47FF6" w:rsidP="00C47FF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Pr>
          <w:rFonts w:cs="Arial"/>
          <w:sz w:val="22"/>
          <w:u w:val="single"/>
          <w:lang w:val="es-ES_tradnl"/>
        </w:rPr>
        <w:t>30</w:t>
      </w:r>
      <w:r>
        <w:rPr>
          <w:rFonts w:cs="Arial"/>
          <w:sz w:val="22"/>
          <w:lang w:val="es-ES_tradnl"/>
        </w:rPr>
        <w:t xml:space="preserve"> El </w:t>
      </w:r>
      <w:r w:rsidR="00CC20A5">
        <w:rPr>
          <w:rFonts w:cs="Arial"/>
          <w:sz w:val="22"/>
          <w:lang w:val="es-ES_tradnl"/>
        </w:rPr>
        <w:t xml:space="preserve">Director Presidente </w:t>
      </w:r>
      <w:r>
        <w:rPr>
          <w:rFonts w:cs="Arial"/>
          <w:sz w:val="22"/>
          <w:lang w:val="es-ES_tradnl"/>
        </w:rPr>
        <w:t>toma nota de</w:t>
      </w:r>
      <w:r w:rsidR="00CC20A5">
        <w:rPr>
          <w:rFonts w:cs="Arial"/>
          <w:sz w:val="22"/>
          <w:lang w:val="es-ES_tradnl"/>
        </w:rPr>
        <w:t xml:space="preserve"> una solicitud del Director Alvarado Herrera, para que lo antes posible incluya en la agenda de una sesión, el análisis de las ofertas recibidas para ocupar los puestos de Subgerente Financiero y Subgerente de Operaciones</w:t>
      </w:r>
      <w:r w:rsidR="00444133">
        <w:rPr>
          <w:rFonts w:cs="Arial"/>
          <w:sz w:val="22"/>
          <w:lang w:val="es-ES_tradnl"/>
        </w:rPr>
        <w:t xml:space="preserve">, así como las respectivas entrevistas; considerando no solo </w:t>
      </w:r>
      <w:r w:rsidR="00CC20A5">
        <w:rPr>
          <w:rFonts w:cs="Arial"/>
          <w:sz w:val="22"/>
          <w:lang w:val="es-ES_tradnl"/>
        </w:rPr>
        <w:t>que el pasado jueves venció el plazo para presentar ofertas, sino además ante la necesidad de completar el equipo gerencial</w:t>
      </w:r>
      <w:r w:rsidR="00444133">
        <w:rPr>
          <w:rFonts w:cs="Arial"/>
          <w:sz w:val="22"/>
          <w:lang w:val="es-ES_tradnl"/>
        </w:rPr>
        <w:t xml:space="preserve"> del Banco.</w:t>
      </w:r>
    </w:p>
    <w:p w14:paraId="09D8AB84" w14:textId="77777777" w:rsidR="00CC20A5" w:rsidRDefault="00CC20A5" w:rsidP="00C47FF6">
      <w:pPr>
        <w:spacing w:line="360" w:lineRule="auto"/>
        <w:jc w:val="both"/>
        <w:rPr>
          <w:rFonts w:cs="Arial"/>
          <w:sz w:val="22"/>
          <w:lang w:val="es-ES_tradnl"/>
        </w:rPr>
      </w:pPr>
    </w:p>
    <w:p w14:paraId="77E5BA67" w14:textId="253D313C" w:rsidR="00A43EC5" w:rsidRDefault="00A43EC5" w:rsidP="00A43EC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32</w:t>
      </w:r>
      <w:r>
        <w:rPr>
          <w:rFonts w:cs="Arial"/>
          <w:sz w:val="22"/>
          <w:lang w:val="es-ES_tradnl"/>
        </w:rPr>
        <w:t xml:space="preserve"> El Lic. </w:t>
      </w:r>
      <w:r w:rsidR="00274FAF">
        <w:rPr>
          <w:rFonts w:cs="Arial"/>
          <w:sz w:val="22"/>
          <w:lang w:val="es-ES_tradnl"/>
        </w:rPr>
        <w:t xml:space="preserve">Castro Miranda toma nota de una solicitud del Director Carazo Campos, </w:t>
      </w:r>
      <w:r w:rsidR="00F02058">
        <w:rPr>
          <w:rFonts w:cs="Arial"/>
          <w:sz w:val="22"/>
          <w:lang w:val="es-ES_tradnl"/>
        </w:rPr>
        <w:t xml:space="preserve">para que se presente a esta </w:t>
      </w:r>
      <w:r w:rsidR="00F02058" w:rsidRPr="00F02058">
        <w:rPr>
          <w:rFonts w:cs="Arial"/>
          <w:sz w:val="22"/>
          <w:lang w:val="es-ES_tradnl"/>
        </w:rPr>
        <w:t>Junta Directiva</w:t>
      </w:r>
      <w:r w:rsidR="00F02058">
        <w:rPr>
          <w:rFonts w:cs="Arial"/>
          <w:sz w:val="22"/>
          <w:lang w:val="es-ES_tradnl"/>
        </w:rPr>
        <w:t xml:space="preserve"> un informe sobre los proyectos de vivienda que cuentan con contenido económico y que </w:t>
      </w:r>
      <w:r w:rsidR="008B6E52">
        <w:rPr>
          <w:rFonts w:cs="Arial"/>
          <w:sz w:val="22"/>
          <w:lang w:val="es-ES_tradnl"/>
        </w:rPr>
        <w:t xml:space="preserve">no se ejecutarán en el presente año, </w:t>
      </w:r>
      <w:r w:rsidR="00CE1757">
        <w:rPr>
          <w:rFonts w:cs="Arial"/>
          <w:sz w:val="22"/>
          <w:lang w:val="es-ES_tradnl"/>
        </w:rPr>
        <w:t>incluyendo un</w:t>
      </w:r>
      <w:r w:rsidR="00EC7CDA">
        <w:rPr>
          <w:rFonts w:cs="Arial"/>
          <w:sz w:val="22"/>
          <w:lang w:val="es-ES_tradnl"/>
        </w:rPr>
        <w:t xml:space="preserve"> criterio</w:t>
      </w:r>
      <w:r w:rsidR="00CE1757">
        <w:rPr>
          <w:rFonts w:cs="Arial"/>
          <w:sz w:val="22"/>
          <w:lang w:val="es-ES_tradnl"/>
        </w:rPr>
        <w:t xml:space="preserve"> sobre la </w:t>
      </w:r>
      <w:r w:rsidR="002735F2">
        <w:rPr>
          <w:rFonts w:cs="Arial"/>
          <w:sz w:val="22"/>
          <w:lang w:val="es-ES_tradnl"/>
        </w:rPr>
        <w:t>viabilidad</w:t>
      </w:r>
      <w:r w:rsidR="00CE1757">
        <w:rPr>
          <w:rFonts w:cs="Arial"/>
          <w:sz w:val="22"/>
          <w:lang w:val="es-ES_tradnl"/>
        </w:rPr>
        <w:t xml:space="preserve"> de aplicar esos recursos en otros proyectos</w:t>
      </w:r>
      <w:r w:rsidR="002735F2">
        <w:rPr>
          <w:rFonts w:cs="Arial"/>
          <w:sz w:val="22"/>
          <w:lang w:val="es-ES_tradnl"/>
        </w:rPr>
        <w:t xml:space="preserve"> de vivienda</w:t>
      </w:r>
      <w:r w:rsidR="000A6422">
        <w:rPr>
          <w:rFonts w:cs="Arial"/>
          <w:sz w:val="22"/>
          <w:lang w:val="es-ES_tradnl"/>
        </w:rPr>
        <w:t>.</w:t>
      </w:r>
      <w:r w:rsidR="00F02058">
        <w:rPr>
          <w:rFonts w:cs="Arial"/>
          <w:sz w:val="22"/>
          <w:lang w:val="es-ES_tradnl"/>
        </w:rPr>
        <w:t xml:space="preserve"> </w:t>
      </w:r>
      <w:r w:rsidR="00DD4F32">
        <w:rPr>
          <w:rFonts w:cs="Arial"/>
          <w:sz w:val="22"/>
          <w:lang w:val="es-ES_tradnl"/>
        </w:rPr>
        <w:t>En este mismo orden de ideas se pronuncia luego la Directora Barrantes Castegnaro (minuto 28:05)</w:t>
      </w:r>
      <w:r w:rsidR="00EC79F0">
        <w:rPr>
          <w:rFonts w:cs="Arial"/>
          <w:sz w:val="22"/>
          <w:lang w:val="es-ES_tradnl"/>
        </w:rPr>
        <w:t xml:space="preserve"> –</w:t>
      </w:r>
      <w:r w:rsidR="0061583C">
        <w:rPr>
          <w:rFonts w:cs="Arial"/>
          <w:sz w:val="22"/>
          <w:lang w:val="es-ES_tradnl"/>
        </w:rPr>
        <w:t>secundada</w:t>
      </w:r>
      <w:r w:rsidR="00EC79F0">
        <w:rPr>
          <w:rFonts w:cs="Arial"/>
          <w:sz w:val="22"/>
          <w:lang w:val="es-ES_tradnl"/>
        </w:rPr>
        <w:t xml:space="preserve"> después </w:t>
      </w:r>
      <w:r w:rsidR="0061583C">
        <w:rPr>
          <w:rFonts w:cs="Arial"/>
          <w:sz w:val="22"/>
          <w:lang w:val="es-ES_tradnl"/>
        </w:rPr>
        <w:t>por</w:t>
      </w:r>
      <w:r w:rsidR="00345F5F">
        <w:rPr>
          <w:rFonts w:cs="Arial"/>
          <w:sz w:val="22"/>
          <w:lang w:val="es-ES_tradnl"/>
        </w:rPr>
        <w:t xml:space="preserve"> otros señores Directores</w:t>
      </w:r>
      <w:r w:rsidR="00EC79F0">
        <w:rPr>
          <w:rFonts w:cs="Arial"/>
          <w:sz w:val="22"/>
          <w:lang w:val="es-ES_tradnl"/>
        </w:rPr>
        <w:t xml:space="preserve">– quien </w:t>
      </w:r>
      <w:r w:rsidR="00DD4F32">
        <w:rPr>
          <w:rFonts w:cs="Arial"/>
          <w:sz w:val="22"/>
          <w:lang w:val="es-ES_tradnl"/>
        </w:rPr>
        <w:t xml:space="preserve">comenta que en </w:t>
      </w:r>
      <w:r w:rsidR="00605FAE">
        <w:rPr>
          <w:rFonts w:cs="Arial"/>
          <w:sz w:val="22"/>
          <w:lang w:val="es-ES_tradnl"/>
        </w:rPr>
        <w:t xml:space="preserve">una sesión anterior (N° 40-2022), </w:t>
      </w:r>
      <w:r w:rsidR="00DD4F32">
        <w:rPr>
          <w:rFonts w:cs="Arial"/>
          <w:sz w:val="22"/>
          <w:lang w:val="es-ES_tradnl"/>
        </w:rPr>
        <w:t xml:space="preserve">se había solicitado valorar la posibilidad de </w:t>
      </w:r>
      <w:r w:rsidR="00211031">
        <w:rPr>
          <w:rFonts w:cs="Arial"/>
          <w:sz w:val="22"/>
          <w:lang w:val="es-ES_tradnl"/>
        </w:rPr>
        <w:t xml:space="preserve">utilizar </w:t>
      </w:r>
      <w:r w:rsidR="00DD4F32">
        <w:rPr>
          <w:rFonts w:cs="Arial"/>
          <w:sz w:val="22"/>
          <w:lang w:val="es-ES_tradnl"/>
        </w:rPr>
        <w:t xml:space="preserve">recursos </w:t>
      </w:r>
      <w:r w:rsidR="00211031">
        <w:rPr>
          <w:rFonts w:cs="Arial"/>
          <w:sz w:val="22"/>
          <w:lang w:val="es-ES_tradnl"/>
        </w:rPr>
        <w:t>que no serán aplicados a proyectos antiguos que actualmente no se están desarrollando y que disponen de contenido económico</w:t>
      </w:r>
      <w:r w:rsidR="00EC79F0">
        <w:rPr>
          <w:rFonts w:cs="Arial"/>
          <w:sz w:val="22"/>
          <w:lang w:val="es-ES_tradnl"/>
        </w:rPr>
        <w:t xml:space="preserve"> o tienen fondos pendientes de liquidar</w:t>
      </w:r>
      <w:r w:rsidR="00211031">
        <w:rPr>
          <w:rFonts w:cs="Arial"/>
          <w:sz w:val="22"/>
          <w:lang w:val="es-ES_tradnl"/>
        </w:rPr>
        <w:t>.</w:t>
      </w:r>
      <w:r w:rsidR="00B02664">
        <w:rPr>
          <w:rFonts w:cs="Arial"/>
          <w:sz w:val="22"/>
          <w:lang w:val="es-ES_tradnl"/>
        </w:rPr>
        <w:t xml:space="preserve">  Este aspecto se analiza luego con el concurso de la Licda. Masís Calderón y el Lic. Castro Miranda, quienes explican el proceso que se aplica para </w:t>
      </w:r>
      <w:r w:rsidR="00A640E2">
        <w:rPr>
          <w:rFonts w:cs="Arial"/>
          <w:sz w:val="22"/>
          <w:lang w:val="es-ES_tradnl"/>
        </w:rPr>
        <w:t>comprometer y liquidar los recursos de los recursos de los proyectos de vivienda</w:t>
      </w:r>
      <w:r w:rsidR="00B02664">
        <w:rPr>
          <w:rFonts w:cs="Arial"/>
          <w:sz w:val="22"/>
          <w:lang w:val="es-ES_tradnl"/>
        </w:rPr>
        <w:t>.</w:t>
      </w:r>
    </w:p>
    <w:p w14:paraId="0F272CB3" w14:textId="6CEA9502" w:rsidR="007A0BDA" w:rsidRDefault="007A0BDA" w:rsidP="00F95D17">
      <w:pPr>
        <w:spacing w:line="360" w:lineRule="auto"/>
        <w:jc w:val="both"/>
        <w:rPr>
          <w:rFonts w:cs="Arial"/>
          <w:sz w:val="22"/>
          <w:szCs w:val="22"/>
        </w:rPr>
      </w:pPr>
    </w:p>
    <w:p w14:paraId="4F4D5669" w14:textId="241DB226" w:rsidR="004E16E6" w:rsidRDefault="004E16E6" w:rsidP="004E16E6">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21</w:t>
      </w:r>
      <w:r w:rsidRPr="00A25DB7">
        <w:rPr>
          <w:rFonts w:cs="Arial"/>
          <w:sz w:val="22"/>
          <w:u w:val="single"/>
          <w:lang w:val="es-ES_tradnl"/>
        </w:rPr>
        <w:t>:</w:t>
      </w:r>
      <w:r>
        <w:rPr>
          <w:rFonts w:cs="Arial"/>
          <w:sz w:val="22"/>
          <w:u w:val="single"/>
          <w:lang w:val="es-ES_tradnl"/>
        </w:rPr>
        <w:t>36</w:t>
      </w:r>
      <w:r>
        <w:rPr>
          <w:rFonts w:cs="Arial"/>
          <w:sz w:val="22"/>
          <w:lang w:val="es-ES_tradnl"/>
        </w:rPr>
        <w:t xml:space="preserve"> El Director Carazo Campos manifiesta su interés en realizar próximamente una visita de inspección al proyecto Vistas del Golfo, en </w:t>
      </w:r>
      <w:proofErr w:type="spellStart"/>
      <w:r>
        <w:rPr>
          <w:rFonts w:cs="Arial"/>
          <w:sz w:val="22"/>
          <w:lang w:val="es-ES_tradnl"/>
        </w:rPr>
        <w:t>Chomes</w:t>
      </w:r>
      <w:proofErr w:type="spellEnd"/>
      <w:r>
        <w:rPr>
          <w:rFonts w:cs="Arial"/>
          <w:sz w:val="22"/>
          <w:lang w:val="es-ES_tradnl"/>
        </w:rPr>
        <w:t xml:space="preserve"> de Puntarenas, con el fin de conocer la problemática que se expuso a este Órgano Colegiado en la </w:t>
      </w:r>
      <w:r w:rsidR="00D15472">
        <w:rPr>
          <w:rFonts w:cs="Arial"/>
          <w:sz w:val="22"/>
          <w:lang w:val="es-ES_tradnl"/>
        </w:rPr>
        <w:t>sesión 40-2022 del pasado 11 de agosto.</w:t>
      </w:r>
    </w:p>
    <w:p w14:paraId="7E636097" w14:textId="457D6C3A" w:rsidR="007A0BDA" w:rsidRDefault="007A0BDA" w:rsidP="00F95D17">
      <w:pPr>
        <w:spacing w:line="360" w:lineRule="auto"/>
        <w:jc w:val="both"/>
        <w:rPr>
          <w:rFonts w:cs="Arial"/>
          <w:sz w:val="22"/>
          <w:szCs w:val="22"/>
        </w:rPr>
      </w:pPr>
    </w:p>
    <w:p w14:paraId="4958F3CF" w14:textId="5091C9DB" w:rsidR="00D15472" w:rsidRDefault="00D15472" w:rsidP="00D1547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22</w:t>
      </w:r>
      <w:r w:rsidRPr="00A25DB7">
        <w:rPr>
          <w:rFonts w:cs="Arial"/>
          <w:sz w:val="22"/>
          <w:u w:val="single"/>
          <w:lang w:val="es-ES_tradnl"/>
        </w:rPr>
        <w:t>:</w:t>
      </w:r>
      <w:r>
        <w:rPr>
          <w:rFonts w:cs="Arial"/>
          <w:sz w:val="22"/>
          <w:u w:val="single"/>
          <w:lang w:val="es-ES_tradnl"/>
        </w:rPr>
        <w:t>25</w:t>
      </w:r>
      <w:r>
        <w:rPr>
          <w:rFonts w:cs="Arial"/>
          <w:sz w:val="22"/>
          <w:lang w:val="es-ES_tradnl"/>
        </w:rPr>
        <w:t xml:space="preserve"> El Lic. Castro Miranda toma nota de una solicitud del Director Carazo Campos, para que, tal y como </w:t>
      </w:r>
      <w:r w:rsidR="00A6347E">
        <w:rPr>
          <w:rFonts w:cs="Arial"/>
          <w:sz w:val="22"/>
          <w:lang w:val="es-ES_tradnl"/>
        </w:rPr>
        <w:t>lo había ofrecido el señor Gerente General en una sesión anterior, se presente</w:t>
      </w:r>
      <w:r w:rsidR="000974D2">
        <w:rPr>
          <w:rFonts w:cs="Arial"/>
          <w:sz w:val="22"/>
          <w:lang w:val="es-ES_tradnl"/>
        </w:rPr>
        <w:t xml:space="preserve"> la próxima semana,</w:t>
      </w:r>
      <w:r w:rsidR="00A6347E">
        <w:rPr>
          <w:rFonts w:cs="Arial"/>
          <w:sz w:val="22"/>
          <w:lang w:val="es-ES_tradnl"/>
        </w:rPr>
        <w:t xml:space="preserve"> un reporte sobre el estado de los acuerdos emitidos </w:t>
      </w:r>
      <w:r w:rsidR="00F0447B">
        <w:rPr>
          <w:rFonts w:cs="Arial"/>
          <w:sz w:val="22"/>
          <w:lang w:val="es-ES_tradnl"/>
        </w:rPr>
        <w:t xml:space="preserve">por esta </w:t>
      </w:r>
      <w:r w:rsidR="00F0447B" w:rsidRPr="00F0447B">
        <w:rPr>
          <w:rFonts w:cs="Arial"/>
          <w:sz w:val="22"/>
          <w:lang w:val="es-ES_tradnl"/>
        </w:rPr>
        <w:t>Junta Directiva</w:t>
      </w:r>
      <w:r w:rsidR="00E47DB7">
        <w:rPr>
          <w:rFonts w:cs="Arial"/>
          <w:sz w:val="22"/>
          <w:lang w:val="es-ES_tradnl"/>
        </w:rPr>
        <w:t xml:space="preserve"> </w:t>
      </w:r>
      <w:r w:rsidR="00A6347E">
        <w:rPr>
          <w:rFonts w:cs="Arial"/>
          <w:sz w:val="22"/>
          <w:lang w:val="es-ES_tradnl"/>
        </w:rPr>
        <w:t>y que se encuentr</w:t>
      </w:r>
      <w:r w:rsidR="00F0447B">
        <w:rPr>
          <w:rFonts w:cs="Arial"/>
          <w:sz w:val="22"/>
          <w:lang w:val="es-ES_tradnl"/>
        </w:rPr>
        <w:t>e</w:t>
      </w:r>
      <w:r w:rsidR="00A6347E">
        <w:rPr>
          <w:rFonts w:cs="Arial"/>
          <w:sz w:val="22"/>
          <w:lang w:val="es-ES_tradnl"/>
        </w:rPr>
        <w:t>n pendientes de atender</w:t>
      </w:r>
      <w:r w:rsidR="00F0447B">
        <w:rPr>
          <w:rFonts w:cs="Arial"/>
          <w:sz w:val="22"/>
          <w:lang w:val="es-ES_tradnl"/>
        </w:rPr>
        <w:t>, así como la información que se requiera para poder tener acceso al sistema de control de acuerdos</w:t>
      </w:r>
      <w:r w:rsidR="00A6347E">
        <w:rPr>
          <w:rFonts w:cs="Arial"/>
          <w:sz w:val="22"/>
          <w:lang w:val="es-ES_tradnl"/>
        </w:rPr>
        <w:t>.</w:t>
      </w:r>
      <w:r w:rsidR="007E49A4">
        <w:rPr>
          <w:rFonts w:cs="Arial"/>
          <w:sz w:val="22"/>
          <w:lang w:val="es-ES_tradnl"/>
        </w:rPr>
        <w:t xml:space="preserve"> </w:t>
      </w:r>
      <w:r w:rsidR="005234C2">
        <w:rPr>
          <w:rFonts w:cs="Arial"/>
          <w:sz w:val="22"/>
          <w:lang w:val="es-ES_tradnl"/>
        </w:rPr>
        <w:t>Sobre este aspecto se pronuncia también la Directora Ulibarri, quien hace ver la conveniencia de tener acceso a la información de todos los acuerdos que se encuentran pendientes de ejecutar.</w:t>
      </w:r>
    </w:p>
    <w:p w14:paraId="77ADD225" w14:textId="7D1C8BE2" w:rsidR="007A0BDA" w:rsidRDefault="007A0BDA" w:rsidP="00F95D17">
      <w:pPr>
        <w:spacing w:line="360" w:lineRule="auto"/>
        <w:jc w:val="both"/>
        <w:rPr>
          <w:rFonts w:cs="Arial"/>
          <w:sz w:val="22"/>
          <w:szCs w:val="22"/>
        </w:rPr>
      </w:pPr>
    </w:p>
    <w:p w14:paraId="18FA040F" w14:textId="4A74B25B" w:rsidR="000974D2" w:rsidRDefault="000974D2" w:rsidP="000974D2">
      <w:pPr>
        <w:spacing w:line="360" w:lineRule="auto"/>
        <w:jc w:val="both"/>
        <w:rPr>
          <w:rFonts w:cs="Arial"/>
          <w:sz w:val="22"/>
          <w:lang w:val="es-ES_tradnl"/>
        </w:rPr>
      </w:pPr>
      <w:r w:rsidRPr="00A25DB7">
        <w:rPr>
          <w:rFonts w:cs="Arial"/>
          <w:sz w:val="22"/>
          <w:u w:val="single"/>
          <w:lang w:val="es-ES_tradnl"/>
        </w:rPr>
        <w:t xml:space="preserve">Minuto </w:t>
      </w:r>
      <w:r w:rsidR="00F0447B">
        <w:rPr>
          <w:rFonts w:cs="Arial"/>
          <w:sz w:val="22"/>
          <w:u w:val="single"/>
          <w:lang w:val="es-ES_tradnl"/>
        </w:rPr>
        <w:t>23</w:t>
      </w:r>
      <w:r w:rsidRPr="00A25DB7">
        <w:rPr>
          <w:rFonts w:cs="Arial"/>
          <w:sz w:val="22"/>
          <w:u w:val="single"/>
          <w:lang w:val="es-ES_tradnl"/>
        </w:rPr>
        <w:t>:</w:t>
      </w:r>
      <w:r w:rsidR="00F0447B">
        <w:rPr>
          <w:rFonts w:cs="Arial"/>
          <w:sz w:val="22"/>
          <w:u w:val="single"/>
          <w:lang w:val="es-ES_tradnl"/>
        </w:rPr>
        <w:t>53</w:t>
      </w:r>
      <w:r>
        <w:rPr>
          <w:rFonts w:cs="Arial"/>
          <w:sz w:val="22"/>
          <w:lang w:val="es-ES_tradnl"/>
        </w:rPr>
        <w:t xml:space="preserve"> EL Lic. Castro Miranda toma nota de una solicitud del Director Carazo Campos, para que se programe una sesión de trabajo con las entidades </w:t>
      </w:r>
      <w:r w:rsidR="00F0447B">
        <w:rPr>
          <w:rFonts w:cs="Arial"/>
          <w:sz w:val="22"/>
          <w:lang w:val="es-ES_tradnl"/>
        </w:rPr>
        <w:t xml:space="preserve">autorizadas, con el propósito de intercambiar criterios sobre las expectativas </w:t>
      </w:r>
      <w:r w:rsidR="003C7A6E">
        <w:rPr>
          <w:rFonts w:cs="Arial"/>
          <w:sz w:val="22"/>
          <w:lang w:val="es-ES_tradnl"/>
        </w:rPr>
        <w:t xml:space="preserve">e inquietudes </w:t>
      </w:r>
      <w:r w:rsidR="00F0447B">
        <w:rPr>
          <w:rFonts w:cs="Arial"/>
          <w:sz w:val="22"/>
          <w:lang w:val="es-ES_tradnl"/>
        </w:rPr>
        <w:t xml:space="preserve">de esta </w:t>
      </w:r>
      <w:r w:rsidR="00F0447B" w:rsidRPr="00F0447B">
        <w:rPr>
          <w:rFonts w:cs="Arial"/>
          <w:sz w:val="22"/>
          <w:lang w:val="es-ES_tradnl"/>
        </w:rPr>
        <w:t>Junta Directiva</w:t>
      </w:r>
      <w:r w:rsidR="003C7A6E">
        <w:rPr>
          <w:rFonts w:cs="Arial"/>
          <w:sz w:val="22"/>
          <w:lang w:val="es-ES_tradnl"/>
        </w:rPr>
        <w:t xml:space="preserve">, en cuanto a la gestión de las entidades autorizadas dentro del </w:t>
      </w:r>
      <w:r w:rsidR="003C7A6E" w:rsidRPr="003C7A6E">
        <w:rPr>
          <w:rFonts w:cs="Arial"/>
          <w:sz w:val="22"/>
          <w:szCs w:val="22"/>
          <w:lang w:val="es-ES_tradnl"/>
        </w:rPr>
        <w:t>Sistema Financiero Nacional para la Vivienda</w:t>
      </w:r>
      <w:r w:rsidR="003C7A6E">
        <w:rPr>
          <w:rFonts w:cs="Arial"/>
          <w:sz w:val="22"/>
          <w:szCs w:val="22"/>
          <w:lang w:val="es-ES_tradnl"/>
        </w:rPr>
        <w:t>.</w:t>
      </w:r>
    </w:p>
    <w:p w14:paraId="4B2F58A8" w14:textId="77777777" w:rsidR="000974D2" w:rsidRDefault="000974D2" w:rsidP="00F95D17">
      <w:pPr>
        <w:spacing w:line="360" w:lineRule="auto"/>
        <w:jc w:val="both"/>
        <w:rPr>
          <w:rFonts w:cs="Arial"/>
          <w:sz w:val="22"/>
          <w:szCs w:val="22"/>
        </w:rPr>
      </w:pPr>
    </w:p>
    <w:p w14:paraId="6364C154" w14:textId="3726EE00" w:rsidR="006473B7" w:rsidRDefault="003C7A6E" w:rsidP="006473B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w:t>
      </w:r>
      <w:r w:rsidR="006473B7">
        <w:rPr>
          <w:rFonts w:cs="Arial"/>
          <w:sz w:val="22"/>
          <w:u w:val="single"/>
          <w:lang w:val="es-ES_tradnl"/>
        </w:rPr>
        <w:t>:</w:t>
      </w:r>
      <w:r>
        <w:rPr>
          <w:rFonts w:cs="Arial"/>
          <w:sz w:val="22"/>
          <w:u w:val="single"/>
          <w:lang w:val="es-ES_tradnl"/>
        </w:rPr>
        <w:t>10</w:t>
      </w:r>
      <w:r>
        <w:rPr>
          <w:rFonts w:cs="Arial"/>
          <w:sz w:val="22"/>
          <w:lang w:val="es-ES_tradnl"/>
        </w:rPr>
        <w:t xml:space="preserve"> </w:t>
      </w:r>
      <w:r w:rsidR="006473B7">
        <w:rPr>
          <w:rFonts w:cs="Arial"/>
          <w:sz w:val="22"/>
          <w:lang w:val="es-ES_tradnl"/>
        </w:rPr>
        <w:t xml:space="preserve">Se conoce y avala una moción del Director Carazo Campos, para que se solicite a la Dirección FOSUVI, que en las sesiones que se conozcan solicitudes relacionadas con proyectos de vivienda, participe el profesional del Departamento Técnico que </w:t>
      </w:r>
      <w:r w:rsidR="00992FE8">
        <w:rPr>
          <w:rFonts w:cs="Arial"/>
          <w:sz w:val="22"/>
          <w:lang w:val="es-ES_tradnl"/>
        </w:rPr>
        <w:t>realizó el análisis de cada solicitud.</w:t>
      </w:r>
      <w:r w:rsidR="00507B33">
        <w:rPr>
          <w:rFonts w:cs="Arial"/>
          <w:sz w:val="22"/>
          <w:lang w:val="es-ES_tradnl"/>
        </w:rPr>
        <w:t xml:space="preserve">  Lo anterior, según se consigna en el </w:t>
      </w:r>
      <w:r w:rsidR="00507B33" w:rsidRPr="00507B33">
        <w:rPr>
          <w:rFonts w:cs="Arial"/>
          <w:b/>
          <w:bCs/>
          <w:sz w:val="22"/>
          <w:lang w:val="es-ES_tradnl"/>
        </w:rPr>
        <w:t>Acuerdo N° 1</w:t>
      </w:r>
      <w:r w:rsidR="00507B33">
        <w:rPr>
          <w:rFonts w:cs="Arial"/>
          <w:sz w:val="22"/>
          <w:lang w:val="es-ES_tradnl"/>
        </w:rPr>
        <w:t xml:space="preserve"> </w:t>
      </w:r>
      <w:r w:rsidR="00507B33" w:rsidRPr="00FA4BFA">
        <w:rPr>
          <w:rFonts w:cs="Arial"/>
          <w:b/>
          <w:bCs/>
          <w:sz w:val="22"/>
          <w:lang w:val="es-ES_tradnl"/>
        </w:rPr>
        <w:t>(apartado A)</w:t>
      </w:r>
      <w:r w:rsidR="00507B33">
        <w:rPr>
          <w:rFonts w:cs="Arial"/>
          <w:sz w:val="22"/>
          <w:lang w:val="es-ES_tradnl"/>
        </w:rPr>
        <w:t xml:space="preserve"> que se anexa a esta minuta.</w:t>
      </w:r>
    </w:p>
    <w:p w14:paraId="0833707B" w14:textId="77777777" w:rsidR="00992FE8" w:rsidRDefault="00992FE8" w:rsidP="006473B7">
      <w:pPr>
        <w:spacing w:line="360" w:lineRule="auto"/>
        <w:jc w:val="both"/>
        <w:rPr>
          <w:rFonts w:cs="Arial"/>
          <w:sz w:val="22"/>
          <w:szCs w:val="22"/>
        </w:rPr>
      </w:pPr>
    </w:p>
    <w:p w14:paraId="70964C31" w14:textId="360E189F" w:rsidR="002434FC" w:rsidRDefault="006473B7" w:rsidP="006473B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23</w:t>
      </w:r>
      <w:r>
        <w:rPr>
          <w:rFonts w:cs="Arial"/>
          <w:sz w:val="22"/>
          <w:lang w:val="es-ES_tradnl"/>
        </w:rPr>
        <w:t xml:space="preserve"> </w:t>
      </w:r>
      <w:r w:rsidR="00894244">
        <w:rPr>
          <w:rFonts w:cs="Arial"/>
          <w:sz w:val="22"/>
          <w:lang w:val="es-ES_tradnl"/>
        </w:rPr>
        <w:t xml:space="preserve">El Lic. Castro Miranda toma nota de una solicitud de la Directora Grillo </w:t>
      </w:r>
      <w:r w:rsidR="00A03EFB">
        <w:rPr>
          <w:rFonts w:cs="Arial"/>
          <w:sz w:val="22"/>
          <w:lang w:val="es-ES_tradnl"/>
        </w:rPr>
        <w:t xml:space="preserve">Espinoza, para que se presente </w:t>
      </w:r>
      <w:r w:rsidR="002434FC">
        <w:rPr>
          <w:rFonts w:cs="Arial"/>
          <w:sz w:val="22"/>
          <w:lang w:val="es-ES_tradnl"/>
        </w:rPr>
        <w:t xml:space="preserve">información </w:t>
      </w:r>
      <w:r w:rsidR="00A03EFB">
        <w:rPr>
          <w:rFonts w:cs="Arial"/>
          <w:sz w:val="22"/>
          <w:lang w:val="es-ES_tradnl"/>
        </w:rPr>
        <w:t xml:space="preserve">a esta </w:t>
      </w:r>
      <w:r w:rsidR="00A03EFB" w:rsidRPr="00A03EFB">
        <w:rPr>
          <w:rFonts w:cs="Arial"/>
          <w:sz w:val="22"/>
          <w:lang w:val="es-ES_tradnl"/>
        </w:rPr>
        <w:t>Junta Directiva</w:t>
      </w:r>
      <w:r w:rsidR="002434FC">
        <w:rPr>
          <w:rFonts w:cs="Arial"/>
          <w:sz w:val="22"/>
          <w:lang w:val="es-ES_tradnl"/>
        </w:rPr>
        <w:t xml:space="preserve"> sobre </w:t>
      </w:r>
      <w:r w:rsidR="008C77D8">
        <w:rPr>
          <w:rFonts w:cs="Arial"/>
          <w:sz w:val="22"/>
          <w:lang w:val="es-ES_tradnl"/>
        </w:rPr>
        <w:t xml:space="preserve">los proyectos de vivienda que </w:t>
      </w:r>
      <w:r w:rsidR="002434FC">
        <w:rPr>
          <w:rFonts w:cs="Arial"/>
          <w:sz w:val="22"/>
          <w:lang w:val="es-ES_tradnl"/>
        </w:rPr>
        <w:t xml:space="preserve">se encuentran en trámite de financiamiento, no solo para valorar la posibilidad de visitarlos antes de que se presenten a esta </w:t>
      </w:r>
      <w:r w:rsidR="002434FC" w:rsidRPr="002434FC">
        <w:rPr>
          <w:rFonts w:cs="Arial"/>
          <w:sz w:val="22"/>
          <w:lang w:val="es-ES_tradnl"/>
        </w:rPr>
        <w:t>Junta Directiva</w:t>
      </w:r>
      <w:r w:rsidR="002434FC">
        <w:rPr>
          <w:rFonts w:cs="Arial"/>
          <w:sz w:val="22"/>
          <w:lang w:val="es-ES_tradnl"/>
        </w:rPr>
        <w:t xml:space="preserve">, sino también para </w:t>
      </w:r>
      <w:r w:rsidR="00DD4F32">
        <w:rPr>
          <w:rFonts w:cs="Arial"/>
          <w:sz w:val="22"/>
          <w:lang w:val="es-ES_tradnl"/>
        </w:rPr>
        <w:t xml:space="preserve">revisar con suficiente anticipación la documentación técnica de cada uno.  Y en este sentido, se concuerda en la pertinencia de girar instrucciones a la </w:t>
      </w:r>
      <w:r w:rsidR="00DD4F32" w:rsidRPr="00DD4F32">
        <w:rPr>
          <w:rFonts w:cs="Arial"/>
          <w:sz w:val="22"/>
          <w:szCs w:val="22"/>
          <w:lang w:val="es-ES_tradnl"/>
        </w:rPr>
        <w:t>Administración</w:t>
      </w:r>
      <w:r w:rsidR="00DD4F32">
        <w:rPr>
          <w:rFonts w:cs="Arial"/>
          <w:sz w:val="22"/>
          <w:szCs w:val="22"/>
          <w:lang w:val="es-ES_tradnl"/>
        </w:rPr>
        <w:t xml:space="preserve">, para que </w:t>
      </w:r>
      <w:r w:rsidR="009473BB">
        <w:rPr>
          <w:rFonts w:cs="Arial"/>
          <w:sz w:val="22"/>
          <w:szCs w:val="22"/>
          <w:lang w:val="es-ES_tradnl"/>
        </w:rPr>
        <w:t xml:space="preserve">los informes técnicos referidos a las solicitudes para el financiamiento de proyectos de </w:t>
      </w:r>
      <w:proofErr w:type="gramStart"/>
      <w:r w:rsidR="009473BB">
        <w:rPr>
          <w:rFonts w:cs="Arial"/>
          <w:sz w:val="22"/>
          <w:szCs w:val="22"/>
          <w:lang w:val="es-ES_tradnl"/>
        </w:rPr>
        <w:t>vivienda,</w:t>
      </w:r>
      <w:proofErr w:type="gramEnd"/>
      <w:r w:rsidR="009473BB">
        <w:rPr>
          <w:rFonts w:cs="Arial"/>
          <w:sz w:val="22"/>
          <w:szCs w:val="22"/>
          <w:lang w:val="es-ES_tradnl"/>
        </w:rPr>
        <w:t xml:space="preserve"> se remitan a los miembros de esta </w:t>
      </w:r>
      <w:r w:rsidR="009473BB" w:rsidRPr="009473BB">
        <w:rPr>
          <w:rFonts w:cs="Arial"/>
          <w:sz w:val="22"/>
          <w:szCs w:val="22"/>
          <w:lang w:val="es-ES_tradnl"/>
        </w:rPr>
        <w:t>Junta Directiva</w:t>
      </w:r>
      <w:r w:rsidR="009473BB">
        <w:rPr>
          <w:rFonts w:cs="Arial"/>
          <w:sz w:val="22"/>
          <w:szCs w:val="22"/>
          <w:lang w:val="es-ES_tradnl"/>
        </w:rPr>
        <w:t xml:space="preserve">, para su estudio, al menos 15 días naturales </w:t>
      </w:r>
      <w:r w:rsidR="009473BB">
        <w:rPr>
          <w:rFonts w:cs="Arial"/>
          <w:sz w:val="22"/>
          <w:szCs w:val="22"/>
          <w:lang w:val="es-ES_tradnl"/>
        </w:rPr>
        <w:lastRenderedPageBreak/>
        <w:t xml:space="preserve">antes de que se sometan a la aprobación de este Órgano Colegiado.  Lo anterior, según se consigna en el </w:t>
      </w:r>
      <w:r w:rsidR="009473BB" w:rsidRPr="00FA4BFA">
        <w:rPr>
          <w:rFonts w:cs="Arial"/>
          <w:b/>
          <w:bCs/>
          <w:sz w:val="22"/>
          <w:szCs w:val="22"/>
          <w:lang w:val="es-ES_tradnl"/>
        </w:rPr>
        <w:t>Acuerdo N° 1 (apartado B)</w:t>
      </w:r>
      <w:r w:rsidR="00FA4BFA">
        <w:rPr>
          <w:rFonts w:cs="Arial"/>
          <w:sz w:val="22"/>
          <w:szCs w:val="22"/>
          <w:lang w:val="es-ES_tradnl"/>
        </w:rPr>
        <w:t xml:space="preserve"> que se anexa a esta minuta.</w:t>
      </w:r>
    </w:p>
    <w:p w14:paraId="2B38CA6B" w14:textId="31D20774" w:rsidR="007A0BDA" w:rsidRDefault="007A0BDA" w:rsidP="00F95D17">
      <w:pPr>
        <w:spacing w:line="360" w:lineRule="auto"/>
        <w:jc w:val="both"/>
        <w:rPr>
          <w:rFonts w:cs="Arial"/>
          <w:sz w:val="22"/>
          <w:szCs w:val="22"/>
        </w:rPr>
      </w:pPr>
    </w:p>
    <w:p w14:paraId="1EE01EA3" w14:textId="37F86B9E" w:rsidR="00F95D17" w:rsidRDefault="005234C2" w:rsidP="002D0146">
      <w:pPr>
        <w:spacing w:line="360" w:lineRule="auto"/>
        <w:jc w:val="both"/>
        <w:rPr>
          <w:rFonts w:cs="Arial"/>
          <w:sz w:val="22"/>
          <w:szCs w:val="22"/>
        </w:rPr>
      </w:pPr>
      <w:r w:rsidRPr="00A25DB7">
        <w:rPr>
          <w:rFonts w:cs="Arial"/>
          <w:sz w:val="22"/>
          <w:u w:val="single"/>
          <w:lang w:val="es-ES_tradnl"/>
        </w:rPr>
        <w:t xml:space="preserve">Minuto </w:t>
      </w:r>
      <w:r w:rsidR="00274EFD">
        <w:rPr>
          <w:rFonts w:cs="Arial"/>
          <w:sz w:val="22"/>
          <w:u w:val="single"/>
          <w:lang w:val="es-ES_tradnl"/>
        </w:rPr>
        <w:t>70</w:t>
      </w:r>
      <w:r w:rsidRPr="00A25DB7">
        <w:rPr>
          <w:rFonts w:cs="Arial"/>
          <w:sz w:val="22"/>
          <w:u w:val="single"/>
          <w:lang w:val="es-ES_tradnl"/>
        </w:rPr>
        <w:t>:</w:t>
      </w:r>
      <w:r w:rsidR="00274EFD">
        <w:rPr>
          <w:rFonts w:cs="Arial"/>
          <w:sz w:val="22"/>
          <w:u w:val="single"/>
          <w:lang w:val="es-ES_tradnl"/>
        </w:rPr>
        <w:t>08</w:t>
      </w:r>
      <w:r>
        <w:rPr>
          <w:rFonts w:cs="Arial"/>
          <w:sz w:val="22"/>
          <w:lang w:val="es-ES_tradnl"/>
        </w:rPr>
        <w:t xml:space="preserve"> Se conoce y avala una moción de la Directora Ulibarri Pernús, </w:t>
      </w:r>
      <w:r w:rsidR="00274EFD">
        <w:rPr>
          <w:rFonts w:cs="Arial"/>
          <w:sz w:val="22"/>
          <w:lang w:val="es-ES_tradnl"/>
        </w:rPr>
        <w:t xml:space="preserve">en el sentido de girar instrucciones a la </w:t>
      </w:r>
      <w:r w:rsidR="00274EFD" w:rsidRPr="00274EFD">
        <w:rPr>
          <w:rFonts w:cs="Arial"/>
          <w:sz w:val="22"/>
          <w:szCs w:val="22"/>
          <w:lang w:val="es-ES_tradnl"/>
        </w:rPr>
        <w:t>Administración</w:t>
      </w:r>
      <w:r w:rsidR="00274EFD">
        <w:rPr>
          <w:rFonts w:cs="Arial"/>
          <w:sz w:val="22"/>
          <w:szCs w:val="22"/>
          <w:lang w:val="es-ES_tradnl"/>
        </w:rPr>
        <w:t xml:space="preserve">, para que proponga a esta </w:t>
      </w:r>
      <w:r w:rsidR="00274EFD" w:rsidRPr="00274EFD">
        <w:rPr>
          <w:rFonts w:cs="Arial"/>
          <w:sz w:val="22"/>
          <w:szCs w:val="22"/>
          <w:lang w:val="es-ES_tradnl"/>
        </w:rPr>
        <w:t>Junta Directiva</w:t>
      </w:r>
      <w:r w:rsidR="00274EFD">
        <w:rPr>
          <w:rFonts w:cs="Arial"/>
          <w:sz w:val="22"/>
          <w:szCs w:val="22"/>
          <w:lang w:val="es-ES_tradnl"/>
        </w:rPr>
        <w:t xml:space="preserve"> una disposición transitoria al acuerdo N° 3 de la sesión 24-2022</w:t>
      </w:r>
      <w:r w:rsidR="0047756E">
        <w:rPr>
          <w:rFonts w:cs="Arial"/>
          <w:sz w:val="22"/>
          <w:szCs w:val="22"/>
          <w:lang w:val="es-ES_tradnl"/>
        </w:rPr>
        <w:t>,</w:t>
      </w:r>
      <w:r w:rsidR="00274EFD">
        <w:rPr>
          <w:rFonts w:cs="Arial"/>
          <w:sz w:val="22"/>
          <w:szCs w:val="22"/>
          <w:lang w:val="es-ES_tradnl"/>
        </w:rPr>
        <w:t xml:space="preserve"> del 28 de marzo de 2022, </w:t>
      </w:r>
      <w:r w:rsidR="0041320F">
        <w:rPr>
          <w:rFonts w:cs="Arial"/>
          <w:sz w:val="22"/>
          <w:szCs w:val="22"/>
          <w:lang w:val="es-ES_tradnl"/>
        </w:rPr>
        <w:t xml:space="preserve">con el propósito de no generar afectaciones o retrasos a las solicitudes de financiamiento de proyectos que se encuentran en trámite.  Lo anterior, según se consigna en el </w:t>
      </w:r>
      <w:r w:rsidR="0041320F" w:rsidRPr="00FA4BFA">
        <w:rPr>
          <w:rFonts w:cs="Arial"/>
          <w:b/>
          <w:bCs/>
          <w:sz w:val="22"/>
          <w:szCs w:val="22"/>
          <w:lang w:val="es-ES_tradnl"/>
        </w:rPr>
        <w:t xml:space="preserve">Acuerdo N° </w:t>
      </w:r>
      <w:r w:rsidR="0041320F">
        <w:rPr>
          <w:rFonts w:cs="Arial"/>
          <w:b/>
          <w:bCs/>
          <w:sz w:val="22"/>
          <w:szCs w:val="22"/>
          <w:lang w:val="es-ES_tradnl"/>
        </w:rPr>
        <w:t>2</w:t>
      </w:r>
      <w:r w:rsidR="0041320F">
        <w:rPr>
          <w:rFonts w:cs="Arial"/>
          <w:sz w:val="22"/>
          <w:szCs w:val="22"/>
          <w:lang w:val="es-ES_tradnl"/>
        </w:rPr>
        <w:t xml:space="preserve"> que se anexa a esta minuta.</w:t>
      </w:r>
    </w:p>
    <w:p w14:paraId="2E4EDFBA" w14:textId="77777777" w:rsidR="007749FC" w:rsidRPr="00D14EAF" w:rsidRDefault="007749FC" w:rsidP="007749FC">
      <w:pPr>
        <w:spacing w:line="360" w:lineRule="auto"/>
        <w:jc w:val="both"/>
        <w:rPr>
          <w:rFonts w:cs="Arial"/>
          <w:b/>
          <w:sz w:val="22"/>
        </w:rPr>
      </w:pPr>
      <w:r w:rsidRPr="00D14EAF">
        <w:rPr>
          <w:rFonts w:cs="Arial"/>
          <w:b/>
          <w:sz w:val="22"/>
        </w:rPr>
        <w:t>************</w:t>
      </w:r>
    </w:p>
    <w:p w14:paraId="22E9BC56" w14:textId="77777777" w:rsidR="00FA4CCB" w:rsidRDefault="00FA4CCB" w:rsidP="002D0146">
      <w:pPr>
        <w:spacing w:line="360" w:lineRule="auto"/>
        <w:jc w:val="both"/>
        <w:rPr>
          <w:rFonts w:cs="Arial"/>
          <w:b/>
          <w:sz w:val="22"/>
          <w:szCs w:val="22"/>
          <w:u w:val="single"/>
          <w:lang w:val="es-ES_tradnl"/>
        </w:rPr>
      </w:pPr>
    </w:p>
    <w:p w14:paraId="7BEAF9F1" w14:textId="5940672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45505" w:rsidRPr="00F45505">
        <w:rPr>
          <w:rFonts w:cs="Arial"/>
          <w:b/>
          <w:bCs/>
          <w:sz w:val="22"/>
          <w:u w:val="single"/>
          <w:lang w:val="es-ES_tradnl"/>
        </w:rPr>
        <w:t>Lectura y aprobación de las actas N° 40-2022 del 11/08/2022 y N° 41-2022 del 18/08/2022</w:t>
      </w:r>
    </w:p>
    <w:p w14:paraId="0083966E" w14:textId="77777777" w:rsidR="009D03FE" w:rsidRDefault="009D03FE" w:rsidP="009D03FE">
      <w:pPr>
        <w:spacing w:line="360" w:lineRule="auto"/>
        <w:jc w:val="both"/>
        <w:rPr>
          <w:rFonts w:cs="Arial"/>
          <w:sz w:val="22"/>
          <w:szCs w:val="22"/>
        </w:rPr>
      </w:pPr>
    </w:p>
    <w:p w14:paraId="685AC7D9" w14:textId="78D8C8AD" w:rsidR="00F95D17" w:rsidRDefault="00F95D17" w:rsidP="00F95D17">
      <w:pPr>
        <w:spacing w:line="360" w:lineRule="auto"/>
        <w:jc w:val="both"/>
        <w:rPr>
          <w:rFonts w:cs="Arial"/>
          <w:sz w:val="22"/>
          <w:lang w:val="es-ES_tradnl"/>
        </w:rPr>
      </w:pPr>
      <w:r w:rsidRPr="0039311E">
        <w:rPr>
          <w:rFonts w:cs="Arial"/>
          <w:sz w:val="22"/>
          <w:u w:val="single"/>
          <w:lang w:val="es-ES_tradnl"/>
        </w:rPr>
        <w:t xml:space="preserve">Minuto </w:t>
      </w:r>
      <w:r w:rsidR="00BE271E">
        <w:rPr>
          <w:rFonts w:cs="Arial"/>
          <w:sz w:val="22"/>
          <w:u w:val="single"/>
          <w:lang w:val="es-ES_tradnl"/>
        </w:rPr>
        <w:t>89</w:t>
      </w:r>
      <w:r w:rsidRPr="0039311E">
        <w:rPr>
          <w:rFonts w:cs="Arial"/>
          <w:sz w:val="22"/>
          <w:u w:val="single"/>
          <w:lang w:val="es-ES_tradnl"/>
        </w:rPr>
        <w:t>:</w:t>
      </w:r>
      <w:r>
        <w:rPr>
          <w:rFonts w:cs="Arial"/>
          <w:sz w:val="22"/>
          <w:u w:val="single"/>
          <w:lang w:val="es-ES_tradnl"/>
        </w:rPr>
        <w:t>0</w:t>
      </w:r>
      <w:r w:rsidR="00BE271E">
        <w:rPr>
          <w:rFonts w:cs="Arial"/>
          <w:sz w:val="22"/>
          <w:u w:val="single"/>
          <w:lang w:val="es-ES_tradnl"/>
        </w:rPr>
        <w:t>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BE271E">
        <w:rPr>
          <w:rFonts w:cs="Arial"/>
          <w:sz w:val="22"/>
          <w:lang w:val="es-ES_tradnl"/>
        </w:rPr>
        <w:t>extra</w:t>
      </w:r>
      <w:r>
        <w:rPr>
          <w:rFonts w:cs="Arial"/>
          <w:sz w:val="22"/>
          <w:lang w:val="es-ES_tradnl"/>
        </w:rPr>
        <w:t xml:space="preserve">ordinaria N° </w:t>
      </w:r>
      <w:r w:rsidR="00BE271E">
        <w:rPr>
          <w:rFonts w:cs="Arial"/>
          <w:sz w:val="22"/>
          <w:lang w:val="es-ES_tradnl"/>
        </w:rPr>
        <w:t>40</w:t>
      </w:r>
      <w:r>
        <w:rPr>
          <w:rFonts w:cs="Arial"/>
          <w:sz w:val="22"/>
          <w:lang w:val="es-ES_tradnl"/>
        </w:rPr>
        <w:t>-2022, celebrada el 1</w:t>
      </w:r>
      <w:r w:rsidR="00BE271E">
        <w:rPr>
          <w:rFonts w:cs="Arial"/>
          <w:sz w:val="22"/>
          <w:lang w:val="es-ES_tradnl"/>
        </w:rPr>
        <w:t>1 de agosto</w:t>
      </w:r>
      <w:r>
        <w:rPr>
          <w:rFonts w:cs="Arial"/>
          <w:sz w:val="22"/>
          <w:lang w:val="es-ES_tradnl"/>
        </w:rPr>
        <w:t xml:space="preserve"> de 2022.</w:t>
      </w:r>
    </w:p>
    <w:p w14:paraId="7DB1B62F" w14:textId="77777777" w:rsidR="00F95D17" w:rsidRDefault="00F95D17" w:rsidP="00F95D17">
      <w:pPr>
        <w:spacing w:line="360" w:lineRule="auto"/>
        <w:jc w:val="both"/>
        <w:rPr>
          <w:rFonts w:cs="Arial"/>
          <w:sz w:val="22"/>
          <w:szCs w:val="22"/>
        </w:rPr>
      </w:pPr>
    </w:p>
    <w:p w14:paraId="25A71306" w14:textId="4368E088" w:rsidR="00F95D17" w:rsidRDefault="00F95D17" w:rsidP="00F95D17">
      <w:pPr>
        <w:spacing w:line="360" w:lineRule="auto"/>
        <w:jc w:val="both"/>
        <w:rPr>
          <w:rFonts w:cs="Arial"/>
          <w:sz w:val="22"/>
          <w:lang w:val="es-ES_tradnl"/>
        </w:rPr>
      </w:pPr>
      <w:r w:rsidRPr="00A25DB7">
        <w:rPr>
          <w:rFonts w:cs="Arial"/>
          <w:sz w:val="22"/>
          <w:u w:val="single"/>
          <w:lang w:val="es-ES_tradnl"/>
        </w:rPr>
        <w:t xml:space="preserve">Minuto </w:t>
      </w:r>
      <w:r w:rsidR="000D4720">
        <w:rPr>
          <w:rFonts w:cs="Arial"/>
          <w:sz w:val="22"/>
          <w:u w:val="single"/>
          <w:lang w:val="es-ES_tradnl"/>
        </w:rPr>
        <w:t>98</w:t>
      </w:r>
      <w:r w:rsidRPr="00A25DB7">
        <w:rPr>
          <w:rFonts w:cs="Arial"/>
          <w:sz w:val="22"/>
          <w:u w:val="single"/>
          <w:lang w:val="es-ES_tradnl"/>
        </w:rPr>
        <w:t>:</w:t>
      </w:r>
      <w:r w:rsidR="000D4720">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1591A107" w14:textId="77777777" w:rsidR="00F95D17" w:rsidRDefault="00F95D17" w:rsidP="00F95D17">
      <w:pPr>
        <w:spacing w:line="360" w:lineRule="auto"/>
        <w:jc w:val="both"/>
        <w:rPr>
          <w:rFonts w:cs="Arial"/>
          <w:sz w:val="22"/>
          <w:lang w:val="es-ES_tradnl"/>
        </w:rPr>
      </w:pPr>
    </w:p>
    <w:p w14:paraId="0EDB46D6" w14:textId="6B104A24" w:rsidR="00F95D17" w:rsidRDefault="00F95D17" w:rsidP="00F95D17">
      <w:pPr>
        <w:spacing w:line="360" w:lineRule="auto"/>
        <w:jc w:val="both"/>
        <w:rPr>
          <w:rFonts w:cs="Arial"/>
          <w:sz w:val="22"/>
          <w:lang w:val="es-ES_tradnl"/>
        </w:rPr>
      </w:pPr>
      <w:r w:rsidRPr="0039311E">
        <w:rPr>
          <w:rFonts w:cs="Arial"/>
          <w:sz w:val="22"/>
          <w:u w:val="single"/>
          <w:lang w:val="es-ES_tradnl"/>
        </w:rPr>
        <w:t xml:space="preserve">Minuto </w:t>
      </w:r>
      <w:r w:rsidR="000D4720">
        <w:rPr>
          <w:rFonts w:cs="Arial"/>
          <w:sz w:val="22"/>
          <w:u w:val="single"/>
          <w:lang w:val="es-ES_tradnl"/>
        </w:rPr>
        <w:t>99</w:t>
      </w:r>
      <w:r w:rsidRPr="0039311E">
        <w:rPr>
          <w:rFonts w:cs="Arial"/>
          <w:sz w:val="22"/>
          <w:u w:val="single"/>
          <w:lang w:val="es-ES_tradnl"/>
        </w:rPr>
        <w:t>:</w:t>
      </w:r>
      <w:r w:rsidR="000D4720">
        <w:rPr>
          <w:rFonts w:cs="Arial"/>
          <w:sz w:val="22"/>
          <w:u w:val="single"/>
          <w:lang w:val="es-ES_tradnl"/>
        </w:rPr>
        <w:t>04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BE271E">
        <w:rPr>
          <w:rFonts w:cs="Arial"/>
          <w:sz w:val="22"/>
          <w:lang w:val="es-ES_tradnl"/>
        </w:rPr>
        <w:t>41</w:t>
      </w:r>
      <w:r>
        <w:rPr>
          <w:rFonts w:cs="Arial"/>
          <w:sz w:val="22"/>
          <w:lang w:val="es-ES_tradnl"/>
        </w:rPr>
        <w:t xml:space="preserve">-2022, celebrada el </w:t>
      </w:r>
      <w:r w:rsidR="00BE271E">
        <w:rPr>
          <w:rFonts w:cs="Arial"/>
          <w:sz w:val="22"/>
          <w:lang w:val="es-ES_tradnl"/>
        </w:rPr>
        <w:t>18</w:t>
      </w:r>
      <w:r>
        <w:rPr>
          <w:rFonts w:cs="Arial"/>
          <w:sz w:val="22"/>
          <w:lang w:val="es-ES_tradnl"/>
        </w:rPr>
        <w:t xml:space="preserve"> de </w:t>
      </w:r>
      <w:r w:rsidR="00BE271E">
        <w:rPr>
          <w:rFonts w:cs="Arial"/>
          <w:sz w:val="22"/>
          <w:lang w:val="es-ES_tradnl"/>
        </w:rPr>
        <w:t>agosto</w:t>
      </w:r>
      <w:r>
        <w:rPr>
          <w:rFonts w:cs="Arial"/>
          <w:sz w:val="22"/>
          <w:lang w:val="es-ES_tradnl"/>
        </w:rPr>
        <w:t xml:space="preserve"> de 2022.</w:t>
      </w:r>
    </w:p>
    <w:p w14:paraId="0D39498D" w14:textId="77777777" w:rsidR="00F95D17" w:rsidRDefault="00F95D17" w:rsidP="00F95D17">
      <w:pPr>
        <w:spacing w:line="360" w:lineRule="auto"/>
        <w:jc w:val="both"/>
        <w:rPr>
          <w:rFonts w:cs="Arial"/>
          <w:sz w:val="22"/>
          <w:szCs w:val="22"/>
        </w:rPr>
      </w:pPr>
    </w:p>
    <w:p w14:paraId="69C75679" w14:textId="1FE6437C" w:rsidR="00F95D17" w:rsidRDefault="00F95D17" w:rsidP="00F95D17">
      <w:pPr>
        <w:spacing w:line="360" w:lineRule="auto"/>
        <w:jc w:val="both"/>
        <w:rPr>
          <w:rFonts w:cs="Arial"/>
          <w:sz w:val="22"/>
          <w:lang w:val="es-ES_tradnl"/>
        </w:rPr>
      </w:pPr>
      <w:r w:rsidRPr="00A25DB7">
        <w:rPr>
          <w:rFonts w:cs="Arial"/>
          <w:sz w:val="22"/>
          <w:u w:val="single"/>
          <w:lang w:val="es-ES_tradnl"/>
        </w:rPr>
        <w:t xml:space="preserve">Minuto </w:t>
      </w:r>
      <w:r w:rsidR="000D4720">
        <w:rPr>
          <w:rFonts w:cs="Arial"/>
          <w:sz w:val="22"/>
          <w:u w:val="single"/>
          <w:lang w:val="es-ES_tradnl"/>
        </w:rPr>
        <w:t>106</w:t>
      </w:r>
      <w:r w:rsidRPr="00A25DB7">
        <w:rPr>
          <w:rFonts w:cs="Arial"/>
          <w:sz w:val="22"/>
          <w:u w:val="single"/>
          <w:lang w:val="es-ES_tradnl"/>
        </w:rPr>
        <w:t>:</w:t>
      </w:r>
      <w:r w:rsidR="000D4720">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179EC075" w14:textId="77777777" w:rsidR="009D03FE" w:rsidRPr="00D14EAF" w:rsidRDefault="009D03FE" w:rsidP="009D03FE">
      <w:pPr>
        <w:spacing w:line="360" w:lineRule="auto"/>
        <w:jc w:val="both"/>
        <w:rPr>
          <w:rFonts w:cs="Arial"/>
          <w:b/>
          <w:sz w:val="22"/>
        </w:rPr>
      </w:pPr>
      <w:r w:rsidRPr="00D14EAF">
        <w:rPr>
          <w:rFonts w:cs="Arial"/>
          <w:b/>
          <w:sz w:val="22"/>
        </w:rPr>
        <w:t>************</w:t>
      </w:r>
    </w:p>
    <w:p w14:paraId="4049F9BB" w14:textId="77777777" w:rsidR="00D13B6B" w:rsidRDefault="00D13B6B" w:rsidP="002D0146">
      <w:pPr>
        <w:spacing w:line="360" w:lineRule="auto"/>
        <w:jc w:val="both"/>
        <w:rPr>
          <w:rFonts w:cs="Arial"/>
          <w:b/>
          <w:bCs/>
          <w:sz w:val="22"/>
          <w:szCs w:val="22"/>
          <w:u w:val="single"/>
          <w:lang w:val="es-ES_tradnl"/>
        </w:rPr>
      </w:pPr>
    </w:p>
    <w:p w14:paraId="3E5AE8E8" w14:textId="01C498BC" w:rsidR="00253CB9" w:rsidRPr="00253CB9" w:rsidRDefault="00320F35" w:rsidP="00253CB9">
      <w:pPr>
        <w:spacing w:line="360" w:lineRule="auto"/>
        <w:jc w:val="both"/>
        <w:outlineLvl w:val="0"/>
        <w:rPr>
          <w:rFonts w:cs="Arial"/>
          <w:sz w:val="22"/>
          <w:szCs w:val="22"/>
          <w:u w:val="single"/>
          <w:lang w:val="es-ES_tradnl"/>
        </w:rPr>
      </w:pPr>
      <w:r>
        <w:rPr>
          <w:rFonts w:cs="Arial"/>
          <w:b/>
          <w:sz w:val="22"/>
          <w:szCs w:val="22"/>
          <w:lang w:val="es-ES_tradnl"/>
        </w:rPr>
        <w:t xml:space="preserve">3° </w:t>
      </w:r>
      <w:r w:rsidR="00F45505" w:rsidRPr="00F45505">
        <w:rPr>
          <w:rFonts w:cs="Arial"/>
          <w:b/>
          <w:bCs/>
          <w:sz w:val="22"/>
          <w:u w:val="single"/>
        </w:rPr>
        <w:t>Solicitud de aprobación de cuatro bonos extraordinarios individuales</w:t>
      </w:r>
    </w:p>
    <w:p w14:paraId="40A5EA77" w14:textId="77777777" w:rsidR="00253CB9" w:rsidRDefault="00253CB9" w:rsidP="00253CB9">
      <w:pPr>
        <w:spacing w:line="360" w:lineRule="auto"/>
        <w:jc w:val="both"/>
        <w:rPr>
          <w:rFonts w:cs="Arial"/>
          <w:sz w:val="22"/>
          <w:szCs w:val="22"/>
        </w:rPr>
      </w:pPr>
    </w:p>
    <w:p w14:paraId="3820BD6F" w14:textId="50DAD884" w:rsidR="00253CB9" w:rsidRDefault="00253CB9" w:rsidP="00253CB9">
      <w:pPr>
        <w:spacing w:line="360" w:lineRule="auto"/>
        <w:jc w:val="both"/>
        <w:rPr>
          <w:rFonts w:cs="Arial"/>
          <w:bCs/>
          <w:sz w:val="22"/>
          <w:szCs w:val="22"/>
        </w:rPr>
      </w:pPr>
      <w:r w:rsidRPr="0039311E">
        <w:rPr>
          <w:rFonts w:cs="Arial"/>
          <w:sz w:val="22"/>
          <w:u w:val="single"/>
          <w:lang w:val="es-ES_tradnl"/>
        </w:rPr>
        <w:t xml:space="preserve">Minuto </w:t>
      </w:r>
      <w:r w:rsidR="000D4720">
        <w:rPr>
          <w:rFonts w:cs="Arial"/>
          <w:sz w:val="22"/>
          <w:u w:val="single"/>
          <w:lang w:val="es-ES_tradnl"/>
        </w:rPr>
        <w:t>106</w:t>
      </w:r>
      <w:r w:rsidRPr="0039311E">
        <w:rPr>
          <w:rFonts w:cs="Arial"/>
          <w:sz w:val="22"/>
          <w:u w:val="single"/>
          <w:lang w:val="es-ES_tradnl"/>
        </w:rPr>
        <w:t>:</w:t>
      </w:r>
      <w:r w:rsidR="000D4720">
        <w:rPr>
          <w:rFonts w:cs="Arial"/>
          <w:sz w:val="22"/>
          <w:u w:val="single"/>
          <w:lang w:val="es-ES_tradnl"/>
        </w:rPr>
        <w:t>45</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GG-ME-1065-2022 del 26 de agosto de 2022</w:t>
      </w:r>
      <w:r>
        <w:rPr>
          <w:rFonts w:cs="Arial"/>
          <w:bCs/>
          <w:sz w:val="22"/>
          <w:szCs w:val="22"/>
        </w:rPr>
        <w:t xml:space="preserve">, por medio del cual, la Gerencia General remite y avala el informe </w:t>
      </w:r>
      <w:r>
        <w:rPr>
          <w:rFonts w:cs="Arial"/>
          <w:sz w:val="22"/>
          <w:szCs w:val="22"/>
          <w:lang w:val="es-CR"/>
        </w:rPr>
        <w:t xml:space="preserve">DF-OF-0898-2022 de la Dirección FOSUVI, </w:t>
      </w:r>
      <w:r>
        <w:rPr>
          <w:rFonts w:cs="Arial"/>
          <w:bCs/>
          <w:sz w:val="22"/>
          <w:szCs w:val="22"/>
        </w:rPr>
        <w:t xml:space="preserve">que contiene un resumen de los resultados de los estudios efectuados a las solicitudes de </w:t>
      </w:r>
      <w:r w:rsidR="00E202B4">
        <w:rPr>
          <w:rFonts w:cs="Arial"/>
          <w:bCs/>
          <w:sz w:val="22"/>
          <w:lang w:val="es-CR"/>
        </w:rPr>
        <w:t xml:space="preserve">Grupo Mutual Alajuela – La Vivienda </w:t>
      </w:r>
      <w:r w:rsidR="00E202B4">
        <w:rPr>
          <w:rFonts w:cs="Arial"/>
          <w:bCs/>
          <w:sz w:val="22"/>
          <w:lang w:val="es-ES_tradnl"/>
        </w:rPr>
        <w:t>de Ahorro y Préstamo</w:t>
      </w:r>
      <w:r>
        <w:rPr>
          <w:rFonts w:cs="Arial"/>
          <w:bCs/>
          <w:sz w:val="22"/>
          <w:szCs w:val="22"/>
        </w:rPr>
        <w:t xml:space="preserve"> y COOPENAE, </w:t>
      </w:r>
      <w:r>
        <w:rPr>
          <w:rFonts w:cs="Arial"/>
          <w:bCs/>
          <w:sz w:val="22"/>
          <w:szCs w:val="22"/>
          <w:lang w:val="es-ES_tradnl"/>
        </w:rPr>
        <w:t xml:space="preserve">R.L., </w:t>
      </w:r>
      <w:r>
        <w:rPr>
          <w:rFonts w:cs="Arial"/>
          <w:bCs/>
          <w:sz w:val="22"/>
          <w:szCs w:val="22"/>
          <w:lang w:val="es-CR"/>
        </w:rPr>
        <w:t xml:space="preserve">para financiar cuatro </w:t>
      </w:r>
      <w:r>
        <w:rPr>
          <w:rFonts w:cs="Arial"/>
          <w:bCs/>
          <w:sz w:val="22"/>
          <w:szCs w:val="22"/>
        </w:rPr>
        <w:t xml:space="preserve">operaciones individuales de Bono Familiar de Vivienda, por </w:t>
      </w:r>
      <w:r>
        <w:rPr>
          <w:rFonts w:cs="Arial"/>
          <w:bCs/>
          <w:sz w:val="22"/>
          <w:szCs w:val="22"/>
        </w:rPr>
        <w:lastRenderedPageBreak/>
        <w:t>situación de extrema necesidad, al amparo del artículo 59 de la Ley del Sistema Financiero Nacional para la Vivienda.  Dichos documentos se adjuntan al expediente del acta.</w:t>
      </w:r>
    </w:p>
    <w:p w14:paraId="5B101BDF" w14:textId="77777777" w:rsidR="00253CB9" w:rsidRDefault="00253CB9" w:rsidP="00253CB9">
      <w:pPr>
        <w:spacing w:line="360" w:lineRule="auto"/>
        <w:jc w:val="both"/>
        <w:rPr>
          <w:rFonts w:cs="Arial"/>
          <w:bCs/>
          <w:sz w:val="22"/>
          <w:szCs w:val="22"/>
        </w:rPr>
      </w:pPr>
    </w:p>
    <w:p w14:paraId="140A1DF8" w14:textId="08830151" w:rsidR="00253CB9" w:rsidRDefault="00DB4D7D" w:rsidP="00253CB9">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el siguiente tema, se incorporan a la sesión la arquitecta Mariella Salas Rodríguez, jefa del Departamento Técnico, y la licenciada Martha Camacho Murillo, Directora del FOSUVI, quien </w:t>
      </w:r>
      <w:r w:rsidR="003D6191">
        <w:rPr>
          <w:rFonts w:cs="Arial"/>
          <w:sz w:val="22"/>
          <w:szCs w:val="22"/>
        </w:rPr>
        <w:t xml:space="preserve">luego de atender una consulta del Director Carazo Campos sobre lo actuado con respecto a los proyectos antiguos pendientes de liquidar y la situación de los casos individuales de bono extraordinario en trámite, </w:t>
      </w:r>
      <w:r>
        <w:rPr>
          <w:rFonts w:cs="Arial"/>
          <w:sz w:val="22"/>
          <w:szCs w:val="22"/>
        </w:rPr>
        <w:t>presenta</w:t>
      </w:r>
      <w:r w:rsidR="00253CB9" w:rsidRPr="00437EF8">
        <w:rPr>
          <w:rFonts w:cs="Arial"/>
          <w:sz w:val="22"/>
          <w:szCs w:val="22"/>
          <w:lang w:val="es-ES_tradnl"/>
        </w:rPr>
        <w:t xml:space="preserve"> el</w:t>
      </w:r>
      <w:r w:rsidR="00253CB9" w:rsidRPr="00437EF8">
        <w:rPr>
          <w:rFonts w:cs="Arial"/>
          <w:bCs/>
          <w:sz w:val="22"/>
          <w:szCs w:val="22"/>
        </w:rPr>
        <w:t xml:space="preserve"> detalle de las referidas solicitudes de financiamiento</w:t>
      </w:r>
      <w:r>
        <w:rPr>
          <w:rFonts w:cs="Arial"/>
          <w:bCs/>
          <w:sz w:val="22"/>
          <w:szCs w:val="22"/>
        </w:rPr>
        <w:t>,</w:t>
      </w:r>
      <w:r w:rsidR="00253CB9" w:rsidRPr="00437EF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32C7268" w14:textId="77777777" w:rsidR="00253CB9" w:rsidRPr="00437EF8" w:rsidRDefault="00253CB9" w:rsidP="00253CB9">
      <w:pPr>
        <w:spacing w:line="360" w:lineRule="auto"/>
        <w:jc w:val="both"/>
        <w:rPr>
          <w:rFonts w:cs="Arial"/>
          <w:bCs/>
          <w:sz w:val="22"/>
          <w:szCs w:val="22"/>
        </w:rPr>
      </w:pPr>
    </w:p>
    <w:p w14:paraId="20DA3E06" w14:textId="75509394" w:rsidR="00D17D76" w:rsidRDefault="00D17D76" w:rsidP="00D17D76">
      <w:pPr>
        <w:spacing w:line="360" w:lineRule="auto"/>
        <w:jc w:val="both"/>
        <w:rPr>
          <w:rFonts w:cs="Arial"/>
          <w:bCs/>
          <w:sz w:val="22"/>
          <w:szCs w:val="22"/>
        </w:rPr>
      </w:pPr>
      <w:r w:rsidRPr="00437EF8">
        <w:rPr>
          <w:rFonts w:cs="Arial"/>
          <w:sz w:val="22"/>
          <w:szCs w:val="22"/>
          <w:u w:val="single"/>
        </w:rPr>
        <w:t xml:space="preserve">Minuto </w:t>
      </w:r>
      <w:r>
        <w:rPr>
          <w:rFonts w:cs="Arial"/>
          <w:sz w:val="22"/>
          <w:szCs w:val="22"/>
          <w:u w:val="single"/>
        </w:rPr>
        <w:t>1</w:t>
      </w:r>
      <w:r w:rsidR="003F14D2">
        <w:rPr>
          <w:rFonts w:cs="Arial"/>
          <w:sz w:val="22"/>
          <w:szCs w:val="22"/>
          <w:u w:val="single"/>
        </w:rPr>
        <w:t>26</w:t>
      </w:r>
      <w:r w:rsidRPr="00437EF8">
        <w:rPr>
          <w:rFonts w:cs="Arial"/>
          <w:sz w:val="22"/>
          <w:szCs w:val="22"/>
          <w:u w:val="single"/>
        </w:rPr>
        <w:t>:</w:t>
      </w:r>
      <w:r w:rsidR="003F14D2">
        <w:rPr>
          <w:rFonts w:cs="Arial"/>
          <w:sz w:val="22"/>
          <w:szCs w:val="22"/>
          <w:u w:val="single"/>
        </w:rPr>
        <w:t>35</w:t>
      </w:r>
      <w:r w:rsidRPr="00437EF8">
        <w:rPr>
          <w:rFonts w:cs="Arial"/>
          <w:sz w:val="22"/>
          <w:szCs w:val="22"/>
        </w:rPr>
        <w:t xml:space="preserve"> El</w:t>
      </w:r>
      <w:r w:rsidRPr="00437EF8">
        <w:rPr>
          <w:rFonts w:cs="Arial"/>
          <w:bCs/>
          <w:sz w:val="22"/>
          <w:szCs w:val="22"/>
        </w:rPr>
        <w:t xml:space="preserve"> Director Alvarado Herrera justifica su voto negativo en </w:t>
      </w:r>
      <w:r>
        <w:rPr>
          <w:rFonts w:cs="Arial"/>
          <w:bCs/>
          <w:sz w:val="22"/>
          <w:szCs w:val="22"/>
        </w:rPr>
        <w:t>el caso de la señora Martha Adelina</w:t>
      </w:r>
      <w:r w:rsidR="00DC78F0" w:rsidRPr="00DC78F0">
        <w:rPr>
          <w:rFonts w:cs="Arial"/>
          <w:bCs/>
          <w:sz w:val="22"/>
          <w:szCs w:val="22"/>
        </w:rPr>
        <w:t xml:space="preserve"> </w:t>
      </w:r>
      <w:proofErr w:type="spellStart"/>
      <w:r w:rsidR="00DC78F0">
        <w:rPr>
          <w:rFonts w:cs="Arial"/>
          <w:bCs/>
          <w:sz w:val="22"/>
          <w:szCs w:val="22"/>
        </w:rPr>
        <w:t>Nororis</w:t>
      </w:r>
      <w:proofErr w:type="spellEnd"/>
      <w:r w:rsidR="00DC78F0">
        <w:rPr>
          <w:rFonts w:cs="Arial"/>
          <w:bCs/>
          <w:sz w:val="22"/>
          <w:szCs w:val="22"/>
        </w:rPr>
        <w:t xml:space="preserve"> Morales</w:t>
      </w:r>
      <w:r>
        <w:rPr>
          <w:rFonts w:cs="Arial"/>
          <w:bCs/>
          <w:sz w:val="22"/>
          <w:szCs w:val="22"/>
        </w:rPr>
        <w:t xml:space="preserve">, debido </w:t>
      </w:r>
      <w:r w:rsidRPr="003D6191">
        <w:rPr>
          <w:rFonts w:cs="Arial"/>
          <w:bCs/>
          <w:sz w:val="22"/>
          <w:szCs w:val="22"/>
        </w:rPr>
        <w:t>a que el núcleo familiar está compuesto por solo tres miembros y, sin embargo, la vivienda a comprar tiene</w:t>
      </w:r>
      <w:r w:rsidR="00A27F5C" w:rsidRPr="003D6191">
        <w:rPr>
          <w:rFonts w:cs="Arial"/>
          <w:bCs/>
          <w:sz w:val="22"/>
          <w:szCs w:val="22"/>
        </w:rPr>
        <w:t xml:space="preserve"> </w:t>
      </w:r>
      <w:r w:rsidRPr="003D6191">
        <w:rPr>
          <w:rFonts w:cs="Arial"/>
          <w:bCs/>
          <w:sz w:val="22"/>
          <w:szCs w:val="22"/>
        </w:rPr>
        <w:t>tres dormitorios</w:t>
      </w:r>
      <w:r w:rsidR="003D6191">
        <w:rPr>
          <w:rFonts w:cs="Arial"/>
          <w:bCs/>
          <w:sz w:val="22"/>
          <w:szCs w:val="22"/>
        </w:rPr>
        <w:t xml:space="preserve"> y un área constructiva de </w:t>
      </w:r>
      <w:r w:rsidR="00674AF5">
        <w:rPr>
          <w:rFonts w:cs="Arial"/>
          <w:bCs/>
          <w:sz w:val="22"/>
          <w:szCs w:val="22"/>
        </w:rPr>
        <w:t>57 m²</w:t>
      </w:r>
      <w:r w:rsidRPr="003D6191">
        <w:rPr>
          <w:rFonts w:cs="Arial"/>
          <w:bCs/>
          <w:sz w:val="22"/>
          <w:szCs w:val="22"/>
        </w:rPr>
        <w:t>, lo cual se aparta de las condiciones que usualmente financia el Sistema.</w:t>
      </w:r>
    </w:p>
    <w:p w14:paraId="7A610F30" w14:textId="77777777" w:rsidR="00D17D76" w:rsidRDefault="00D17D76" w:rsidP="00253CB9">
      <w:pPr>
        <w:spacing w:line="360" w:lineRule="auto"/>
        <w:jc w:val="both"/>
        <w:rPr>
          <w:rFonts w:cs="Arial"/>
          <w:bCs/>
          <w:sz w:val="22"/>
          <w:szCs w:val="22"/>
        </w:rPr>
      </w:pPr>
    </w:p>
    <w:p w14:paraId="12C99695" w14:textId="2A18C246" w:rsidR="00D7617E" w:rsidRDefault="00D7617E" w:rsidP="00D7617E">
      <w:pPr>
        <w:spacing w:line="360" w:lineRule="auto"/>
        <w:jc w:val="both"/>
        <w:rPr>
          <w:rFonts w:cs="Arial"/>
          <w:sz w:val="22"/>
          <w:szCs w:val="22"/>
        </w:rPr>
      </w:pPr>
      <w:r>
        <w:rPr>
          <w:rFonts w:cs="Arial"/>
          <w:bCs/>
          <w:sz w:val="22"/>
          <w:szCs w:val="22"/>
          <w:u w:val="single"/>
        </w:rPr>
        <w:t>Minuto 1</w:t>
      </w:r>
      <w:r w:rsidR="003F14D2">
        <w:rPr>
          <w:rFonts w:cs="Arial"/>
          <w:bCs/>
          <w:sz w:val="22"/>
          <w:szCs w:val="22"/>
          <w:u w:val="single"/>
        </w:rPr>
        <w:t>28</w:t>
      </w:r>
      <w:r>
        <w:rPr>
          <w:rFonts w:cs="Arial"/>
          <w:bCs/>
          <w:sz w:val="22"/>
          <w:szCs w:val="22"/>
          <w:u w:val="single"/>
        </w:rPr>
        <w:t>:</w:t>
      </w:r>
      <w:r w:rsidR="003F14D2">
        <w:rPr>
          <w:rFonts w:cs="Arial"/>
          <w:bCs/>
          <w:sz w:val="22"/>
          <w:szCs w:val="22"/>
          <w:u w:val="single"/>
        </w:rPr>
        <w:t>07</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w:t>
      </w:r>
      <w:proofErr w:type="gramStart"/>
      <w:r w:rsidR="00A27F5C">
        <w:rPr>
          <w:rFonts w:cs="Arial"/>
          <w:bCs/>
          <w:sz w:val="22"/>
          <w:szCs w:val="22"/>
          <w:lang w:val="es-CR"/>
        </w:rPr>
        <w:t xml:space="preserve">el </w:t>
      </w:r>
      <w:r>
        <w:rPr>
          <w:rFonts w:cs="Arial"/>
          <w:bCs/>
          <w:sz w:val="22"/>
          <w:szCs w:val="22"/>
          <w:lang w:val="es-CR"/>
        </w:rPr>
        <w:t xml:space="preserve"> caso</w:t>
      </w:r>
      <w:proofErr w:type="gramEnd"/>
      <w:r w:rsidR="00A27F5C">
        <w:rPr>
          <w:rFonts w:cs="Arial"/>
          <w:bCs/>
          <w:sz w:val="22"/>
          <w:szCs w:val="22"/>
          <w:lang w:val="es-CR"/>
        </w:rPr>
        <w:t xml:space="preserve"> </w:t>
      </w:r>
      <w:r>
        <w:rPr>
          <w:rFonts w:cs="Arial"/>
          <w:bCs/>
          <w:sz w:val="22"/>
          <w:szCs w:val="22"/>
          <w:lang w:val="es-CR"/>
        </w:rPr>
        <w:t xml:space="preserve">antes indicado, </w:t>
      </w:r>
      <w:r>
        <w:rPr>
          <w:rFonts w:cs="Arial"/>
          <w:bCs/>
          <w:sz w:val="22"/>
          <w:szCs w:val="22"/>
        </w:rPr>
        <w:t>la Junta Directiva resuelve autorizar los referidos bonos de vivienda</w:t>
      </w:r>
      <w:r>
        <w:rPr>
          <w:rFonts w:cs="Arial"/>
          <w:sz w:val="22"/>
          <w:szCs w:val="22"/>
        </w:rPr>
        <w:t xml:space="preserve"> según lo recomienda la Administración. Lo anterior, en los términos que se indican en los </w:t>
      </w:r>
      <w:r>
        <w:rPr>
          <w:rFonts w:cs="Arial"/>
          <w:b/>
          <w:sz w:val="22"/>
          <w:szCs w:val="22"/>
        </w:rPr>
        <w:t xml:space="preserve">acuerdos N° </w:t>
      </w:r>
      <w:r w:rsidR="003C4553">
        <w:rPr>
          <w:rFonts w:cs="Arial"/>
          <w:b/>
          <w:sz w:val="22"/>
          <w:szCs w:val="22"/>
        </w:rPr>
        <w:t>3</w:t>
      </w:r>
      <w:r>
        <w:rPr>
          <w:rFonts w:cs="Arial"/>
          <w:b/>
          <w:sz w:val="22"/>
          <w:szCs w:val="22"/>
        </w:rPr>
        <w:t xml:space="preserve"> y N° </w:t>
      </w:r>
      <w:r w:rsidR="003C4553">
        <w:rPr>
          <w:rFonts w:cs="Arial"/>
          <w:b/>
          <w:sz w:val="22"/>
          <w:szCs w:val="22"/>
        </w:rPr>
        <w:t>4</w:t>
      </w:r>
      <w:r>
        <w:rPr>
          <w:rFonts w:cs="Arial"/>
          <w:b/>
          <w:sz w:val="22"/>
          <w:szCs w:val="22"/>
        </w:rPr>
        <w:t xml:space="preserve"> </w:t>
      </w:r>
      <w:r>
        <w:rPr>
          <w:rFonts w:cs="Arial"/>
          <w:sz w:val="22"/>
          <w:szCs w:val="22"/>
        </w:rPr>
        <w:t xml:space="preserve">que se anexan a esta minuta. </w:t>
      </w:r>
    </w:p>
    <w:p w14:paraId="5AA29CAE" w14:textId="77777777" w:rsidR="00D7617E" w:rsidRDefault="00D7617E" w:rsidP="00D7617E">
      <w:pPr>
        <w:spacing w:line="360" w:lineRule="auto"/>
        <w:jc w:val="both"/>
        <w:rPr>
          <w:rFonts w:cs="Arial"/>
          <w:b/>
          <w:sz w:val="22"/>
        </w:rPr>
      </w:pPr>
      <w:r>
        <w:rPr>
          <w:rFonts w:cs="Arial"/>
          <w:b/>
          <w:sz w:val="22"/>
        </w:rPr>
        <w:t>************</w:t>
      </w:r>
    </w:p>
    <w:p w14:paraId="0B358E38" w14:textId="77777777" w:rsidR="009D03FE" w:rsidRDefault="009D03FE" w:rsidP="009D03FE">
      <w:pPr>
        <w:spacing w:line="360" w:lineRule="auto"/>
        <w:jc w:val="both"/>
        <w:rPr>
          <w:rFonts w:cs="Arial"/>
          <w:b/>
          <w:bCs/>
          <w:sz w:val="22"/>
          <w:szCs w:val="22"/>
          <w:u w:val="single"/>
          <w:lang w:val="es-ES_tradnl"/>
        </w:rPr>
      </w:pPr>
    </w:p>
    <w:p w14:paraId="209DC02E" w14:textId="24CF52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F45505" w:rsidRPr="00F45505">
        <w:rPr>
          <w:rFonts w:cs="Arial"/>
          <w:b/>
          <w:bCs/>
          <w:sz w:val="22"/>
          <w:u w:val="single"/>
          <w:lang w:val="es-ES_tradnl"/>
        </w:rPr>
        <w:t>Solicitud de aprobación de financiamiento adicional para el proyecto Nueva Angostura</w:t>
      </w:r>
    </w:p>
    <w:p w14:paraId="5EE26346" w14:textId="77777777" w:rsidR="009D03FE" w:rsidRDefault="009D03FE" w:rsidP="009D03FE">
      <w:pPr>
        <w:spacing w:line="360" w:lineRule="auto"/>
        <w:jc w:val="both"/>
        <w:rPr>
          <w:rFonts w:cs="Arial"/>
          <w:sz w:val="22"/>
          <w:szCs w:val="22"/>
        </w:rPr>
      </w:pPr>
    </w:p>
    <w:p w14:paraId="3843AB23" w14:textId="69D9A836" w:rsidR="005E71B1" w:rsidRPr="00C868C1" w:rsidRDefault="005E71B1" w:rsidP="005E71B1">
      <w:pPr>
        <w:spacing w:line="360" w:lineRule="auto"/>
        <w:jc w:val="both"/>
        <w:rPr>
          <w:rFonts w:cs="Arial"/>
          <w:bCs/>
          <w:sz w:val="22"/>
          <w:szCs w:val="22"/>
          <w:lang w:val="es-ES_tradnl"/>
        </w:rPr>
      </w:pPr>
      <w:r w:rsidRPr="00C868C1">
        <w:rPr>
          <w:rFonts w:cs="Arial"/>
          <w:sz w:val="22"/>
          <w:szCs w:val="22"/>
          <w:u w:val="single"/>
          <w:lang w:val="es-ES_tradnl"/>
        </w:rPr>
        <w:lastRenderedPageBreak/>
        <w:t xml:space="preserve">Minuto </w:t>
      </w:r>
      <w:r w:rsidR="003F14D2">
        <w:rPr>
          <w:rFonts w:cs="Arial"/>
          <w:sz w:val="22"/>
          <w:szCs w:val="22"/>
          <w:u w:val="single"/>
          <w:lang w:val="es-ES_tradnl"/>
        </w:rPr>
        <w:t>129</w:t>
      </w:r>
      <w:r w:rsidRPr="00C868C1">
        <w:rPr>
          <w:rFonts w:cs="Arial"/>
          <w:sz w:val="22"/>
          <w:szCs w:val="22"/>
          <w:u w:val="single"/>
          <w:lang w:val="es-ES_tradnl"/>
        </w:rPr>
        <w:t>:</w:t>
      </w:r>
      <w:r w:rsidR="003F14D2">
        <w:rPr>
          <w:rFonts w:cs="Arial"/>
          <w:sz w:val="22"/>
          <w:szCs w:val="22"/>
          <w:u w:val="single"/>
          <w:lang w:val="es-ES_tradnl"/>
        </w:rPr>
        <w:t>40</w:t>
      </w:r>
      <w:r w:rsidRPr="00C868C1">
        <w:rPr>
          <w:rFonts w:cs="Arial"/>
          <w:sz w:val="22"/>
          <w:szCs w:val="22"/>
          <w:lang w:val="es-ES_tradnl"/>
        </w:rPr>
        <w:t xml:space="preserve">  Se </w:t>
      </w:r>
      <w:r>
        <w:rPr>
          <w:rFonts w:cs="Arial"/>
          <w:sz w:val="22"/>
          <w:szCs w:val="22"/>
          <w:lang w:val="es-ES_tradnl"/>
        </w:rPr>
        <w:t>conoce</w:t>
      </w:r>
      <w:r w:rsidRPr="00C868C1">
        <w:rPr>
          <w:rFonts w:cs="Arial"/>
          <w:sz w:val="22"/>
          <w:szCs w:val="22"/>
        </w:rPr>
        <w:t xml:space="preserve"> el </w:t>
      </w:r>
      <w:r w:rsidRPr="00C868C1">
        <w:rPr>
          <w:rFonts w:cs="Arial"/>
          <w:sz w:val="22"/>
          <w:szCs w:val="22"/>
          <w:lang w:val="es-ES_tradnl"/>
        </w:rPr>
        <w:t xml:space="preserve">oficio </w:t>
      </w:r>
      <w:r w:rsidR="003F14D2">
        <w:rPr>
          <w:rFonts w:cs="Arial"/>
          <w:sz w:val="22"/>
          <w:szCs w:val="22"/>
          <w:lang w:val="es-ES_tradnl"/>
        </w:rPr>
        <w:t>GG-ME</w:t>
      </w:r>
      <w:r w:rsidRPr="00C868C1">
        <w:rPr>
          <w:rFonts w:cs="Arial"/>
          <w:sz w:val="22"/>
          <w:szCs w:val="22"/>
        </w:rPr>
        <w:t>-</w:t>
      </w:r>
      <w:r w:rsidR="003F14D2">
        <w:rPr>
          <w:rFonts w:cs="Arial"/>
          <w:sz w:val="22"/>
          <w:szCs w:val="22"/>
        </w:rPr>
        <w:t>1066</w:t>
      </w:r>
      <w:r w:rsidRPr="00C868C1">
        <w:rPr>
          <w:rFonts w:cs="Arial"/>
          <w:sz w:val="22"/>
          <w:szCs w:val="22"/>
        </w:rPr>
        <w:t xml:space="preserve">-2022 del </w:t>
      </w:r>
      <w:r w:rsidR="003F14D2">
        <w:rPr>
          <w:rFonts w:cs="Arial"/>
          <w:sz w:val="22"/>
          <w:szCs w:val="22"/>
        </w:rPr>
        <w:t>26</w:t>
      </w:r>
      <w:r>
        <w:rPr>
          <w:rFonts w:cs="Arial"/>
          <w:sz w:val="22"/>
          <w:szCs w:val="22"/>
        </w:rPr>
        <w:t xml:space="preserve"> de a</w:t>
      </w:r>
      <w:r w:rsidR="003F14D2">
        <w:rPr>
          <w:rFonts w:cs="Arial"/>
          <w:sz w:val="22"/>
          <w:szCs w:val="22"/>
        </w:rPr>
        <w:t>gosto</w:t>
      </w:r>
      <w:r w:rsidRPr="00C868C1">
        <w:rPr>
          <w:rFonts w:cs="Arial"/>
          <w:sz w:val="22"/>
          <w:szCs w:val="22"/>
        </w:rPr>
        <w:t xml:space="preserve"> de 2022, mediante el cual, </w:t>
      </w:r>
      <w:r w:rsidR="003F14D2">
        <w:rPr>
          <w:rFonts w:cs="Arial"/>
          <w:sz w:val="22"/>
          <w:szCs w:val="22"/>
        </w:rPr>
        <w:t xml:space="preserve">el asistente de la </w:t>
      </w:r>
      <w:r w:rsidR="003F14D2" w:rsidRPr="003F14D2">
        <w:rPr>
          <w:rFonts w:cs="Arial"/>
          <w:sz w:val="22"/>
          <w:szCs w:val="22"/>
          <w:lang w:val="es-CR"/>
        </w:rPr>
        <w:t>Gerencia General</w:t>
      </w:r>
      <w:r w:rsidRPr="00C868C1">
        <w:rPr>
          <w:rFonts w:cs="Arial"/>
          <w:sz w:val="22"/>
          <w:szCs w:val="22"/>
        </w:rPr>
        <w:t xml:space="preserve"> remite y avala el informe DF-OF-0</w:t>
      </w:r>
      <w:r w:rsidR="003F14D2">
        <w:rPr>
          <w:rFonts w:cs="Arial"/>
          <w:sz w:val="22"/>
          <w:szCs w:val="22"/>
        </w:rPr>
        <w:t>899</w:t>
      </w:r>
      <w:r w:rsidRPr="00C868C1">
        <w:rPr>
          <w:rFonts w:cs="Arial"/>
          <w:sz w:val="22"/>
          <w:szCs w:val="22"/>
        </w:rPr>
        <w:t>-202</w:t>
      </w:r>
      <w:r>
        <w:rPr>
          <w:rFonts w:cs="Arial"/>
          <w:sz w:val="22"/>
          <w:szCs w:val="22"/>
        </w:rPr>
        <w:t>2</w:t>
      </w:r>
      <w:r w:rsidRPr="00C868C1">
        <w:rPr>
          <w:rFonts w:cs="Arial"/>
          <w:sz w:val="22"/>
          <w:szCs w:val="22"/>
        </w:rPr>
        <w:t xml:space="preserve"> de la Dirección FOSUVI, </w:t>
      </w:r>
      <w:r w:rsidRPr="00C868C1">
        <w:rPr>
          <w:rFonts w:cs="Arial"/>
          <w:bCs/>
          <w:sz w:val="22"/>
          <w:szCs w:val="22"/>
        </w:rPr>
        <w:t>que contiene los resultados del estudio efectuado a la solicitud</w:t>
      </w:r>
      <w:r w:rsidRPr="00C868C1">
        <w:rPr>
          <w:rFonts w:cs="Arial"/>
          <w:sz w:val="22"/>
          <w:szCs w:val="22"/>
        </w:rPr>
        <w:t xml:space="preserve"> de Mutual Cartago de Ahorro y Préstamo (MUCAP), para </w:t>
      </w:r>
      <w:r w:rsidR="003F14D2" w:rsidRPr="004E3077">
        <w:rPr>
          <w:rFonts w:cs="Arial"/>
          <w:sz w:val="22"/>
          <w:szCs w:val="22"/>
          <w:lang w:val="es-ES_tradnl"/>
        </w:rPr>
        <w:t>financiar</w:t>
      </w:r>
      <w:r w:rsidR="003F14D2" w:rsidRPr="004E3077">
        <w:rPr>
          <w:rFonts w:cs="Arial"/>
          <w:sz w:val="22"/>
          <w:szCs w:val="22"/>
        </w:rPr>
        <w:t xml:space="preserve">, al amparo del artículo 59 de la Ley del Sistema Financiero Nacional para la Vivienda, actividades adicionales no contempladas originalmente en el </w:t>
      </w:r>
      <w:r w:rsidR="003F14D2" w:rsidRPr="00AF674B">
        <w:rPr>
          <w:rFonts w:cs="Arial"/>
          <w:sz w:val="22"/>
          <w:szCs w:val="22"/>
          <w:lang w:val="es-CR"/>
        </w:rPr>
        <w:t>Anteproyecto de</w:t>
      </w:r>
      <w:r w:rsidR="003F14D2">
        <w:rPr>
          <w:rFonts w:cs="Arial"/>
          <w:sz w:val="22"/>
          <w:szCs w:val="22"/>
          <w:lang w:val="es-CR"/>
        </w:rPr>
        <w:t>l conjunto residencial</w:t>
      </w:r>
      <w:r w:rsidR="003F14D2" w:rsidRPr="00AF674B">
        <w:rPr>
          <w:rFonts w:cs="Arial"/>
          <w:sz w:val="22"/>
          <w:szCs w:val="22"/>
          <w:lang w:val="es-CR"/>
        </w:rPr>
        <w:t xml:space="preserve"> Nueva Angostura</w:t>
      </w:r>
      <w:r w:rsidR="003F14D2">
        <w:rPr>
          <w:rFonts w:cs="Arial"/>
          <w:sz w:val="22"/>
          <w:szCs w:val="22"/>
          <w:lang w:val="es-CR"/>
        </w:rPr>
        <w:t xml:space="preserve">, </w:t>
      </w:r>
      <w:r w:rsidR="003F14D2" w:rsidRPr="00301B6D">
        <w:rPr>
          <w:rFonts w:cs="Arial"/>
          <w:sz w:val="22"/>
          <w:szCs w:val="22"/>
          <w:lang w:val="es-ES_tradnl"/>
        </w:rPr>
        <w:t>a desarrollarse en el distrito La Suiza del cantón de Turrialba, provincia de Cartago, conforme lo aprobado con el acuerdo N° 7 de la sesión 07-2021, del 25 de enero de 2021</w:t>
      </w:r>
      <w:r w:rsidR="003F14D2">
        <w:rPr>
          <w:rFonts w:cs="Arial"/>
          <w:sz w:val="22"/>
          <w:szCs w:val="22"/>
          <w:lang w:val="es-ES_tradnl"/>
        </w:rPr>
        <w:t>.</w:t>
      </w:r>
      <w:r w:rsidRPr="00C868C1">
        <w:rPr>
          <w:rFonts w:cs="Arial"/>
          <w:sz w:val="22"/>
          <w:szCs w:val="22"/>
        </w:rPr>
        <w:t xml:space="preserve">  Dichos documentos se adjuntan al expediente del acta</w:t>
      </w:r>
      <w:r w:rsidRPr="00C868C1">
        <w:rPr>
          <w:rFonts w:cs="Arial"/>
          <w:bCs/>
          <w:sz w:val="22"/>
          <w:szCs w:val="22"/>
          <w:lang w:val="es-ES_tradnl"/>
        </w:rPr>
        <w:t>.</w:t>
      </w:r>
    </w:p>
    <w:p w14:paraId="1709262C" w14:textId="77777777" w:rsidR="005E71B1" w:rsidRPr="00C868C1" w:rsidRDefault="005E71B1" w:rsidP="005E71B1">
      <w:pPr>
        <w:spacing w:line="360" w:lineRule="auto"/>
        <w:jc w:val="both"/>
        <w:rPr>
          <w:rFonts w:cs="Arial"/>
          <w:sz w:val="22"/>
          <w:szCs w:val="22"/>
        </w:rPr>
      </w:pPr>
    </w:p>
    <w:p w14:paraId="06C1C054" w14:textId="616C6E8D" w:rsidR="003F14D2" w:rsidRDefault="005E71B1" w:rsidP="003F14D2">
      <w:pPr>
        <w:spacing w:line="360" w:lineRule="auto"/>
        <w:jc w:val="both"/>
        <w:rPr>
          <w:rFonts w:cs="Arial"/>
          <w:sz w:val="22"/>
          <w:szCs w:val="22"/>
          <w:lang w:val="es-CR"/>
        </w:rPr>
      </w:pPr>
      <w:r w:rsidRPr="00C868C1">
        <w:rPr>
          <w:rFonts w:cs="Arial"/>
          <w:sz w:val="22"/>
          <w:szCs w:val="22"/>
        </w:rPr>
        <w:t xml:space="preserve">La </w:t>
      </w:r>
      <w:r>
        <w:rPr>
          <w:rFonts w:cs="Arial"/>
          <w:sz w:val="22"/>
          <w:szCs w:val="22"/>
        </w:rPr>
        <w:t xml:space="preserve">arquitecta Salas Rodríguez </w:t>
      </w:r>
      <w:r w:rsidRPr="00C868C1">
        <w:rPr>
          <w:rFonts w:cs="Arial"/>
          <w:sz w:val="22"/>
          <w:szCs w:val="22"/>
        </w:rPr>
        <w:t xml:space="preserve">expone los alcances del citado informe, destacando las razones en las que fundamenta la entidad </w:t>
      </w:r>
      <w:r w:rsidR="002D591F">
        <w:rPr>
          <w:rFonts w:cs="Arial"/>
          <w:sz w:val="22"/>
          <w:szCs w:val="22"/>
        </w:rPr>
        <w:t xml:space="preserve">la solicitud </w:t>
      </w:r>
      <w:r w:rsidRPr="00C868C1">
        <w:rPr>
          <w:rFonts w:cs="Arial"/>
          <w:sz w:val="22"/>
          <w:szCs w:val="22"/>
        </w:rPr>
        <w:t xml:space="preserve">para </w:t>
      </w:r>
      <w:r w:rsidR="002D591F">
        <w:rPr>
          <w:rFonts w:cs="Arial"/>
          <w:sz w:val="22"/>
          <w:szCs w:val="22"/>
        </w:rPr>
        <w:t>que se apruebe</w:t>
      </w:r>
      <w:r w:rsidR="003F14D2" w:rsidRPr="004E3077">
        <w:rPr>
          <w:rFonts w:cs="Arial"/>
          <w:sz w:val="22"/>
          <w:szCs w:val="22"/>
          <w:lang w:val="es-ES_tradnl"/>
        </w:rPr>
        <w:t xml:space="preserve"> un financiamiento adicional por la suma de ¢</w:t>
      </w:r>
      <w:r w:rsidR="003F14D2">
        <w:rPr>
          <w:rFonts w:cs="Arial"/>
          <w:sz w:val="22"/>
          <w:szCs w:val="22"/>
          <w:lang w:val="es-ES_tradnl"/>
        </w:rPr>
        <w:t>807</w:t>
      </w:r>
      <w:r w:rsidR="003F14D2" w:rsidRPr="004E3077">
        <w:rPr>
          <w:rFonts w:cs="Arial"/>
          <w:sz w:val="22"/>
          <w:szCs w:val="22"/>
          <w:lang w:val="es-ES_tradnl"/>
        </w:rPr>
        <w:t>.</w:t>
      </w:r>
      <w:r w:rsidR="003F14D2">
        <w:rPr>
          <w:rFonts w:cs="Arial"/>
          <w:sz w:val="22"/>
          <w:szCs w:val="22"/>
          <w:lang w:val="es-ES_tradnl"/>
        </w:rPr>
        <w:t>172</w:t>
      </w:r>
      <w:r w:rsidR="003F14D2" w:rsidRPr="004E3077">
        <w:rPr>
          <w:rFonts w:cs="Arial"/>
          <w:sz w:val="22"/>
          <w:szCs w:val="22"/>
          <w:lang w:val="es-ES_tradnl"/>
        </w:rPr>
        <w:t>,</w:t>
      </w:r>
      <w:r w:rsidR="003F14D2">
        <w:rPr>
          <w:rFonts w:cs="Arial"/>
          <w:sz w:val="22"/>
          <w:szCs w:val="22"/>
          <w:lang w:val="es-ES_tradnl"/>
        </w:rPr>
        <w:t>75</w:t>
      </w:r>
      <w:r w:rsidR="003F14D2" w:rsidRPr="004E3077">
        <w:rPr>
          <w:rFonts w:cs="Arial"/>
          <w:sz w:val="22"/>
          <w:szCs w:val="22"/>
          <w:lang w:val="es-ES_tradnl"/>
        </w:rPr>
        <w:t xml:space="preserve">, </w:t>
      </w:r>
      <w:r w:rsidR="002D591F">
        <w:rPr>
          <w:rFonts w:cs="Arial"/>
          <w:sz w:val="22"/>
          <w:szCs w:val="22"/>
          <w:lang w:val="es-ES_tradnl"/>
        </w:rPr>
        <w:t xml:space="preserve">dirigido al </w:t>
      </w:r>
      <w:r w:rsidR="003F14D2" w:rsidRPr="004E3077">
        <w:rPr>
          <w:rFonts w:cs="Arial"/>
          <w:sz w:val="22"/>
          <w:szCs w:val="22"/>
          <w:lang w:val="es-CR"/>
        </w:rPr>
        <w:t>pago de</w:t>
      </w:r>
      <w:r w:rsidR="003F14D2">
        <w:rPr>
          <w:rFonts w:cs="Arial"/>
          <w:sz w:val="22"/>
          <w:szCs w:val="22"/>
          <w:lang w:val="es-CR"/>
        </w:rPr>
        <w:t xml:space="preserve"> </w:t>
      </w:r>
      <w:r w:rsidR="003F14D2" w:rsidRPr="00B26F5A">
        <w:rPr>
          <w:rFonts w:cs="Arial"/>
          <w:sz w:val="22"/>
          <w:szCs w:val="22"/>
          <w:lang w:val="es-CR"/>
        </w:rPr>
        <w:t xml:space="preserve">impuestos y timbres de </w:t>
      </w:r>
      <w:r w:rsidR="003F14D2">
        <w:rPr>
          <w:rFonts w:cs="Arial"/>
          <w:sz w:val="22"/>
          <w:szCs w:val="22"/>
          <w:lang w:val="es-CR"/>
        </w:rPr>
        <w:t>l</w:t>
      </w:r>
      <w:r w:rsidR="003F14D2" w:rsidRPr="00B26F5A">
        <w:rPr>
          <w:rFonts w:cs="Arial"/>
          <w:sz w:val="22"/>
          <w:szCs w:val="22"/>
          <w:lang w:val="es-CR"/>
        </w:rPr>
        <w:t>a escritura de</w:t>
      </w:r>
      <w:r w:rsidR="003F14D2">
        <w:rPr>
          <w:rFonts w:cs="Arial"/>
          <w:sz w:val="22"/>
          <w:szCs w:val="22"/>
          <w:lang w:val="es-CR"/>
        </w:rPr>
        <w:t xml:space="preserve"> </w:t>
      </w:r>
      <w:r w:rsidR="003F14D2" w:rsidRPr="00B26F5A">
        <w:rPr>
          <w:rFonts w:cs="Arial"/>
          <w:sz w:val="22"/>
          <w:szCs w:val="22"/>
          <w:lang w:val="es-CR"/>
        </w:rPr>
        <w:t>donaci</w:t>
      </w:r>
      <w:r w:rsidR="003F14D2">
        <w:rPr>
          <w:rFonts w:cs="Arial"/>
          <w:sz w:val="22"/>
          <w:szCs w:val="22"/>
          <w:lang w:val="es-CR"/>
        </w:rPr>
        <w:t>ón</w:t>
      </w:r>
      <w:r w:rsidR="003F14D2" w:rsidRPr="00B26F5A">
        <w:rPr>
          <w:rFonts w:cs="Arial"/>
          <w:sz w:val="22"/>
          <w:szCs w:val="22"/>
          <w:lang w:val="es-CR"/>
        </w:rPr>
        <w:t xml:space="preserve"> al </w:t>
      </w:r>
      <w:r w:rsidR="003F14D2">
        <w:rPr>
          <w:rFonts w:cs="Arial"/>
          <w:sz w:val="22"/>
          <w:szCs w:val="22"/>
          <w:lang w:val="es-CR"/>
        </w:rPr>
        <w:t>Instituto Costarricense de Acueductos y Alcantarillados (</w:t>
      </w:r>
      <w:proofErr w:type="spellStart"/>
      <w:r w:rsidR="003F14D2">
        <w:rPr>
          <w:rFonts w:cs="Arial"/>
          <w:sz w:val="22"/>
          <w:szCs w:val="22"/>
          <w:lang w:val="es-CR"/>
        </w:rPr>
        <w:t>AyA</w:t>
      </w:r>
      <w:proofErr w:type="spellEnd"/>
      <w:r w:rsidR="003F14D2">
        <w:rPr>
          <w:rFonts w:cs="Arial"/>
          <w:sz w:val="22"/>
          <w:szCs w:val="22"/>
          <w:lang w:val="es-CR"/>
        </w:rPr>
        <w:t>), según los siguientes argumentos técnicos y jurídicos:</w:t>
      </w:r>
    </w:p>
    <w:p w14:paraId="51FBFFBA" w14:textId="77777777" w:rsidR="003F14D2" w:rsidRDefault="003F14D2" w:rsidP="003F14D2">
      <w:pPr>
        <w:spacing w:line="360" w:lineRule="auto"/>
        <w:jc w:val="both"/>
        <w:rPr>
          <w:rFonts w:cs="Arial"/>
          <w:sz w:val="22"/>
          <w:szCs w:val="22"/>
          <w:lang w:val="es-CR"/>
        </w:rPr>
      </w:pPr>
      <w:r>
        <w:rPr>
          <w:rFonts w:cs="Arial"/>
          <w:sz w:val="22"/>
          <w:szCs w:val="22"/>
          <w:lang w:val="es-CR"/>
        </w:rPr>
        <w:t xml:space="preserve">a) </w:t>
      </w:r>
      <w:r w:rsidRPr="00B26F5A">
        <w:rPr>
          <w:rFonts w:cs="Arial"/>
          <w:sz w:val="22"/>
          <w:szCs w:val="22"/>
          <w:lang w:val="es-CR"/>
        </w:rPr>
        <w:t>El proyecto actualmente se encuentra en fase de dise</w:t>
      </w:r>
      <w:r>
        <w:rPr>
          <w:rFonts w:cs="Arial"/>
          <w:sz w:val="22"/>
          <w:szCs w:val="22"/>
          <w:lang w:val="es-CR"/>
        </w:rPr>
        <w:t>ñ</w:t>
      </w:r>
      <w:r w:rsidRPr="00B26F5A">
        <w:rPr>
          <w:rFonts w:cs="Arial"/>
          <w:sz w:val="22"/>
          <w:szCs w:val="22"/>
          <w:lang w:val="es-CR"/>
        </w:rPr>
        <w:t>o</w:t>
      </w:r>
      <w:r>
        <w:rPr>
          <w:rFonts w:cs="Arial"/>
          <w:sz w:val="22"/>
          <w:szCs w:val="22"/>
          <w:lang w:val="es-CR"/>
        </w:rPr>
        <w:t>.  E</w:t>
      </w:r>
      <w:r w:rsidRPr="00B26F5A">
        <w:rPr>
          <w:rFonts w:cs="Arial"/>
          <w:sz w:val="22"/>
          <w:szCs w:val="22"/>
          <w:lang w:val="es-CR"/>
        </w:rPr>
        <w:t>l anteproyecto fue aprobado por</w:t>
      </w:r>
      <w:r>
        <w:rPr>
          <w:rFonts w:cs="Arial"/>
          <w:sz w:val="22"/>
          <w:szCs w:val="22"/>
          <w:lang w:val="es-CR"/>
        </w:rPr>
        <w:t xml:space="preserve"> el </w:t>
      </w:r>
      <w:r w:rsidRPr="00B26F5A">
        <w:rPr>
          <w:rFonts w:cs="Arial"/>
          <w:sz w:val="22"/>
          <w:szCs w:val="22"/>
          <w:lang w:val="es-CR"/>
        </w:rPr>
        <w:t>Colegio Federado de Ingeniero</w:t>
      </w:r>
      <w:r>
        <w:rPr>
          <w:rFonts w:cs="Arial"/>
          <w:sz w:val="22"/>
          <w:szCs w:val="22"/>
          <w:lang w:val="es-CR"/>
        </w:rPr>
        <w:t>s</w:t>
      </w:r>
      <w:r w:rsidRPr="00B26F5A">
        <w:rPr>
          <w:rFonts w:cs="Arial"/>
          <w:sz w:val="22"/>
          <w:szCs w:val="22"/>
          <w:lang w:val="es-CR"/>
        </w:rPr>
        <w:t xml:space="preserve"> y de Arquitectos en su plataforma de APC. El terreno del</w:t>
      </w:r>
      <w:r>
        <w:rPr>
          <w:rFonts w:cs="Arial"/>
          <w:sz w:val="22"/>
          <w:szCs w:val="22"/>
          <w:lang w:val="es-CR"/>
        </w:rPr>
        <w:t xml:space="preserve"> </w:t>
      </w:r>
      <w:r w:rsidRPr="00B26F5A">
        <w:rPr>
          <w:rFonts w:cs="Arial"/>
          <w:sz w:val="22"/>
          <w:szCs w:val="22"/>
          <w:lang w:val="es-CR"/>
        </w:rPr>
        <w:t xml:space="preserve">proyecto fue donado al BANHVI en diciembre de 2015, sin embargo, en </w:t>
      </w:r>
      <w:r>
        <w:rPr>
          <w:rFonts w:cs="Arial"/>
          <w:sz w:val="22"/>
          <w:szCs w:val="22"/>
          <w:lang w:val="es-CR"/>
        </w:rPr>
        <w:t>l</w:t>
      </w:r>
      <w:r w:rsidRPr="00B26F5A">
        <w:rPr>
          <w:rFonts w:cs="Arial"/>
          <w:sz w:val="22"/>
          <w:szCs w:val="22"/>
          <w:lang w:val="es-CR"/>
        </w:rPr>
        <w:t>a nota de</w:t>
      </w:r>
      <w:r>
        <w:rPr>
          <w:rFonts w:cs="Arial"/>
          <w:sz w:val="22"/>
          <w:szCs w:val="22"/>
          <w:lang w:val="es-CR"/>
        </w:rPr>
        <w:t xml:space="preserve"> </w:t>
      </w:r>
      <w:r w:rsidRPr="00B26F5A">
        <w:rPr>
          <w:rFonts w:cs="Arial"/>
          <w:sz w:val="22"/>
          <w:szCs w:val="22"/>
          <w:lang w:val="es-CR"/>
        </w:rPr>
        <w:t>capacidad h</w:t>
      </w:r>
      <w:r>
        <w:rPr>
          <w:rFonts w:cs="Arial"/>
          <w:sz w:val="22"/>
          <w:szCs w:val="22"/>
          <w:lang w:val="es-CR"/>
        </w:rPr>
        <w:t>í</w:t>
      </w:r>
      <w:r w:rsidRPr="00B26F5A">
        <w:rPr>
          <w:rFonts w:cs="Arial"/>
          <w:sz w:val="22"/>
          <w:szCs w:val="22"/>
          <w:lang w:val="es-CR"/>
        </w:rPr>
        <w:t xml:space="preserve">drica otorgada por </w:t>
      </w:r>
      <w:r>
        <w:rPr>
          <w:rFonts w:cs="Arial"/>
          <w:sz w:val="22"/>
          <w:szCs w:val="22"/>
          <w:lang w:val="es-CR"/>
        </w:rPr>
        <w:t>l</w:t>
      </w:r>
      <w:r w:rsidRPr="00B26F5A">
        <w:rPr>
          <w:rFonts w:cs="Arial"/>
          <w:sz w:val="22"/>
          <w:szCs w:val="22"/>
          <w:lang w:val="es-CR"/>
        </w:rPr>
        <w:t>a A</w:t>
      </w:r>
      <w:r>
        <w:rPr>
          <w:rFonts w:cs="Arial"/>
          <w:sz w:val="22"/>
          <w:szCs w:val="22"/>
          <w:lang w:val="es-CR"/>
        </w:rPr>
        <w:t>SADA</w:t>
      </w:r>
      <w:r w:rsidRPr="00B26F5A">
        <w:rPr>
          <w:rFonts w:cs="Arial"/>
          <w:sz w:val="22"/>
          <w:szCs w:val="22"/>
          <w:lang w:val="es-CR"/>
        </w:rPr>
        <w:t xml:space="preserve"> de La Suiza, se indic</w:t>
      </w:r>
      <w:r>
        <w:rPr>
          <w:rFonts w:cs="Arial"/>
          <w:sz w:val="22"/>
          <w:szCs w:val="22"/>
          <w:lang w:val="es-CR"/>
        </w:rPr>
        <w:t>ó</w:t>
      </w:r>
      <w:r w:rsidRPr="00B26F5A">
        <w:rPr>
          <w:rFonts w:cs="Arial"/>
          <w:sz w:val="22"/>
          <w:szCs w:val="22"/>
          <w:lang w:val="es-CR"/>
        </w:rPr>
        <w:t xml:space="preserve"> que se requer</w:t>
      </w:r>
      <w:r>
        <w:rPr>
          <w:rFonts w:cs="Arial"/>
          <w:sz w:val="22"/>
          <w:szCs w:val="22"/>
          <w:lang w:val="es-CR"/>
        </w:rPr>
        <w:t>í</w:t>
      </w:r>
      <w:r w:rsidRPr="00B26F5A">
        <w:rPr>
          <w:rFonts w:cs="Arial"/>
          <w:sz w:val="22"/>
          <w:szCs w:val="22"/>
          <w:lang w:val="es-CR"/>
        </w:rPr>
        <w:t>a un tanque</w:t>
      </w:r>
      <w:r>
        <w:rPr>
          <w:rFonts w:cs="Arial"/>
          <w:sz w:val="22"/>
          <w:szCs w:val="22"/>
          <w:lang w:val="es-CR"/>
        </w:rPr>
        <w:t xml:space="preserve"> </w:t>
      </w:r>
      <w:r w:rsidRPr="00B26F5A">
        <w:rPr>
          <w:rFonts w:cs="Arial"/>
          <w:sz w:val="22"/>
          <w:szCs w:val="22"/>
          <w:lang w:val="es-CR"/>
        </w:rPr>
        <w:t xml:space="preserve">de almacenamiento de </w:t>
      </w:r>
      <w:r>
        <w:rPr>
          <w:rFonts w:cs="Arial"/>
          <w:sz w:val="22"/>
          <w:szCs w:val="22"/>
          <w:lang w:val="es-CR"/>
        </w:rPr>
        <w:t>a</w:t>
      </w:r>
      <w:r w:rsidRPr="00B26F5A">
        <w:rPr>
          <w:rFonts w:cs="Arial"/>
          <w:sz w:val="22"/>
          <w:szCs w:val="22"/>
          <w:lang w:val="es-CR"/>
        </w:rPr>
        <w:t xml:space="preserve">gua </w:t>
      </w:r>
      <w:r>
        <w:rPr>
          <w:rFonts w:cs="Arial"/>
          <w:sz w:val="22"/>
          <w:szCs w:val="22"/>
          <w:lang w:val="es-CR"/>
        </w:rPr>
        <w:t>p</w:t>
      </w:r>
      <w:r w:rsidRPr="00B26F5A">
        <w:rPr>
          <w:rFonts w:cs="Arial"/>
          <w:sz w:val="22"/>
          <w:szCs w:val="22"/>
          <w:lang w:val="es-CR"/>
        </w:rPr>
        <w:t xml:space="preserve">otable para el desarrollo del proyecto, </w:t>
      </w:r>
      <w:r>
        <w:rPr>
          <w:rFonts w:cs="Arial"/>
          <w:sz w:val="22"/>
          <w:szCs w:val="22"/>
          <w:lang w:val="es-CR"/>
        </w:rPr>
        <w:t>y é</w:t>
      </w:r>
      <w:r w:rsidRPr="00B26F5A">
        <w:rPr>
          <w:rFonts w:cs="Arial"/>
          <w:sz w:val="22"/>
          <w:szCs w:val="22"/>
          <w:lang w:val="es-CR"/>
        </w:rPr>
        <w:t>ste no se pod</w:t>
      </w:r>
      <w:r>
        <w:rPr>
          <w:rFonts w:cs="Arial"/>
          <w:sz w:val="22"/>
          <w:szCs w:val="22"/>
          <w:lang w:val="es-CR"/>
        </w:rPr>
        <w:t>í</w:t>
      </w:r>
      <w:r w:rsidRPr="00B26F5A">
        <w:rPr>
          <w:rFonts w:cs="Arial"/>
          <w:sz w:val="22"/>
          <w:szCs w:val="22"/>
          <w:lang w:val="es-CR"/>
        </w:rPr>
        <w:t>a</w:t>
      </w:r>
      <w:r>
        <w:rPr>
          <w:rFonts w:cs="Arial"/>
          <w:sz w:val="22"/>
          <w:szCs w:val="22"/>
          <w:lang w:val="es-CR"/>
        </w:rPr>
        <w:t xml:space="preserve"> </w:t>
      </w:r>
      <w:r w:rsidRPr="00B26F5A">
        <w:rPr>
          <w:rFonts w:cs="Arial"/>
          <w:sz w:val="22"/>
          <w:szCs w:val="22"/>
          <w:lang w:val="es-CR"/>
        </w:rPr>
        <w:t>ubicar en el lote ya donado</w:t>
      </w:r>
      <w:r>
        <w:rPr>
          <w:rFonts w:cs="Arial"/>
          <w:sz w:val="22"/>
          <w:szCs w:val="22"/>
          <w:lang w:val="es-CR"/>
        </w:rPr>
        <w:t>.</w:t>
      </w:r>
    </w:p>
    <w:p w14:paraId="4B8E58AA" w14:textId="77777777" w:rsidR="003F14D2" w:rsidRDefault="003F14D2" w:rsidP="003F14D2">
      <w:pPr>
        <w:spacing w:line="360" w:lineRule="auto"/>
        <w:jc w:val="both"/>
        <w:rPr>
          <w:rFonts w:cs="Arial"/>
          <w:sz w:val="22"/>
          <w:szCs w:val="22"/>
          <w:lang w:val="es-CR"/>
        </w:rPr>
      </w:pPr>
      <w:r>
        <w:rPr>
          <w:rFonts w:cs="Arial"/>
          <w:sz w:val="22"/>
          <w:szCs w:val="22"/>
          <w:lang w:val="es-CR"/>
        </w:rPr>
        <w:t>b) Por consiguiente, el</w:t>
      </w:r>
      <w:r w:rsidRPr="00B26F5A">
        <w:rPr>
          <w:rFonts w:cs="Arial"/>
          <w:sz w:val="22"/>
          <w:szCs w:val="22"/>
          <w:lang w:val="es-CR"/>
        </w:rPr>
        <w:t xml:space="preserve"> I</w:t>
      </w:r>
      <w:r>
        <w:rPr>
          <w:rFonts w:cs="Arial"/>
          <w:sz w:val="22"/>
          <w:szCs w:val="22"/>
          <w:lang w:val="es-CR"/>
        </w:rPr>
        <w:t>nstituto Costarricense de Electricidad (I</w:t>
      </w:r>
      <w:r w:rsidRPr="00B26F5A">
        <w:rPr>
          <w:rFonts w:cs="Arial"/>
          <w:sz w:val="22"/>
          <w:szCs w:val="22"/>
          <w:lang w:val="es-CR"/>
        </w:rPr>
        <w:t>CE</w:t>
      </w:r>
      <w:r>
        <w:rPr>
          <w:rFonts w:cs="Arial"/>
          <w:sz w:val="22"/>
          <w:szCs w:val="22"/>
          <w:lang w:val="es-CR"/>
        </w:rPr>
        <w:t>)</w:t>
      </w:r>
      <w:r w:rsidRPr="00B26F5A">
        <w:rPr>
          <w:rFonts w:cs="Arial"/>
          <w:sz w:val="22"/>
          <w:szCs w:val="22"/>
          <w:lang w:val="es-CR"/>
        </w:rPr>
        <w:t xml:space="preserve"> va a realizar otra donaci</w:t>
      </w:r>
      <w:r>
        <w:rPr>
          <w:rFonts w:cs="Arial"/>
          <w:sz w:val="22"/>
          <w:szCs w:val="22"/>
          <w:lang w:val="es-CR"/>
        </w:rPr>
        <w:t>ó</w:t>
      </w:r>
      <w:r w:rsidRPr="00B26F5A">
        <w:rPr>
          <w:rFonts w:cs="Arial"/>
          <w:sz w:val="22"/>
          <w:szCs w:val="22"/>
          <w:lang w:val="es-CR"/>
        </w:rPr>
        <w:t>n, en este caso el</w:t>
      </w:r>
      <w:r>
        <w:rPr>
          <w:rFonts w:cs="Arial"/>
          <w:sz w:val="22"/>
          <w:szCs w:val="22"/>
          <w:lang w:val="es-CR"/>
        </w:rPr>
        <w:t xml:space="preserve"> </w:t>
      </w:r>
      <w:r w:rsidRPr="00B26F5A">
        <w:rPr>
          <w:rFonts w:cs="Arial"/>
          <w:sz w:val="22"/>
          <w:szCs w:val="22"/>
          <w:lang w:val="es-CR"/>
        </w:rPr>
        <w:t xml:space="preserve">traspaso es directo al </w:t>
      </w:r>
      <w:proofErr w:type="spellStart"/>
      <w:r w:rsidRPr="00B26F5A">
        <w:rPr>
          <w:rFonts w:cs="Arial"/>
          <w:sz w:val="22"/>
          <w:szCs w:val="22"/>
          <w:lang w:val="es-CR"/>
        </w:rPr>
        <w:t>AyA</w:t>
      </w:r>
      <w:proofErr w:type="spellEnd"/>
      <w:r>
        <w:rPr>
          <w:rFonts w:cs="Arial"/>
          <w:sz w:val="22"/>
          <w:szCs w:val="22"/>
          <w:lang w:val="es-CR"/>
        </w:rPr>
        <w:t xml:space="preserve">, y para ello </w:t>
      </w:r>
      <w:r w:rsidRPr="0078161F">
        <w:rPr>
          <w:rFonts w:cs="Arial"/>
          <w:sz w:val="22"/>
          <w:szCs w:val="22"/>
          <w:lang w:val="es-CR"/>
        </w:rPr>
        <w:t xml:space="preserve">existe </w:t>
      </w:r>
      <w:r>
        <w:rPr>
          <w:rFonts w:cs="Arial"/>
          <w:sz w:val="22"/>
          <w:szCs w:val="22"/>
          <w:lang w:val="es-CR"/>
        </w:rPr>
        <w:t>l</w:t>
      </w:r>
      <w:r w:rsidRPr="0078161F">
        <w:rPr>
          <w:rFonts w:cs="Arial"/>
          <w:sz w:val="22"/>
          <w:szCs w:val="22"/>
          <w:lang w:val="es-CR"/>
        </w:rPr>
        <w:t>a necesidad de cubrir los gastos por concepto de impuestos y timbres</w:t>
      </w:r>
      <w:r>
        <w:rPr>
          <w:rFonts w:cs="Arial"/>
          <w:sz w:val="22"/>
          <w:szCs w:val="22"/>
          <w:lang w:val="es-CR"/>
        </w:rPr>
        <w:t xml:space="preserve"> </w:t>
      </w:r>
      <w:r w:rsidRPr="0078161F">
        <w:rPr>
          <w:rFonts w:cs="Arial"/>
          <w:sz w:val="22"/>
          <w:szCs w:val="22"/>
          <w:lang w:val="es-CR"/>
        </w:rPr>
        <w:t xml:space="preserve">de </w:t>
      </w:r>
      <w:r>
        <w:rPr>
          <w:rFonts w:cs="Arial"/>
          <w:sz w:val="22"/>
          <w:szCs w:val="22"/>
          <w:lang w:val="es-CR"/>
        </w:rPr>
        <w:t>l</w:t>
      </w:r>
      <w:r w:rsidRPr="0078161F">
        <w:rPr>
          <w:rFonts w:cs="Arial"/>
          <w:sz w:val="22"/>
          <w:szCs w:val="22"/>
          <w:lang w:val="es-CR"/>
        </w:rPr>
        <w:t>a escritura de donaci</w:t>
      </w:r>
      <w:r>
        <w:rPr>
          <w:rFonts w:cs="Arial"/>
          <w:sz w:val="22"/>
          <w:szCs w:val="22"/>
          <w:lang w:val="es-CR"/>
        </w:rPr>
        <w:t>ó</w:t>
      </w:r>
      <w:r w:rsidRPr="0078161F">
        <w:rPr>
          <w:rFonts w:cs="Arial"/>
          <w:sz w:val="22"/>
          <w:szCs w:val="22"/>
          <w:lang w:val="es-CR"/>
        </w:rPr>
        <w:t xml:space="preserve">n al </w:t>
      </w:r>
      <w:proofErr w:type="spellStart"/>
      <w:r w:rsidRPr="0078161F">
        <w:rPr>
          <w:rFonts w:cs="Arial"/>
          <w:sz w:val="22"/>
          <w:szCs w:val="22"/>
          <w:lang w:val="es-CR"/>
        </w:rPr>
        <w:t>A</w:t>
      </w:r>
      <w:r>
        <w:rPr>
          <w:rFonts w:cs="Arial"/>
          <w:sz w:val="22"/>
          <w:szCs w:val="22"/>
          <w:lang w:val="es-CR"/>
        </w:rPr>
        <w:t>y</w:t>
      </w:r>
      <w:r w:rsidRPr="0078161F">
        <w:rPr>
          <w:rFonts w:cs="Arial"/>
          <w:sz w:val="22"/>
          <w:szCs w:val="22"/>
          <w:lang w:val="es-CR"/>
        </w:rPr>
        <w:t>A</w:t>
      </w:r>
      <w:proofErr w:type="spellEnd"/>
      <w:r w:rsidRPr="0078161F">
        <w:rPr>
          <w:rFonts w:cs="Arial"/>
          <w:sz w:val="22"/>
          <w:szCs w:val="22"/>
          <w:lang w:val="es-CR"/>
        </w:rPr>
        <w:t>.</w:t>
      </w:r>
    </w:p>
    <w:p w14:paraId="2EEC4049" w14:textId="77777777" w:rsidR="003F14D2" w:rsidRDefault="003F14D2" w:rsidP="003F14D2">
      <w:pPr>
        <w:spacing w:line="360" w:lineRule="auto"/>
        <w:jc w:val="both"/>
        <w:rPr>
          <w:rFonts w:cs="Arial"/>
          <w:sz w:val="22"/>
          <w:szCs w:val="22"/>
          <w:lang w:val="es-CR"/>
        </w:rPr>
      </w:pPr>
      <w:r>
        <w:rPr>
          <w:rFonts w:cs="Arial"/>
          <w:sz w:val="22"/>
          <w:szCs w:val="22"/>
          <w:lang w:val="es-CR"/>
        </w:rPr>
        <w:t xml:space="preserve">c) La donación </w:t>
      </w:r>
      <w:r w:rsidRPr="0078161F">
        <w:rPr>
          <w:rFonts w:cs="Arial"/>
          <w:sz w:val="22"/>
          <w:szCs w:val="22"/>
          <w:lang w:val="es-CR"/>
        </w:rPr>
        <w:t>de este terreno es accesori</w:t>
      </w:r>
      <w:r>
        <w:rPr>
          <w:rFonts w:cs="Arial"/>
          <w:sz w:val="22"/>
          <w:szCs w:val="22"/>
          <w:lang w:val="es-CR"/>
        </w:rPr>
        <w:t>a</w:t>
      </w:r>
      <w:r w:rsidRPr="0078161F">
        <w:rPr>
          <w:rFonts w:cs="Arial"/>
          <w:sz w:val="22"/>
          <w:szCs w:val="22"/>
          <w:lang w:val="es-CR"/>
        </w:rPr>
        <w:t xml:space="preserve"> al contrato principal, </w:t>
      </w:r>
      <w:r>
        <w:rPr>
          <w:rFonts w:cs="Arial"/>
          <w:sz w:val="22"/>
          <w:szCs w:val="22"/>
          <w:lang w:val="es-CR"/>
        </w:rPr>
        <w:t xml:space="preserve">y </w:t>
      </w:r>
      <w:r w:rsidRPr="0078161F">
        <w:rPr>
          <w:rFonts w:cs="Arial"/>
          <w:sz w:val="22"/>
          <w:szCs w:val="22"/>
          <w:lang w:val="es-CR"/>
        </w:rPr>
        <w:t>en atenci</w:t>
      </w:r>
      <w:r>
        <w:rPr>
          <w:rFonts w:cs="Arial"/>
          <w:sz w:val="22"/>
          <w:szCs w:val="22"/>
          <w:lang w:val="es-CR"/>
        </w:rPr>
        <w:t>ó</w:t>
      </w:r>
      <w:r w:rsidRPr="0078161F">
        <w:rPr>
          <w:rFonts w:cs="Arial"/>
          <w:sz w:val="22"/>
          <w:szCs w:val="22"/>
          <w:lang w:val="es-CR"/>
        </w:rPr>
        <w:t>n al</w:t>
      </w:r>
      <w:r>
        <w:rPr>
          <w:rFonts w:cs="Arial"/>
          <w:sz w:val="22"/>
          <w:szCs w:val="22"/>
          <w:lang w:val="es-CR"/>
        </w:rPr>
        <w:t xml:space="preserve"> </w:t>
      </w:r>
      <w:r w:rsidRPr="0078161F">
        <w:rPr>
          <w:rFonts w:cs="Arial"/>
          <w:sz w:val="22"/>
          <w:szCs w:val="22"/>
          <w:lang w:val="es-CR"/>
        </w:rPr>
        <w:t xml:space="preserve">principio legal de </w:t>
      </w:r>
      <w:r>
        <w:rPr>
          <w:rFonts w:cs="Arial"/>
          <w:sz w:val="22"/>
          <w:szCs w:val="22"/>
          <w:lang w:val="es-CR"/>
        </w:rPr>
        <w:t xml:space="preserve">que </w:t>
      </w:r>
      <w:r w:rsidRPr="0078161F">
        <w:rPr>
          <w:rFonts w:cs="Arial"/>
          <w:sz w:val="22"/>
          <w:szCs w:val="22"/>
          <w:lang w:val="es-CR"/>
        </w:rPr>
        <w:t xml:space="preserve">lo accesorio sigue el curso del principal, es necesaria </w:t>
      </w:r>
      <w:r>
        <w:rPr>
          <w:rFonts w:cs="Arial"/>
          <w:sz w:val="22"/>
          <w:szCs w:val="22"/>
          <w:lang w:val="es-CR"/>
        </w:rPr>
        <w:t>l</w:t>
      </w:r>
      <w:r w:rsidRPr="0078161F">
        <w:rPr>
          <w:rFonts w:cs="Arial"/>
          <w:sz w:val="22"/>
          <w:szCs w:val="22"/>
          <w:lang w:val="es-CR"/>
        </w:rPr>
        <w:t>a donaci</w:t>
      </w:r>
      <w:r>
        <w:rPr>
          <w:rFonts w:cs="Arial"/>
          <w:sz w:val="22"/>
          <w:szCs w:val="22"/>
          <w:lang w:val="es-CR"/>
        </w:rPr>
        <w:t>ó</w:t>
      </w:r>
      <w:r w:rsidRPr="0078161F">
        <w:rPr>
          <w:rFonts w:cs="Arial"/>
          <w:sz w:val="22"/>
          <w:szCs w:val="22"/>
          <w:lang w:val="es-CR"/>
        </w:rPr>
        <w:t>n de ese</w:t>
      </w:r>
      <w:r>
        <w:rPr>
          <w:rFonts w:cs="Arial"/>
          <w:sz w:val="22"/>
          <w:szCs w:val="22"/>
          <w:lang w:val="es-CR"/>
        </w:rPr>
        <w:t xml:space="preserve"> </w:t>
      </w:r>
      <w:r w:rsidRPr="0078161F">
        <w:rPr>
          <w:rFonts w:cs="Arial"/>
          <w:sz w:val="22"/>
          <w:szCs w:val="22"/>
          <w:lang w:val="es-CR"/>
        </w:rPr>
        <w:t xml:space="preserve">terreno para </w:t>
      </w:r>
      <w:r>
        <w:rPr>
          <w:rFonts w:cs="Arial"/>
          <w:sz w:val="22"/>
          <w:szCs w:val="22"/>
          <w:lang w:val="es-CR"/>
        </w:rPr>
        <w:t>l</w:t>
      </w:r>
      <w:r w:rsidRPr="0078161F">
        <w:rPr>
          <w:rFonts w:cs="Arial"/>
          <w:sz w:val="22"/>
          <w:szCs w:val="22"/>
          <w:lang w:val="es-CR"/>
        </w:rPr>
        <w:t>a construcci</w:t>
      </w:r>
      <w:r>
        <w:rPr>
          <w:rFonts w:cs="Arial"/>
          <w:sz w:val="22"/>
          <w:szCs w:val="22"/>
          <w:lang w:val="es-CR"/>
        </w:rPr>
        <w:t>ó</w:t>
      </w:r>
      <w:r w:rsidRPr="0078161F">
        <w:rPr>
          <w:rFonts w:cs="Arial"/>
          <w:sz w:val="22"/>
          <w:szCs w:val="22"/>
          <w:lang w:val="es-CR"/>
        </w:rPr>
        <w:t>n del tanque de almacenamiento, el cual no puede ser</w:t>
      </w:r>
      <w:r>
        <w:rPr>
          <w:rFonts w:cs="Arial"/>
          <w:sz w:val="22"/>
          <w:szCs w:val="22"/>
          <w:lang w:val="es-CR"/>
        </w:rPr>
        <w:t xml:space="preserve"> </w:t>
      </w:r>
      <w:r w:rsidRPr="0078161F">
        <w:rPr>
          <w:rFonts w:cs="Arial"/>
          <w:sz w:val="22"/>
          <w:szCs w:val="22"/>
          <w:lang w:val="es-CR"/>
        </w:rPr>
        <w:t>construido en el terreno ya donado, por aspectos t</w:t>
      </w:r>
      <w:r>
        <w:rPr>
          <w:rFonts w:cs="Arial"/>
          <w:sz w:val="22"/>
          <w:szCs w:val="22"/>
          <w:lang w:val="es-CR"/>
        </w:rPr>
        <w:t>é</w:t>
      </w:r>
      <w:r w:rsidRPr="0078161F">
        <w:rPr>
          <w:rFonts w:cs="Arial"/>
          <w:sz w:val="22"/>
          <w:szCs w:val="22"/>
          <w:lang w:val="es-CR"/>
        </w:rPr>
        <w:t>cnicos en las pendientes de las tuber</w:t>
      </w:r>
      <w:r>
        <w:rPr>
          <w:rFonts w:cs="Arial"/>
          <w:sz w:val="22"/>
          <w:szCs w:val="22"/>
          <w:lang w:val="es-CR"/>
        </w:rPr>
        <w:t>í</w:t>
      </w:r>
      <w:r w:rsidRPr="0078161F">
        <w:rPr>
          <w:rFonts w:cs="Arial"/>
          <w:sz w:val="22"/>
          <w:szCs w:val="22"/>
          <w:lang w:val="es-CR"/>
        </w:rPr>
        <w:t>as.</w:t>
      </w:r>
    </w:p>
    <w:p w14:paraId="386AF1C8" w14:textId="17DA08D1" w:rsidR="003F14D2" w:rsidRDefault="003F14D2" w:rsidP="003F14D2">
      <w:pPr>
        <w:spacing w:line="360" w:lineRule="auto"/>
        <w:jc w:val="both"/>
        <w:rPr>
          <w:rFonts w:cs="Arial"/>
          <w:sz w:val="22"/>
          <w:szCs w:val="22"/>
          <w:lang w:val="es-CR"/>
        </w:rPr>
      </w:pPr>
      <w:r>
        <w:rPr>
          <w:rFonts w:cs="Arial"/>
          <w:sz w:val="22"/>
          <w:szCs w:val="22"/>
          <w:lang w:val="es-CR"/>
        </w:rPr>
        <w:t>d) Con el fin</w:t>
      </w:r>
      <w:r w:rsidRPr="0078161F">
        <w:rPr>
          <w:rFonts w:cs="Arial"/>
          <w:sz w:val="22"/>
          <w:szCs w:val="22"/>
          <w:lang w:val="es-CR"/>
        </w:rPr>
        <w:t xml:space="preserve"> </w:t>
      </w:r>
      <w:r>
        <w:rPr>
          <w:rFonts w:cs="Arial"/>
          <w:sz w:val="22"/>
          <w:szCs w:val="22"/>
          <w:lang w:val="es-CR"/>
        </w:rPr>
        <w:t xml:space="preserve">de </w:t>
      </w:r>
      <w:r w:rsidRPr="0078161F">
        <w:rPr>
          <w:rFonts w:cs="Arial"/>
          <w:sz w:val="22"/>
          <w:szCs w:val="22"/>
          <w:lang w:val="es-CR"/>
        </w:rPr>
        <w:t>cumplir cabalmente con el objeto contractual se est</w:t>
      </w:r>
      <w:r>
        <w:rPr>
          <w:rFonts w:cs="Arial"/>
          <w:sz w:val="22"/>
          <w:szCs w:val="22"/>
          <w:lang w:val="es-CR"/>
        </w:rPr>
        <w:t>á</w:t>
      </w:r>
      <w:r w:rsidRPr="0078161F">
        <w:rPr>
          <w:rFonts w:cs="Arial"/>
          <w:sz w:val="22"/>
          <w:szCs w:val="22"/>
          <w:lang w:val="es-CR"/>
        </w:rPr>
        <w:t xml:space="preserve"> dise</w:t>
      </w:r>
      <w:r>
        <w:rPr>
          <w:rFonts w:cs="Arial"/>
          <w:sz w:val="22"/>
          <w:szCs w:val="22"/>
          <w:lang w:val="es-CR"/>
        </w:rPr>
        <w:t>ñ</w:t>
      </w:r>
      <w:r w:rsidRPr="0078161F">
        <w:rPr>
          <w:rFonts w:cs="Arial"/>
          <w:sz w:val="22"/>
          <w:szCs w:val="22"/>
          <w:lang w:val="es-CR"/>
        </w:rPr>
        <w:t>ando</w:t>
      </w:r>
      <w:r>
        <w:rPr>
          <w:rFonts w:cs="Arial"/>
          <w:sz w:val="22"/>
          <w:szCs w:val="22"/>
          <w:lang w:val="es-CR"/>
        </w:rPr>
        <w:t xml:space="preserve"> la</w:t>
      </w:r>
      <w:r w:rsidRPr="0078161F">
        <w:rPr>
          <w:rFonts w:cs="Arial"/>
          <w:sz w:val="22"/>
          <w:szCs w:val="22"/>
          <w:lang w:val="es-CR"/>
        </w:rPr>
        <w:t xml:space="preserve"> construcci</w:t>
      </w:r>
      <w:r>
        <w:rPr>
          <w:rFonts w:cs="Arial"/>
          <w:sz w:val="22"/>
          <w:szCs w:val="22"/>
          <w:lang w:val="es-CR"/>
        </w:rPr>
        <w:t>ó</w:t>
      </w:r>
      <w:r w:rsidRPr="0078161F">
        <w:rPr>
          <w:rFonts w:cs="Arial"/>
          <w:sz w:val="22"/>
          <w:szCs w:val="22"/>
          <w:lang w:val="es-CR"/>
        </w:rPr>
        <w:t xml:space="preserve">n </w:t>
      </w:r>
      <w:r>
        <w:rPr>
          <w:rFonts w:cs="Arial"/>
          <w:sz w:val="22"/>
          <w:szCs w:val="22"/>
          <w:lang w:val="es-CR"/>
        </w:rPr>
        <w:t xml:space="preserve">del tanque de almacenamiento </w:t>
      </w:r>
      <w:r w:rsidRPr="0078161F">
        <w:rPr>
          <w:rFonts w:cs="Arial"/>
          <w:sz w:val="22"/>
          <w:szCs w:val="22"/>
          <w:lang w:val="es-CR"/>
        </w:rPr>
        <w:t>en un terreno que va a ser donado</w:t>
      </w:r>
      <w:r>
        <w:rPr>
          <w:rFonts w:cs="Arial"/>
          <w:sz w:val="22"/>
          <w:szCs w:val="22"/>
          <w:lang w:val="es-CR"/>
        </w:rPr>
        <w:t>; y s</w:t>
      </w:r>
      <w:r w:rsidRPr="0078161F">
        <w:rPr>
          <w:rFonts w:cs="Arial"/>
          <w:sz w:val="22"/>
          <w:szCs w:val="22"/>
          <w:lang w:val="es-CR"/>
        </w:rPr>
        <w:t>iendo est</w:t>
      </w:r>
      <w:r>
        <w:rPr>
          <w:rFonts w:cs="Arial"/>
          <w:sz w:val="22"/>
          <w:szCs w:val="22"/>
          <w:lang w:val="es-CR"/>
        </w:rPr>
        <w:t>e</w:t>
      </w:r>
      <w:r w:rsidRPr="0078161F">
        <w:rPr>
          <w:rFonts w:cs="Arial"/>
          <w:sz w:val="22"/>
          <w:szCs w:val="22"/>
          <w:lang w:val="es-CR"/>
        </w:rPr>
        <w:t xml:space="preserve"> aspecto accesorio al</w:t>
      </w:r>
      <w:r>
        <w:rPr>
          <w:rFonts w:cs="Arial"/>
          <w:sz w:val="22"/>
          <w:szCs w:val="22"/>
          <w:lang w:val="es-CR"/>
        </w:rPr>
        <w:t xml:space="preserve"> </w:t>
      </w:r>
      <w:r w:rsidRPr="0078161F">
        <w:rPr>
          <w:rFonts w:cs="Arial"/>
          <w:sz w:val="22"/>
          <w:szCs w:val="22"/>
          <w:lang w:val="es-CR"/>
        </w:rPr>
        <w:t xml:space="preserve">contrato principal, </w:t>
      </w:r>
      <w:r>
        <w:rPr>
          <w:rFonts w:cs="Arial"/>
          <w:sz w:val="22"/>
          <w:szCs w:val="22"/>
          <w:lang w:val="es-CR"/>
        </w:rPr>
        <w:t>l</w:t>
      </w:r>
      <w:r w:rsidRPr="0078161F">
        <w:rPr>
          <w:rFonts w:cs="Arial"/>
          <w:sz w:val="22"/>
          <w:szCs w:val="22"/>
          <w:lang w:val="es-CR"/>
        </w:rPr>
        <w:t>a Asesor</w:t>
      </w:r>
      <w:r>
        <w:rPr>
          <w:rFonts w:cs="Arial"/>
          <w:sz w:val="22"/>
          <w:szCs w:val="22"/>
          <w:lang w:val="es-CR"/>
        </w:rPr>
        <w:t>í</w:t>
      </w:r>
      <w:r w:rsidRPr="0078161F">
        <w:rPr>
          <w:rFonts w:cs="Arial"/>
          <w:sz w:val="22"/>
          <w:szCs w:val="22"/>
          <w:lang w:val="es-CR"/>
        </w:rPr>
        <w:t xml:space="preserve">a Legal ha </w:t>
      </w:r>
      <w:r>
        <w:rPr>
          <w:rFonts w:cs="Arial"/>
          <w:sz w:val="22"/>
          <w:szCs w:val="22"/>
          <w:lang w:val="es-CR"/>
        </w:rPr>
        <w:t xml:space="preserve">afirmado </w:t>
      </w:r>
      <w:r w:rsidRPr="0078161F">
        <w:rPr>
          <w:rFonts w:cs="Arial"/>
          <w:sz w:val="22"/>
          <w:szCs w:val="22"/>
          <w:lang w:val="es-CR"/>
        </w:rPr>
        <w:t>que no</w:t>
      </w:r>
      <w:r>
        <w:rPr>
          <w:rFonts w:cs="Arial"/>
          <w:sz w:val="22"/>
          <w:szCs w:val="22"/>
          <w:lang w:val="es-CR"/>
        </w:rPr>
        <w:t xml:space="preserve"> encuentra </w:t>
      </w:r>
      <w:r w:rsidRPr="0078161F">
        <w:rPr>
          <w:rFonts w:cs="Arial"/>
          <w:sz w:val="22"/>
          <w:szCs w:val="22"/>
          <w:lang w:val="es-CR"/>
        </w:rPr>
        <w:t>inconveniente o aspectos</w:t>
      </w:r>
      <w:r>
        <w:rPr>
          <w:rFonts w:cs="Arial"/>
          <w:sz w:val="22"/>
          <w:szCs w:val="22"/>
          <w:lang w:val="es-CR"/>
        </w:rPr>
        <w:t xml:space="preserve"> </w:t>
      </w:r>
      <w:r w:rsidRPr="0078161F">
        <w:rPr>
          <w:rFonts w:cs="Arial"/>
          <w:sz w:val="22"/>
          <w:szCs w:val="22"/>
          <w:lang w:val="es-CR"/>
        </w:rPr>
        <w:t xml:space="preserve">de ilegalidad para que </w:t>
      </w:r>
      <w:r>
        <w:rPr>
          <w:rFonts w:cs="Arial"/>
          <w:sz w:val="22"/>
          <w:szCs w:val="22"/>
          <w:lang w:val="es-CR"/>
        </w:rPr>
        <w:t xml:space="preserve">el BANHVI </w:t>
      </w:r>
      <w:r w:rsidRPr="0078161F">
        <w:rPr>
          <w:rFonts w:cs="Arial"/>
          <w:sz w:val="22"/>
          <w:szCs w:val="22"/>
          <w:lang w:val="es-CR"/>
        </w:rPr>
        <w:t>ampl</w:t>
      </w:r>
      <w:r>
        <w:rPr>
          <w:rFonts w:cs="Arial"/>
          <w:sz w:val="22"/>
          <w:szCs w:val="22"/>
          <w:lang w:val="es-CR"/>
        </w:rPr>
        <w:t>í</w:t>
      </w:r>
      <w:r w:rsidRPr="0078161F">
        <w:rPr>
          <w:rFonts w:cs="Arial"/>
          <w:sz w:val="22"/>
          <w:szCs w:val="22"/>
          <w:lang w:val="es-CR"/>
        </w:rPr>
        <w:t xml:space="preserve">e el financiamiento del contrato para atender </w:t>
      </w:r>
      <w:r>
        <w:rPr>
          <w:rFonts w:cs="Arial"/>
          <w:sz w:val="22"/>
          <w:szCs w:val="22"/>
          <w:lang w:val="es-CR"/>
        </w:rPr>
        <w:t>esta</w:t>
      </w:r>
      <w:r w:rsidRPr="0078161F">
        <w:rPr>
          <w:rFonts w:cs="Arial"/>
          <w:sz w:val="22"/>
          <w:szCs w:val="22"/>
          <w:lang w:val="es-CR"/>
        </w:rPr>
        <w:t xml:space="preserve"> actividad</w:t>
      </w:r>
      <w:r>
        <w:rPr>
          <w:rFonts w:cs="Arial"/>
          <w:sz w:val="22"/>
          <w:szCs w:val="22"/>
          <w:lang w:val="es-CR"/>
        </w:rPr>
        <w:t xml:space="preserve"> </w:t>
      </w:r>
      <w:r w:rsidRPr="0078161F">
        <w:rPr>
          <w:rFonts w:cs="Arial"/>
          <w:sz w:val="22"/>
          <w:szCs w:val="22"/>
          <w:lang w:val="es-CR"/>
        </w:rPr>
        <w:t>accesoria, necesaria y urgente para el cumplimiento del objeto contractual y el</w:t>
      </w:r>
      <w:r>
        <w:rPr>
          <w:rFonts w:cs="Arial"/>
          <w:sz w:val="22"/>
          <w:szCs w:val="22"/>
          <w:lang w:val="es-CR"/>
        </w:rPr>
        <w:t xml:space="preserve"> </w:t>
      </w:r>
      <w:r w:rsidRPr="0078161F">
        <w:rPr>
          <w:rFonts w:cs="Arial"/>
          <w:sz w:val="22"/>
          <w:szCs w:val="22"/>
          <w:lang w:val="es-CR"/>
        </w:rPr>
        <w:t>fin p</w:t>
      </w:r>
      <w:r>
        <w:rPr>
          <w:rFonts w:cs="Arial"/>
          <w:sz w:val="22"/>
          <w:szCs w:val="22"/>
          <w:lang w:val="es-CR"/>
        </w:rPr>
        <w:t>ú</w:t>
      </w:r>
      <w:r w:rsidRPr="0078161F">
        <w:rPr>
          <w:rFonts w:cs="Arial"/>
          <w:sz w:val="22"/>
          <w:szCs w:val="22"/>
          <w:lang w:val="es-CR"/>
        </w:rPr>
        <w:t>blico.</w:t>
      </w:r>
    </w:p>
    <w:p w14:paraId="2290FB7D" w14:textId="2F0CC1C7" w:rsidR="002D591F" w:rsidRDefault="002D591F" w:rsidP="003F14D2">
      <w:pPr>
        <w:spacing w:line="360" w:lineRule="auto"/>
        <w:jc w:val="both"/>
        <w:rPr>
          <w:rFonts w:cs="Arial"/>
          <w:sz w:val="22"/>
          <w:szCs w:val="22"/>
          <w:lang w:val="es-CR"/>
        </w:rPr>
      </w:pPr>
    </w:p>
    <w:p w14:paraId="79AFDBC6" w14:textId="479F1F55" w:rsidR="00D74FC8" w:rsidRDefault="002D591F" w:rsidP="00D74FC8">
      <w:pPr>
        <w:spacing w:line="360" w:lineRule="auto"/>
        <w:jc w:val="both"/>
        <w:rPr>
          <w:rFonts w:cs="Arial"/>
          <w:sz w:val="22"/>
          <w:szCs w:val="22"/>
          <w:lang w:val="es-CR"/>
        </w:rPr>
      </w:pPr>
      <w:r w:rsidRPr="00C868C1">
        <w:rPr>
          <w:rFonts w:cs="Arial"/>
          <w:sz w:val="22"/>
          <w:szCs w:val="22"/>
          <w:u w:val="single"/>
          <w:lang w:val="es-ES_tradnl"/>
        </w:rPr>
        <w:t xml:space="preserve">Minuto </w:t>
      </w:r>
      <w:r>
        <w:rPr>
          <w:rFonts w:cs="Arial"/>
          <w:sz w:val="22"/>
          <w:szCs w:val="22"/>
          <w:u w:val="single"/>
          <w:lang w:val="es-ES_tradnl"/>
        </w:rPr>
        <w:t>134</w:t>
      </w:r>
      <w:r w:rsidRPr="00C868C1">
        <w:rPr>
          <w:rFonts w:cs="Arial"/>
          <w:sz w:val="22"/>
          <w:szCs w:val="22"/>
          <w:u w:val="single"/>
          <w:lang w:val="es-ES_tradnl"/>
        </w:rPr>
        <w:t>:</w:t>
      </w:r>
      <w:r>
        <w:rPr>
          <w:rFonts w:cs="Arial"/>
          <w:sz w:val="22"/>
          <w:szCs w:val="22"/>
          <w:u w:val="single"/>
          <w:lang w:val="es-ES_tradnl"/>
        </w:rPr>
        <w:t>04</w:t>
      </w:r>
      <w:r w:rsidRPr="00C868C1">
        <w:rPr>
          <w:rFonts w:cs="Arial"/>
          <w:sz w:val="22"/>
          <w:szCs w:val="22"/>
          <w:lang w:val="es-ES_tradnl"/>
        </w:rPr>
        <w:t xml:space="preserve"> </w:t>
      </w:r>
      <w:r>
        <w:rPr>
          <w:rFonts w:cs="Arial"/>
          <w:sz w:val="22"/>
          <w:szCs w:val="22"/>
          <w:lang w:val="es-ES_tradnl"/>
        </w:rPr>
        <w:t xml:space="preserve">Los señores Directores proceden a analizar el informe de la Dirección FOSUVI, planteando una serie de consultas que son atendidas por la arquitecta Salas Rodríguez y la Licda. Masis Calderón, particularmente sobre las razones por las que </w:t>
      </w:r>
      <w:r w:rsidR="00270E8F">
        <w:rPr>
          <w:rFonts w:cs="Arial"/>
          <w:sz w:val="22"/>
          <w:szCs w:val="22"/>
          <w:lang w:val="es-ES_tradnl"/>
        </w:rPr>
        <w:t>el proyecto todavía no cuenta con la disponibilidad de agua</w:t>
      </w:r>
      <w:r>
        <w:rPr>
          <w:rFonts w:cs="Arial"/>
          <w:sz w:val="22"/>
          <w:szCs w:val="22"/>
          <w:lang w:val="es-CR"/>
        </w:rPr>
        <w:t xml:space="preserve"> </w:t>
      </w:r>
      <w:r w:rsidR="00270E8F">
        <w:rPr>
          <w:rFonts w:cs="Arial"/>
          <w:sz w:val="22"/>
          <w:szCs w:val="22"/>
          <w:lang w:val="es-CR"/>
        </w:rPr>
        <w:t xml:space="preserve">potable y la posibilidad que tiene este Banco de financiar los </w:t>
      </w:r>
      <w:r w:rsidR="00270E8F" w:rsidRPr="00B26F5A">
        <w:rPr>
          <w:rFonts w:cs="Arial"/>
          <w:sz w:val="22"/>
          <w:szCs w:val="22"/>
          <w:lang w:val="es-CR"/>
        </w:rPr>
        <w:t xml:space="preserve">impuestos y timbres de </w:t>
      </w:r>
      <w:r w:rsidR="00270E8F">
        <w:rPr>
          <w:rFonts w:cs="Arial"/>
          <w:sz w:val="22"/>
          <w:szCs w:val="22"/>
          <w:lang w:val="es-CR"/>
        </w:rPr>
        <w:t>l</w:t>
      </w:r>
      <w:r w:rsidR="00270E8F" w:rsidRPr="00B26F5A">
        <w:rPr>
          <w:rFonts w:cs="Arial"/>
          <w:sz w:val="22"/>
          <w:szCs w:val="22"/>
          <w:lang w:val="es-CR"/>
        </w:rPr>
        <w:t>a escritura de</w:t>
      </w:r>
      <w:r w:rsidR="00270E8F">
        <w:rPr>
          <w:rFonts w:cs="Arial"/>
          <w:sz w:val="22"/>
          <w:szCs w:val="22"/>
          <w:lang w:val="es-CR"/>
        </w:rPr>
        <w:t xml:space="preserve"> </w:t>
      </w:r>
      <w:r w:rsidR="00270E8F" w:rsidRPr="00B26F5A">
        <w:rPr>
          <w:rFonts w:cs="Arial"/>
          <w:sz w:val="22"/>
          <w:szCs w:val="22"/>
          <w:lang w:val="es-CR"/>
        </w:rPr>
        <w:t>donaci</w:t>
      </w:r>
      <w:r w:rsidR="00270E8F">
        <w:rPr>
          <w:rFonts w:cs="Arial"/>
          <w:sz w:val="22"/>
          <w:szCs w:val="22"/>
          <w:lang w:val="es-CR"/>
        </w:rPr>
        <w:t>ón</w:t>
      </w:r>
      <w:r w:rsidR="00270E8F" w:rsidRPr="00B26F5A">
        <w:rPr>
          <w:rFonts w:cs="Arial"/>
          <w:sz w:val="22"/>
          <w:szCs w:val="22"/>
          <w:lang w:val="es-CR"/>
        </w:rPr>
        <w:t xml:space="preserve"> </w:t>
      </w:r>
      <w:r w:rsidR="00270E8F">
        <w:rPr>
          <w:rFonts w:cs="Arial"/>
          <w:sz w:val="22"/>
          <w:szCs w:val="22"/>
          <w:lang w:val="es-CR"/>
        </w:rPr>
        <w:t xml:space="preserve">del terreno por parte del ICE </w:t>
      </w:r>
      <w:r w:rsidR="00270E8F" w:rsidRPr="00B26F5A">
        <w:rPr>
          <w:rFonts w:cs="Arial"/>
          <w:sz w:val="22"/>
          <w:szCs w:val="22"/>
          <w:lang w:val="es-CR"/>
        </w:rPr>
        <w:t>al</w:t>
      </w:r>
      <w:r w:rsidR="00270E8F">
        <w:rPr>
          <w:rFonts w:cs="Arial"/>
          <w:sz w:val="22"/>
          <w:szCs w:val="22"/>
          <w:lang w:val="es-CR"/>
        </w:rPr>
        <w:t xml:space="preserve"> </w:t>
      </w:r>
      <w:proofErr w:type="spellStart"/>
      <w:r w:rsidR="00270E8F">
        <w:rPr>
          <w:rFonts w:cs="Arial"/>
          <w:sz w:val="22"/>
          <w:szCs w:val="22"/>
          <w:lang w:val="es-CR"/>
        </w:rPr>
        <w:t>AyA</w:t>
      </w:r>
      <w:proofErr w:type="spellEnd"/>
      <w:r w:rsidR="00270E8F">
        <w:rPr>
          <w:rFonts w:cs="Arial"/>
          <w:sz w:val="22"/>
          <w:szCs w:val="22"/>
          <w:lang w:val="es-CR"/>
        </w:rPr>
        <w:t>. Y sobre esto último, la Licda. Masís Calderón</w:t>
      </w:r>
      <w:r w:rsidR="004D5194">
        <w:rPr>
          <w:rFonts w:cs="Arial"/>
          <w:sz w:val="22"/>
          <w:szCs w:val="22"/>
          <w:lang w:val="es-CR"/>
        </w:rPr>
        <w:t>, en resumen,</w:t>
      </w:r>
      <w:r w:rsidR="00270E8F">
        <w:rPr>
          <w:rFonts w:cs="Arial"/>
          <w:sz w:val="22"/>
          <w:szCs w:val="22"/>
          <w:lang w:val="es-CR"/>
        </w:rPr>
        <w:t xml:space="preserve"> afirma que</w:t>
      </w:r>
      <w:r w:rsidR="00D74FC8" w:rsidRPr="0078161F">
        <w:rPr>
          <w:rFonts w:cs="Arial"/>
          <w:sz w:val="22"/>
          <w:szCs w:val="22"/>
          <w:lang w:val="es-CR"/>
        </w:rPr>
        <w:t xml:space="preserve"> </w:t>
      </w:r>
      <w:r w:rsidR="00D74FC8">
        <w:rPr>
          <w:rFonts w:cs="Arial"/>
          <w:sz w:val="22"/>
          <w:szCs w:val="22"/>
          <w:lang w:val="es-CR"/>
        </w:rPr>
        <w:t xml:space="preserve">el Banco está facultado para financiar lo que ahora se propone, en el tanto se trata de un </w:t>
      </w:r>
      <w:r w:rsidR="00D74FC8" w:rsidRPr="0078161F">
        <w:rPr>
          <w:rFonts w:cs="Arial"/>
          <w:sz w:val="22"/>
          <w:szCs w:val="22"/>
          <w:lang w:val="es-CR"/>
        </w:rPr>
        <w:t>aspecto accesorio al</w:t>
      </w:r>
      <w:r w:rsidR="00D74FC8">
        <w:rPr>
          <w:rFonts w:cs="Arial"/>
          <w:sz w:val="22"/>
          <w:szCs w:val="22"/>
          <w:lang w:val="es-CR"/>
        </w:rPr>
        <w:t xml:space="preserve"> </w:t>
      </w:r>
      <w:r w:rsidR="00D74FC8" w:rsidRPr="0078161F">
        <w:rPr>
          <w:rFonts w:cs="Arial"/>
          <w:sz w:val="22"/>
          <w:szCs w:val="22"/>
          <w:lang w:val="es-CR"/>
        </w:rPr>
        <w:t xml:space="preserve">contrato principal, </w:t>
      </w:r>
      <w:r w:rsidR="00D74FC8">
        <w:rPr>
          <w:rFonts w:cs="Arial"/>
          <w:sz w:val="22"/>
          <w:szCs w:val="22"/>
          <w:lang w:val="es-CR"/>
        </w:rPr>
        <w:t xml:space="preserve">que además es </w:t>
      </w:r>
      <w:r w:rsidR="00D74FC8" w:rsidRPr="0078161F">
        <w:rPr>
          <w:rFonts w:cs="Arial"/>
          <w:sz w:val="22"/>
          <w:szCs w:val="22"/>
          <w:lang w:val="es-CR"/>
        </w:rPr>
        <w:t>necesari</w:t>
      </w:r>
      <w:r w:rsidR="00D74FC8">
        <w:rPr>
          <w:rFonts w:cs="Arial"/>
          <w:sz w:val="22"/>
          <w:szCs w:val="22"/>
          <w:lang w:val="es-CR"/>
        </w:rPr>
        <w:t>o</w:t>
      </w:r>
      <w:r w:rsidR="00D74FC8" w:rsidRPr="0078161F">
        <w:rPr>
          <w:rFonts w:cs="Arial"/>
          <w:sz w:val="22"/>
          <w:szCs w:val="22"/>
          <w:lang w:val="es-CR"/>
        </w:rPr>
        <w:t xml:space="preserve"> y urgente para el cumplimiento del objeto contractual y el</w:t>
      </w:r>
      <w:r w:rsidR="00D74FC8">
        <w:rPr>
          <w:rFonts w:cs="Arial"/>
          <w:sz w:val="22"/>
          <w:szCs w:val="22"/>
          <w:lang w:val="es-CR"/>
        </w:rPr>
        <w:t xml:space="preserve"> </w:t>
      </w:r>
      <w:r w:rsidR="00D74FC8" w:rsidRPr="0078161F">
        <w:rPr>
          <w:rFonts w:cs="Arial"/>
          <w:sz w:val="22"/>
          <w:szCs w:val="22"/>
          <w:lang w:val="es-CR"/>
        </w:rPr>
        <w:t>fin p</w:t>
      </w:r>
      <w:r w:rsidR="00D74FC8">
        <w:rPr>
          <w:rFonts w:cs="Arial"/>
          <w:sz w:val="22"/>
          <w:szCs w:val="22"/>
          <w:lang w:val="es-CR"/>
        </w:rPr>
        <w:t>ú</w:t>
      </w:r>
      <w:r w:rsidR="00D74FC8" w:rsidRPr="0078161F">
        <w:rPr>
          <w:rFonts w:cs="Arial"/>
          <w:sz w:val="22"/>
          <w:szCs w:val="22"/>
          <w:lang w:val="es-CR"/>
        </w:rPr>
        <w:t>blico.</w:t>
      </w:r>
    </w:p>
    <w:p w14:paraId="1772C131" w14:textId="189ECB6C" w:rsidR="002D591F" w:rsidRDefault="002D591F" w:rsidP="003F14D2">
      <w:pPr>
        <w:spacing w:line="360" w:lineRule="auto"/>
        <w:jc w:val="both"/>
        <w:rPr>
          <w:rFonts w:cs="Arial"/>
          <w:sz w:val="22"/>
          <w:szCs w:val="22"/>
          <w:lang w:val="es-CR"/>
        </w:rPr>
      </w:pPr>
    </w:p>
    <w:p w14:paraId="71A39254" w14:textId="3AB42A42" w:rsidR="005E71B1" w:rsidRPr="00C868C1" w:rsidRDefault="005E71B1" w:rsidP="005E71B1">
      <w:pPr>
        <w:spacing w:line="360" w:lineRule="auto"/>
        <w:jc w:val="both"/>
        <w:rPr>
          <w:rFonts w:cs="Arial"/>
          <w:sz w:val="22"/>
          <w:szCs w:val="22"/>
          <w:lang w:val="es-ES_tradnl"/>
        </w:rPr>
      </w:pPr>
      <w:r w:rsidRPr="00C868C1">
        <w:rPr>
          <w:rFonts w:cs="Arial"/>
          <w:sz w:val="22"/>
          <w:szCs w:val="22"/>
          <w:u w:val="single"/>
          <w:lang w:val="es-ES_tradnl"/>
        </w:rPr>
        <w:t xml:space="preserve">Minuto </w:t>
      </w:r>
      <w:r w:rsidR="00257E05">
        <w:rPr>
          <w:rFonts w:cs="Arial"/>
          <w:sz w:val="22"/>
          <w:szCs w:val="22"/>
          <w:u w:val="single"/>
          <w:lang w:val="es-ES_tradnl"/>
        </w:rPr>
        <w:t>1</w:t>
      </w:r>
      <w:r w:rsidR="00762DFC">
        <w:rPr>
          <w:rFonts w:cs="Arial"/>
          <w:sz w:val="22"/>
          <w:szCs w:val="22"/>
          <w:u w:val="single"/>
          <w:lang w:val="es-ES_tradnl"/>
        </w:rPr>
        <w:t>9</w:t>
      </w:r>
      <w:r w:rsidR="00257E05">
        <w:rPr>
          <w:rFonts w:cs="Arial"/>
          <w:sz w:val="22"/>
          <w:szCs w:val="22"/>
          <w:u w:val="single"/>
          <w:lang w:val="es-ES_tradnl"/>
        </w:rPr>
        <w:t>1</w:t>
      </w:r>
      <w:r w:rsidRPr="00C868C1">
        <w:rPr>
          <w:rFonts w:cs="Arial"/>
          <w:sz w:val="22"/>
          <w:szCs w:val="22"/>
          <w:u w:val="single"/>
          <w:lang w:val="es-ES_tradnl"/>
        </w:rPr>
        <w:t>:</w:t>
      </w:r>
      <w:r w:rsidR="00257E05">
        <w:rPr>
          <w:rFonts w:cs="Arial"/>
          <w:sz w:val="22"/>
          <w:szCs w:val="22"/>
          <w:u w:val="single"/>
          <w:lang w:val="es-ES_tradnl"/>
        </w:rPr>
        <w:t>49</w:t>
      </w:r>
      <w:r w:rsidRPr="00C868C1">
        <w:rPr>
          <w:rFonts w:cs="Arial"/>
          <w:sz w:val="22"/>
          <w:szCs w:val="22"/>
          <w:lang w:val="es-ES_tradnl"/>
        </w:rPr>
        <w:t xml:space="preserve"> </w:t>
      </w:r>
      <w:r w:rsidRPr="00C868C1">
        <w:rPr>
          <w:rFonts w:cs="Arial"/>
          <w:sz w:val="22"/>
          <w:szCs w:val="22"/>
        </w:rPr>
        <w:t>C</w:t>
      </w:r>
      <w:r w:rsidRPr="00C868C1">
        <w:rPr>
          <w:rFonts w:cs="Arial"/>
          <w:bCs/>
          <w:sz w:val="22"/>
          <w:szCs w:val="22"/>
        </w:rPr>
        <w:t>onocid</w:t>
      </w:r>
      <w:r>
        <w:rPr>
          <w:rFonts w:cs="Arial"/>
          <w:bCs/>
          <w:sz w:val="22"/>
          <w:szCs w:val="22"/>
        </w:rPr>
        <w:t>a</w:t>
      </w:r>
      <w:r w:rsidRPr="00CD0673">
        <w:rPr>
          <w:rFonts w:cs="Arial"/>
          <w:bCs/>
          <w:sz w:val="22"/>
          <w:szCs w:val="22"/>
        </w:rPr>
        <w:t xml:space="preserve"> </w:t>
      </w:r>
      <w:r w:rsidR="00324061">
        <w:rPr>
          <w:rFonts w:cs="Arial"/>
          <w:bCs/>
          <w:sz w:val="22"/>
          <w:szCs w:val="22"/>
        </w:rPr>
        <w:t xml:space="preserve">y suficientemente discutida </w:t>
      </w:r>
      <w:r w:rsidRPr="00C868C1">
        <w:rPr>
          <w:rFonts w:cs="Arial"/>
          <w:bCs/>
          <w:sz w:val="22"/>
          <w:szCs w:val="22"/>
        </w:rPr>
        <w:t>la propuesta de la Administración</w:t>
      </w:r>
      <w:r w:rsidR="00257E05">
        <w:rPr>
          <w:rFonts w:cs="Arial"/>
          <w:bCs/>
          <w:sz w:val="22"/>
          <w:szCs w:val="22"/>
        </w:rPr>
        <w:t>, la mayoría de los señores Directores resuelve</w:t>
      </w:r>
      <w:r w:rsidRPr="00C868C1">
        <w:rPr>
          <w:rFonts w:cs="Arial"/>
          <w:bCs/>
          <w:sz w:val="22"/>
          <w:szCs w:val="22"/>
        </w:rPr>
        <w:t xml:space="preserve"> actuar de la forma que recomienda</w:t>
      </w:r>
      <w:r w:rsidR="00324061">
        <w:rPr>
          <w:rFonts w:cs="Arial"/>
          <w:bCs/>
          <w:sz w:val="22"/>
          <w:szCs w:val="22"/>
        </w:rPr>
        <w:t>n</w:t>
      </w:r>
      <w:r w:rsidRPr="00C868C1">
        <w:rPr>
          <w:rFonts w:cs="Arial"/>
          <w:bCs/>
          <w:sz w:val="22"/>
          <w:szCs w:val="22"/>
        </w:rPr>
        <w:t xml:space="preserve"> la Dirección FOSUVI </w:t>
      </w:r>
      <w:r w:rsidR="00324061">
        <w:rPr>
          <w:rFonts w:cs="Arial"/>
          <w:bCs/>
          <w:sz w:val="22"/>
          <w:szCs w:val="22"/>
        </w:rPr>
        <w:t>y la Asesoría Legal</w:t>
      </w:r>
      <w:r w:rsidRPr="00C868C1">
        <w:rPr>
          <w:rFonts w:cs="Arial"/>
          <w:sz w:val="22"/>
          <w:szCs w:val="22"/>
          <w:lang w:val="es-ES_tradnl"/>
        </w:rPr>
        <w:t xml:space="preserve">, </w:t>
      </w:r>
      <w:r w:rsidR="00257E05">
        <w:rPr>
          <w:rFonts w:cs="Arial"/>
          <w:sz w:val="22"/>
          <w:szCs w:val="22"/>
          <w:lang w:val="es-ES_tradnl"/>
        </w:rPr>
        <w:t xml:space="preserve">excepto el Director Alvarado Herrera, quien justifica que para acoger la recomendación de la </w:t>
      </w:r>
      <w:r w:rsidR="00257E05" w:rsidRPr="00257E05">
        <w:rPr>
          <w:rFonts w:cs="Arial"/>
          <w:sz w:val="22"/>
          <w:szCs w:val="22"/>
          <w:lang w:val="es-ES_tradnl"/>
        </w:rPr>
        <w:t>Administración</w:t>
      </w:r>
      <w:r w:rsidR="00257E05">
        <w:rPr>
          <w:rFonts w:cs="Arial"/>
          <w:sz w:val="22"/>
          <w:szCs w:val="22"/>
          <w:lang w:val="es-ES_tradnl"/>
        </w:rPr>
        <w:t xml:space="preserve">, requiere </w:t>
      </w:r>
      <w:r w:rsidR="005847E7">
        <w:rPr>
          <w:rFonts w:cs="Arial"/>
          <w:sz w:val="22"/>
          <w:szCs w:val="22"/>
          <w:lang w:val="es-ES_tradnl"/>
        </w:rPr>
        <w:t xml:space="preserve">contar con un dictamen formal de la Asesoría Legal, que se refiera a las normas que le permiten a este Banco financiar actividades que se realizan entre dos instituciones ajenas al BANHVI.  En consecuencia, con el voto negativo del Director Alvarado Herrera por las razones antes apuntadas, la </w:t>
      </w:r>
      <w:r w:rsidR="005847E7" w:rsidRPr="005847E7">
        <w:rPr>
          <w:rFonts w:cs="Arial"/>
          <w:sz w:val="22"/>
          <w:szCs w:val="22"/>
          <w:lang w:val="es-ES_tradnl"/>
        </w:rPr>
        <w:t>Junta Directiva</w:t>
      </w:r>
      <w:r w:rsidR="005847E7">
        <w:rPr>
          <w:rFonts w:cs="Arial"/>
          <w:sz w:val="22"/>
          <w:szCs w:val="22"/>
          <w:lang w:val="es-ES_tradnl"/>
        </w:rPr>
        <w:t xml:space="preserve"> toma </w:t>
      </w:r>
      <w:r w:rsidRPr="00C868C1">
        <w:rPr>
          <w:rFonts w:cs="Arial"/>
          <w:sz w:val="22"/>
          <w:szCs w:val="22"/>
          <w:lang w:val="es-ES_tradnl"/>
        </w:rPr>
        <w:t xml:space="preserve">el </w:t>
      </w:r>
      <w:r w:rsidRPr="00C868C1">
        <w:rPr>
          <w:rFonts w:cs="Arial"/>
          <w:b/>
          <w:bCs/>
          <w:sz w:val="22"/>
          <w:szCs w:val="22"/>
          <w:lang w:val="es-ES_tradnl"/>
        </w:rPr>
        <w:t xml:space="preserve">Acuerdo N° </w:t>
      </w:r>
      <w:r>
        <w:rPr>
          <w:rFonts w:cs="Arial"/>
          <w:b/>
          <w:bCs/>
          <w:sz w:val="22"/>
          <w:szCs w:val="22"/>
          <w:lang w:val="es-ES_tradnl"/>
        </w:rPr>
        <w:t>5</w:t>
      </w:r>
      <w:r w:rsidRPr="00C868C1">
        <w:rPr>
          <w:rFonts w:cs="Arial"/>
          <w:sz w:val="22"/>
          <w:szCs w:val="22"/>
          <w:lang w:val="es-ES_tradnl"/>
        </w:rPr>
        <w:t xml:space="preserve"> que se anexa a esta minuta.</w:t>
      </w:r>
      <w:r w:rsidR="003F14D2">
        <w:rPr>
          <w:rFonts w:cs="Arial"/>
          <w:sz w:val="22"/>
          <w:szCs w:val="22"/>
          <w:lang w:val="es-ES_tradnl"/>
        </w:rPr>
        <w:t xml:space="preserve"> </w:t>
      </w:r>
      <w:r w:rsidR="003F14D2">
        <w:rPr>
          <w:rFonts w:cs="Arial"/>
          <w:sz w:val="22"/>
          <w:szCs w:val="22"/>
        </w:rPr>
        <w:t>Acto seguido, se retiran de la sesión la licenciada Camacho Murillo y la arquitecta Salas Rodríguez.</w:t>
      </w:r>
    </w:p>
    <w:p w14:paraId="233194B1" w14:textId="77777777" w:rsidR="009D03FE" w:rsidRPr="00D14EAF" w:rsidRDefault="009D03FE" w:rsidP="009D03FE">
      <w:pPr>
        <w:spacing w:line="360" w:lineRule="auto"/>
        <w:jc w:val="both"/>
        <w:rPr>
          <w:rFonts w:cs="Arial"/>
          <w:b/>
          <w:sz w:val="22"/>
        </w:rPr>
      </w:pPr>
      <w:r w:rsidRPr="00D14EAF">
        <w:rPr>
          <w:rFonts w:cs="Arial"/>
          <w:b/>
          <w:sz w:val="22"/>
        </w:rPr>
        <w:t>************</w:t>
      </w:r>
    </w:p>
    <w:p w14:paraId="40221A79" w14:textId="77777777" w:rsidR="009D03FE" w:rsidRDefault="009D03FE" w:rsidP="009D03FE">
      <w:pPr>
        <w:spacing w:line="360" w:lineRule="auto"/>
        <w:jc w:val="both"/>
        <w:rPr>
          <w:rFonts w:cs="Arial"/>
          <w:b/>
          <w:sz w:val="22"/>
          <w:szCs w:val="22"/>
          <w:u w:val="single"/>
          <w:lang w:val="es-ES_tradnl"/>
        </w:rPr>
      </w:pPr>
    </w:p>
    <w:p w14:paraId="775E7B6E" w14:textId="1DF3080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45505" w:rsidRPr="00F45505">
        <w:rPr>
          <w:rFonts w:cs="Arial"/>
          <w:b/>
          <w:bCs/>
          <w:sz w:val="22"/>
          <w:u w:val="single"/>
          <w:lang w:val="es-ES_tradnl"/>
        </w:rPr>
        <w:t>Propuesta de Presupuesto Extraordinario No. 2-2022</w:t>
      </w:r>
    </w:p>
    <w:p w14:paraId="7EB2253E" w14:textId="77777777" w:rsidR="009D03FE" w:rsidRDefault="009D03FE" w:rsidP="009D03FE">
      <w:pPr>
        <w:spacing w:line="360" w:lineRule="auto"/>
        <w:jc w:val="both"/>
        <w:rPr>
          <w:rFonts w:cs="Arial"/>
          <w:sz w:val="22"/>
          <w:szCs w:val="22"/>
        </w:rPr>
      </w:pPr>
    </w:p>
    <w:p w14:paraId="0F671D45" w14:textId="14733A6F" w:rsidR="003C4553" w:rsidRPr="00C70745" w:rsidRDefault="003C4553" w:rsidP="003C4553">
      <w:pPr>
        <w:spacing w:line="360" w:lineRule="auto"/>
        <w:jc w:val="both"/>
        <w:rPr>
          <w:rFonts w:cs="Arial"/>
          <w:color w:val="000000"/>
          <w:sz w:val="22"/>
          <w:szCs w:val="22"/>
        </w:rPr>
      </w:pPr>
      <w:r w:rsidRPr="0039311E">
        <w:rPr>
          <w:rFonts w:cs="Arial"/>
          <w:sz w:val="22"/>
          <w:u w:val="single"/>
          <w:lang w:val="es-ES_tradnl"/>
        </w:rPr>
        <w:t xml:space="preserve">Minuto </w:t>
      </w:r>
      <w:r w:rsidR="00B403DB">
        <w:rPr>
          <w:rFonts w:cs="Arial"/>
          <w:sz w:val="22"/>
          <w:u w:val="single"/>
          <w:lang w:val="es-ES_tradnl"/>
        </w:rPr>
        <w:t>1</w:t>
      </w:r>
      <w:r w:rsidR="00762DFC">
        <w:rPr>
          <w:rFonts w:cs="Arial"/>
          <w:sz w:val="22"/>
          <w:u w:val="single"/>
          <w:lang w:val="es-ES_tradnl"/>
        </w:rPr>
        <w:t>94</w:t>
      </w:r>
      <w:r w:rsidRPr="0039311E">
        <w:rPr>
          <w:rFonts w:cs="Arial"/>
          <w:sz w:val="22"/>
          <w:u w:val="single"/>
          <w:lang w:val="es-ES_tradnl"/>
        </w:rPr>
        <w:t>:</w:t>
      </w:r>
      <w:r w:rsidR="00762DFC">
        <w:rPr>
          <w:rFonts w:cs="Arial"/>
          <w:sz w:val="22"/>
          <w:u w:val="single"/>
          <w:lang w:val="es-ES_tradnl"/>
        </w:rPr>
        <w:t>25</w:t>
      </w:r>
      <w:r>
        <w:rPr>
          <w:rFonts w:cs="Arial"/>
          <w:color w:val="000000"/>
          <w:sz w:val="22"/>
          <w:szCs w:val="22"/>
        </w:rPr>
        <w:t xml:space="preserve"> Se</w:t>
      </w:r>
      <w:r w:rsidRPr="00C70745">
        <w:rPr>
          <w:rFonts w:cs="Arial"/>
          <w:color w:val="000000"/>
          <w:sz w:val="22"/>
          <w:szCs w:val="22"/>
        </w:rPr>
        <w:t xml:space="preserve"> </w:t>
      </w:r>
      <w:r>
        <w:rPr>
          <w:sz w:val="22"/>
          <w:szCs w:val="22"/>
        </w:rPr>
        <w:t xml:space="preserve">conoce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sidR="00762DFC">
        <w:rPr>
          <w:sz w:val="22"/>
          <w:szCs w:val="22"/>
        </w:rPr>
        <w:t>1038</w:t>
      </w:r>
      <w:r w:rsidRPr="00C70745">
        <w:rPr>
          <w:sz w:val="22"/>
          <w:szCs w:val="22"/>
        </w:rPr>
        <w:t>-20</w:t>
      </w:r>
      <w:r>
        <w:rPr>
          <w:sz w:val="22"/>
          <w:szCs w:val="22"/>
        </w:rPr>
        <w:t>2</w:t>
      </w:r>
      <w:r w:rsidR="00762DFC">
        <w:rPr>
          <w:sz w:val="22"/>
          <w:szCs w:val="22"/>
        </w:rPr>
        <w:t>2</w:t>
      </w:r>
      <w:r w:rsidRPr="00C70745">
        <w:rPr>
          <w:sz w:val="22"/>
          <w:szCs w:val="22"/>
        </w:rPr>
        <w:t xml:space="preserve"> del </w:t>
      </w:r>
      <w:r w:rsidR="00762DFC">
        <w:rPr>
          <w:sz w:val="22"/>
          <w:szCs w:val="22"/>
        </w:rPr>
        <w:t>19 de agosto</w:t>
      </w:r>
      <w:r w:rsidRPr="00C70745">
        <w:rPr>
          <w:sz w:val="22"/>
          <w:szCs w:val="22"/>
        </w:rPr>
        <w:t xml:space="preserve"> de 20</w:t>
      </w:r>
      <w:r>
        <w:rPr>
          <w:sz w:val="22"/>
          <w:szCs w:val="22"/>
        </w:rPr>
        <w:t>2</w:t>
      </w:r>
      <w:r w:rsidR="00762DFC">
        <w:rPr>
          <w:sz w:val="22"/>
          <w:szCs w:val="22"/>
        </w:rPr>
        <w:t>2</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2</w:t>
      </w:r>
      <w:r w:rsidRPr="00C70745">
        <w:rPr>
          <w:sz w:val="22"/>
          <w:szCs w:val="22"/>
        </w:rPr>
        <w:t xml:space="preserve"> al Presupuesto Ordinario 20</w:t>
      </w:r>
      <w:r>
        <w:rPr>
          <w:sz w:val="22"/>
          <w:szCs w:val="22"/>
        </w:rPr>
        <w:t>2</w:t>
      </w:r>
      <w:r w:rsidR="00762DFC">
        <w:rPr>
          <w:sz w:val="22"/>
          <w:szCs w:val="22"/>
        </w:rPr>
        <w:t>2</w:t>
      </w:r>
      <w:r w:rsidRPr="00C70745">
        <w:rPr>
          <w:sz w:val="22"/>
          <w:szCs w:val="22"/>
        </w:rPr>
        <w:t xml:space="preserve"> del Banco, por un monto total de</w:t>
      </w:r>
      <w:r>
        <w:rPr>
          <w:sz w:val="22"/>
          <w:szCs w:val="22"/>
        </w:rPr>
        <w:t xml:space="preserve"> </w:t>
      </w:r>
      <w:r w:rsidRPr="00500554">
        <w:rPr>
          <w:rFonts w:cs="Arial"/>
          <w:sz w:val="22"/>
          <w:szCs w:val="22"/>
          <w:lang w:val="es-CR"/>
        </w:rPr>
        <w:t>¢</w:t>
      </w:r>
      <w:r w:rsidR="00762DFC">
        <w:rPr>
          <w:rFonts w:cs="Arial"/>
          <w:sz w:val="22"/>
          <w:szCs w:val="22"/>
          <w:lang w:val="es-CR"/>
        </w:rPr>
        <w:t>3</w:t>
      </w:r>
      <w:r w:rsidRPr="00500554">
        <w:rPr>
          <w:rFonts w:cs="Arial"/>
          <w:sz w:val="22"/>
          <w:szCs w:val="22"/>
          <w:lang w:val="es-CR"/>
        </w:rPr>
        <w:t>.</w:t>
      </w:r>
      <w:r w:rsidR="00762DFC">
        <w:rPr>
          <w:rFonts w:cs="Arial"/>
          <w:sz w:val="22"/>
          <w:szCs w:val="22"/>
          <w:lang w:val="es-CR"/>
        </w:rPr>
        <w:t>561</w:t>
      </w:r>
      <w:r w:rsidRPr="00500554">
        <w:rPr>
          <w:rFonts w:cs="Arial"/>
          <w:sz w:val="22"/>
          <w:szCs w:val="22"/>
          <w:lang w:val="es-CR"/>
        </w:rPr>
        <w:t>.</w:t>
      </w:r>
      <w:r w:rsidR="00762DFC">
        <w:rPr>
          <w:rFonts w:cs="Arial"/>
          <w:sz w:val="22"/>
          <w:szCs w:val="22"/>
          <w:lang w:val="es-CR"/>
        </w:rPr>
        <w:t>624</w:t>
      </w:r>
      <w:r w:rsidRPr="00500554">
        <w:rPr>
          <w:rFonts w:cs="Arial"/>
          <w:sz w:val="22"/>
          <w:szCs w:val="22"/>
          <w:lang w:val="es-CR"/>
        </w:rPr>
        <w:t>,</w:t>
      </w:r>
      <w:r w:rsidR="00762DFC">
        <w:rPr>
          <w:rFonts w:cs="Arial"/>
          <w:sz w:val="22"/>
          <w:szCs w:val="22"/>
          <w:lang w:val="es-CR"/>
        </w:rPr>
        <w:t>85</w:t>
      </w:r>
      <w:r>
        <w:rPr>
          <w:rFonts w:cs="Arial"/>
          <w:sz w:val="22"/>
          <w:szCs w:val="22"/>
          <w:lang w:val="es-CR"/>
        </w:rPr>
        <w:t xml:space="preserve"> y</w:t>
      </w:r>
      <w:r>
        <w:rPr>
          <w:sz w:val="22"/>
          <w:szCs w:val="22"/>
        </w:rPr>
        <w:t xml:space="preserve"> </w:t>
      </w:r>
      <w:r w:rsidRPr="00C70745">
        <w:rPr>
          <w:sz w:val="22"/>
          <w:szCs w:val="22"/>
        </w:rPr>
        <w:t xml:space="preserve">el cual se adjunta a la nota </w:t>
      </w:r>
      <w:r w:rsidRPr="00B346F1">
        <w:rPr>
          <w:rFonts w:cs="Arial"/>
          <w:sz w:val="22"/>
          <w:szCs w:val="22"/>
        </w:rPr>
        <w:t>DFC-OF-</w:t>
      </w:r>
      <w:r>
        <w:rPr>
          <w:rFonts w:cs="Arial"/>
          <w:sz w:val="22"/>
          <w:szCs w:val="22"/>
        </w:rPr>
        <w:t>1</w:t>
      </w:r>
      <w:r w:rsidR="00762DFC">
        <w:rPr>
          <w:rFonts w:cs="Arial"/>
          <w:sz w:val="22"/>
          <w:szCs w:val="22"/>
        </w:rPr>
        <w:t>48</w:t>
      </w:r>
      <w:r>
        <w:rPr>
          <w:rFonts w:cs="Arial"/>
          <w:sz w:val="22"/>
          <w:szCs w:val="22"/>
        </w:rPr>
        <w:t>-</w:t>
      </w:r>
      <w:r w:rsidRPr="00B346F1">
        <w:rPr>
          <w:rFonts w:cs="Arial"/>
          <w:sz w:val="22"/>
          <w:szCs w:val="22"/>
        </w:rPr>
        <w:t>20</w:t>
      </w:r>
      <w:r>
        <w:rPr>
          <w:rFonts w:cs="Arial"/>
          <w:sz w:val="22"/>
          <w:szCs w:val="22"/>
        </w:rPr>
        <w:t>2</w:t>
      </w:r>
      <w:r w:rsidR="00762DFC">
        <w:rPr>
          <w:rFonts w:cs="Arial"/>
          <w:sz w:val="22"/>
          <w:szCs w:val="22"/>
        </w:rPr>
        <w:t>2</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w:t>
      </w:r>
      <w:r>
        <w:rPr>
          <w:rFonts w:cs="Arial"/>
          <w:sz w:val="22"/>
          <w:szCs w:val="22"/>
        </w:rPr>
        <w:t>.</w:t>
      </w:r>
      <w:r w:rsidRPr="00C70745">
        <w:rPr>
          <w:rFonts w:cs="Arial"/>
          <w:color w:val="000000"/>
          <w:sz w:val="22"/>
          <w:szCs w:val="22"/>
        </w:rPr>
        <w:t xml:space="preserve">  Dichos documentos se adjuntan al</w:t>
      </w:r>
      <w:r>
        <w:rPr>
          <w:rFonts w:cs="Arial"/>
          <w:color w:val="000000"/>
          <w:sz w:val="22"/>
          <w:szCs w:val="22"/>
        </w:rPr>
        <w:t xml:space="preserve"> expediente del </w:t>
      </w:r>
      <w:r w:rsidRPr="00C70745">
        <w:rPr>
          <w:rFonts w:cs="Arial"/>
          <w:color w:val="000000"/>
          <w:sz w:val="22"/>
          <w:szCs w:val="22"/>
        </w:rPr>
        <w:t>acta.</w:t>
      </w:r>
    </w:p>
    <w:p w14:paraId="01DAA47B" w14:textId="77777777" w:rsidR="003C4553" w:rsidRPr="00C70745" w:rsidRDefault="003C4553" w:rsidP="003C4553">
      <w:pPr>
        <w:spacing w:line="360" w:lineRule="auto"/>
        <w:jc w:val="both"/>
        <w:rPr>
          <w:rFonts w:cs="Arial"/>
          <w:sz w:val="22"/>
          <w:szCs w:val="22"/>
        </w:rPr>
      </w:pPr>
    </w:p>
    <w:p w14:paraId="78037BF7" w14:textId="7206352B" w:rsidR="00762DFC" w:rsidRDefault="003C4553" w:rsidP="003C4553">
      <w:pPr>
        <w:pStyle w:val="Textoindependiente"/>
        <w:tabs>
          <w:tab w:val="left" w:pos="8789"/>
        </w:tabs>
        <w:ind w:right="0"/>
        <w:rPr>
          <w:rFonts w:cs="Arial"/>
          <w:szCs w:val="22"/>
          <w:lang w:val="es-CR"/>
        </w:rPr>
      </w:pPr>
      <w:r w:rsidRPr="002F64F6">
        <w:rPr>
          <w:szCs w:val="22"/>
        </w:rPr>
        <w:t xml:space="preserve">Para exponer los alcances del citado informe y atender eventuales consultas de carácter técnico sobre </w:t>
      </w:r>
      <w:r w:rsidR="00762DFC">
        <w:rPr>
          <w:szCs w:val="22"/>
        </w:rPr>
        <w:t>éste y el siguiente</w:t>
      </w:r>
      <w:r w:rsidRPr="002F64F6">
        <w:rPr>
          <w:szCs w:val="22"/>
        </w:rPr>
        <w:t xml:space="preserve"> tema, se incorpora a la sesión </w:t>
      </w:r>
      <w:r>
        <w:rPr>
          <w:szCs w:val="22"/>
        </w:rPr>
        <w:t>el</w:t>
      </w:r>
      <w:r w:rsidRPr="002F64F6">
        <w:rPr>
          <w:szCs w:val="22"/>
        </w:rPr>
        <w:t xml:space="preserve"> licenciado</w:t>
      </w:r>
      <w:r>
        <w:rPr>
          <w:szCs w:val="22"/>
        </w:rPr>
        <w:t xml:space="preserve"> </w:t>
      </w:r>
      <w:r w:rsidRPr="002F64F6">
        <w:rPr>
          <w:szCs w:val="22"/>
        </w:rPr>
        <w:t xml:space="preserve">José Pablo Durán Rodríguez, jefe </w:t>
      </w:r>
      <w:r>
        <w:rPr>
          <w:szCs w:val="22"/>
        </w:rPr>
        <w:t xml:space="preserve">del Departamento Financiero – Contable, </w:t>
      </w:r>
      <w:r w:rsidRPr="002F64F6">
        <w:rPr>
          <w:szCs w:val="22"/>
        </w:rPr>
        <w:t xml:space="preserve">quien </w:t>
      </w:r>
      <w:r>
        <w:rPr>
          <w:szCs w:val="22"/>
        </w:rPr>
        <w:t xml:space="preserve">presenta </w:t>
      </w:r>
      <w:r w:rsidRPr="00C70745">
        <w:rPr>
          <w:szCs w:val="22"/>
        </w:rPr>
        <w:t xml:space="preserve">los </w:t>
      </w:r>
      <w:r w:rsidRPr="00C70745">
        <w:rPr>
          <w:szCs w:val="22"/>
        </w:rPr>
        <w:lastRenderedPageBreak/>
        <w:t>aspectos más relevantes de</w:t>
      </w:r>
      <w:r>
        <w:rPr>
          <w:szCs w:val="22"/>
        </w:rPr>
        <w:t xml:space="preserve"> la referida propuesta</w:t>
      </w:r>
      <w:r w:rsidRPr="00C70745">
        <w:rPr>
          <w:szCs w:val="22"/>
        </w:rPr>
        <w:t>, señalando, en resumen, que este presupuesto extraordinario tiene la finalidad de</w:t>
      </w:r>
      <w:r>
        <w:rPr>
          <w:rFonts w:cs="Arial"/>
          <w:szCs w:val="22"/>
        </w:rPr>
        <w:t xml:space="preserve"> </w:t>
      </w:r>
      <w:r w:rsidR="00762DFC" w:rsidRPr="008F203F">
        <w:rPr>
          <w:rFonts w:cs="Arial"/>
          <w:szCs w:val="22"/>
          <w:lang w:val="es-CR"/>
        </w:rPr>
        <w:t>incorpora</w:t>
      </w:r>
      <w:r w:rsidR="00762DFC">
        <w:rPr>
          <w:rFonts w:cs="Arial"/>
          <w:szCs w:val="22"/>
          <w:lang w:val="es-CR"/>
        </w:rPr>
        <w:t>r</w:t>
      </w:r>
      <w:r w:rsidR="00762DFC" w:rsidRPr="008F203F">
        <w:rPr>
          <w:rFonts w:cs="Arial"/>
          <w:szCs w:val="22"/>
          <w:lang w:val="es-CR"/>
        </w:rPr>
        <w:t xml:space="preserve"> los recursos aportados por la</w:t>
      </w:r>
      <w:r w:rsidR="00762DFC">
        <w:rPr>
          <w:rFonts w:cs="Arial"/>
          <w:szCs w:val="22"/>
          <w:lang w:val="es-CR"/>
        </w:rPr>
        <w:t xml:space="preserve"> </w:t>
      </w:r>
      <w:r w:rsidR="00762DFC" w:rsidRPr="008F203F">
        <w:rPr>
          <w:rFonts w:cs="Arial"/>
          <w:szCs w:val="22"/>
          <w:lang w:val="es-CR"/>
        </w:rPr>
        <w:t>Municipalidad de San José, para cubrir gastos de diseño incurridos en la construcción del proyecto de</w:t>
      </w:r>
      <w:r w:rsidR="00762DFC">
        <w:rPr>
          <w:rFonts w:cs="Arial"/>
          <w:szCs w:val="22"/>
          <w:lang w:val="es-CR"/>
        </w:rPr>
        <w:t xml:space="preserve"> </w:t>
      </w:r>
      <w:r w:rsidR="00762DFC" w:rsidRPr="008F203F">
        <w:rPr>
          <w:rFonts w:cs="Arial"/>
          <w:szCs w:val="22"/>
          <w:lang w:val="es-CR"/>
        </w:rPr>
        <w:t>Bono Colectivo Parque La Libertad, tramitado por Grupo Mutual Alajuela La Vivienda,</w:t>
      </w:r>
      <w:r w:rsidR="00762DFC">
        <w:rPr>
          <w:rFonts w:cs="Arial"/>
          <w:szCs w:val="22"/>
          <w:lang w:val="es-CR"/>
        </w:rPr>
        <w:t xml:space="preserve"> por un monto total de ¢3.561.624,85.</w:t>
      </w:r>
    </w:p>
    <w:p w14:paraId="4F3E7F4D" w14:textId="77777777" w:rsidR="003C4553" w:rsidRDefault="003C4553" w:rsidP="003C4553">
      <w:pPr>
        <w:pStyle w:val="Textoindependiente"/>
        <w:tabs>
          <w:tab w:val="left" w:pos="8789"/>
        </w:tabs>
        <w:ind w:right="0"/>
        <w:rPr>
          <w:szCs w:val="22"/>
        </w:rPr>
      </w:pPr>
    </w:p>
    <w:p w14:paraId="5542ADFA" w14:textId="50124F86" w:rsidR="003C4553" w:rsidRDefault="003C4553" w:rsidP="003C4553">
      <w:pPr>
        <w:pStyle w:val="Textoindependiente"/>
        <w:tabs>
          <w:tab w:val="left" w:pos="8789"/>
        </w:tabs>
        <w:ind w:right="0"/>
        <w:rPr>
          <w:rFonts w:cs="Arial"/>
          <w:szCs w:val="22"/>
        </w:rPr>
      </w:pPr>
      <w:r w:rsidRPr="00C36E5C">
        <w:rPr>
          <w:rFonts w:cs="Arial"/>
          <w:u w:val="single"/>
          <w:lang w:val="es-ES_tradnl"/>
        </w:rPr>
        <w:t xml:space="preserve">Minuto </w:t>
      </w:r>
      <w:r w:rsidR="003B04A9">
        <w:rPr>
          <w:rFonts w:cs="Arial"/>
          <w:u w:val="single"/>
          <w:lang w:val="es-ES_tradnl"/>
        </w:rPr>
        <w:t>203</w:t>
      </w:r>
      <w:r w:rsidRPr="00C36E5C">
        <w:rPr>
          <w:rFonts w:cs="Arial"/>
          <w:u w:val="single"/>
          <w:lang w:val="es-ES_tradnl"/>
        </w:rPr>
        <w:t>:</w:t>
      </w:r>
      <w:r w:rsidR="003B04A9">
        <w:rPr>
          <w:rFonts w:cs="Arial"/>
          <w:u w:val="single"/>
          <w:lang w:val="es-ES_tradnl"/>
        </w:rPr>
        <w:t>08</w:t>
      </w:r>
      <w:r w:rsidRPr="00C36E5C">
        <w:rPr>
          <w:rFonts w:cs="Arial"/>
          <w:color w:val="000000"/>
          <w:szCs w:val="22"/>
        </w:rPr>
        <w:t xml:space="preserve"> </w:t>
      </w:r>
      <w:r>
        <w:rPr>
          <w:rFonts w:cs="Arial"/>
          <w:color w:val="000000"/>
          <w:szCs w:val="22"/>
        </w:rPr>
        <w:t xml:space="preserve">Conocida la propuesta de la </w:t>
      </w:r>
      <w:r w:rsidRPr="008E127B">
        <w:rPr>
          <w:rFonts w:cs="Arial"/>
          <w:color w:val="000000"/>
          <w:szCs w:val="22"/>
          <w:lang w:val="es-ES_tradnl"/>
        </w:rPr>
        <w:t>Administración</w:t>
      </w:r>
      <w:r>
        <w:rPr>
          <w:rFonts w:cs="Arial"/>
          <w:color w:val="000000"/>
          <w:szCs w:val="22"/>
          <w:lang w:val="es-ES_tradnl"/>
        </w:rPr>
        <w:t xml:space="preserve"> y no habiendo objeciones de los señores Directores ni por parte de los funcionarios presentes, la </w:t>
      </w:r>
      <w:r w:rsidRPr="008E127B">
        <w:rPr>
          <w:rFonts w:cs="Arial"/>
          <w:color w:val="000000"/>
          <w:szCs w:val="22"/>
          <w:lang w:val="es-ES_tradnl"/>
        </w:rPr>
        <w:t>Junta Directiva</w:t>
      </w:r>
      <w:r>
        <w:rPr>
          <w:rFonts w:cs="Arial"/>
          <w:color w:val="000000"/>
          <w:szCs w:val="22"/>
          <w:lang w:val="es-ES_tradnl"/>
        </w:rPr>
        <w:t xml:space="preserve"> resuelve aprobar el citado Presupuesto Extraordinario, en los mismos términos propuestos por el Departamento Financiero – Contable y la </w:t>
      </w:r>
      <w:r w:rsidRPr="008E127B">
        <w:rPr>
          <w:rFonts w:cs="Arial"/>
          <w:color w:val="000000"/>
          <w:szCs w:val="22"/>
          <w:lang w:val="es-ES_tradnl"/>
        </w:rPr>
        <w:t>Gerencia General</w:t>
      </w:r>
      <w:r>
        <w:rPr>
          <w:rFonts w:cs="Arial"/>
          <w:color w:val="000000"/>
          <w:szCs w:val="22"/>
          <w:lang w:val="es-ES_tradnl"/>
        </w:rPr>
        <w:t xml:space="preserve">.  Lo anterior, según se consigna en el </w:t>
      </w:r>
      <w:r w:rsidRPr="008E127B">
        <w:rPr>
          <w:rFonts w:cs="Arial"/>
          <w:b/>
          <w:bCs/>
          <w:color w:val="000000"/>
          <w:szCs w:val="22"/>
          <w:lang w:val="es-ES_tradnl"/>
        </w:rPr>
        <w:t xml:space="preserve">Acuerdo N° </w:t>
      </w:r>
      <w:r>
        <w:rPr>
          <w:rFonts w:cs="Arial"/>
          <w:b/>
          <w:bCs/>
          <w:color w:val="000000"/>
          <w:szCs w:val="22"/>
          <w:lang w:val="es-ES_tradnl"/>
        </w:rPr>
        <w:t>6</w:t>
      </w:r>
      <w:r>
        <w:rPr>
          <w:rFonts w:cs="Arial"/>
          <w:color w:val="000000"/>
          <w:szCs w:val="22"/>
          <w:lang w:val="es-ES_tradnl"/>
        </w:rPr>
        <w:t xml:space="preserve"> que se anexa a esta minuta.</w:t>
      </w:r>
    </w:p>
    <w:p w14:paraId="7E872FF6" w14:textId="2E5FC0CC" w:rsidR="009D03FE" w:rsidRPr="00D14EAF" w:rsidRDefault="009D03FE" w:rsidP="009D03FE">
      <w:pPr>
        <w:spacing w:line="360" w:lineRule="auto"/>
        <w:jc w:val="both"/>
        <w:rPr>
          <w:rFonts w:cs="Arial"/>
          <w:b/>
          <w:sz w:val="22"/>
        </w:rPr>
      </w:pPr>
      <w:r w:rsidRPr="00D14EAF">
        <w:rPr>
          <w:rFonts w:cs="Arial"/>
          <w:b/>
          <w:sz w:val="22"/>
        </w:rPr>
        <w:t>************</w:t>
      </w:r>
    </w:p>
    <w:p w14:paraId="2347EB8D" w14:textId="77777777" w:rsidR="009D03FE" w:rsidRDefault="009D03FE" w:rsidP="009D03FE">
      <w:pPr>
        <w:spacing w:line="360" w:lineRule="auto"/>
        <w:jc w:val="both"/>
        <w:rPr>
          <w:rFonts w:cs="Arial"/>
          <w:b/>
          <w:bCs/>
          <w:sz w:val="22"/>
          <w:szCs w:val="22"/>
          <w:u w:val="single"/>
          <w:lang w:val="es-ES_tradnl"/>
        </w:rPr>
      </w:pPr>
    </w:p>
    <w:p w14:paraId="19244B61" w14:textId="2C3A81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45505" w:rsidRPr="00F45505">
        <w:rPr>
          <w:rFonts w:cs="Arial"/>
          <w:b/>
          <w:bCs/>
          <w:sz w:val="22"/>
          <w:u w:val="single"/>
          <w:lang w:val="es-ES_tradnl"/>
        </w:rPr>
        <w:t>Solicitud de autorización para la capitalización de los resultados acumulados de los periodos 2019, 2020 y 2021</w:t>
      </w:r>
    </w:p>
    <w:p w14:paraId="206C82D6" w14:textId="77777777" w:rsidR="009D03FE" w:rsidRDefault="009D03FE" w:rsidP="009D03FE">
      <w:pPr>
        <w:spacing w:line="360" w:lineRule="auto"/>
        <w:jc w:val="both"/>
        <w:rPr>
          <w:rFonts w:cs="Arial"/>
          <w:sz w:val="22"/>
          <w:szCs w:val="22"/>
        </w:rPr>
      </w:pPr>
    </w:p>
    <w:p w14:paraId="3900348F" w14:textId="5E64AB49" w:rsidR="00D51D44" w:rsidRDefault="00D51D44" w:rsidP="00D51D44">
      <w:pPr>
        <w:spacing w:line="360" w:lineRule="auto"/>
        <w:jc w:val="both"/>
        <w:rPr>
          <w:rFonts w:cs="Arial"/>
          <w:sz w:val="22"/>
        </w:rPr>
      </w:pPr>
      <w:r w:rsidRPr="0039311E">
        <w:rPr>
          <w:rFonts w:cs="Arial"/>
          <w:sz w:val="22"/>
          <w:u w:val="single"/>
          <w:lang w:val="es-ES_tradnl"/>
        </w:rPr>
        <w:t xml:space="preserve">Minuto </w:t>
      </w:r>
      <w:r w:rsidR="000F2A40">
        <w:rPr>
          <w:rFonts w:cs="Arial"/>
          <w:sz w:val="22"/>
          <w:u w:val="single"/>
          <w:lang w:val="es-ES_tradnl"/>
        </w:rPr>
        <w:t>203</w:t>
      </w:r>
      <w:r w:rsidRPr="0039311E">
        <w:rPr>
          <w:rFonts w:cs="Arial"/>
          <w:sz w:val="22"/>
          <w:u w:val="single"/>
          <w:lang w:val="es-ES_tradnl"/>
        </w:rPr>
        <w:t>:</w:t>
      </w:r>
      <w:r w:rsidR="000F2A40">
        <w:rPr>
          <w:rFonts w:cs="Arial"/>
          <w:sz w:val="22"/>
          <w:u w:val="single"/>
          <w:lang w:val="es-ES_tradnl"/>
        </w:rPr>
        <w:t>40</w:t>
      </w:r>
      <w:r>
        <w:rPr>
          <w:rFonts w:cs="Arial"/>
          <w:sz w:val="22"/>
          <w:lang w:val="es-ES_tradnl"/>
        </w:rPr>
        <w:t xml:space="preserve"> Se conoce el oficio GG-ME-</w:t>
      </w:r>
      <w:r w:rsidR="003B04A9">
        <w:rPr>
          <w:rFonts w:cs="Arial"/>
          <w:sz w:val="22"/>
          <w:lang w:val="es-ES_tradnl"/>
        </w:rPr>
        <w:t>1043</w:t>
      </w:r>
      <w:r>
        <w:rPr>
          <w:rFonts w:cs="Arial"/>
          <w:sz w:val="22"/>
          <w:lang w:val="es-ES_tradnl"/>
        </w:rPr>
        <w:t>-20</w:t>
      </w:r>
      <w:r w:rsidR="003B04A9">
        <w:rPr>
          <w:rFonts w:cs="Arial"/>
          <w:sz w:val="22"/>
          <w:lang w:val="es-ES_tradnl"/>
        </w:rPr>
        <w:t>22</w:t>
      </w:r>
      <w:r>
        <w:rPr>
          <w:rFonts w:cs="Arial"/>
          <w:sz w:val="22"/>
          <w:lang w:val="es-ES_tradnl"/>
        </w:rPr>
        <w:t xml:space="preserve">, de fecha </w:t>
      </w:r>
      <w:r w:rsidR="000F2A40">
        <w:rPr>
          <w:rFonts w:cs="Arial"/>
          <w:sz w:val="22"/>
          <w:lang w:val="es-ES_tradnl"/>
        </w:rPr>
        <w:t>19 de agosto</w:t>
      </w:r>
      <w:r>
        <w:rPr>
          <w:rFonts w:cs="Arial"/>
          <w:sz w:val="22"/>
          <w:lang w:val="es-ES_tradnl"/>
        </w:rPr>
        <w:t xml:space="preserve"> de 20</w:t>
      </w:r>
      <w:r w:rsidR="000F2A40">
        <w:rPr>
          <w:rFonts w:cs="Arial"/>
          <w:sz w:val="22"/>
          <w:lang w:val="es-ES_tradnl"/>
        </w:rPr>
        <w:t>22</w:t>
      </w:r>
      <w:r>
        <w:rPr>
          <w:rFonts w:cs="Arial"/>
          <w:sz w:val="22"/>
        </w:rPr>
        <w:t xml:space="preserve">, por medio del cual, la </w:t>
      </w:r>
      <w:r>
        <w:rPr>
          <w:rFonts w:cs="Arial"/>
          <w:sz w:val="22"/>
          <w:szCs w:val="22"/>
        </w:rPr>
        <w:t xml:space="preserve">Gerencia General remite y avala </w:t>
      </w:r>
      <w:r>
        <w:rPr>
          <w:rFonts w:cs="Arial"/>
          <w:sz w:val="22"/>
        </w:rPr>
        <w:t>el informe DFC-OF-</w:t>
      </w:r>
      <w:r w:rsidR="000F2A40">
        <w:rPr>
          <w:rFonts w:cs="Arial"/>
          <w:sz w:val="22"/>
        </w:rPr>
        <w:t>143</w:t>
      </w:r>
      <w:r>
        <w:rPr>
          <w:rFonts w:cs="Arial"/>
          <w:sz w:val="22"/>
        </w:rPr>
        <w:t>-20</w:t>
      </w:r>
      <w:r w:rsidR="000F2A40">
        <w:rPr>
          <w:rFonts w:cs="Arial"/>
          <w:sz w:val="22"/>
        </w:rPr>
        <w:t>22</w:t>
      </w:r>
      <w:r>
        <w:rPr>
          <w:rFonts w:cs="Arial"/>
          <w:sz w:val="22"/>
        </w:rPr>
        <w:t xml:space="preserve"> del Departamento Financiero – Contable, que contiene una propuesta para que este Órgano Colegiado autorice la </w:t>
      </w:r>
      <w:r w:rsidR="000F2A40">
        <w:rPr>
          <w:rFonts w:cs="Arial"/>
          <w:sz w:val="22"/>
        </w:rPr>
        <w:t>capitalización de las utilidades acumuladas de los períodos 2019, 2020 y 2021, así como para realizar la gestión correspondiente ante el Consejo Nacional de Supervisión del Sistema Financiero (CONASSIF), por un monto de ¢6.865,0 millones</w:t>
      </w:r>
      <w:r>
        <w:rPr>
          <w:rFonts w:cs="Arial"/>
          <w:sz w:val="22"/>
        </w:rPr>
        <w:t>.  Dichos documentos se adjuntan al expediente del acta.</w:t>
      </w:r>
    </w:p>
    <w:p w14:paraId="57ED2E42" w14:textId="77777777" w:rsidR="00D51D44" w:rsidRDefault="00D51D44" w:rsidP="00D51D44">
      <w:pPr>
        <w:spacing w:line="360" w:lineRule="auto"/>
        <w:jc w:val="both"/>
        <w:rPr>
          <w:rFonts w:cs="Arial"/>
          <w:sz w:val="22"/>
        </w:rPr>
      </w:pPr>
    </w:p>
    <w:p w14:paraId="7796AC50" w14:textId="71E22F4B" w:rsidR="000F2A40" w:rsidRDefault="00D51D44" w:rsidP="000F2A40">
      <w:pPr>
        <w:spacing w:line="360" w:lineRule="auto"/>
        <w:jc w:val="both"/>
        <w:rPr>
          <w:rFonts w:cs="Arial"/>
          <w:sz w:val="22"/>
          <w:lang w:val="es-CR"/>
        </w:rPr>
      </w:pPr>
      <w:r>
        <w:rPr>
          <w:rFonts w:cs="Arial"/>
          <w:sz w:val="22"/>
        </w:rPr>
        <w:t xml:space="preserve">El licenciado Durán Rodríguez </w:t>
      </w:r>
      <w:r w:rsidRPr="00FB1F85">
        <w:rPr>
          <w:rFonts w:cs="Arial"/>
          <w:sz w:val="22"/>
        </w:rPr>
        <w:t xml:space="preserve">expone los alcances del citado informe, </w:t>
      </w:r>
      <w:r>
        <w:rPr>
          <w:rFonts w:cs="Arial"/>
          <w:sz w:val="22"/>
        </w:rPr>
        <w:t xml:space="preserve">destacando que esta propuesta se sustenta en la política </w:t>
      </w:r>
      <w:r w:rsidR="000F2A40" w:rsidRPr="006F6345">
        <w:rPr>
          <w:rFonts w:cs="Arial"/>
          <w:sz w:val="22"/>
          <w:lang w:val="es-CR"/>
        </w:rPr>
        <w:t xml:space="preserve">de </w:t>
      </w:r>
      <w:r w:rsidR="000F2A40">
        <w:rPr>
          <w:rFonts w:cs="Arial"/>
          <w:sz w:val="22"/>
          <w:lang w:val="es-CR"/>
        </w:rPr>
        <w:t>g</w:t>
      </w:r>
      <w:r w:rsidR="000F2A40" w:rsidRPr="006F6345">
        <w:rPr>
          <w:rFonts w:cs="Arial"/>
          <w:sz w:val="22"/>
          <w:lang w:val="es-CR"/>
        </w:rPr>
        <w:t>esti</w:t>
      </w:r>
      <w:r w:rsidR="000F2A40">
        <w:rPr>
          <w:rFonts w:cs="Arial"/>
          <w:sz w:val="22"/>
          <w:lang w:val="es-CR"/>
        </w:rPr>
        <w:t>ó</w:t>
      </w:r>
      <w:r w:rsidR="000F2A40" w:rsidRPr="006F6345">
        <w:rPr>
          <w:rFonts w:cs="Arial"/>
          <w:sz w:val="22"/>
          <w:lang w:val="es-CR"/>
        </w:rPr>
        <w:t xml:space="preserve">n de </w:t>
      </w:r>
      <w:r w:rsidR="000F2A40">
        <w:rPr>
          <w:rFonts w:cs="Arial"/>
          <w:sz w:val="22"/>
          <w:lang w:val="es-CR"/>
        </w:rPr>
        <w:t>r</w:t>
      </w:r>
      <w:r w:rsidR="000F2A40" w:rsidRPr="006F6345">
        <w:rPr>
          <w:rFonts w:cs="Arial"/>
          <w:sz w:val="22"/>
          <w:lang w:val="es-CR"/>
        </w:rPr>
        <w:t>iesgo PO-INST-GRI-O1O</w:t>
      </w:r>
      <w:r w:rsidR="000F2A40">
        <w:rPr>
          <w:rFonts w:cs="Arial"/>
          <w:sz w:val="22"/>
          <w:lang w:val="es-CR"/>
        </w:rPr>
        <w:t xml:space="preserve"> Adecuación </w:t>
      </w:r>
      <w:r w:rsidR="000F2A40" w:rsidRPr="006F6345">
        <w:rPr>
          <w:rFonts w:cs="Arial"/>
          <w:sz w:val="22"/>
          <w:lang w:val="es-CR"/>
        </w:rPr>
        <w:t>de Capital</w:t>
      </w:r>
      <w:r w:rsidR="000F2A40">
        <w:rPr>
          <w:rFonts w:cs="Arial"/>
          <w:sz w:val="22"/>
          <w:lang w:val="es-CR"/>
        </w:rPr>
        <w:t>, la cual establece que “</w:t>
      </w:r>
      <w:r w:rsidR="000F2A40" w:rsidRPr="006F6345">
        <w:rPr>
          <w:rFonts w:cs="Arial"/>
          <w:sz w:val="22"/>
          <w:lang w:val="es-CR"/>
        </w:rPr>
        <w:t>El Capital del Banco ser</w:t>
      </w:r>
      <w:r w:rsidR="000F2A40">
        <w:rPr>
          <w:rFonts w:cs="Arial"/>
          <w:sz w:val="22"/>
          <w:lang w:val="es-CR"/>
        </w:rPr>
        <w:t>á</w:t>
      </w:r>
      <w:r w:rsidR="000F2A40" w:rsidRPr="006F6345">
        <w:rPr>
          <w:rFonts w:cs="Arial"/>
          <w:sz w:val="22"/>
          <w:lang w:val="es-CR"/>
        </w:rPr>
        <w:t xml:space="preserve"> incrementado cada tres a</w:t>
      </w:r>
      <w:r w:rsidR="000F2A40">
        <w:rPr>
          <w:rFonts w:cs="Arial"/>
          <w:sz w:val="22"/>
          <w:lang w:val="es-CR"/>
        </w:rPr>
        <w:t>ñ</w:t>
      </w:r>
      <w:r w:rsidR="000F2A40" w:rsidRPr="006F6345">
        <w:rPr>
          <w:rFonts w:cs="Arial"/>
          <w:sz w:val="22"/>
          <w:lang w:val="es-CR"/>
        </w:rPr>
        <w:t>os, v</w:t>
      </w:r>
      <w:r w:rsidR="000F2A40">
        <w:rPr>
          <w:rFonts w:cs="Arial"/>
          <w:sz w:val="22"/>
          <w:lang w:val="es-CR"/>
        </w:rPr>
        <w:t>í</w:t>
      </w:r>
      <w:r w:rsidR="000F2A40" w:rsidRPr="006F6345">
        <w:rPr>
          <w:rFonts w:cs="Arial"/>
          <w:sz w:val="22"/>
          <w:lang w:val="es-CR"/>
        </w:rPr>
        <w:t>a capitalizac</w:t>
      </w:r>
      <w:r w:rsidR="000F2A40">
        <w:rPr>
          <w:rFonts w:cs="Arial"/>
          <w:sz w:val="22"/>
          <w:lang w:val="es-CR"/>
        </w:rPr>
        <w:t>ió</w:t>
      </w:r>
      <w:r w:rsidR="000F2A40" w:rsidRPr="006F6345">
        <w:rPr>
          <w:rFonts w:cs="Arial"/>
          <w:sz w:val="22"/>
          <w:lang w:val="es-CR"/>
        </w:rPr>
        <w:t>n de</w:t>
      </w:r>
      <w:r w:rsidR="000F2A40">
        <w:rPr>
          <w:rFonts w:cs="Arial"/>
          <w:sz w:val="22"/>
          <w:lang w:val="es-CR"/>
        </w:rPr>
        <w:t xml:space="preserve"> </w:t>
      </w:r>
      <w:r w:rsidR="000F2A40" w:rsidRPr="006F6345">
        <w:rPr>
          <w:rFonts w:cs="Arial"/>
          <w:sz w:val="22"/>
          <w:lang w:val="es-CR"/>
        </w:rPr>
        <w:t>“Utilidades de ejercicios anteriores afectadas para capitalizar” y por todas</w:t>
      </w:r>
      <w:r w:rsidR="000F2A40">
        <w:rPr>
          <w:rFonts w:cs="Arial"/>
          <w:sz w:val="22"/>
          <w:lang w:val="es-CR"/>
        </w:rPr>
        <w:t xml:space="preserve"> </w:t>
      </w:r>
      <w:r w:rsidR="000F2A40" w:rsidRPr="006F6345">
        <w:rPr>
          <w:rFonts w:cs="Arial"/>
          <w:sz w:val="22"/>
          <w:lang w:val="es-CR"/>
        </w:rPr>
        <w:t>aquellas cuentas patrimoniales sujetas de capitalizac</w:t>
      </w:r>
      <w:r w:rsidR="000F2A40">
        <w:rPr>
          <w:rFonts w:cs="Arial"/>
          <w:sz w:val="22"/>
          <w:lang w:val="es-CR"/>
        </w:rPr>
        <w:t>ió</w:t>
      </w:r>
      <w:r w:rsidR="000F2A40" w:rsidRPr="006F6345">
        <w:rPr>
          <w:rFonts w:cs="Arial"/>
          <w:sz w:val="22"/>
          <w:lang w:val="es-CR"/>
        </w:rPr>
        <w:t xml:space="preserve">n, posterior a </w:t>
      </w:r>
      <w:r w:rsidR="000F2A40">
        <w:rPr>
          <w:rFonts w:cs="Arial"/>
          <w:sz w:val="22"/>
          <w:lang w:val="es-CR"/>
        </w:rPr>
        <w:t>l</w:t>
      </w:r>
      <w:r w:rsidR="000F2A40" w:rsidRPr="006F6345">
        <w:rPr>
          <w:rFonts w:cs="Arial"/>
          <w:sz w:val="22"/>
          <w:lang w:val="es-CR"/>
        </w:rPr>
        <w:t>a</w:t>
      </w:r>
      <w:r w:rsidR="000F2A40">
        <w:rPr>
          <w:rFonts w:cs="Arial"/>
          <w:sz w:val="22"/>
          <w:lang w:val="es-CR"/>
        </w:rPr>
        <w:t xml:space="preserve"> </w:t>
      </w:r>
      <w:r w:rsidR="000F2A40" w:rsidRPr="006F6345">
        <w:rPr>
          <w:rFonts w:cs="Arial"/>
          <w:sz w:val="22"/>
          <w:lang w:val="es-CR"/>
        </w:rPr>
        <w:t>aprobaci</w:t>
      </w:r>
      <w:r w:rsidR="000F2A40">
        <w:rPr>
          <w:rFonts w:cs="Arial"/>
          <w:sz w:val="22"/>
          <w:lang w:val="es-CR"/>
        </w:rPr>
        <w:t>ó</w:t>
      </w:r>
      <w:r w:rsidR="000F2A40" w:rsidRPr="006F6345">
        <w:rPr>
          <w:rFonts w:cs="Arial"/>
          <w:sz w:val="22"/>
          <w:lang w:val="es-CR"/>
        </w:rPr>
        <w:t>n por parte del CONASSIF, para lo cual se har</w:t>
      </w:r>
      <w:r w:rsidR="000F2A40">
        <w:rPr>
          <w:rFonts w:cs="Arial"/>
          <w:sz w:val="22"/>
          <w:lang w:val="es-CR"/>
        </w:rPr>
        <w:t>á</w:t>
      </w:r>
      <w:r w:rsidR="000F2A40" w:rsidRPr="006F6345">
        <w:rPr>
          <w:rFonts w:cs="Arial"/>
          <w:sz w:val="22"/>
          <w:lang w:val="es-CR"/>
        </w:rPr>
        <w:t xml:space="preserve"> un estudio de </w:t>
      </w:r>
      <w:r w:rsidR="000F2A40">
        <w:rPr>
          <w:rFonts w:cs="Arial"/>
          <w:sz w:val="22"/>
          <w:lang w:val="es-CR"/>
        </w:rPr>
        <w:t>l</w:t>
      </w:r>
      <w:r w:rsidR="000F2A40" w:rsidRPr="006F6345">
        <w:rPr>
          <w:rFonts w:cs="Arial"/>
          <w:sz w:val="22"/>
          <w:lang w:val="es-CR"/>
        </w:rPr>
        <w:t>a</w:t>
      </w:r>
      <w:r w:rsidR="000F2A40">
        <w:rPr>
          <w:rFonts w:cs="Arial"/>
          <w:sz w:val="22"/>
          <w:lang w:val="es-CR"/>
        </w:rPr>
        <w:t xml:space="preserve"> </w:t>
      </w:r>
      <w:r w:rsidR="000F2A40" w:rsidRPr="006F6345">
        <w:rPr>
          <w:rFonts w:cs="Arial"/>
          <w:sz w:val="22"/>
          <w:lang w:val="es-CR"/>
        </w:rPr>
        <w:t>situaci</w:t>
      </w:r>
      <w:r w:rsidR="000F2A40">
        <w:rPr>
          <w:rFonts w:cs="Arial"/>
          <w:sz w:val="22"/>
          <w:lang w:val="es-CR"/>
        </w:rPr>
        <w:t>ó</w:t>
      </w:r>
      <w:r w:rsidR="000F2A40" w:rsidRPr="006F6345">
        <w:rPr>
          <w:rFonts w:cs="Arial"/>
          <w:sz w:val="22"/>
          <w:lang w:val="es-CR"/>
        </w:rPr>
        <w:t xml:space="preserve">n patrimonial del Banco a efectos de proponer </w:t>
      </w:r>
      <w:r w:rsidR="000F2A40">
        <w:rPr>
          <w:rFonts w:cs="Arial"/>
          <w:sz w:val="22"/>
          <w:lang w:val="es-CR"/>
        </w:rPr>
        <w:t>l</w:t>
      </w:r>
      <w:r w:rsidR="000F2A40" w:rsidRPr="006F6345">
        <w:rPr>
          <w:rFonts w:cs="Arial"/>
          <w:sz w:val="22"/>
          <w:lang w:val="es-CR"/>
        </w:rPr>
        <w:t>a capitalizaci</w:t>
      </w:r>
      <w:r w:rsidR="000F2A40">
        <w:rPr>
          <w:rFonts w:cs="Arial"/>
          <w:sz w:val="22"/>
          <w:lang w:val="es-CR"/>
        </w:rPr>
        <w:t>ó</w:t>
      </w:r>
      <w:r w:rsidR="000F2A40" w:rsidRPr="006F6345">
        <w:rPr>
          <w:rFonts w:cs="Arial"/>
          <w:sz w:val="22"/>
          <w:lang w:val="es-CR"/>
        </w:rPr>
        <w:t>n ante los</w:t>
      </w:r>
      <w:r w:rsidR="000F2A40">
        <w:rPr>
          <w:rFonts w:cs="Arial"/>
          <w:sz w:val="22"/>
          <w:lang w:val="es-CR"/>
        </w:rPr>
        <w:t xml:space="preserve"> ó</w:t>
      </w:r>
      <w:r w:rsidR="000F2A40" w:rsidRPr="006F6345">
        <w:rPr>
          <w:rFonts w:cs="Arial"/>
          <w:sz w:val="22"/>
          <w:lang w:val="es-CR"/>
        </w:rPr>
        <w:t>rganos competentes</w:t>
      </w:r>
      <w:r w:rsidR="000F2A40">
        <w:rPr>
          <w:rFonts w:cs="Arial"/>
          <w:sz w:val="22"/>
          <w:lang w:val="es-CR"/>
        </w:rPr>
        <w:t>”.</w:t>
      </w:r>
    </w:p>
    <w:p w14:paraId="4D29B6DE" w14:textId="77777777" w:rsidR="00D51D44" w:rsidRDefault="00D51D44" w:rsidP="00D51D44">
      <w:pPr>
        <w:spacing w:line="360" w:lineRule="auto"/>
        <w:jc w:val="both"/>
        <w:rPr>
          <w:rFonts w:cs="Arial"/>
          <w:sz w:val="22"/>
        </w:rPr>
      </w:pPr>
    </w:p>
    <w:p w14:paraId="54593D3C" w14:textId="789885ED" w:rsidR="00D51D44" w:rsidRDefault="00D51D44" w:rsidP="00D51D44">
      <w:pPr>
        <w:pStyle w:val="Textoindependiente"/>
        <w:tabs>
          <w:tab w:val="left" w:pos="8789"/>
        </w:tabs>
        <w:ind w:right="0"/>
        <w:rPr>
          <w:rFonts w:cs="Arial"/>
          <w:color w:val="000000"/>
          <w:szCs w:val="22"/>
          <w:lang w:val="es-ES_tradnl"/>
        </w:rPr>
      </w:pPr>
      <w:r w:rsidRPr="0039311E">
        <w:rPr>
          <w:rFonts w:cs="Arial"/>
          <w:u w:val="single"/>
          <w:lang w:val="es-ES_tradnl"/>
        </w:rPr>
        <w:t xml:space="preserve">Minuto </w:t>
      </w:r>
      <w:r w:rsidR="00D10E1D">
        <w:rPr>
          <w:rFonts w:cs="Arial"/>
          <w:u w:val="single"/>
          <w:lang w:val="es-ES_tradnl"/>
        </w:rPr>
        <w:t>207</w:t>
      </w:r>
      <w:r w:rsidRPr="0039311E">
        <w:rPr>
          <w:rFonts w:cs="Arial"/>
          <w:u w:val="single"/>
          <w:lang w:val="es-ES_tradnl"/>
        </w:rPr>
        <w:t>:</w:t>
      </w:r>
      <w:r w:rsidR="00D10E1D">
        <w:rPr>
          <w:rFonts w:cs="Arial"/>
          <w:u w:val="single"/>
          <w:lang w:val="es-ES_tradnl"/>
        </w:rPr>
        <w:t>1</w:t>
      </w:r>
      <w:r>
        <w:rPr>
          <w:rFonts w:cs="Arial"/>
          <w:u w:val="single"/>
          <w:lang w:val="es-ES_tradnl"/>
        </w:rPr>
        <w:t>0</w:t>
      </w:r>
      <w:r>
        <w:rPr>
          <w:rFonts w:cs="Arial"/>
          <w:lang w:val="es-ES_tradnl"/>
        </w:rPr>
        <w:t xml:space="preserve"> </w:t>
      </w:r>
      <w:r w:rsidR="00D10E1D">
        <w:rPr>
          <w:rFonts w:cs="Arial"/>
          <w:lang w:val="es-ES_tradnl"/>
        </w:rPr>
        <w:t xml:space="preserve">Conocido el informe del Departamento Financiero – Contable y </w:t>
      </w:r>
      <w:r>
        <w:rPr>
          <w:rFonts w:cs="Arial"/>
          <w:color w:val="000000"/>
          <w:szCs w:val="22"/>
        </w:rPr>
        <w:t>no habiendo</w:t>
      </w:r>
      <w:r w:rsidRPr="00C70745">
        <w:rPr>
          <w:lang w:val="es-ES_tradnl"/>
        </w:rPr>
        <w:t xml:space="preserve"> </w:t>
      </w:r>
      <w:r>
        <w:rPr>
          <w:lang w:val="es-ES_tradnl"/>
        </w:rPr>
        <w:t xml:space="preserve">objeciones de los </w:t>
      </w:r>
      <w:r w:rsidRPr="00C70745">
        <w:rPr>
          <w:lang w:val="es-ES_tradnl"/>
        </w:rPr>
        <w:t xml:space="preserve">señores Directores ni por parte de los funcionarios presentes, la Junta </w:t>
      </w:r>
      <w:r w:rsidRPr="00C70745">
        <w:rPr>
          <w:lang w:val="es-ES_tradnl"/>
        </w:rPr>
        <w:lastRenderedPageBreak/>
        <w:t xml:space="preserve">Directiva resuelve acoger la recomendación de la </w:t>
      </w:r>
      <w:r w:rsidRPr="00C70745">
        <w:rPr>
          <w:rFonts w:cs="Arial"/>
          <w:color w:val="000000"/>
          <w:szCs w:val="22"/>
          <w:lang w:val="es-ES_tradnl"/>
        </w:rPr>
        <w:t>Administración</w:t>
      </w:r>
      <w:r>
        <w:rPr>
          <w:rFonts w:cs="Arial"/>
          <w:color w:val="000000"/>
          <w:szCs w:val="22"/>
          <w:lang w:val="es-ES_tradnl"/>
        </w:rPr>
        <w:t xml:space="preserve"> y, en consecuencia, toma el </w:t>
      </w:r>
      <w:r w:rsidRPr="006640A2">
        <w:rPr>
          <w:rFonts w:cs="Arial"/>
          <w:b/>
          <w:color w:val="000000"/>
          <w:szCs w:val="22"/>
          <w:lang w:val="es-ES_tradnl"/>
        </w:rPr>
        <w:t xml:space="preserve">Acuerdo N° </w:t>
      </w:r>
      <w:r>
        <w:rPr>
          <w:rFonts w:cs="Arial"/>
          <w:b/>
          <w:color w:val="000000"/>
          <w:szCs w:val="22"/>
          <w:lang w:val="es-ES_tradnl"/>
        </w:rPr>
        <w:t>7</w:t>
      </w:r>
      <w:r>
        <w:rPr>
          <w:rFonts w:cs="Arial"/>
          <w:color w:val="000000"/>
          <w:szCs w:val="22"/>
          <w:lang w:val="es-ES_tradnl"/>
        </w:rPr>
        <w:t xml:space="preserve"> que se anexa a esta minuta.  Acto seguido, se retira de la sesión el licenciado Durán Rodríguez.</w:t>
      </w:r>
    </w:p>
    <w:p w14:paraId="181737AE" w14:textId="77777777" w:rsidR="003C4553" w:rsidRPr="00D14EAF" w:rsidRDefault="003C4553" w:rsidP="003C4553">
      <w:pPr>
        <w:spacing w:line="360" w:lineRule="auto"/>
        <w:jc w:val="both"/>
        <w:rPr>
          <w:rFonts w:cs="Arial"/>
          <w:b/>
          <w:sz w:val="22"/>
        </w:rPr>
      </w:pPr>
      <w:r w:rsidRPr="00D14EAF">
        <w:rPr>
          <w:rFonts w:cs="Arial"/>
          <w:b/>
          <w:sz w:val="22"/>
        </w:rPr>
        <w:t>************</w:t>
      </w:r>
    </w:p>
    <w:p w14:paraId="7E07C8B6" w14:textId="77777777" w:rsidR="009D03FE" w:rsidRDefault="009D03FE" w:rsidP="009D03FE">
      <w:pPr>
        <w:spacing w:line="360" w:lineRule="auto"/>
        <w:jc w:val="both"/>
        <w:rPr>
          <w:rFonts w:cs="Arial"/>
          <w:b/>
          <w:bCs/>
          <w:sz w:val="22"/>
          <w:szCs w:val="22"/>
          <w:u w:val="single"/>
          <w:lang w:val="es-ES_tradnl"/>
        </w:rPr>
      </w:pPr>
    </w:p>
    <w:p w14:paraId="0BABEBB3" w14:textId="6CC0AB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45505" w:rsidRPr="00F45505">
        <w:rPr>
          <w:rFonts w:cs="Arial"/>
          <w:b/>
          <w:bCs/>
          <w:sz w:val="22"/>
          <w:u w:val="single"/>
          <w:lang w:val="es-ES_tradnl"/>
        </w:rPr>
        <w:t>Recurso de apelación presentado por la empresa Bermúdez Méndez, contra el acto de adjudicación a favor de la empresa Van Der Leer, en la contratación de una empresa que realice un estudio de puestos</w:t>
      </w:r>
    </w:p>
    <w:p w14:paraId="5D7DF5FC" w14:textId="77777777" w:rsidR="009D03FE" w:rsidRDefault="009D03FE" w:rsidP="009D03FE">
      <w:pPr>
        <w:spacing w:line="360" w:lineRule="auto"/>
        <w:jc w:val="both"/>
        <w:rPr>
          <w:rFonts w:cs="Arial"/>
          <w:sz w:val="22"/>
          <w:szCs w:val="22"/>
        </w:rPr>
      </w:pPr>
    </w:p>
    <w:p w14:paraId="6045B7AA" w14:textId="0CD4ECA8" w:rsidR="00E5579F" w:rsidRDefault="009D03FE" w:rsidP="00C7144F">
      <w:pPr>
        <w:spacing w:line="360" w:lineRule="auto"/>
        <w:jc w:val="both"/>
        <w:rPr>
          <w:rFonts w:cs="Arial"/>
          <w:sz w:val="22"/>
          <w:szCs w:val="22"/>
          <w:lang w:val="es-CR"/>
        </w:rPr>
      </w:pPr>
      <w:r w:rsidRPr="0039311E">
        <w:rPr>
          <w:rFonts w:cs="Arial"/>
          <w:sz w:val="22"/>
          <w:u w:val="single"/>
          <w:lang w:val="es-ES_tradnl"/>
        </w:rPr>
        <w:t xml:space="preserve">Minuto </w:t>
      </w:r>
      <w:r w:rsidR="00C7144F">
        <w:rPr>
          <w:rFonts w:cs="Arial"/>
          <w:sz w:val="22"/>
          <w:u w:val="single"/>
          <w:lang w:val="es-ES_tradnl"/>
        </w:rPr>
        <w:t>207</w:t>
      </w:r>
      <w:r w:rsidRPr="0039311E">
        <w:rPr>
          <w:rFonts w:cs="Arial"/>
          <w:sz w:val="22"/>
          <w:u w:val="single"/>
          <w:lang w:val="es-ES_tradnl"/>
        </w:rPr>
        <w:t>:</w:t>
      </w:r>
      <w:r w:rsidR="00C7144F">
        <w:rPr>
          <w:rFonts w:cs="Arial"/>
          <w:sz w:val="22"/>
          <w:u w:val="single"/>
          <w:lang w:val="es-ES_tradnl"/>
        </w:rPr>
        <w:t>49</w:t>
      </w:r>
      <w:r>
        <w:rPr>
          <w:rFonts w:cs="Arial"/>
          <w:sz w:val="22"/>
          <w:lang w:val="es-ES_tradnl"/>
        </w:rPr>
        <w:t xml:space="preserve"> Se conoce el oficio </w:t>
      </w:r>
      <w:r w:rsidR="00C7144F">
        <w:rPr>
          <w:rFonts w:cs="Arial"/>
          <w:sz w:val="22"/>
          <w:lang w:val="es-ES_tradnl"/>
        </w:rPr>
        <w:t xml:space="preserve">GG-ME-1059-2022 del 25 de agosto de 2022, mediante el cual, la </w:t>
      </w:r>
      <w:r w:rsidR="00C7144F" w:rsidRPr="00C7144F">
        <w:rPr>
          <w:rFonts w:cs="Arial"/>
          <w:sz w:val="22"/>
          <w:szCs w:val="22"/>
          <w:lang w:val="es-CR"/>
        </w:rPr>
        <w:t>Gerencia General</w:t>
      </w:r>
      <w:r w:rsidR="00C7144F">
        <w:rPr>
          <w:rFonts w:cs="Arial"/>
          <w:sz w:val="22"/>
          <w:szCs w:val="22"/>
          <w:lang w:val="es-CR"/>
        </w:rPr>
        <w:t xml:space="preserve"> remite y avala el informe </w:t>
      </w:r>
      <w:r w:rsidR="00C7144F" w:rsidRPr="00C7144F">
        <w:rPr>
          <w:rFonts w:cs="Arial"/>
          <w:sz w:val="22"/>
          <w:szCs w:val="22"/>
          <w:lang w:val="es-CR"/>
        </w:rPr>
        <w:t xml:space="preserve">DAD-OF-252-2022 </w:t>
      </w:r>
      <w:r w:rsidR="00C7144F">
        <w:rPr>
          <w:rFonts w:cs="Arial"/>
          <w:sz w:val="22"/>
          <w:szCs w:val="22"/>
          <w:lang w:val="es-CR"/>
        </w:rPr>
        <w:t>de la</w:t>
      </w:r>
      <w:r w:rsidR="00C7144F" w:rsidRPr="00C7144F">
        <w:rPr>
          <w:rFonts w:cs="Arial"/>
          <w:sz w:val="22"/>
          <w:szCs w:val="22"/>
          <w:lang w:val="es-CR"/>
        </w:rPr>
        <w:t xml:space="preserve"> Direcci</w:t>
      </w:r>
      <w:r w:rsidR="00C7144F">
        <w:rPr>
          <w:rFonts w:cs="Arial"/>
          <w:sz w:val="22"/>
          <w:szCs w:val="22"/>
          <w:lang w:val="es-CR"/>
        </w:rPr>
        <w:t>ó</w:t>
      </w:r>
      <w:r w:rsidR="00C7144F" w:rsidRPr="00C7144F">
        <w:rPr>
          <w:rFonts w:cs="Arial"/>
          <w:sz w:val="22"/>
          <w:szCs w:val="22"/>
          <w:lang w:val="es-CR"/>
        </w:rPr>
        <w:t>n Administrativa,</w:t>
      </w:r>
      <w:r w:rsidR="00C7144F">
        <w:rPr>
          <w:rFonts w:cs="Arial"/>
          <w:sz w:val="22"/>
          <w:szCs w:val="22"/>
          <w:lang w:val="es-CR"/>
        </w:rPr>
        <w:t xml:space="preserve"> </w:t>
      </w:r>
      <w:r w:rsidR="00C7144F" w:rsidRPr="00C7144F">
        <w:rPr>
          <w:rFonts w:cs="Arial"/>
          <w:sz w:val="22"/>
          <w:szCs w:val="22"/>
          <w:lang w:val="es-CR"/>
        </w:rPr>
        <w:t xml:space="preserve">en el que presenta </w:t>
      </w:r>
      <w:r w:rsidR="00C7144F">
        <w:rPr>
          <w:rFonts w:cs="Arial"/>
          <w:sz w:val="22"/>
          <w:szCs w:val="22"/>
          <w:lang w:val="es-CR"/>
        </w:rPr>
        <w:t xml:space="preserve">los resultados y la </w:t>
      </w:r>
      <w:r w:rsidR="00C7144F" w:rsidRPr="00C7144F">
        <w:rPr>
          <w:rFonts w:cs="Arial"/>
          <w:sz w:val="22"/>
          <w:szCs w:val="22"/>
          <w:lang w:val="es-CR"/>
        </w:rPr>
        <w:t>recomendaci</w:t>
      </w:r>
      <w:r w:rsidR="00C7144F">
        <w:rPr>
          <w:rFonts w:cs="Arial"/>
          <w:sz w:val="22"/>
          <w:szCs w:val="22"/>
          <w:lang w:val="es-CR"/>
        </w:rPr>
        <w:t>ó</w:t>
      </w:r>
      <w:r w:rsidR="00C7144F" w:rsidRPr="00C7144F">
        <w:rPr>
          <w:rFonts w:cs="Arial"/>
          <w:sz w:val="22"/>
          <w:szCs w:val="22"/>
          <w:lang w:val="es-CR"/>
        </w:rPr>
        <w:t>n sobre recurso de</w:t>
      </w:r>
      <w:r w:rsidR="00C7144F">
        <w:rPr>
          <w:rFonts w:cs="Arial"/>
          <w:sz w:val="22"/>
          <w:szCs w:val="22"/>
          <w:lang w:val="es-CR"/>
        </w:rPr>
        <w:t xml:space="preserve"> </w:t>
      </w:r>
      <w:r w:rsidR="00C7144F" w:rsidRPr="00C7144F">
        <w:rPr>
          <w:rFonts w:cs="Arial"/>
          <w:sz w:val="22"/>
          <w:szCs w:val="22"/>
          <w:lang w:val="es-CR"/>
        </w:rPr>
        <w:t>apelaci</w:t>
      </w:r>
      <w:r w:rsidR="00C7144F">
        <w:rPr>
          <w:rFonts w:cs="Arial"/>
          <w:sz w:val="22"/>
          <w:szCs w:val="22"/>
          <w:lang w:val="es-CR"/>
        </w:rPr>
        <w:t xml:space="preserve">ón </w:t>
      </w:r>
      <w:r w:rsidR="00C7144F" w:rsidRPr="00C7144F">
        <w:rPr>
          <w:rFonts w:cs="Arial"/>
          <w:sz w:val="22"/>
          <w:szCs w:val="22"/>
          <w:lang w:val="es-CR"/>
        </w:rPr>
        <w:t xml:space="preserve">presentado por </w:t>
      </w:r>
      <w:r w:rsidR="00C7144F">
        <w:rPr>
          <w:rFonts w:cs="Arial"/>
          <w:sz w:val="22"/>
          <w:szCs w:val="22"/>
          <w:lang w:val="es-CR"/>
        </w:rPr>
        <w:t>l</w:t>
      </w:r>
      <w:r w:rsidR="00C7144F" w:rsidRPr="00C7144F">
        <w:rPr>
          <w:rFonts w:cs="Arial"/>
          <w:sz w:val="22"/>
          <w:szCs w:val="22"/>
          <w:lang w:val="es-CR"/>
        </w:rPr>
        <w:t>a empresa Bermudez Mendez &amp; Asociados contra el acto de</w:t>
      </w:r>
      <w:r w:rsidR="00C7144F">
        <w:rPr>
          <w:rFonts w:cs="Arial"/>
          <w:sz w:val="22"/>
          <w:szCs w:val="22"/>
          <w:lang w:val="es-CR"/>
        </w:rPr>
        <w:t xml:space="preserve"> </w:t>
      </w:r>
      <w:r w:rsidR="00C7144F" w:rsidRPr="00C7144F">
        <w:rPr>
          <w:rFonts w:cs="Arial"/>
          <w:sz w:val="22"/>
          <w:szCs w:val="22"/>
          <w:lang w:val="es-CR"/>
        </w:rPr>
        <w:t>adjudicaci</w:t>
      </w:r>
      <w:r w:rsidR="00C7144F">
        <w:rPr>
          <w:rFonts w:cs="Arial"/>
          <w:sz w:val="22"/>
          <w:szCs w:val="22"/>
          <w:lang w:val="es-CR"/>
        </w:rPr>
        <w:t>ó</w:t>
      </w:r>
      <w:r w:rsidR="00C7144F" w:rsidRPr="00C7144F">
        <w:rPr>
          <w:rFonts w:cs="Arial"/>
          <w:sz w:val="22"/>
          <w:szCs w:val="22"/>
          <w:lang w:val="es-CR"/>
        </w:rPr>
        <w:t xml:space="preserve">n a favor de </w:t>
      </w:r>
      <w:r w:rsidR="00C7144F">
        <w:rPr>
          <w:rFonts w:cs="Arial"/>
          <w:sz w:val="22"/>
          <w:szCs w:val="22"/>
          <w:lang w:val="es-CR"/>
        </w:rPr>
        <w:t>l</w:t>
      </w:r>
      <w:r w:rsidR="00C7144F" w:rsidRPr="00C7144F">
        <w:rPr>
          <w:rFonts w:cs="Arial"/>
          <w:sz w:val="22"/>
          <w:szCs w:val="22"/>
          <w:lang w:val="es-CR"/>
        </w:rPr>
        <w:t xml:space="preserve">a empresa Van </w:t>
      </w:r>
      <w:proofErr w:type="spellStart"/>
      <w:r w:rsidR="00C7144F" w:rsidRPr="00C7144F">
        <w:rPr>
          <w:rFonts w:cs="Arial"/>
          <w:sz w:val="22"/>
          <w:szCs w:val="22"/>
          <w:lang w:val="es-CR"/>
        </w:rPr>
        <w:t>der</w:t>
      </w:r>
      <w:proofErr w:type="spellEnd"/>
      <w:r w:rsidR="00C7144F" w:rsidRPr="00C7144F">
        <w:rPr>
          <w:rFonts w:cs="Arial"/>
          <w:sz w:val="22"/>
          <w:szCs w:val="22"/>
          <w:lang w:val="es-CR"/>
        </w:rPr>
        <w:t xml:space="preserve"> Leer S.A., dentro del proceso de contrataci</w:t>
      </w:r>
      <w:r w:rsidR="00C7144F">
        <w:rPr>
          <w:rFonts w:cs="Arial"/>
          <w:sz w:val="22"/>
          <w:szCs w:val="22"/>
          <w:lang w:val="es-CR"/>
        </w:rPr>
        <w:t>ó</w:t>
      </w:r>
      <w:r w:rsidR="00C7144F" w:rsidRPr="00C7144F">
        <w:rPr>
          <w:rFonts w:cs="Arial"/>
          <w:sz w:val="22"/>
          <w:szCs w:val="22"/>
          <w:lang w:val="es-CR"/>
        </w:rPr>
        <w:t>n</w:t>
      </w:r>
      <w:r w:rsidR="00C7144F">
        <w:rPr>
          <w:rFonts w:cs="Arial"/>
          <w:sz w:val="22"/>
          <w:szCs w:val="22"/>
          <w:lang w:val="es-CR"/>
        </w:rPr>
        <w:t xml:space="preserve"> </w:t>
      </w:r>
      <w:r w:rsidR="00C7144F" w:rsidRPr="00C7144F">
        <w:rPr>
          <w:rFonts w:cs="Arial"/>
          <w:sz w:val="22"/>
          <w:szCs w:val="22"/>
          <w:lang w:val="es-CR"/>
        </w:rPr>
        <w:t>directa 2022CD-000009-0016400001</w:t>
      </w:r>
      <w:r w:rsidR="00C7144F">
        <w:rPr>
          <w:rFonts w:cs="Arial"/>
          <w:sz w:val="22"/>
          <w:szCs w:val="22"/>
          <w:lang w:val="es-CR"/>
        </w:rPr>
        <w:t>, dirigida a l</w:t>
      </w:r>
      <w:r w:rsidR="00C7144F" w:rsidRPr="00C7144F">
        <w:rPr>
          <w:rFonts w:cs="Arial"/>
          <w:sz w:val="22"/>
          <w:szCs w:val="22"/>
          <w:lang w:val="es-CR"/>
        </w:rPr>
        <w:t>a “Contrataci</w:t>
      </w:r>
      <w:r w:rsidR="00C7144F">
        <w:rPr>
          <w:rFonts w:cs="Arial"/>
          <w:sz w:val="22"/>
          <w:szCs w:val="22"/>
          <w:lang w:val="es-CR"/>
        </w:rPr>
        <w:t>ó</w:t>
      </w:r>
      <w:r w:rsidR="00C7144F" w:rsidRPr="00C7144F">
        <w:rPr>
          <w:rFonts w:cs="Arial"/>
          <w:sz w:val="22"/>
          <w:szCs w:val="22"/>
          <w:lang w:val="es-CR"/>
        </w:rPr>
        <w:t xml:space="preserve">n de una empresa que realice </w:t>
      </w:r>
      <w:r w:rsidR="00C7144F">
        <w:rPr>
          <w:rFonts w:cs="Arial"/>
          <w:sz w:val="22"/>
          <w:szCs w:val="22"/>
          <w:lang w:val="es-CR"/>
        </w:rPr>
        <w:t>u</w:t>
      </w:r>
      <w:r w:rsidR="00C7144F" w:rsidRPr="00C7144F">
        <w:rPr>
          <w:rFonts w:cs="Arial"/>
          <w:sz w:val="22"/>
          <w:szCs w:val="22"/>
          <w:lang w:val="es-CR"/>
        </w:rPr>
        <w:t>n</w:t>
      </w:r>
      <w:r w:rsidR="00C7144F">
        <w:rPr>
          <w:rFonts w:cs="Arial"/>
          <w:sz w:val="22"/>
          <w:szCs w:val="22"/>
          <w:lang w:val="es-CR"/>
        </w:rPr>
        <w:t xml:space="preserve"> </w:t>
      </w:r>
      <w:r w:rsidR="00C7144F" w:rsidRPr="00C7144F">
        <w:rPr>
          <w:rFonts w:cs="Arial"/>
          <w:sz w:val="22"/>
          <w:szCs w:val="22"/>
          <w:lang w:val="es-CR"/>
        </w:rPr>
        <w:t>estud</w:t>
      </w:r>
      <w:r w:rsidR="00C7144F">
        <w:rPr>
          <w:rFonts w:cs="Arial"/>
          <w:sz w:val="22"/>
          <w:szCs w:val="22"/>
          <w:lang w:val="es-CR"/>
        </w:rPr>
        <w:t>i</w:t>
      </w:r>
      <w:r w:rsidR="00C7144F" w:rsidRPr="00C7144F">
        <w:rPr>
          <w:rFonts w:cs="Arial"/>
          <w:sz w:val="22"/>
          <w:szCs w:val="22"/>
          <w:lang w:val="es-CR"/>
        </w:rPr>
        <w:t>o de puestos en el BANHV</w:t>
      </w:r>
      <w:r w:rsidR="00C7144F">
        <w:rPr>
          <w:rFonts w:cs="Arial"/>
          <w:sz w:val="22"/>
          <w:szCs w:val="22"/>
          <w:lang w:val="es-CR"/>
        </w:rPr>
        <w:t>I</w:t>
      </w:r>
      <w:r w:rsidR="009541DF">
        <w:rPr>
          <w:rFonts w:cs="Arial"/>
          <w:sz w:val="22"/>
          <w:szCs w:val="22"/>
          <w:lang w:val="es-CR"/>
        </w:rPr>
        <w:t>”.  Dichos documentos se adjuntan al expediente del acta.</w:t>
      </w:r>
    </w:p>
    <w:p w14:paraId="5F87AC3E" w14:textId="72E79DBD" w:rsidR="009541DF" w:rsidRDefault="009541DF" w:rsidP="00C7144F">
      <w:pPr>
        <w:spacing w:line="360" w:lineRule="auto"/>
        <w:jc w:val="both"/>
        <w:rPr>
          <w:rFonts w:cs="Arial"/>
          <w:sz w:val="22"/>
          <w:szCs w:val="22"/>
          <w:lang w:val="es-CR"/>
        </w:rPr>
      </w:pPr>
    </w:p>
    <w:p w14:paraId="710A0F2A" w14:textId="76B7D8A5" w:rsidR="009541DF" w:rsidRPr="009541DF" w:rsidRDefault="009541DF" w:rsidP="00C7144F">
      <w:pPr>
        <w:spacing w:line="360" w:lineRule="auto"/>
        <w:jc w:val="both"/>
        <w:rPr>
          <w:rFonts w:cs="Arial"/>
          <w:sz w:val="22"/>
          <w:szCs w:val="22"/>
          <w:lang w:val="es-ES_tradnl"/>
        </w:rPr>
      </w:pPr>
      <w:r>
        <w:rPr>
          <w:rFonts w:cs="Arial"/>
          <w:sz w:val="22"/>
          <w:szCs w:val="22"/>
          <w:lang w:val="es-CR"/>
        </w:rPr>
        <w:t xml:space="preserve">Para exponer el contenido del citado informe y atender eventuales consultas sobre el tema, se incorpora a la sesión la licenciada Margoth Campos Barrantes, Directora </w:t>
      </w:r>
      <w:r w:rsidRPr="009541DF">
        <w:rPr>
          <w:rFonts w:cs="Arial"/>
          <w:sz w:val="22"/>
          <w:szCs w:val="22"/>
          <w:lang w:val="es-ES_tradnl"/>
        </w:rPr>
        <w:t>Administra</w:t>
      </w:r>
      <w:r>
        <w:rPr>
          <w:rFonts w:cs="Arial"/>
          <w:sz w:val="22"/>
          <w:szCs w:val="22"/>
          <w:lang w:val="es-ES_tradnl"/>
        </w:rPr>
        <w:t>tiva, quien, en resumen, concluye que a</w:t>
      </w:r>
      <w:r w:rsidRPr="00CF355A">
        <w:rPr>
          <w:rFonts w:cs="Arial"/>
          <w:sz w:val="22"/>
          <w:szCs w:val="22"/>
        </w:rPr>
        <w:t xml:space="preserve"> partir del análisis realizado a las dos ofertas admisibles, al estudio del recurso presentado por la empresa Bermúdez Méndez &amp; Asociados, así como a la contestación a la audiencia por parte del adjudicatario, se recomienda revocar el acto de adjudicación a favor de la empresa Van </w:t>
      </w:r>
      <w:proofErr w:type="spellStart"/>
      <w:r w:rsidRPr="00CF355A">
        <w:rPr>
          <w:rFonts w:cs="Arial"/>
          <w:sz w:val="22"/>
          <w:szCs w:val="22"/>
        </w:rPr>
        <w:t>der</w:t>
      </w:r>
      <w:proofErr w:type="spellEnd"/>
      <w:r w:rsidRPr="00CF355A">
        <w:rPr>
          <w:rFonts w:cs="Arial"/>
          <w:sz w:val="22"/>
          <w:szCs w:val="22"/>
        </w:rPr>
        <w:t xml:space="preserve"> Leer S.A y en su lugar </w:t>
      </w:r>
      <w:proofErr w:type="spellStart"/>
      <w:r w:rsidRPr="00CF355A">
        <w:rPr>
          <w:rFonts w:cs="Arial"/>
          <w:sz w:val="22"/>
          <w:szCs w:val="22"/>
        </w:rPr>
        <w:t>readjudicar</w:t>
      </w:r>
      <w:proofErr w:type="spellEnd"/>
      <w:r w:rsidRPr="00CF355A">
        <w:rPr>
          <w:rFonts w:cs="Arial"/>
          <w:sz w:val="22"/>
          <w:szCs w:val="22"/>
        </w:rPr>
        <w:t xml:space="preserve"> a favor de la empresa Bermúdez Méndez &amp; Asociados</w:t>
      </w:r>
      <w:r w:rsidR="009A05AA">
        <w:rPr>
          <w:rFonts w:cs="Arial"/>
          <w:sz w:val="22"/>
          <w:szCs w:val="22"/>
        </w:rPr>
        <w:t>.</w:t>
      </w:r>
    </w:p>
    <w:p w14:paraId="295BD34F" w14:textId="42C640FC" w:rsidR="009541DF" w:rsidRDefault="009541DF" w:rsidP="00C7144F">
      <w:pPr>
        <w:spacing w:line="360" w:lineRule="auto"/>
        <w:jc w:val="both"/>
        <w:rPr>
          <w:rFonts w:cs="Arial"/>
          <w:sz w:val="22"/>
          <w:szCs w:val="22"/>
          <w:lang w:val="es-ES_tradnl"/>
        </w:rPr>
      </w:pPr>
    </w:p>
    <w:p w14:paraId="5114E2A3" w14:textId="46E84B27" w:rsidR="009A05AA" w:rsidRDefault="009A05AA" w:rsidP="009A05A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217</w:t>
      </w:r>
      <w:r w:rsidRPr="00A25DB7">
        <w:rPr>
          <w:rFonts w:cs="Arial"/>
          <w:sz w:val="22"/>
          <w:u w:val="single"/>
          <w:lang w:val="es-ES_tradnl"/>
        </w:rPr>
        <w:t>:</w:t>
      </w:r>
      <w:r>
        <w:rPr>
          <w:rFonts w:cs="Arial"/>
          <w:sz w:val="22"/>
          <w:u w:val="single"/>
          <w:lang w:val="es-ES_tradnl"/>
        </w:rPr>
        <w:t>29</w:t>
      </w:r>
      <w:r>
        <w:rPr>
          <w:rFonts w:cs="Arial"/>
          <w:sz w:val="22"/>
          <w:lang w:val="es-ES_tradnl"/>
        </w:rPr>
        <w:t xml:space="preserve"> La licenciada Campos Barrantes atiende varias consultas y observaciones de los señores Directores sobre lo expuesto en el informe de la Dirección </w:t>
      </w:r>
      <w:r w:rsidRPr="009A05AA">
        <w:rPr>
          <w:rFonts w:cs="Arial"/>
          <w:sz w:val="22"/>
          <w:szCs w:val="22"/>
          <w:lang w:val="es-ES_tradnl"/>
        </w:rPr>
        <w:t>Administra</w:t>
      </w:r>
      <w:r>
        <w:rPr>
          <w:rFonts w:cs="Arial"/>
          <w:sz w:val="22"/>
          <w:szCs w:val="22"/>
          <w:lang w:val="es-ES_tradnl"/>
        </w:rPr>
        <w:t xml:space="preserve">tiva, y particularmente sobre el proceso que esa Dirección realiza para elaborar los carteles y resolver las contrataciones, </w:t>
      </w:r>
      <w:r w:rsidR="005B5E6D">
        <w:rPr>
          <w:rFonts w:cs="Arial"/>
          <w:sz w:val="22"/>
          <w:szCs w:val="22"/>
          <w:lang w:val="es-ES_tradnl"/>
        </w:rPr>
        <w:t>así como con respecto a las medidas administrativas y disciplinarias que se han tomado para evitar que no se repitan errores como el que se cometió en este caso.</w:t>
      </w:r>
    </w:p>
    <w:p w14:paraId="4AB7E1BB" w14:textId="0B5BA924" w:rsidR="009541DF" w:rsidRPr="000D3F91" w:rsidRDefault="009541DF" w:rsidP="00C7144F">
      <w:pPr>
        <w:spacing w:line="360" w:lineRule="auto"/>
        <w:jc w:val="both"/>
        <w:rPr>
          <w:rFonts w:cs="Arial"/>
          <w:sz w:val="22"/>
          <w:szCs w:val="22"/>
          <w:lang w:val="es-ES_tradnl"/>
        </w:rPr>
      </w:pPr>
    </w:p>
    <w:p w14:paraId="0B383A04" w14:textId="3678F26E" w:rsidR="000D3F91" w:rsidRPr="000D3F91" w:rsidRDefault="00E152C7" w:rsidP="000D3F91">
      <w:pPr>
        <w:spacing w:line="360" w:lineRule="auto"/>
        <w:jc w:val="both"/>
        <w:rPr>
          <w:rFonts w:cs="Arial"/>
          <w:color w:val="000000"/>
          <w:sz w:val="22"/>
          <w:szCs w:val="22"/>
          <w:lang w:val="es-ES_tradnl"/>
        </w:rPr>
      </w:pPr>
      <w:r w:rsidRPr="000D3F91">
        <w:rPr>
          <w:rFonts w:cs="Arial"/>
          <w:sz w:val="22"/>
          <w:szCs w:val="22"/>
          <w:u w:val="single"/>
          <w:lang w:val="es-ES_tradnl"/>
        </w:rPr>
        <w:lastRenderedPageBreak/>
        <w:t>Minuto 2</w:t>
      </w:r>
      <w:r w:rsidR="000D3F91" w:rsidRPr="000D3F91">
        <w:rPr>
          <w:rFonts w:cs="Arial"/>
          <w:sz w:val="22"/>
          <w:szCs w:val="22"/>
          <w:u w:val="single"/>
          <w:lang w:val="es-ES_tradnl"/>
        </w:rPr>
        <w:t>3</w:t>
      </w:r>
      <w:r w:rsidRPr="000D3F91">
        <w:rPr>
          <w:rFonts w:cs="Arial"/>
          <w:sz w:val="22"/>
          <w:szCs w:val="22"/>
          <w:u w:val="single"/>
          <w:lang w:val="es-ES_tradnl"/>
        </w:rPr>
        <w:t>7:</w:t>
      </w:r>
      <w:r w:rsidR="000D3F91" w:rsidRPr="000D3F91">
        <w:rPr>
          <w:rFonts w:cs="Arial"/>
          <w:sz w:val="22"/>
          <w:szCs w:val="22"/>
          <w:u w:val="single"/>
          <w:lang w:val="es-ES_tradnl"/>
        </w:rPr>
        <w:t>4</w:t>
      </w:r>
      <w:r w:rsidRPr="000D3F91">
        <w:rPr>
          <w:rFonts w:cs="Arial"/>
          <w:sz w:val="22"/>
          <w:szCs w:val="22"/>
          <w:u w:val="single"/>
          <w:lang w:val="es-ES_tradnl"/>
        </w:rPr>
        <w:t>9</w:t>
      </w:r>
      <w:r w:rsidR="000D3F91" w:rsidRPr="000D3F91">
        <w:rPr>
          <w:rFonts w:cs="Arial"/>
          <w:sz w:val="22"/>
          <w:szCs w:val="22"/>
          <w:lang w:val="es-ES_tradnl"/>
        </w:rPr>
        <w:t xml:space="preserve"> Conocido el informe de</w:t>
      </w:r>
      <w:r w:rsidR="000D3F91">
        <w:rPr>
          <w:rFonts w:cs="Arial"/>
          <w:sz w:val="22"/>
          <w:szCs w:val="22"/>
          <w:lang w:val="es-ES_tradnl"/>
        </w:rPr>
        <w:t xml:space="preserve"> la Dirección Administrativa</w:t>
      </w:r>
      <w:r w:rsidR="000D3F91" w:rsidRPr="000D3F91">
        <w:rPr>
          <w:rFonts w:cs="Arial"/>
          <w:sz w:val="22"/>
          <w:szCs w:val="22"/>
          <w:lang w:val="es-ES_tradnl"/>
        </w:rPr>
        <w:t xml:space="preserve"> y </w:t>
      </w:r>
      <w:r w:rsidR="000D3F91" w:rsidRPr="000D3F91">
        <w:rPr>
          <w:rFonts w:cs="Arial"/>
          <w:color w:val="000000"/>
          <w:sz w:val="22"/>
          <w:szCs w:val="22"/>
        </w:rPr>
        <w:t>no habiendo</w:t>
      </w:r>
      <w:r w:rsidR="000D3F91" w:rsidRPr="000D3F91">
        <w:rPr>
          <w:sz w:val="22"/>
          <w:szCs w:val="22"/>
          <w:lang w:val="es-ES_tradnl"/>
        </w:rPr>
        <w:t xml:space="preserve"> objeciones de los señores Directores ni por parte de los funcionarios presentes, la Junta Directiva resuelve acoger la recomendación de la </w:t>
      </w:r>
      <w:r w:rsidR="000D3F91" w:rsidRPr="000D3F91">
        <w:rPr>
          <w:rFonts w:cs="Arial"/>
          <w:color w:val="000000"/>
          <w:sz w:val="22"/>
          <w:szCs w:val="22"/>
          <w:lang w:val="es-ES_tradnl"/>
        </w:rPr>
        <w:t xml:space="preserve">Administración y, en consecuencia, toma el </w:t>
      </w:r>
      <w:r w:rsidR="000D3F91" w:rsidRPr="000D3F91">
        <w:rPr>
          <w:rFonts w:cs="Arial"/>
          <w:b/>
          <w:color w:val="000000"/>
          <w:sz w:val="22"/>
          <w:szCs w:val="22"/>
          <w:lang w:val="es-ES_tradnl"/>
        </w:rPr>
        <w:t xml:space="preserve">Acuerdo N° </w:t>
      </w:r>
      <w:r w:rsidR="000D3F91">
        <w:rPr>
          <w:rFonts w:cs="Arial"/>
          <w:b/>
          <w:color w:val="000000"/>
          <w:sz w:val="22"/>
          <w:szCs w:val="22"/>
          <w:lang w:val="es-ES_tradnl"/>
        </w:rPr>
        <w:t>8</w:t>
      </w:r>
      <w:r w:rsidR="000D3F91" w:rsidRPr="000D3F91">
        <w:rPr>
          <w:rFonts w:cs="Arial"/>
          <w:color w:val="000000"/>
          <w:sz w:val="22"/>
          <w:szCs w:val="22"/>
          <w:lang w:val="es-ES_tradnl"/>
        </w:rPr>
        <w:t xml:space="preserve"> que se anexa a esta minuta.  Acto seguido, se retira de la sesión </w:t>
      </w:r>
      <w:r w:rsidR="000D3F91">
        <w:rPr>
          <w:rFonts w:cs="Arial"/>
          <w:color w:val="000000"/>
          <w:sz w:val="22"/>
          <w:szCs w:val="22"/>
          <w:lang w:val="es-ES_tradnl"/>
        </w:rPr>
        <w:t>la licenciada Campos Barrantes.</w:t>
      </w:r>
    </w:p>
    <w:p w14:paraId="4C8B6E13" w14:textId="77777777" w:rsidR="009D03FE" w:rsidRPr="00D14EAF" w:rsidRDefault="009D03FE" w:rsidP="009D03FE">
      <w:pPr>
        <w:spacing w:line="360" w:lineRule="auto"/>
        <w:jc w:val="both"/>
        <w:rPr>
          <w:rFonts w:cs="Arial"/>
          <w:b/>
          <w:sz w:val="22"/>
        </w:rPr>
      </w:pPr>
      <w:r w:rsidRPr="00D14EAF">
        <w:rPr>
          <w:rFonts w:cs="Arial"/>
          <w:b/>
          <w:sz w:val="22"/>
        </w:rPr>
        <w:t>************</w:t>
      </w:r>
    </w:p>
    <w:p w14:paraId="1C0AB542" w14:textId="77777777" w:rsidR="009D03FE" w:rsidRDefault="009D03FE" w:rsidP="009D03FE">
      <w:pPr>
        <w:spacing w:line="360" w:lineRule="auto"/>
        <w:jc w:val="both"/>
        <w:rPr>
          <w:rFonts w:cs="Arial"/>
          <w:b/>
          <w:bCs/>
          <w:sz w:val="22"/>
          <w:szCs w:val="22"/>
          <w:u w:val="single"/>
          <w:lang w:val="es-ES_tradnl"/>
        </w:rPr>
      </w:pPr>
    </w:p>
    <w:p w14:paraId="61D85D19" w14:textId="69428E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45505" w:rsidRPr="00F45505">
        <w:rPr>
          <w:rFonts w:cs="Arial"/>
          <w:b/>
          <w:bCs/>
          <w:sz w:val="22"/>
          <w:u w:val="single"/>
          <w:lang w:val="es-ES_tradnl"/>
        </w:rPr>
        <w:t>Criterio sobre el texto base del proyecto de ley “</w:t>
      </w:r>
      <w:r w:rsidR="00F45505" w:rsidRPr="00F45505">
        <w:rPr>
          <w:rFonts w:cs="Arial"/>
          <w:b/>
          <w:bCs/>
          <w:i/>
          <w:iCs/>
          <w:sz w:val="22"/>
          <w:u w:val="single"/>
          <w:lang w:val="es-ES_tradnl"/>
        </w:rPr>
        <w:t>Adición de un inciso f) al artículo 72 de la Ley No. 7052 Ley del Sistema Financiero Nacional para la Vivienda del 13 de noviembre de 1986. Ley para adicionar a la Caja de Ahorro y Préstamos de la Asociación Nacional de Educadores (Caja de Ande) como Entidad Autorizada del Sistema Financiero Nacional para la Vivienda</w:t>
      </w:r>
      <w:r w:rsidR="00F45505" w:rsidRPr="00F45505">
        <w:rPr>
          <w:rFonts w:cs="Arial"/>
          <w:b/>
          <w:bCs/>
          <w:sz w:val="22"/>
          <w:u w:val="single"/>
          <w:lang w:val="es-ES_tradnl"/>
        </w:rPr>
        <w:t>”, Expediente Legislativo No. 22.638</w:t>
      </w:r>
    </w:p>
    <w:p w14:paraId="447863CB" w14:textId="77777777" w:rsidR="009D03FE" w:rsidRDefault="009D03FE" w:rsidP="009D03FE">
      <w:pPr>
        <w:spacing w:line="360" w:lineRule="auto"/>
        <w:jc w:val="both"/>
        <w:rPr>
          <w:rFonts w:cs="Arial"/>
          <w:sz w:val="22"/>
          <w:szCs w:val="22"/>
        </w:rPr>
      </w:pPr>
    </w:p>
    <w:p w14:paraId="144DDAD5" w14:textId="06790715" w:rsidR="00535FCA" w:rsidRDefault="00037ED4" w:rsidP="00037ED4">
      <w:pPr>
        <w:spacing w:line="360" w:lineRule="auto"/>
        <w:jc w:val="both"/>
        <w:rPr>
          <w:rFonts w:cs="Arial"/>
          <w:sz w:val="22"/>
          <w:szCs w:val="22"/>
          <w:lang w:val="es-CR"/>
        </w:rPr>
      </w:pPr>
      <w:r w:rsidRPr="0039311E">
        <w:rPr>
          <w:rFonts w:cs="Arial"/>
          <w:sz w:val="22"/>
          <w:u w:val="single"/>
          <w:lang w:val="es-ES_tradnl"/>
        </w:rPr>
        <w:t xml:space="preserve">Minuto </w:t>
      </w:r>
      <w:r w:rsidR="00961404">
        <w:rPr>
          <w:rFonts w:cs="Arial"/>
          <w:sz w:val="22"/>
          <w:u w:val="single"/>
          <w:lang w:val="es-ES_tradnl"/>
        </w:rPr>
        <w:t>240</w:t>
      </w:r>
      <w:r w:rsidRPr="0039311E">
        <w:rPr>
          <w:rFonts w:cs="Arial"/>
          <w:sz w:val="22"/>
          <w:u w:val="single"/>
          <w:lang w:val="es-ES_tradnl"/>
        </w:rPr>
        <w:t>:</w:t>
      </w:r>
      <w:r w:rsidR="00961404">
        <w:rPr>
          <w:rFonts w:cs="Arial"/>
          <w:sz w:val="22"/>
          <w:u w:val="single"/>
          <w:lang w:val="es-ES_tradnl"/>
        </w:rPr>
        <w:t>56</w:t>
      </w:r>
      <w:r>
        <w:rPr>
          <w:rFonts w:cs="Arial"/>
          <w:sz w:val="22"/>
          <w:lang w:val="es-ES_tradnl"/>
        </w:rPr>
        <w:t xml:space="preserve"> Se conoce el oficio </w:t>
      </w:r>
      <w:r w:rsidRPr="00D574AE">
        <w:rPr>
          <w:rFonts w:cs="Arial"/>
          <w:sz w:val="22"/>
          <w:szCs w:val="22"/>
        </w:rPr>
        <w:t>GG-ME-</w:t>
      </w:r>
      <w:r>
        <w:rPr>
          <w:rFonts w:cs="Arial"/>
          <w:sz w:val="22"/>
          <w:szCs w:val="22"/>
        </w:rPr>
        <w:t>1</w:t>
      </w:r>
      <w:r w:rsidR="00E152C7">
        <w:rPr>
          <w:rFonts w:cs="Arial"/>
          <w:sz w:val="22"/>
          <w:szCs w:val="22"/>
        </w:rPr>
        <w:t>064</w:t>
      </w:r>
      <w:r>
        <w:rPr>
          <w:rFonts w:cs="Arial"/>
          <w:sz w:val="22"/>
          <w:szCs w:val="22"/>
        </w:rPr>
        <w:t>-2</w:t>
      </w:r>
      <w:r w:rsidRPr="00D574AE">
        <w:rPr>
          <w:rFonts w:cs="Arial"/>
          <w:sz w:val="22"/>
          <w:szCs w:val="22"/>
        </w:rPr>
        <w:t>0</w:t>
      </w:r>
      <w:r>
        <w:rPr>
          <w:rFonts w:cs="Arial"/>
          <w:sz w:val="22"/>
          <w:szCs w:val="22"/>
        </w:rPr>
        <w:t>2</w:t>
      </w:r>
      <w:r w:rsidR="00E152C7">
        <w:rPr>
          <w:rFonts w:cs="Arial"/>
          <w:sz w:val="22"/>
          <w:szCs w:val="22"/>
        </w:rPr>
        <w:t>2</w:t>
      </w:r>
      <w:r w:rsidRPr="00D574AE">
        <w:rPr>
          <w:rFonts w:cs="Arial"/>
          <w:sz w:val="22"/>
          <w:szCs w:val="22"/>
        </w:rPr>
        <w:t xml:space="preserve"> del </w:t>
      </w:r>
      <w:r w:rsidR="00E152C7">
        <w:rPr>
          <w:rFonts w:cs="Arial"/>
          <w:sz w:val="22"/>
          <w:szCs w:val="22"/>
        </w:rPr>
        <w:t>25 de agosto</w:t>
      </w:r>
      <w:r w:rsidRPr="00D574AE">
        <w:rPr>
          <w:rFonts w:cs="Arial"/>
          <w:sz w:val="22"/>
          <w:szCs w:val="22"/>
        </w:rPr>
        <w:t xml:space="preserve"> de 20</w:t>
      </w:r>
      <w:r>
        <w:rPr>
          <w:rFonts w:cs="Arial"/>
          <w:sz w:val="22"/>
          <w:szCs w:val="22"/>
        </w:rPr>
        <w:t>2</w:t>
      </w:r>
      <w:r w:rsidR="00E152C7">
        <w:rPr>
          <w:rFonts w:cs="Arial"/>
          <w:sz w:val="22"/>
          <w:szCs w:val="22"/>
        </w:rPr>
        <w:t>2</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E152C7" w:rsidRPr="00535FCA">
        <w:rPr>
          <w:rFonts w:cs="Arial"/>
          <w:sz w:val="22"/>
          <w:lang w:val="es-ES_tradnl"/>
        </w:rPr>
        <w:t>“</w:t>
      </w:r>
      <w:r w:rsidR="00E152C7" w:rsidRPr="00535FCA">
        <w:rPr>
          <w:rFonts w:cs="Arial"/>
          <w:i/>
          <w:iCs/>
          <w:sz w:val="22"/>
          <w:lang w:val="es-ES_tradnl"/>
        </w:rPr>
        <w:t>Adición de un inciso f) al artículo 72 de la Ley No. 7052 Ley del Sistema Financiero Nacional para la Vivienda del 13 de noviembre de 1986. Ley para adicionar a la Caja de Ahorro y Préstamos de la Asociación Nacional de Educadores (Caja de Ande) como Entidad Autorizada del Sistema Financiero Nacional para la Vivienda</w:t>
      </w:r>
      <w:r w:rsidR="00E152C7" w:rsidRPr="00535FCA">
        <w:rPr>
          <w:rFonts w:cs="Arial"/>
          <w:sz w:val="22"/>
          <w:lang w:val="es-ES_tradnl"/>
        </w:rPr>
        <w:t xml:space="preserve">”, </w:t>
      </w:r>
      <w:r w:rsidR="00E152C7" w:rsidRPr="00A94723">
        <w:rPr>
          <w:rFonts w:cs="Arial"/>
          <w:sz w:val="22"/>
          <w:szCs w:val="22"/>
          <w:lang w:val="es-CR"/>
        </w:rPr>
        <w:t>tramitado mediante el expediente legislativo No. 2</w:t>
      </w:r>
      <w:r w:rsidR="00E152C7">
        <w:rPr>
          <w:rFonts w:cs="Arial"/>
          <w:sz w:val="22"/>
          <w:szCs w:val="22"/>
          <w:lang w:val="es-CR"/>
        </w:rPr>
        <w:t>2</w:t>
      </w:r>
      <w:r w:rsidR="00E152C7" w:rsidRPr="00A94723">
        <w:rPr>
          <w:rFonts w:cs="Arial"/>
          <w:sz w:val="22"/>
          <w:szCs w:val="22"/>
          <w:lang w:val="es-CR"/>
        </w:rPr>
        <w:t>.</w:t>
      </w:r>
      <w:r w:rsidR="00E152C7">
        <w:rPr>
          <w:rFonts w:cs="Arial"/>
          <w:sz w:val="22"/>
          <w:szCs w:val="22"/>
          <w:lang w:val="es-CR"/>
        </w:rPr>
        <w:t xml:space="preserve">638. </w:t>
      </w:r>
      <w:r w:rsidR="00E152C7" w:rsidRPr="00D574AE">
        <w:rPr>
          <w:rFonts w:cs="Arial"/>
          <w:sz w:val="22"/>
          <w:szCs w:val="22"/>
        </w:rPr>
        <w:t>Dichos documentos se adjuntan a</w:t>
      </w:r>
      <w:r w:rsidR="00E152C7">
        <w:rPr>
          <w:rFonts w:cs="Arial"/>
          <w:sz w:val="22"/>
          <w:szCs w:val="22"/>
        </w:rPr>
        <w:t xml:space="preserve">l expediente del </w:t>
      </w:r>
      <w:r w:rsidR="00E152C7" w:rsidRPr="00D574AE">
        <w:rPr>
          <w:rFonts w:cs="Arial"/>
          <w:sz w:val="22"/>
          <w:szCs w:val="22"/>
        </w:rPr>
        <w:t>acta.</w:t>
      </w:r>
    </w:p>
    <w:p w14:paraId="2D5EB6E9" w14:textId="77777777" w:rsidR="00535FCA" w:rsidRDefault="00535FCA" w:rsidP="00037ED4">
      <w:pPr>
        <w:spacing w:line="360" w:lineRule="auto"/>
        <w:jc w:val="both"/>
        <w:rPr>
          <w:rFonts w:cs="Arial"/>
          <w:sz w:val="22"/>
          <w:szCs w:val="22"/>
          <w:lang w:val="es-CR"/>
        </w:rPr>
      </w:pPr>
    </w:p>
    <w:p w14:paraId="7C70C916" w14:textId="77777777" w:rsidR="00037ED4" w:rsidRDefault="00037ED4" w:rsidP="00037ED4">
      <w:pPr>
        <w:spacing w:line="360" w:lineRule="auto"/>
        <w:jc w:val="both"/>
        <w:rPr>
          <w:rFonts w:cs="Arial"/>
          <w:sz w:val="22"/>
          <w:szCs w:val="22"/>
        </w:rPr>
      </w:pPr>
      <w:r>
        <w:rPr>
          <w:rFonts w:cs="Arial"/>
          <w:sz w:val="22"/>
          <w:szCs w:val="22"/>
        </w:rPr>
        <w:t xml:space="preserve">El licenciado Castro Miranda </w:t>
      </w:r>
      <w:r>
        <w:rPr>
          <w:rFonts w:cs="Arial"/>
          <w:sz w:val="22"/>
          <w:szCs w:val="22"/>
          <w:lang w:val="es-ES_tradnl"/>
        </w:rPr>
        <w:t xml:space="preserve">presenta </w:t>
      </w:r>
      <w:r>
        <w:rPr>
          <w:rFonts w:cs="Arial"/>
          <w:sz w:val="22"/>
          <w:szCs w:val="22"/>
        </w:rPr>
        <w:t xml:space="preserve">el criterio positivo de la </w:t>
      </w:r>
      <w:r w:rsidRPr="00BA51DA">
        <w:rPr>
          <w:rFonts w:cs="Arial"/>
          <w:sz w:val="22"/>
          <w:szCs w:val="22"/>
        </w:rPr>
        <w:t>Administración</w:t>
      </w:r>
      <w:r>
        <w:rPr>
          <w:rFonts w:cs="Arial"/>
          <w:sz w:val="22"/>
          <w:szCs w:val="22"/>
        </w:rPr>
        <w:t xml:space="preserve"> con respecto a la referida iniciativa de ley; razonamientos que son analizados y posteriormente avalados por parte de los señores Directores.</w:t>
      </w:r>
    </w:p>
    <w:p w14:paraId="0DDF5E16" w14:textId="77777777" w:rsidR="00037ED4" w:rsidRDefault="00037ED4" w:rsidP="00037ED4">
      <w:pPr>
        <w:spacing w:line="360" w:lineRule="auto"/>
        <w:jc w:val="both"/>
        <w:rPr>
          <w:rFonts w:cs="Arial"/>
          <w:sz w:val="22"/>
          <w:szCs w:val="22"/>
        </w:rPr>
      </w:pPr>
    </w:p>
    <w:p w14:paraId="4D2926AB" w14:textId="3E33A698" w:rsidR="00037ED4" w:rsidRDefault="00037ED4" w:rsidP="00037ED4">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961404">
        <w:rPr>
          <w:rFonts w:cs="Arial"/>
          <w:sz w:val="22"/>
          <w:u w:val="single"/>
          <w:lang w:val="es-ES_tradnl"/>
        </w:rPr>
        <w:t>242</w:t>
      </w:r>
      <w:r w:rsidRPr="00A25DB7">
        <w:rPr>
          <w:rFonts w:cs="Arial"/>
          <w:sz w:val="22"/>
          <w:u w:val="single"/>
          <w:lang w:val="es-ES_tradnl"/>
        </w:rPr>
        <w:t>:</w:t>
      </w:r>
      <w:r w:rsidR="00961404">
        <w:rPr>
          <w:rFonts w:cs="Arial"/>
          <w:sz w:val="22"/>
          <w:u w:val="single"/>
          <w:lang w:val="es-ES_tradnl"/>
        </w:rPr>
        <w:t>36</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w:t>
      </w:r>
      <w:r w:rsidR="00E152C7">
        <w:rPr>
          <w:rFonts w:cs="Arial"/>
          <w:sz w:val="22"/>
          <w:szCs w:val="22"/>
          <w:lang w:val="es-ES_tradnl"/>
        </w:rPr>
        <w:t>comunicar</w:t>
      </w:r>
      <w:r>
        <w:rPr>
          <w:rFonts w:cs="Arial"/>
          <w:sz w:val="22"/>
          <w:szCs w:val="22"/>
        </w:rPr>
        <w:t xml:space="preserve"> a la Comisión </w:t>
      </w:r>
      <w:r>
        <w:rPr>
          <w:rFonts w:cs="Arial"/>
          <w:sz w:val="22"/>
          <w:szCs w:val="22"/>
          <w:lang w:val="es-ES_tradnl"/>
        </w:rPr>
        <w:t>Permanente</w:t>
      </w:r>
      <w:r w:rsidR="00E152C7">
        <w:rPr>
          <w:rFonts w:cs="Arial"/>
          <w:sz w:val="22"/>
          <w:szCs w:val="22"/>
          <w:lang w:val="es-ES_tradnl"/>
        </w:rPr>
        <w:t xml:space="preserve"> Ordinaria de</w:t>
      </w:r>
      <w:r>
        <w:rPr>
          <w:rFonts w:cs="Arial"/>
          <w:sz w:val="22"/>
          <w:szCs w:val="22"/>
          <w:lang w:val="es-ES_tradnl"/>
        </w:rPr>
        <w:t xml:space="preserve"> </w:t>
      </w:r>
      <w:r w:rsidR="00E152C7">
        <w:rPr>
          <w:rFonts w:cs="Arial"/>
          <w:sz w:val="22"/>
          <w:szCs w:val="22"/>
          <w:lang w:val="es-ES_tradnl"/>
        </w:rPr>
        <w:t xml:space="preserve">Asuntos Jurídicos de </w:t>
      </w:r>
      <w:r w:rsidR="00E152C7" w:rsidRPr="00A94723">
        <w:rPr>
          <w:rFonts w:cs="Arial"/>
          <w:sz w:val="22"/>
          <w:szCs w:val="22"/>
          <w:lang w:val="es-ES_tradnl"/>
        </w:rPr>
        <w:t>la Asamblea Legislativa</w:t>
      </w:r>
      <w:r>
        <w:rPr>
          <w:rFonts w:cs="Arial"/>
          <w:sz w:val="22"/>
          <w:szCs w:val="22"/>
          <w:lang w:val="es-ES_tradnl"/>
        </w:rPr>
        <w:t>,</w:t>
      </w:r>
      <w:r>
        <w:rPr>
          <w:rFonts w:cs="Arial"/>
          <w:sz w:val="22"/>
          <w:szCs w:val="22"/>
        </w:rPr>
        <w:t xml:space="preserve"> </w:t>
      </w:r>
      <w:r w:rsidR="00E152C7" w:rsidRPr="00A94723">
        <w:rPr>
          <w:rFonts w:cs="Arial"/>
          <w:sz w:val="22"/>
          <w:szCs w:val="22"/>
          <w:lang w:val="es-ES_tradnl"/>
        </w:rPr>
        <w:t xml:space="preserve">el </w:t>
      </w:r>
      <w:r w:rsidR="00E152C7">
        <w:rPr>
          <w:rFonts w:cs="Arial"/>
          <w:sz w:val="22"/>
          <w:szCs w:val="22"/>
          <w:lang w:val="es-ES_tradnl"/>
        </w:rPr>
        <w:t xml:space="preserve">apoyo del </w:t>
      </w:r>
      <w:r w:rsidR="00E152C7" w:rsidRPr="00535FCA">
        <w:rPr>
          <w:rFonts w:cs="Arial"/>
          <w:sz w:val="22"/>
          <w:szCs w:val="22"/>
          <w:lang w:val="es-ES_tradnl"/>
        </w:rPr>
        <w:t>Banco Hipotecario de la Vivienda</w:t>
      </w:r>
      <w:r w:rsidR="00E152C7">
        <w:rPr>
          <w:rFonts w:cs="Arial"/>
          <w:sz w:val="22"/>
          <w:szCs w:val="22"/>
          <w:lang w:val="es-ES_tradnl"/>
        </w:rPr>
        <w:t xml:space="preserve">, sin que se tengan observaciones, al referido </w:t>
      </w:r>
      <w:r w:rsidR="00E152C7" w:rsidRPr="00A94723">
        <w:rPr>
          <w:rFonts w:cs="Arial"/>
          <w:sz w:val="22"/>
          <w:szCs w:val="22"/>
          <w:lang w:val="es-ES_tradnl"/>
        </w:rPr>
        <w:t xml:space="preserve">proyecto de </w:t>
      </w:r>
      <w:r w:rsidR="00E152C7">
        <w:rPr>
          <w:rFonts w:cs="Arial"/>
          <w:sz w:val="22"/>
          <w:szCs w:val="22"/>
          <w:lang w:val="es-ES_tradnl"/>
        </w:rPr>
        <w:t>ley</w:t>
      </w:r>
      <w:r>
        <w:rPr>
          <w:rFonts w:cs="Arial"/>
          <w:sz w:val="22"/>
          <w:szCs w:val="22"/>
        </w:rPr>
        <w:t xml:space="preserve">.  Lo anterior, de conformidad con lo indicado en el </w:t>
      </w:r>
      <w:r w:rsidRPr="00542F89">
        <w:rPr>
          <w:rFonts w:cs="Arial"/>
          <w:b/>
          <w:sz w:val="22"/>
          <w:szCs w:val="22"/>
        </w:rPr>
        <w:t xml:space="preserve">Acuerdo N° </w:t>
      </w:r>
      <w:r w:rsidR="00A94723">
        <w:rPr>
          <w:rFonts w:cs="Arial"/>
          <w:b/>
          <w:sz w:val="22"/>
          <w:szCs w:val="22"/>
        </w:rPr>
        <w:t>9</w:t>
      </w:r>
      <w:r w:rsidRPr="00542F89">
        <w:rPr>
          <w:rFonts w:cs="Arial"/>
          <w:b/>
          <w:sz w:val="22"/>
          <w:szCs w:val="22"/>
        </w:rPr>
        <w:t xml:space="preserve"> </w:t>
      </w:r>
      <w:r>
        <w:rPr>
          <w:rFonts w:cs="Arial"/>
          <w:sz w:val="22"/>
          <w:szCs w:val="22"/>
        </w:rPr>
        <w:t>que se anexa a esta minuta.</w:t>
      </w:r>
    </w:p>
    <w:p w14:paraId="7EC454AE" w14:textId="77777777" w:rsidR="009D03FE" w:rsidRPr="00D14EAF" w:rsidRDefault="009D03FE" w:rsidP="009D03FE">
      <w:pPr>
        <w:spacing w:line="360" w:lineRule="auto"/>
        <w:jc w:val="both"/>
        <w:rPr>
          <w:rFonts w:cs="Arial"/>
          <w:b/>
          <w:sz w:val="22"/>
        </w:rPr>
      </w:pPr>
      <w:r w:rsidRPr="00D14EAF">
        <w:rPr>
          <w:rFonts w:cs="Arial"/>
          <w:b/>
          <w:sz w:val="22"/>
        </w:rPr>
        <w:t>************</w:t>
      </w:r>
    </w:p>
    <w:p w14:paraId="4CF18CFF" w14:textId="77777777" w:rsidR="009D03FE" w:rsidRDefault="009D03FE" w:rsidP="009D03FE">
      <w:pPr>
        <w:spacing w:line="360" w:lineRule="auto"/>
        <w:jc w:val="both"/>
        <w:rPr>
          <w:rFonts w:cs="Arial"/>
          <w:b/>
          <w:bCs/>
          <w:sz w:val="22"/>
          <w:szCs w:val="22"/>
          <w:u w:val="single"/>
          <w:lang w:val="es-ES_tradnl"/>
        </w:rPr>
      </w:pPr>
    </w:p>
    <w:p w14:paraId="69BB0127" w14:textId="05CBF9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7D1D86" w:rsidRPr="007D1D86">
        <w:rPr>
          <w:rFonts w:cs="Arial"/>
          <w:b/>
          <w:bCs/>
          <w:sz w:val="22"/>
          <w:u w:val="single"/>
          <w:lang w:val="es-ES_tradnl"/>
        </w:rPr>
        <w:t>Criterio sobre el texto base del proyecto de ley “</w:t>
      </w:r>
      <w:r w:rsidR="007D1D86" w:rsidRPr="007D1D86">
        <w:rPr>
          <w:rFonts w:cs="Arial"/>
          <w:b/>
          <w:bCs/>
          <w:i/>
          <w:iCs/>
          <w:sz w:val="22"/>
          <w:u w:val="single"/>
          <w:lang w:val="es-ES_tradnl"/>
        </w:rPr>
        <w:t xml:space="preserve">Ley de aprobación de la “Enmienda al Tratado de Libre Comercio entre los Estados Unidos Mexicanos y las repúblicas </w:t>
      </w:r>
      <w:r w:rsidR="007D1D86" w:rsidRPr="007D1D86">
        <w:rPr>
          <w:rFonts w:cs="Arial"/>
          <w:b/>
          <w:bCs/>
          <w:i/>
          <w:iCs/>
          <w:sz w:val="22"/>
          <w:u w:val="single"/>
          <w:lang w:val="es-ES_tradnl"/>
        </w:rPr>
        <w:lastRenderedPageBreak/>
        <w:t>de Costa Rica, El Salvador, Guatemala, Honduras y Nicaragua”, Ley de aprobación N° 9122 del 06 de marzo de 2013, para incorporar el anexo de cobertura al Capítulo Décimo sobre contratación pública</w:t>
      </w:r>
      <w:r w:rsidR="007D1D86" w:rsidRPr="007D1D86">
        <w:rPr>
          <w:rFonts w:cs="Arial"/>
          <w:b/>
          <w:bCs/>
          <w:sz w:val="22"/>
          <w:u w:val="single"/>
          <w:lang w:val="es-ES_tradnl"/>
        </w:rPr>
        <w:t>”, Expediente Legislativo No. 23.226</w:t>
      </w:r>
    </w:p>
    <w:p w14:paraId="4628324C" w14:textId="77777777" w:rsidR="009D03FE" w:rsidRDefault="009D03FE" w:rsidP="009D03FE">
      <w:pPr>
        <w:spacing w:line="360" w:lineRule="auto"/>
        <w:jc w:val="both"/>
        <w:rPr>
          <w:rFonts w:cs="Arial"/>
          <w:sz w:val="22"/>
          <w:szCs w:val="22"/>
        </w:rPr>
      </w:pPr>
    </w:p>
    <w:p w14:paraId="3A0A4C25" w14:textId="130DF849" w:rsidR="00E152C7" w:rsidRDefault="00E152C7" w:rsidP="00E152C7">
      <w:pPr>
        <w:spacing w:line="360" w:lineRule="auto"/>
        <w:jc w:val="both"/>
        <w:rPr>
          <w:rFonts w:cs="Arial"/>
          <w:sz w:val="22"/>
          <w:szCs w:val="22"/>
          <w:lang w:val="es-CR"/>
        </w:rPr>
      </w:pPr>
      <w:r w:rsidRPr="0039311E">
        <w:rPr>
          <w:rFonts w:cs="Arial"/>
          <w:sz w:val="22"/>
          <w:u w:val="single"/>
          <w:lang w:val="es-ES_tradnl"/>
        </w:rPr>
        <w:t xml:space="preserve">Minuto </w:t>
      </w:r>
      <w:r w:rsidR="00961404">
        <w:rPr>
          <w:rFonts w:cs="Arial"/>
          <w:sz w:val="22"/>
          <w:u w:val="single"/>
          <w:lang w:val="es-ES_tradnl"/>
        </w:rPr>
        <w:t>243</w:t>
      </w:r>
      <w:r w:rsidRPr="0039311E">
        <w:rPr>
          <w:rFonts w:cs="Arial"/>
          <w:sz w:val="22"/>
          <w:u w:val="single"/>
          <w:lang w:val="es-ES_tradnl"/>
        </w:rPr>
        <w:t>:</w:t>
      </w:r>
      <w:r w:rsidR="00961404">
        <w:rPr>
          <w:rFonts w:cs="Arial"/>
          <w:sz w:val="22"/>
          <w:u w:val="single"/>
          <w:lang w:val="es-ES_tradnl"/>
        </w:rPr>
        <w:t>03</w:t>
      </w:r>
      <w:r>
        <w:rPr>
          <w:rFonts w:cs="Arial"/>
          <w:sz w:val="22"/>
          <w:lang w:val="es-ES_tradnl"/>
        </w:rPr>
        <w:t xml:space="preserve"> Se conoce el oficio </w:t>
      </w:r>
      <w:r w:rsidRPr="00D574AE">
        <w:rPr>
          <w:rFonts w:cs="Arial"/>
          <w:sz w:val="22"/>
          <w:szCs w:val="22"/>
        </w:rPr>
        <w:t>GG-ME-</w:t>
      </w:r>
      <w:r>
        <w:rPr>
          <w:rFonts w:cs="Arial"/>
          <w:sz w:val="22"/>
          <w:szCs w:val="22"/>
        </w:rPr>
        <w:t>1063-2</w:t>
      </w:r>
      <w:r w:rsidRPr="00D574AE">
        <w:rPr>
          <w:rFonts w:cs="Arial"/>
          <w:sz w:val="22"/>
          <w:szCs w:val="22"/>
        </w:rPr>
        <w:t>0</w:t>
      </w:r>
      <w:r>
        <w:rPr>
          <w:rFonts w:cs="Arial"/>
          <w:sz w:val="22"/>
          <w:szCs w:val="22"/>
        </w:rPr>
        <w:t>22</w:t>
      </w:r>
      <w:r w:rsidRPr="00D574AE">
        <w:rPr>
          <w:rFonts w:cs="Arial"/>
          <w:sz w:val="22"/>
          <w:szCs w:val="22"/>
        </w:rPr>
        <w:t xml:space="preserve"> del </w:t>
      </w:r>
      <w:r>
        <w:rPr>
          <w:rFonts w:cs="Arial"/>
          <w:sz w:val="22"/>
          <w:szCs w:val="22"/>
        </w:rPr>
        <w:t>25 de agosto</w:t>
      </w:r>
      <w:r w:rsidRPr="00D574AE">
        <w:rPr>
          <w:rFonts w:cs="Arial"/>
          <w:sz w:val="22"/>
          <w:szCs w:val="22"/>
        </w:rPr>
        <w:t xml:space="preserve"> de 20</w:t>
      </w:r>
      <w:r>
        <w:rPr>
          <w:rFonts w:cs="Arial"/>
          <w:sz w:val="22"/>
          <w:szCs w:val="22"/>
        </w:rPr>
        <w:t>22</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Pr>
          <w:rFonts w:cs="Arial"/>
          <w:sz w:val="22"/>
          <w:szCs w:val="22"/>
          <w:lang w:val="es-ES_tradnl"/>
        </w:rPr>
        <w:t xml:space="preserve">denominado </w:t>
      </w:r>
      <w:r w:rsidRPr="00721AD6">
        <w:rPr>
          <w:rFonts w:cs="Arial"/>
          <w:sz w:val="22"/>
          <w:lang w:val="es-ES_tradnl"/>
        </w:rPr>
        <w:t>“</w:t>
      </w:r>
      <w:r w:rsidRPr="00721AD6">
        <w:rPr>
          <w:rFonts w:cs="Arial"/>
          <w:i/>
          <w:iCs/>
          <w:sz w:val="22"/>
          <w:lang w:val="es-ES_tradnl"/>
        </w:rPr>
        <w:t>Ley de aprobación de la “Enmienda al Tratado de Libre Comercio entre los Estados Unidos Mexicanos y las repúblicas de Costa Rica, El Salvador, Guatemala, Honduras y Nicaragua”, Ley de aprobación N° 9122 del 06 de marzo de 2013, para incorporar el anexo de cobertura al Capítulo Décimo sobre contratación pública</w:t>
      </w:r>
      <w:r w:rsidRPr="00721AD6">
        <w:rPr>
          <w:rFonts w:cs="Arial"/>
          <w:sz w:val="22"/>
          <w:lang w:val="es-ES_tradnl"/>
        </w:rPr>
        <w:t xml:space="preserve">”, </w:t>
      </w:r>
      <w:r w:rsidRPr="00A94723">
        <w:rPr>
          <w:rFonts w:cs="Arial"/>
          <w:sz w:val="22"/>
          <w:szCs w:val="22"/>
          <w:lang w:val="es-CR"/>
        </w:rPr>
        <w:t xml:space="preserve">tramitado mediante el </w:t>
      </w:r>
      <w:r>
        <w:rPr>
          <w:rFonts w:cs="Arial"/>
          <w:sz w:val="22"/>
          <w:lang w:val="es-ES_tradnl"/>
        </w:rPr>
        <w:t>e</w:t>
      </w:r>
      <w:r w:rsidRPr="00721AD6">
        <w:rPr>
          <w:rFonts w:cs="Arial"/>
          <w:sz w:val="22"/>
          <w:lang w:val="es-ES_tradnl"/>
        </w:rPr>
        <w:t xml:space="preserve">xpediente </w:t>
      </w:r>
      <w:r>
        <w:rPr>
          <w:rFonts w:cs="Arial"/>
          <w:sz w:val="22"/>
          <w:lang w:val="es-ES_tradnl"/>
        </w:rPr>
        <w:t>l</w:t>
      </w:r>
      <w:r w:rsidRPr="00721AD6">
        <w:rPr>
          <w:rFonts w:cs="Arial"/>
          <w:sz w:val="22"/>
          <w:lang w:val="es-ES_tradnl"/>
        </w:rPr>
        <w:t>egislativo No. 23.226</w:t>
      </w:r>
      <w:r>
        <w:rPr>
          <w:rFonts w:cs="Arial"/>
          <w:sz w:val="22"/>
          <w:szCs w:val="22"/>
          <w:lang w:val="es-ES_tradnl"/>
        </w:rPr>
        <w:t>.</w:t>
      </w:r>
      <w:r>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3817E748" w14:textId="77777777" w:rsidR="00E152C7" w:rsidRDefault="00E152C7" w:rsidP="00E152C7">
      <w:pPr>
        <w:spacing w:line="360" w:lineRule="auto"/>
        <w:jc w:val="both"/>
        <w:rPr>
          <w:rFonts w:cs="Arial"/>
          <w:sz w:val="22"/>
          <w:szCs w:val="22"/>
          <w:lang w:val="es-CR"/>
        </w:rPr>
      </w:pPr>
    </w:p>
    <w:p w14:paraId="081085B5" w14:textId="77777777" w:rsidR="00E152C7" w:rsidRDefault="00E152C7" w:rsidP="00E152C7">
      <w:pPr>
        <w:spacing w:line="360" w:lineRule="auto"/>
        <w:jc w:val="both"/>
        <w:rPr>
          <w:rFonts w:cs="Arial"/>
          <w:sz w:val="22"/>
          <w:szCs w:val="22"/>
        </w:rPr>
      </w:pPr>
      <w:r>
        <w:rPr>
          <w:rFonts w:cs="Arial"/>
          <w:sz w:val="22"/>
          <w:szCs w:val="22"/>
        </w:rPr>
        <w:t xml:space="preserve">El licenciado Castro Miranda </w:t>
      </w:r>
      <w:r>
        <w:rPr>
          <w:rFonts w:cs="Arial"/>
          <w:sz w:val="22"/>
          <w:szCs w:val="22"/>
          <w:lang w:val="es-ES_tradnl"/>
        </w:rPr>
        <w:t xml:space="preserve">presenta </w:t>
      </w:r>
      <w:r>
        <w:rPr>
          <w:rFonts w:cs="Arial"/>
          <w:sz w:val="22"/>
          <w:szCs w:val="22"/>
        </w:rPr>
        <w:t xml:space="preserve">el criterio positivo de la </w:t>
      </w:r>
      <w:r w:rsidRPr="00BA51DA">
        <w:rPr>
          <w:rFonts w:cs="Arial"/>
          <w:sz w:val="22"/>
          <w:szCs w:val="22"/>
        </w:rPr>
        <w:t>Administración</w:t>
      </w:r>
      <w:r>
        <w:rPr>
          <w:rFonts w:cs="Arial"/>
          <w:sz w:val="22"/>
          <w:szCs w:val="22"/>
        </w:rPr>
        <w:t xml:space="preserve"> con respecto a la referida iniciativa de ley; razonamientos que son analizados y posteriormente avalados por parte de los señores Directores.</w:t>
      </w:r>
    </w:p>
    <w:p w14:paraId="7CE62E57" w14:textId="77777777" w:rsidR="00E152C7" w:rsidRDefault="00E152C7" w:rsidP="00E152C7">
      <w:pPr>
        <w:spacing w:line="360" w:lineRule="auto"/>
        <w:jc w:val="both"/>
        <w:rPr>
          <w:rFonts w:cs="Arial"/>
          <w:sz w:val="22"/>
          <w:szCs w:val="22"/>
        </w:rPr>
      </w:pPr>
    </w:p>
    <w:p w14:paraId="258CCBA6" w14:textId="43C0A676" w:rsidR="00E152C7" w:rsidRDefault="00E152C7" w:rsidP="00E152C7">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961404">
        <w:rPr>
          <w:rFonts w:cs="Arial"/>
          <w:sz w:val="22"/>
          <w:u w:val="single"/>
          <w:lang w:val="es-ES_tradnl"/>
        </w:rPr>
        <w:t>244</w:t>
      </w:r>
      <w:r w:rsidRPr="00A25DB7">
        <w:rPr>
          <w:rFonts w:cs="Arial"/>
          <w:sz w:val="22"/>
          <w:u w:val="single"/>
          <w:lang w:val="es-ES_tradnl"/>
        </w:rPr>
        <w:t>:</w:t>
      </w:r>
      <w:r w:rsidR="00961404">
        <w:rPr>
          <w:rFonts w:cs="Arial"/>
          <w:sz w:val="22"/>
          <w:u w:val="single"/>
          <w:lang w:val="es-ES_tradnl"/>
        </w:rPr>
        <w:t>2</w:t>
      </w:r>
      <w:r>
        <w:rPr>
          <w:rFonts w:cs="Arial"/>
          <w:sz w:val="22"/>
          <w:u w:val="single"/>
          <w:lang w:val="es-ES_tradnl"/>
        </w:rPr>
        <w:t>5</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resuelve comunicar</w:t>
      </w:r>
      <w:r>
        <w:rPr>
          <w:rFonts w:cs="Arial"/>
          <w:sz w:val="22"/>
          <w:szCs w:val="22"/>
        </w:rPr>
        <w:t xml:space="preserve"> a la </w:t>
      </w:r>
      <w:r w:rsidR="002E1847" w:rsidRPr="00A94723">
        <w:rPr>
          <w:rFonts w:cs="Arial"/>
          <w:sz w:val="22"/>
          <w:szCs w:val="22"/>
          <w:lang w:val="es-ES_tradnl"/>
        </w:rPr>
        <w:t xml:space="preserve">Comisión Permanente </w:t>
      </w:r>
      <w:r w:rsidR="002E1847">
        <w:rPr>
          <w:rFonts w:cs="Arial"/>
          <w:sz w:val="22"/>
          <w:szCs w:val="22"/>
          <w:lang w:val="es-ES_tradnl"/>
        </w:rPr>
        <w:t>Especial de Relaciones Internacionales y Comercio Exterior</w:t>
      </w:r>
      <w:r>
        <w:rPr>
          <w:rFonts w:cs="Arial"/>
          <w:sz w:val="22"/>
          <w:szCs w:val="22"/>
          <w:lang w:val="es-ES_tradnl"/>
        </w:rPr>
        <w:t xml:space="preserve"> de </w:t>
      </w:r>
      <w:r w:rsidRPr="00A94723">
        <w:rPr>
          <w:rFonts w:cs="Arial"/>
          <w:sz w:val="22"/>
          <w:szCs w:val="22"/>
          <w:lang w:val="es-ES_tradnl"/>
        </w:rPr>
        <w:t>la Asamblea Legislativa</w:t>
      </w:r>
      <w:r>
        <w:rPr>
          <w:rFonts w:cs="Arial"/>
          <w:sz w:val="22"/>
          <w:szCs w:val="22"/>
          <w:lang w:val="es-ES_tradnl"/>
        </w:rPr>
        <w:t>,</w:t>
      </w:r>
      <w:r>
        <w:rPr>
          <w:rFonts w:cs="Arial"/>
          <w:sz w:val="22"/>
          <w:szCs w:val="22"/>
        </w:rPr>
        <w:t xml:space="preserve"> </w:t>
      </w:r>
      <w:r w:rsidR="00A23F12">
        <w:rPr>
          <w:rFonts w:cs="Arial"/>
          <w:sz w:val="22"/>
          <w:szCs w:val="22"/>
        </w:rPr>
        <w:t xml:space="preserve">que el </w:t>
      </w:r>
      <w:r w:rsidRPr="00535FCA">
        <w:rPr>
          <w:rFonts w:cs="Arial"/>
          <w:sz w:val="22"/>
          <w:szCs w:val="22"/>
          <w:lang w:val="es-ES_tradnl"/>
        </w:rPr>
        <w:t>Banco Hipotecario de la Vivienda</w:t>
      </w:r>
      <w:r w:rsidR="00A23F12">
        <w:rPr>
          <w:rFonts w:cs="Arial"/>
          <w:sz w:val="22"/>
          <w:szCs w:val="22"/>
          <w:lang w:val="es-ES_tradnl"/>
        </w:rPr>
        <w:t xml:space="preserve"> no tiene </w:t>
      </w:r>
      <w:r>
        <w:rPr>
          <w:rFonts w:cs="Arial"/>
          <w:sz w:val="22"/>
          <w:szCs w:val="22"/>
          <w:lang w:val="es-ES_tradnl"/>
        </w:rPr>
        <w:t xml:space="preserve">observaciones al referido </w:t>
      </w:r>
      <w:r w:rsidRPr="00A94723">
        <w:rPr>
          <w:rFonts w:cs="Arial"/>
          <w:sz w:val="22"/>
          <w:szCs w:val="22"/>
          <w:lang w:val="es-ES_tradnl"/>
        </w:rPr>
        <w:t xml:space="preserve">proyecto de </w:t>
      </w:r>
      <w:r>
        <w:rPr>
          <w:rFonts w:cs="Arial"/>
          <w:sz w:val="22"/>
          <w:szCs w:val="22"/>
          <w:lang w:val="es-ES_tradnl"/>
        </w:rPr>
        <w:t>ley</w:t>
      </w:r>
      <w:r>
        <w:rPr>
          <w:rFonts w:cs="Arial"/>
          <w:sz w:val="22"/>
          <w:szCs w:val="22"/>
        </w:rPr>
        <w:t xml:space="preserve">.  Lo anterior, de conformidad con lo indicado en el </w:t>
      </w:r>
      <w:r w:rsidRPr="00542F89">
        <w:rPr>
          <w:rFonts w:cs="Arial"/>
          <w:b/>
          <w:sz w:val="22"/>
          <w:szCs w:val="22"/>
        </w:rPr>
        <w:t xml:space="preserve">Acuerdo N° </w:t>
      </w:r>
      <w:r>
        <w:rPr>
          <w:rFonts w:cs="Arial"/>
          <w:b/>
          <w:sz w:val="22"/>
          <w:szCs w:val="22"/>
        </w:rPr>
        <w:t>10</w:t>
      </w:r>
      <w:r w:rsidRPr="00542F89">
        <w:rPr>
          <w:rFonts w:cs="Arial"/>
          <w:b/>
          <w:sz w:val="22"/>
          <w:szCs w:val="22"/>
        </w:rPr>
        <w:t xml:space="preserve"> </w:t>
      </w:r>
      <w:r>
        <w:rPr>
          <w:rFonts w:cs="Arial"/>
          <w:sz w:val="22"/>
          <w:szCs w:val="22"/>
        </w:rPr>
        <w:t>que se anexa a esta minuta.</w:t>
      </w:r>
    </w:p>
    <w:p w14:paraId="2282AF76" w14:textId="77777777" w:rsidR="009D03FE" w:rsidRPr="00D14EAF" w:rsidRDefault="009D03FE" w:rsidP="009D03FE">
      <w:pPr>
        <w:spacing w:line="360" w:lineRule="auto"/>
        <w:jc w:val="both"/>
        <w:rPr>
          <w:rFonts w:cs="Arial"/>
          <w:b/>
          <w:sz w:val="22"/>
        </w:rPr>
      </w:pPr>
      <w:r w:rsidRPr="00D14EAF">
        <w:rPr>
          <w:rFonts w:cs="Arial"/>
          <w:b/>
          <w:sz w:val="22"/>
        </w:rPr>
        <w:t>************</w:t>
      </w:r>
    </w:p>
    <w:p w14:paraId="0A920C93" w14:textId="77777777" w:rsidR="009D03FE" w:rsidRDefault="009D03FE" w:rsidP="009D03FE">
      <w:pPr>
        <w:spacing w:line="360" w:lineRule="auto"/>
        <w:jc w:val="both"/>
        <w:rPr>
          <w:rFonts w:cs="Arial"/>
          <w:b/>
          <w:bCs/>
          <w:sz w:val="22"/>
          <w:szCs w:val="22"/>
          <w:u w:val="single"/>
          <w:lang w:val="es-ES_tradnl"/>
        </w:rPr>
      </w:pPr>
    </w:p>
    <w:p w14:paraId="1FF91A8D" w14:textId="73887B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D1D86" w:rsidRPr="007D1D86">
        <w:rPr>
          <w:rFonts w:cs="Arial"/>
          <w:b/>
          <w:bCs/>
          <w:sz w:val="22"/>
          <w:u w:val="single"/>
          <w:lang w:val="es-ES_tradnl"/>
        </w:rPr>
        <w:t>Información del señor Auditor Interno, sobre documentos remitidos a la Junta Directiva, sobre el proceso de contratación de las plazas de subgerentes y la realización de sesiones virtuales</w:t>
      </w:r>
    </w:p>
    <w:p w14:paraId="327C6113" w14:textId="77777777" w:rsidR="009D03FE" w:rsidRDefault="009D03FE" w:rsidP="009D03FE">
      <w:pPr>
        <w:spacing w:line="360" w:lineRule="auto"/>
        <w:jc w:val="both"/>
        <w:rPr>
          <w:rFonts w:cs="Arial"/>
          <w:sz w:val="22"/>
          <w:szCs w:val="22"/>
        </w:rPr>
      </w:pPr>
    </w:p>
    <w:p w14:paraId="79ACB84E" w14:textId="0FF308E7" w:rsidR="00A80DA4"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61404">
        <w:rPr>
          <w:rFonts w:cs="Arial"/>
          <w:sz w:val="22"/>
          <w:u w:val="single"/>
          <w:lang w:val="es-ES_tradnl"/>
        </w:rPr>
        <w:t>244</w:t>
      </w:r>
      <w:r w:rsidRPr="0039311E">
        <w:rPr>
          <w:rFonts w:cs="Arial"/>
          <w:sz w:val="22"/>
          <w:u w:val="single"/>
          <w:lang w:val="es-ES_tradnl"/>
        </w:rPr>
        <w:t>:</w:t>
      </w:r>
      <w:r w:rsidR="00961404">
        <w:rPr>
          <w:rFonts w:cs="Arial"/>
          <w:sz w:val="22"/>
          <w:u w:val="single"/>
          <w:lang w:val="es-ES_tradnl"/>
        </w:rPr>
        <w:t>44</w:t>
      </w:r>
      <w:r>
        <w:rPr>
          <w:rFonts w:cs="Arial"/>
          <w:sz w:val="22"/>
          <w:lang w:val="es-ES_tradnl"/>
        </w:rPr>
        <w:t xml:space="preserve"> </w:t>
      </w:r>
      <w:r w:rsidR="00961404">
        <w:rPr>
          <w:rFonts w:cs="Arial"/>
          <w:sz w:val="22"/>
          <w:lang w:val="es-ES_tradnl"/>
        </w:rPr>
        <w:t xml:space="preserve">El señor Auditor Interno informa que ha remitido a esta </w:t>
      </w:r>
      <w:r w:rsidR="00961404" w:rsidRPr="00961404">
        <w:rPr>
          <w:rFonts w:cs="Arial"/>
          <w:sz w:val="22"/>
          <w:lang w:val="es-ES_tradnl"/>
        </w:rPr>
        <w:t>Junta Directiva</w:t>
      </w:r>
      <w:r w:rsidR="00961404">
        <w:rPr>
          <w:rFonts w:cs="Arial"/>
          <w:sz w:val="22"/>
          <w:lang w:val="es-ES_tradnl"/>
        </w:rPr>
        <w:t xml:space="preserve">, para que se conozcan en una próxima sesión, una nota de </w:t>
      </w:r>
      <w:r w:rsidR="00961404" w:rsidRPr="00961404">
        <w:rPr>
          <w:rFonts w:cs="Arial"/>
          <w:sz w:val="22"/>
          <w:szCs w:val="22"/>
          <w:lang w:val="es-CR"/>
        </w:rPr>
        <w:t xml:space="preserve">advertencia sobre el proceso de contratación de los puestos de subgerentes, </w:t>
      </w:r>
      <w:r w:rsidR="00A80DA4">
        <w:rPr>
          <w:rFonts w:cs="Arial"/>
          <w:sz w:val="22"/>
          <w:szCs w:val="22"/>
          <w:lang w:val="es-CR"/>
        </w:rPr>
        <w:t>así como una recomendación con respecto a la</w:t>
      </w:r>
      <w:r w:rsidR="00A80DA4" w:rsidRPr="00961404">
        <w:rPr>
          <w:rFonts w:cs="Arial"/>
          <w:sz w:val="22"/>
          <w:szCs w:val="22"/>
          <w:lang w:val="es-CR"/>
        </w:rPr>
        <w:t xml:space="preserve"> excepcionalidad de las sesiones virtuales</w:t>
      </w:r>
      <w:r w:rsidR="00A80DA4">
        <w:rPr>
          <w:rFonts w:cs="Arial"/>
          <w:sz w:val="22"/>
          <w:szCs w:val="22"/>
          <w:lang w:val="es-CR"/>
        </w:rPr>
        <w:t>.  Adicionalmente, informa que ha sido convocado para declarar mañana, en el proceso judicial interpuesto por un exfuncionario del Banco que ocupó el puesto de Subgerente de Operaciones.</w:t>
      </w:r>
    </w:p>
    <w:p w14:paraId="2760EF7D"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62AB98B" w14:textId="77777777" w:rsidR="00E97960" w:rsidRDefault="00E97960" w:rsidP="00E97960">
      <w:pPr>
        <w:spacing w:line="360" w:lineRule="auto"/>
        <w:jc w:val="both"/>
        <w:rPr>
          <w:rFonts w:cs="Arial"/>
          <w:sz w:val="22"/>
          <w:szCs w:val="22"/>
        </w:rPr>
      </w:pPr>
    </w:p>
    <w:p w14:paraId="201CD494" w14:textId="0742BFC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76553">
        <w:rPr>
          <w:rFonts w:cs="Arial"/>
          <w:szCs w:val="22"/>
          <w:u w:val="single"/>
        </w:rPr>
        <w:t>250</w:t>
      </w:r>
      <w:r w:rsidRPr="00E97960">
        <w:rPr>
          <w:rFonts w:cs="Arial"/>
          <w:szCs w:val="22"/>
          <w:u w:val="single"/>
        </w:rPr>
        <w:t>:</w:t>
      </w:r>
      <w:r w:rsidR="00F76553">
        <w:rPr>
          <w:rFonts w:cs="Arial"/>
          <w:szCs w:val="22"/>
          <w:u w:val="single"/>
        </w:rPr>
        <w:t>47</w:t>
      </w:r>
      <w:r>
        <w:rPr>
          <w:rFonts w:cs="Arial"/>
          <w:szCs w:val="22"/>
        </w:rPr>
        <w:t xml:space="preserve"> </w:t>
      </w:r>
      <w:r w:rsidR="00FA4CCB" w:rsidRPr="00AB2826">
        <w:rPr>
          <w:rFonts w:cs="Arial"/>
          <w:szCs w:val="22"/>
        </w:rPr>
        <w:t>Siendo las</w:t>
      </w:r>
      <w:r w:rsidR="00F76553">
        <w:rPr>
          <w:rFonts w:cs="Arial"/>
          <w:szCs w:val="22"/>
        </w:rPr>
        <w:t xml:space="preserve"> 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F76553">
        <w:rPr>
          <w:rFonts w:cs="Arial"/>
          <w:szCs w:val="22"/>
        </w:rPr>
        <w:t>quince</w:t>
      </w:r>
      <w:r w:rsidR="00EC7E01">
        <w:rPr>
          <w:rFonts w:cs="Arial"/>
          <w:szCs w:val="22"/>
        </w:rPr>
        <w:t xml:space="preserve"> minutos</w:t>
      </w:r>
      <w:r w:rsidR="00FA4CCB" w:rsidRPr="00AB2826">
        <w:rPr>
          <w:rFonts w:cs="Arial"/>
          <w:szCs w:val="22"/>
        </w:rPr>
        <w:t>, se levanta la sesión.</w:t>
      </w:r>
    </w:p>
    <w:p w14:paraId="0D13E565" w14:textId="77777777" w:rsidR="006321F4" w:rsidRPr="00D14EAF" w:rsidRDefault="006321F4" w:rsidP="002D0146">
      <w:pPr>
        <w:spacing w:line="360" w:lineRule="auto"/>
        <w:jc w:val="both"/>
        <w:rPr>
          <w:rFonts w:cs="Arial"/>
          <w:b/>
          <w:sz w:val="22"/>
        </w:rPr>
      </w:pPr>
      <w:r w:rsidRPr="00D14EAF">
        <w:rPr>
          <w:rFonts w:cs="Arial"/>
          <w:b/>
          <w:sz w:val="22"/>
        </w:rPr>
        <w:t>************</w:t>
      </w:r>
    </w:p>
    <w:p w14:paraId="4F540CF0" w14:textId="77777777" w:rsidR="002B71CC" w:rsidRDefault="002B71CC">
      <w:pPr>
        <w:rPr>
          <w:rFonts w:cs="Arial"/>
          <w:sz w:val="22"/>
          <w:szCs w:val="22"/>
        </w:rPr>
      </w:pPr>
      <w:r>
        <w:rPr>
          <w:rFonts w:cs="Arial"/>
          <w:sz w:val="22"/>
          <w:szCs w:val="22"/>
        </w:rPr>
        <w:br w:type="page"/>
      </w:r>
    </w:p>
    <w:p w14:paraId="66812455" w14:textId="77777777" w:rsidR="00FA4CCB" w:rsidRDefault="00FA4CCB" w:rsidP="00AB2826">
      <w:pPr>
        <w:spacing w:line="360" w:lineRule="auto"/>
        <w:jc w:val="both"/>
        <w:rPr>
          <w:rFonts w:cs="Arial"/>
          <w:sz w:val="22"/>
          <w:szCs w:val="22"/>
        </w:rPr>
      </w:pPr>
    </w:p>
    <w:p w14:paraId="035BC638" w14:textId="77777777" w:rsidR="002B71CC" w:rsidRDefault="002B71CC" w:rsidP="00AB2826">
      <w:pPr>
        <w:spacing w:line="360" w:lineRule="auto"/>
        <w:jc w:val="both"/>
        <w:rPr>
          <w:rFonts w:cs="Arial"/>
          <w:sz w:val="22"/>
          <w:szCs w:val="22"/>
        </w:rPr>
      </w:pPr>
    </w:p>
    <w:p w14:paraId="72D0170D" w14:textId="77777777" w:rsidR="002B71CC" w:rsidRDefault="002B71CC" w:rsidP="002B71CC">
      <w:pPr>
        <w:pStyle w:val="Ttulo"/>
        <w:ind w:right="51"/>
        <w:rPr>
          <w:rFonts w:cs="Arial"/>
        </w:rPr>
      </w:pPr>
      <w:r>
        <w:rPr>
          <w:rFonts w:cs="Arial"/>
        </w:rPr>
        <w:t>BANCO HIPOTECARIO DE LA VIVIENDA</w:t>
      </w:r>
    </w:p>
    <w:p w14:paraId="34113D3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4664B9D" w14:textId="77777777" w:rsidR="002B71CC" w:rsidRDefault="002B71CC" w:rsidP="002B71CC">
      <w:pPr>
        <w:spacing w:line="360" w:lineRule="auto"/>
        <w:ind w:right="51"/>
        <w:jc w:val="center"/>
        <w:rPr>
          <w:rFonts w:cs="Arial"/>
          <w:b/>
          <w:sz w:val="22"/>
          <w:u w:val="single"/>
        </w:rPr>
      </w:pPr>
    </w:p>
    <w:p w14:paraId="336F7757" w14:textId="2C50F28C"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D299A">
        <w:rPr>
          <w:rFonts w:cs="Arial"/>
          <w:b/>
          <w:sz w:val="22"/>
          <w:u w:val="single"/>
        </w:rPr>
        <w:t>44</w:t>
      </w:r>
      <w:r>
        <w:rPr>
          <w:rFonts w:cs="Arial"/>
          <w:b/>
          <w:sz w:val="22"/>
          <w:u w:val="single"/>
        </w:rPr>
        <w:t>-</w:t>
      </w:r>
      <w:r w:rsidR="005F2BC7">
        <w:rPr>
          <w:rFonts w:cs="Arial"/>
          <w:b/>
          <w:sz w:val="22"/>
          <w:u w:val="single"/>
        </w:rPr>
        <w:t>2022</w:t>
      </w:r>
    </w:p>
    <w:p w14:paraId="56420C03" w14:textId="628EE546" w:rsidR="002B71CC" w:rsidRDefault="002B71CC" w:rsidP="002B71CC">
      <w:pPr>
        <w:spacing w:line="360" w:lineRule="auto"/>
        <w:ind w:right="51"/>
        <w:jc w:val="center"/>
        <w:rPr>
          <w:rFonts w:cs="Arial"/>
          <w:b/>
          <w:sz w:val="22"/>
          <w:u w:val="single"/>
        </w:rPr>
      </w:pPr>
      <w:r>
        <w:rPr>
          <w:rFonts w:cs="Arial"/>
          <w:b/>
          <w:sz w:val="22"/>
          <w:u w:val="single"/>
        </w:rPr>
        <w:t xml:space="preserve">DEL </w:t>
      </w:r>
      <w:r w:rsidR="005D299A">
        <w:rPr>
          <w:rFonts w:cs="Arial"/>
          <w:b/>
          <w:sz w:val="22"/>
          <w:u w:val="single"/>
        </w:rPr>
        <w:t>29</w:t>
      </w:r>
      <w:r>
        <w:rPr>
          <w:rFonts w:cs="Arial"/>
          <w:b/>
          <w:sz w:val="22"/>
          <w:u w:val="single"/>
        </w:rPr>
        <w:t xml:space="preserve"> DE </w:t>
      </w:r>
      <w:r w:rsidR="005D299A">
        <w:rPr>
          <w:rFonts w:cs="Arial"/>
          <w:b/>
          <w:sz w:val="22"/>
          <w:u w:val="single"/>
        </w:rPr>
        <w:t>AGOSTO</w:t>
      </w:r>
      <w:r>
        <w:rPr>
          <w:rFonts w:cs="Arial"/>
          <w:b/>
          <w:sz w:val="22"/>
          <w:u w:val="single"/>
        </w:rPr>
        <w:t xml:space="preserve"> DE </w:t>
      </w:r>
      <w:r w:rsidR="005F2BC7">
        <w:rPr>
          <w:rFonts w:cs="Arial"/>
          <w:b/>
          <w:sz w:val="22"/>
          <w:u w:val="single"/>
        </w:rPr>
        <w:t>2022</w:t>
      </w:r>
    </w:p>
    <w:p w14:paraId="3ED3ACE7" w14:textId="77777777" w:rsidR="002B71CC" w:rsidRDefault="002B71CC" w:rsidP="00AB2826">
      <w:pPr>
        <w:spacing w:line="360" w:lineRule="auto"/>
        <w:jc w:val="both"/>
        <w:rPr>
          <w:rFonts w:cs="Arial"/>
          <w:sz w:val="22"/>
          <w:szCs w:val="22"/>
        </w:rPr>
      </w:pPr>
    </w:p>
    <w:p w14:paraId="599CDD47" w14:textId="0B56857C" w:rsidR="002B71CC" w:rsidRDefault="002B71CC" w:rsidP="002B71CC">
      <w:pPr>
        <w:spacing w:line="360" w:lineRule="auto"/>
        <w:jc w:val="both"/>
        <w:rPr>
          <w:rFonts w:cs="Arial"/>
          <w:sz w:val="22"/>
          <w:lang w:val="es-ES_tradnl"/>
        </w:rPr>
      </w:pPr>
    </w:p>
    <w:p w14:paraId="45CE4E3F" w14:textId="77777777" w:rsidR="003C1026" w:rsidRDefault="003C1026" w:rsidP="003C1026">
      <w:pPr>
        <w:spacing w:line="360" w:lineRule="auto"/>
        <w:jc w:val="both"/>
        <w:rPr>
          <w:rFonts w:cs="Arial"/>
          <w:sz w:val="22"/>
          <w:szCs w:val="22"/>
        </w:rPr>
      </w:pPr>
    </w:p>
    <w:p w14:paraId="169C99FC" w14:textId="77B7421B" w:rsidR="003C1026" w:rsidRPr="00AB2826" w:rsidRDefault="003C1026" w:rsidP="003C1026">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Pr>
          <w:rFonts w:cs="Arial"/>
          <w:szCs w:val="22"/>
        </w:rPr>
        <w:t>1</w:t>
      </w:r>
      <w:r w:rsidRPr="00AB2826">
        <w:rPr>
          <w:rFonts w:cs="Arial"/>
          <w:szCs w:val="22"/>
        </w:rPr>
        <w:t>:</w:t>
      </w:r>
    </w:p>
    <w:p w14:paraId="017CD6C2" w14:textId="037AC77F" w:rsidR="003C1026" w:rsidRDefault="002378B2" w:rsidP="003C1026">
      <w:pPr>
        <w:spacing w:line="360" w:lineRule="auto"/>
        <w:jc w:val="both"/>
        <w:rPr>
          <w:rFonts w:cs="Arial"/>
          <w:sz w:val="22"/>
          <w:szCs w:val="22"/>
        </w:rPr>
      </w:pPr>
      <w:r w:rsidRPr="002378B2">
        <w:rPr>
          <w:rFonts w:cs="Arial"/>
          <w:b/>
          <w:bCs/>
          <w:sz w:val="22"/>
          <w:szCs w:val="22"/>
        </w:rPr>
        <w:t>A)</w:t>
      </w:r>
      <w:r>
        <w:rPr>
          <w:rFonts w:cs="Arial"/>
          <w:sz w:val="22"/>
          <w:szCs w:val="22"/>
        </w:rPr>
        <w:t xml:space="preserve"> Instruir a la </w:t>
      </w:r>
      <w:r w:rsidR="003E5645">
        <w:rPr>
          <w:rFonts w:cs="Arial"/>
          <w:sz w:val="22"/>
          <w:lang w:val="es-ES_tradnl"/>
        </w:rPr>
        <w:t xml:space="preserve">Dirección FOSUVI, </w:t>
      </w:r>
      <w:r>
        <w:rPr>
          <w:rFonts w:cs="Arial"/>
          <w:sz w:val="22"/>
          <w:lang w:val="es-ES_tradnl"/>
        </w:rPr>
        <w:t xml:space="preserve">para </w:t>
      </w:r>
      <w:r w:rsidR="003E5645">
        <w:rPr>
          <w:rFonts w:cs="Arial"/>
          <w:sz w:val="22"/>
          <w:lang w:val="es-ES_tradnl"/>
        </w:rPr>
        <w:t xml:space="preserve">que en las sesiones que se conozcan solicitudes relacionadas con proyectos de vivienda, participe el profesional del Departamento Técnico que realizó el análisis de </w:t>
      </w:r>
      <w:r>
        <w:rPr>
          <w:rFonts w:cs="Arial"/>
          <w:sz w:val="22"/>
          <w:lang w:val="es-ES_tradnl"/>
        </w:rPr>
        <w:t xml:space="preserve">la respectiva </w:t>
      </w:r>
      <w:r w:rsidR="003E5645">
        <w:rPr>
          <w:rFonts w:cs="Arial"/>
          <w:sz w:val="22"/>
          <w:lang w:val="es-ES_tradnl"/>
        </w:rPr>
        <w:t xml:space="preserve">solicitud.  </w:t>
      </w:r>
    </w:p>
    <w:p w14:paraId="478BBEF9" w14:textId="77777777" w:rsidR="003E5645" w:rsidRDefault="003E5645" w:rsidP="003C1026">
      <w:pPr>
        <w:spacing w:line="360" w:lineRule="auto"/>
        <w:jc w:val="both"/>
        <w:rPr>
          <w:rFonts w:cs="Arial"/>
          <w:sz w:val="22"/>
          <w:lang w:val="es-ES_tradnl"/>
        </w:rPr>
      </w:pPr>
    </w:p>
    <w:p w14:paraId="2A92A558" w14:textId="18BD80D4" w:rsidR="003C1026" w:rsidRDefault="002378B2" w:rsidP="003C1026">
      <w:pPr>
        <w:spacing w:line="360" w:lineRule="auto"/>
        <w:jc w:val="both"/>
        <w:rPr>
          <w:rFonts w:cs="Arial"/>
          <w:sz w:val="22"/>
          <w:szCs w:val="22"/>
        </w:rPr>
      </w:pPr>
      <w:r w:rsidRPr="002378B2">
        <w:rPr>
          <w:rFonts w:cs="Arial"/>
          <w:b/>
          <w:bCs/>
          <w:sz w:val="22"/>
          <w:lang w:val="es-ES_tradnl"/>
        </w:rPr>
        <w:t>B)</w:t>
      </w:r>
      <w:r>
        <w:rPr>
          <w:rFonts w:cs="Arial"/>
          <w:sz w:val="22"/>
          <w:lang w:val="es-ES_tradnl"/>
        </w:rPr>
        <w:t xml:space="preserve"> Solicitar a la </w:t>
      </w:r>
      <w:r w:rsidR="003E5645" w:rsidRPr="00DD4F32">
        <w:rPr>
          <w:rFonts w:cs="Arial"/>
          <w:sz w:val="22"/>
          <w:szCs w:val="22"/>
          <w:lang w:val="es-ES_tradnl"/>
        </w:rPr>
        <w:t>Administración</w:t>
      </w:r>
      <w:r w:rsidR="003E5645">
        <w:rPr>
          <w:rFonts w:cs="Arial"/>
          <w:sz w:val="22"/>
          <w:szCs w:val="22"/>
          <w:lang w:val="es-ES_tradnl"/>
        </w:rPr>
        <w:t>, que los informes técnicos re</w:t>
      </w:r>
      <w:r>
        <w:rPr>
          <w:rFonts w:cs="Arial"/>
          <w:sz w:val="22"/>
          <w:szCs w:val="22"/>
          <w:lang w:val="es-ES_tradnl"/>
        </w:rPr>
        <w:t xml:space="preserve">lacionados con </w:t>
      </w:r>
      <w:r w:rsidR="003E5645">
        <w:rPr>
          <w:rFonts w:cs="Arial"/>
          <w:sz w:val="22"/>
          <w:szCs w:val="22"/>
          <w:lang w:val="es-ES_tradnl"/>
        </w:rPr>
        <w:t xml:space="preserve">solicitudes para el financiamiento de proyectos de </w:t>
      </w:r>
      <w:proofErr w:type="gramStart"/>
      <w:r w:rsidR="003E5645">
        <w:rPr>
          <w:rFonts w:cs="Arial"/>
          <w:sz w:val="22"/>
          <w:szCs w:val="22"/>
          <w:lang w:val="es-ES_tradnl"/>
        </w:rPr>
        <w:t>vivienda,</w:t>
      </w:r>
      <w:proofErr w:type="gramEnd"/>
      <w:r w:rsidR="003E5645">
        <w:rPr>
          <w:rFonts w:cs="Arial"/>
          <w:sz w:val="22"/>
          <w:szCs w:val="22"/>
          <w:lang w:val="es-ES_tradnl"/>
        </w:rPr>
        <w:t xml:space="preserve"> se remitan a los miembros de esta </w:t>
      </w:r>
      <w:r w:rsidR="003E5645" w:rsidRPr="009473BB">
        <w:rPr>
          <w:rFonts w:cs="Arial"/>
          <w:sz w:val="22"/>
          <w:szCs w:val="22"/>
          <w:lang w:val="es-ES_tradnl"/>
        </w:rPr>
        <w:t>Junta Directiva</w:t>
      </w:r>
      <w:r w:rsidR="003E5645">
        <w:rPr>
          <w:rFonts w:cs="Arial"/>
          <w:sz w:val="22"/>
          <w:szCs w:val="22"/>
          <w:lang w:val="es-ES_tradnl"/>
        </w:rPr>
        <w:t>, para su estudio, al menos 15 días naturales antes de que se sometan a la aprobación de este Órgano Colegiado</w:t>
      </w:r>
      <w:r w:rsidR="00E977CA">
        <w:rPr>
          <w:rFonts w:cs="Arial"/>
          <w:sz w:val="22"/>
          <w:szCs w:val="22"/>
          <w:lang w:val="es-ES_tradnl"/>
        </w:rPr>
        <w:t>.</w:t>
      </w:r>
    </w:p>
    <w:p w14:paraId="56DDDF1F" w14:textId="77777777" w:rsidR="003C1026" w:rsidRPr="00AB2826" w:rsidRDefault="003C1026" w:rsidP="003C102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C588A9" w14:textId="77777777" w:rsidR="003C1026" w:rsidRPr="00D14EAF" w:rsidRDefault="003C1026" w:rsidP="003C1026">
      <w:pPr>
        <w:spacing w:line="360" w:lineRule="auto"/>
        <w:jc w:val="both"/>
        <w:rPr>
          <w:rFonts w:cs="Arial"/>
          <w:b/>
          <w:sz w:val="22"/>
        </w:rPr>
      </w:pPr>
      <w:r w:rsidRPr="00D14EAF">
        <w:rPr>
          <w:rFonts w:cs="Arial"/>
          <w:b/>
          <w:sz w:val="22"/>
        </w:rPr>
        <w:t>************</w:t>
      </w:r>
    </w:p>
    <w:p w14:paraId="6D1875D6" w14:textId="77777777" w:rsidR="003C1026" w:rsidRDefault="003C1026" w:rsidP="003C1026">
      <w:pPr>
        <w:spacing w:line="360" w:lineRule="auto"/>
        <w:jc w:val="both"/>
        <w:rPr>
          <w:rFonts w:cs="Arial"/>
          <w:sz w:val="22"/>
          <w:szCs w:val="22"/>
        </w:rPr>
      </w:pPr>
    </w:p>
    <w:p w14:paraId="5E6D86A8" w14:textId="09C578C8" w:rsidR="003C1026" w:rsidRPr="00AB2826" w:rsidRDefault="003C1026" w:rsidP="003C1026">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Pr>
          <w:rFonts w:cs="Arial"/>
          <w:szCs w:val="22"/>
        </w:rPr>
        <w:t>2</w:t>
      </w:r>
      <w:r w:rsidRPr="00AB2826">
        <w:rPr>
          <w:rFonts w:cs="Arial"/>
          <w:szCs w:val="22"/>
        </w:rPr>
        <w:t>:</w:t>
      </w:r>
    </w:p>
    <w:p w14:paraId="2AD3B4DF" w14:textId="5779688B" w:rsidR="003C1026" w:rsidRPr="003E5645" w:rsidRDefault="003E5645" w:rsidP="003C1026">
      <w:pPr>
        <w:spacing w:line="360" w:lineRule="auto"/>
        <w:jc w:val="both"/>
        <w:rPr>
          <w:rFonts w:cs="Arial"/>
          <w:b/>
          <w:bCs/>
          <w:sz w:val="22"/>
          <w:szCs w:val="22"/>
        </w:rPr>
      </w:pPr>
      <w:r w:rsidRPr="003E5645">
        <w:rPr>
          <w:rFonts w:cs="Arial"/>
          <w:b/>
          <w:bCs/>
          <w:sz w:val="22"/>
          <w:szCs w:val="22"/>
        </w:rPr>
        <w:t>Considerando:</w:t>
      </w:r>
    </w:p>
    <w:p w14:paraId="67AC8B50" w14:textId="1C29EC29" w:rsidR="003E5645" w:rsidRDefault="003E5645" w:rsidP="003C1026">
      <w:pPr>
        <w:spacing w:line="360" w:lineRule="auto"/>
        <w:jc w:val="both"/>
        <w:rPr>
          <w:rFonts w:cs="Arial"/>
          <w:sz w:val="22"/>
          <w:szCs w:val="22"/>
        </w:rPr>
      </w:pPr>
      <w:r w:rsidRPr="003E5645">
        <w:rPr>
          <w:rFonts w:cs="Arial"/>
          <w:b/>
          <w:bCs/>
          <w:sz w:val="22"/>
          <w:szCs w:val="22"/>
        </w:rPr>
        <w:t>Primero:</w:t>
      </w:r>
      <w:r>
        <w:rPr>
          <w:rFonts w:cs="Arial"/>
          <w:sz w:val="22"/>
          <w:szCs w:val="22"/>
        </w:rPr>
        <w:t xml:space="preserve"> Que mediante el acuerdo </w:t>
      </w:r>
      <w:r>
        <w:rPr>
          <w:rFonts w:cs="Arial"/>
          <w:sz w:val="22"/>
          <w:szCs w:val="22"/>
          <w:lang w:val="es-ES_tradnl"/>
        </w:rPr>
        <w:t xml:space="preserve">N° 3 de la sesión 24-2022, del 28 de marzo de 2022, esta </w:t>
      </w:r>
      <w:r w:rsidRPr="003E5645">
        <w:rPr>
          <w:rFonts w:cs="Arial"/>
          <w:sz w:val="22"/>
          <w:szCs w:val="22"/>
          <w:lang w:val="es-ES_tradnl"/>
        </w:rPr>
        <w:t>Junta Directiva</w:t>
      </w:r>
      <w:r>
        <w:rPr>
          <w:rFonts w:cs="Arial"/>
          <w:sz w:val="22"/>
          <w:szCs w:val="22"/>
          <w:lang w:val="es-ES_tradnl"/>
        </w:rPr>
        <w:t xml:space="preserve"> dispuso lo siguiente:</w:t>
      </w:r>
    </w:p>
    <w:p w14:paraId="1E969FB7" w14:textId="77777777" w:rsidR="003E5645" w:rsidRDefault="003E5645" w:rsidP="004C5183">
      <w:pPr>
        <w:ind w:left="142" w:right="193"/>
        <w:jc w:val="both"/>
        <w:rPr>
          <w:rFonts w:cs="Arial"/>
          <w:sz w:val="22"/>
          <w:szCs w:val="22"/>
        </w:rPr>
      </w:pPr>
    </w:p>
    <w:p w14:paraId="3733E342" w14:textId="77777777" w:rsidR="003E5645" w:rsidRDefault="003E5645" w:rsidP="004C5183">
      <w:pPr>
        <w:ind w:left="142" w:right="193"/>
        <w:jc w:val="both"/>
        <w:rPr>
          <w:rFonts w:cs="Arial"/>
          <w:sz w:val="22"/>
          <w:szCs w:val="22"/>
        </w:rPr>
      </w:pPr>
      <w:r>
        <w:rPr>
          <w:rFonts w:cs="Arial"/>
          <w:sz w:val="22"/>
          <w:szCs w:val="22"/>
        </w:rPr>
        <w:t>“</w:t>
      </w:r>
      <w:r w:rsidRPr="00B57697">
        <w:rPr>
          <w:rFonts w:cs="Arial"/>
          <w:sz w:val="22"/>
          <w:szCs w:val="22"/>
        </w:rPr>
        <w:t>Instruir a la Administración, para que, en adelante, los expedientes de las solicitudes de financiamiento de proyectos de vivienda al amparo del artículo 59 de la Ley 7052, incluyan, cuando corresponda, evidencia sobre las gestiones realizadas por las empresas desarrolladoras, ante las instituciones pertinentes, para procurar la exoneración del sistema de alcantarillado sanitario.</w:t>
      </w:r>
      <w:r>
        <w:rPr>
          <w:rFonts w:cs="Arial"/>
          <w:sz w:val="22"/>
          <w:szCs w:val="22"/>
        </w:rPr>
        <w:t>”</w:t>
      </w:r>
    </w:p>
    <w:p w14:paraId="0E3EB093" w14:textId="0F55AB9A" w:rsidR="003E5645" w:rsidRDefault="003E5645" w:rsidP="003C1026">
      <w:pPr>
        <w:spacing w:line="360" w:lineRule="auto"/>
        <w:jc w:val="both"/>
        <w:rPr>
          <w:rFonts w:cs="Arial"/>
          <w:sz w:val="22"/>
          <w:szCs w:val="22"/>
        </w:rPr>
      </w:pPr>
    </w:p>
    <w:p w14:paraId="7EAB2265" w14:textId="6449B3BF" w:rsidR="004C5183" w:rsidRPr="004C5183" w:rsidRDefault="003E5645" w:rsidP="003C1026">
      <w:pPr>
        <w:spacing w:line="360" w:lineRule="auto"/>
        <w:jc w:val="both"/>
        <w:rPr>
          <w:rFonts w:cs="Arial"/>
          <w:sz w:val="22"/>
          <w:szCs w:val="22"/>
          <w:lang w:val="es-ES_tradnl"/>
        </w:rPr>
      </w:pPr>
      <w:r w:rsidRPr="003E5645">
        <w:rPr>
          <w:rFonts w:cs="Arial"/>
          <w:b/>
          <w:bCs/>
          <w:sz w:val="22"/>
          <w:szCs w:val="22"/>
        </w:rPr>
        <w:t>Segundo:</w:t>
      </w:r>
      <w:r>
        <w:rPr>
          <w:rFonts w:cs="Arial"/>
          <w:sz w:val="22"/>
          <w:szCs w:val="22"/>
        </w:rPr>
        <w:t xml:space="preserve"> Que </w:t>
      </w:r>
      <w:r w:rsidR="004C5183">
        <w:rPr>
          <w:rFonts w:cs="Arial"/>
          <w:sz w:val="22"/>
          <w:szCs w:val="22"/>
        </w:rPr>
        <w:t xml:space="preserve">para garantizar la adecuada implementación de dicha disposición, esta </w:t>
      </w:r>
      <w:r w:rsidR="004C5183" w:rsidRPr="004C5183">
        <w:rPr>
          <w:rFonts w:cs="Arial"/>
          <w:sz w:val="22"/>
          <w:szCs w:val="22"/>
          <w:lang w:val="es-ES_tradnl"/>
        </w:rPr>
        <w:t>Junta Directiva</w:t>
      </w:r>
      <w:r w:rsidR="004C5183">
        <w:rPr>
          <w:rFonts w:cs="Arial"/>
          <w:sz w:val="22"/>
          <w:szCs w:val="22"/>
          <w:lang w:val="es-ES_tradnl"/>
        </w:rPr>
        <w:t xml:space="preserve"> estima oportuno girar instrucciones a la </w:t>
      </w:r>
      <w:r w:rsidR="004C5183" w:rsidRPr="004C5183">
        <w:rPr>
          <w:rFonts w:cs="Arial"/>
          <w:sz w:val="22"/>
          <w:szCs w:val="22"/>
          <w:lang w:val="es-ES_tradnl"/>
        </w:rPr>
        <w:t>Administración</w:t>
      </w:r>
      <w:r w:rsidR="004C5183">
        <w:rPr>
          <w:rFonts w:cs="Arial"/>
          <w:sz w:val="22"/>
          <w:szCs w:val="22"/>
          <w:lang w:val="es-ES_tradnl"/>
        </w:rPr>
        <w:t xml:space="preserve">, para que verifique que esta instrucción no viene a ser un nuevo requisito que deba ser sometido al </w:t>
      </w:r>
      <w:r w:rsidR="004C5183">
        <w:rPr>
          <w:rFonts w:cs="Arial"/>
          <w:sz w:val="22"/>
          <w:szCs w:val="22"/>
          <w:lang w:val="es-ES_tradnl"/>
        </w:rPr>
        <w:lastRenderedPageBreak/>
        <w:t>correspondiente proceso de consulta pública, y en caso de que no se</w:t>
      </w:r>
      <w:r w:rsidR="00EA65EB">
        <w:rPr>
          <w:rFonts w:cs="Arial"/>
          <w:sz w:val="22"/>
          <w:szCs w:val="22"/>
          <w:lang w:val="es-ES_tradnl"/>
        </w:rPr>
        <w:t xml:space="preserve"> trate de</w:t>
      </w:r>
      <w:r w:rsidR="004C5183">
        <w:rPr>
          <w:rFonts w:cs="Arial"/>
          <w:sz w:val="22"/>
          <w:szCs w:val="22"/>
          <w:lang w:val="es-ES_tradnl"/>
        </w:rPr>
        <w:t xml:space="preserve"> un nuevo requisito, proponga a esta </w:t>
      </w:r>
      <w:r w:rsidR="004C5183" w:rsidRPr="00274EFD">
        <w:rPr>
          <w:rFonts w:cs="Arial"/>
          <w:sz w:val="22"/>
          <w:szCs w:val="22"/>
          <w:lang w:val="es-ES_tradnl"/>
        </w:rPr>
        <w:t>Junta Directiva</w:t>
      </w:r>
      <w:r w:rsidR="004C5183">
        <w:rPr>
          <w:rFonts w:cs="Arial"/>
          <w:sz w:val="22"/>
          <w:szCs w:val="22"/>
          <w:lang w:val="es-ES_tradnl"/>
        </w:rPr>
        <w:t xml:space="preserve"> una disposición transitoria </w:t>
      </w:r>
      <w:r w:rsidR="00EA65EB">
        <w:rPr>
          <w:rFonts w:cs="Arial"/>
          <w:sz w:val="22"/>
          <w:szCs w:val="22"/>
          <w:lang w:val="es-ES_tradnl"/>
        </w:rPr>
        <w:t>con el propósito de no generar afectaciones o retrasos a las solicitudes de financiamiento de proyectos de vivienda que se encuentran en trámite de aprobación.</w:t>
      </w:r>
    </w:p>
    <w:p w14:paraId="1D493507" w14:textId="1C8415C7" w:rsidR="003E5645" w:rsidRDefault="003E5645" w:rsidP="003C1026">
      <w:pPr>
        <w:spacing w:line="360" w:lineRule="auto"/>
        <w:jc w:val="both"/>
        <w:rPr>
          <w:rFonts w:cs="Arial"/>
          <w:sz w:val="22"/>
          <w:szCs w:val="22"/>
        </w:rPr>
      </w:pPr>
    </w:p>
    <w:p w14:paraId="12442AAB" w14:textId="0BE6692A" w:rsidR="003E5645" w:rsidRPr="003E5645" w:rsidRDefault="003E5645" w:rsidP="003C1026">
      <w:pPr>
        <w:spacing w:line="360" w:lineRule="auto"/>
        <w:jc w:val="both"/>
        <w:rPr>
          <w:rFonts w:cs="Arial"/>
          <w:b/>
          <w:bCs/>
          <w:sz w:val="22"/>
          <w:szCs w:val="22"/>
        </w:rPr>
      </w:pPr>
      <w:r w:rsidRPr="003E5645">
        <w:rPr>
          <w:rFonts w:cs="Arial"/>
          <w:b/>
          <w:bCs/>
          <w:sz w:val="22"/>
          <w:szCs w:val="22"/>
        </w:rPr>
        <w:t>Por tanto, se acuerda:</w:t>
      </w:r>
    </w:p>
    <w:p w14:paraId="196AFBF5" w14:textId="3903F352" w:rsidR="003C1026" w:rsidRDefault="00EA65EB" w:rsidP="003C1026">
      <w:pPr>
        <w:spacing w:line="360" w:lineRule="auto"/>
        <w:jc w:val="both"/>
        <w:rPr>
          <w:rFonts w:cs="Arial"/>
          <w:sz w:val="22"/>
          <w:szCs w:val="22"/>
        </w:rPr>
      </w:pPr>
      <w:r>
        <w:rPr>
          <w:rFonts w:cs="Arial"/>
          <w:sz w:val="22"/>
          <w:szCs w:val="22"/>
        </w:rPr>
        <w:t xml:space="preserve">Instruir a la </w:t>
      </w:r>
      <w:r w:rsidR="003E5645" w:rsidRPr="00274EFD">
        <w:rPr>
          <w:rFonts w:cs="Arial"/>
          <w:sz w:val="22"/>
          <w:szCs w:val="22"/>
          <w:lang w:val="es-ES_tradnl"/>
        </w:rPr>
        <w:t>Administración</w:t>
      </w:r>
      <w:r w:rsidR="00E977CA">
        <w:rPr>
          <w:rFonts w:cs="Arial"/>
          <w:sz w:val="22"/>
          <w:szCs w:val="22"/>
          <w:lang w:val="es-ES_tradnl"/>
        </w:rPr>
        <w:t>,</w:t>
      </w:r>
      <w:r w:rsidR="003E5645">
        <w:rPr>
          <w:rFonts w:cs="Arial"/>
          <w:sz w:val="22"/>
          <w:szCs w:val="22"/>
          <w:lang w:val="es-ES_tradnl"/>
        </w:rPr>
        <w:t xml:space="preserve"> para que </w:t>
      </w:r>
      <w:r>
        <w:rPr>
          <w:rFonts w:cs="Arial"/>
          <w:sz w:val="22"/>
          <w:szCs w:val="22"/>
          <w:lang w:val="es-ES_tradnl"/>
        </w:rPr>
        <w:t>verifique que e</w:t>
      </w:r>
      <w:r w:rsidR="003E5645">
        <w:rPr>
          <w:rFonts w:cs="Arial"/>
          <w:sz w:val="22"/>
          <w:szCs w:val="22"/>
          <w:lang w:val="es-ES_tradnl"/>
        </w:rPr>
        <w:t>l acuerdo N° 3 de la sesión 24-2022, del 28 de marzo de 2022</w:t>
      </w:r>
      <w:r>
        <w:rPr>
          <w:rFonts w:cs="Arial"/>
          <w:sz w:val="22"/>
          <w:szCs w:val="22"/>
          <w:lang w:val="es-ES_tradnl"/>
        </w:rPr>
        <w:t>, no viene a ser un nuevo requisito que deba ser sometido al correspondiente proceso de consulta pública</w:t>
      </w:r>
      <w:r w:rsidR="00C70C4F">
        <w:rPr>
          <w:rFonts w:cs="Arial"/>
          <w:sz w:val="22"/>
          <w:szCs w:val="22"/>
          <w:lang w:val="es-ES_tradnl"/>
        </w:rPr>
        <w:t>;</w:t>
      </w:r>
      <w:r>
        <w:rPr>
          <w:rFonts w:cs="Arial"/>
          <w:sz w:val="22"/>
          <w:szCs w:val="22"/>
          <w:lang w:val="es-ES_tradnl"/>
        </w:rPr>
        <w:t xml:space="preserve"> y en caso de que no se trate de un nuevo requisito, proponga a esta </w:t>
      </w:r>
      <w:r w:rsidRPr="00274EFD">
        <w:rPr>
          <w:rFonts w:cs="Arial"/>
          <w:sz w:val="22"/>
          <w:szCs w:val="22"/>
          <w:lang w:val="es-ES_tradnl"/>
        </w:rPr>
        <w:t>Junta Directiva</w:t>
      </w:r>
      <w:r>
        <w:rPr>
          <w:rFonts w:cs="Arial"/>
          <w:sz w:val="22"/>
          <w:szCs w:val="22"/>
          <w:lang w:val="es-ES_tradnl"/>
        </w:rPr>
        <w:t xml:space="preserve"> una disposición transitoria con el propósito de no generar afectaciones o retrasos a las solicitudes de financiamiento de proyectos que se encuentran en trámite de aprobación.</w:t>
      </w:r>
    </w:p>
    <w:p w14:paraId="3850B1C2" w14:textId="77777777" w:rsidR="003C1026" w:rsidRPr="00AB2826" w:rsidRDefault="003C1026" w:rsidP="003C102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C02B75" w14:textId="77777777" w:rsidR="003C1026" w:rsidRPr="00D14EAF" w:rsidRDefault="003C1026" w:rsidP="003C1026">
      <w:pPr>
        <w:spacing w:line="360" w:lineRule="auto"/>
        <w:jc w:val="both"/>
        <w:rPr>
          <w:rFonts w:cs="Arial"/>
          <w:b/>
          <w:sz w:val="22"/>
        </w:rPr>
      </w:pPr>
      <w:r w:rsidRPr="00D14EAF">
        <w:rPr>
          <w:rFonts w:cs="Arial"/>
          <w:b/>
          <w:sz w:val="22"/>
        </w:rPr>
        <w:t>************</w:t>
      </w:r>
    </w:p>
    <w:p w14:paraId="114BABF5" w14:textId="1F109B8A" w:rsidR="009E25A5" w:rsidRDefault="009E25A5" w:rsidP="002B71CC">
      <w:pPr>
        <w:spacing w:line="360" w:lineRule="auto"/>
        <w:jc w:val="both"/>
        <w:rPr>
          <w:rFonts w:cs="Arial"/>
          <w:sz w:val="22"/>
          <w:lang w:val="es-ES_tradnl"/>
        </w:rPr>
      </w:pPr>
    </w:p>
    <w:p w14:paraId="71E1D1F2" w14:textId="1C44783D"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sidR="003C1026">
        <w:rPr>
          <w:rFonts w:cs="Arial"/>
          <w:szCs w:val="22"/>
        </w:rPr>
        <w:t>3</w:t>
      </w:r>
      <w:r w:rsidRPr="00AB2826">
        <w:rPr>
          <w:rFonts w:cs="Arial"/>
          <w:szCs w:val="22"/>
        </w:rPr>
        <w:t>:</w:t>
      </w:r>
    </w:p>
    <w:p w14:paraId="253788A5" w14:textId="77777777" w:rsidR="00D14058" w:rsidRDefault="00D14058" w:rsidP="00D14058">
      <w:pPr>
        <w:spacing w:line="360" w:lineRule="auto"/>
        <w:jc w:val="both"/>
        <w:rPr>
          <w:rFonts w:cs="Arial"/>
          <w:b/>
          <w:bCs/>
          <w:sz w:val="22"/>
          <w:szCs w:val="22"/>
        </w:rPr>
      </w:pPr>
      <w:r>
        <w:rPr>
          <w:rFonts w:cs="Arial"/>
          <w:b/>
          <w:bCs/>
          <w:sz w:val="22"/>
          <w:szCs w:val="22"/>
        </w:rPr>
        <w:t>Considerando:</w:t>
      </w:r>
    </w:p>
    <w:p w14:paraId="5E81E467" w14:textId="06CBD990" w:rsidR="00D14058" w:rsidRDefault="00D14058" w:rsidP="00D14058">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GG-ME-1065-2022 del 26 de agosto de 2022, la Gerencia General remite y avala el informe </w:t>
      </w:r>
      <w:r>
        <w:rPr>
          <w:rFonts w:cs="Arial"/>
          <w:sz w:val="22"/>
          <w:szCs w:val="22"/>
          <w:lang w:val="es-CR"/>
        </w:rPr>
        <w:t>DF-OF-0898-2022 de la Dirección FOSUVI</w:t>
      </w:r>
      <w:r>
        <w:rPr>
          <w:rFonts w:cs="Arial"/>
          <w:bCs/>
          <w:sz w:val="22"/>
          <w:lang w:val="es-CR"/>
        </w:rPr>
        <w:t>, que contiene un resumen de los resultados del estudio efectuado</w:t>
      </w:r>
      <w:r w:rsidR="00AF2F82">
        <w:rPr>
          <w:rFonts w:cs="Arial"/>
          <w:bCs/>
          <w:sz w:val="22"/>
          <w:lang w:val="es-CR"/>
        </w:rPr>
        <w:t>, en lo que ahora interesa,</w:t>
      </w:r>
      <w:r>
        <w:rPr>
          <w:rFonts w:cs="Arial"/>
          <w:bCs/>
          <w:sz w:val="22"/>
          <w:lang w:val="es-CR"/>
        </w:rPr>
        <w:t xml:space="preserve"> a las solicitudes de Grupo Mutual Alajuela – La Vivienda </w:t>
      </w:r>
      <w:r>
        <w:rPr>
          <w:rFonts w:cs="Arial"/>
          <w:bCs/>
          <w:sz w:val="22"/>
          <w:lang w:val="es-ES_tradnl"/>
        </w:rPr>
        <w:t>de Ahorro y Préstamo</w:t>
      </w:r>
      <w:r w:rsidR="00393278">
        <w:rPr>
          <w:rFonts w:cs="Arial"/>
          <w:bCs/>
          <w:sz w:val="22"/>
          <w:lang w:val="es-ES_tradnl"/>
        </w:rPr>
        <w:t>,</w:t>
      </w:r>
      <w:r>
        <w:rPr>
          <w:rFonts w:cs="Arial"/>
          <w:bCs/>
          <w:sz w:val="22"/>
          <w:lang w:val="es-ES_tradnl"/>
        </w:rPr>
        <w:t xml:space="preserve"> </w:t>
      </w:r>
      <w:r>
        <w:rPr>
          <w:rFonts w:cs="Arial"/>
          <w:bCs/>
          <w:sz w:val="22"/>
          <w:szCs w:val="22"/>
          <w:lang w:val="es-ES_tradnl"/>
        </w:rPr>
        <w:t>y COOPENAE R.L.,</w:t>
      </w:r>
      <w:r>
        <w:rPr>
          <w:rFonts w:cs="Arial"/>
          <w:bCs/>
          <w:sz w:val="22"/>
          <w:lang w:val="es-CR"/>
        </w:rPr>
        <w:t xml:space="preserve"> para financiar </w:t>
      </w:r>
      <w:r w:rsidR="00AF2F82">
        <w:rPr>
          <w:rFonts w:cs="Arial"/>
          <w:bCs/>
          <w:sz w:val="22"/>
          <w:lang w:val="es-CR"/>
        </w:rPr>
        <w:t>tres</w:t>
      </w:r>
      <w:r>
        <w:rPr>
          <w:rFonts w:cs="Arial"/>
          <w:bCs/>
          <w:sz w:val="22"/>
        </w:rPr>
        <w:t xml:space="preserve"> operaciones individuales de Bono Familiar de Vivienda, por situación de extrema necesidad, al amparo del artículo 59 de la Ley del Sistema Financiero Nacional para la Vivienda.</w:t>
      </w:r>
    </w:p>
    <w:p w14:paraId="382421AE" w14:textId="77777777" w:rsidR="00D14058" w:rsidRDefault="00D14058" w:rsidP="00D14058">
      <w:pPr>
        <w:spacing w:line="360" w:lineRule="auto"/>
        <w:jc w:val="both"/>
        <w:rPr>
          <w:rFonts w:cs="Arial"/>
          <w:bCs/>
          <w:sz w:val="22"/>
        </w:rPr>
      </w:pPr>
    </w:p>
    <w:p w14:paraId="5D2CD704" w14:textId="242D0B00" w:rsidR="00D14058" w:rsidRDefault="00D14058" w:rsidP="00D1405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C41A73F" w14:textId="77777777" w:rsidR="00D14058" w:rsidRDefault="00D14058" w:rsidP="00D14058">
      <w:pPr>
        <w:spacing w:line="360" w:lineRule="auto"/>
        <w:jc w:val="both"/>
        <w:rPr>
          <w:rFonts w:cs="Arial"/>
          <w:bCs/>
          <w:sz w:val="22"/>
          <w:szCs w:val="22"/>
        </w:rPr>
      </w:pPr>
    </w:p>
    <w:p w14:paraId="1DB9D9DB" w14:textId="7A34E432" w:rsidR="00D14058" w:rsidRDefault="00D14058" w:rsidP="00D1405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 los indicados bonos de vivienda, en los términos planteados en el citado informe </w:t>
      </w:r>
      <w:r>
        <w:rPr>
          <w:rFonts w:cs="Arial"/>
          <w:sz w:val="22"/>
          <w:szCs w:val="22"/>
          <w:lang w:val="es-CR"/>
        </w:rPr>
        <w:t>DF-OF-0</w:t>
      </w:r>
      <w:r w:rsidR="00AF2F82">
        <w:rPr>
          <w:rFonts w:cs="Arial"/>
          <w:sz w:val="22"/>
          <w:szCs w:val="22"/>
          <w:lang w:val="es-CR"/>
        </w:rPr>
        <w:t>898</w:t>
      </w:r>
      <w:r>
        <w:rPr>
          <w:rFonts w:cs="Arial"/>
          <w:sz w:val="22"/>
          <w:szCs w:val="22"/>
          <w:lang w:val="es-CR"/>
        </w:rPr>
        <w:t>-2022</w:t>
      </w:r>
      <w:r>
        <w:rPr>
          <w:rFonts w:cs="Arial"/>
          <w:bCs/>
          <w:sz w:val="22"/>
          <w:szCs w:val="22"/>
        </w:rPr>
        <w:t>.</w:t>
      </w:r>
    </w:p>
    <w:p w14:paraId="7DE76259" w14:textId="77777777" w:rsidR="00D14058" w:rsidRDefault="00D14058" w:rsidP="00D14058">
      <w:pPr>
        <w:spacing w:line="360" w:lineRule="auto"/>
        <w:jc w:val="both"/>
        <w:rPr>
          <w:rFonts w:cs="Arial"/>
          <w:bCs/>
          <w:sz w:val="22"/>
          <w:szCs w:val="22"/>
          <w:lang w:val="es-ES_tradnl"/>
        </w:rPr>
      </w:pPr>
    </w:p>
    <w:p w14:paraId="30B4EE96" w14:textId="77777777" w:rsidR="00D14058" w:rsidRDefault="00D14058" w:rsidP="00D14058">
      <w:pPr>
        <w:spacing w:line="360" w:lineRule="auto"/>
        <w:jc w:val="both"/>
        <w:rPr>
          <w:rFonts w:cs="Arial"/>
          <w:b/>
          <w:bCs/>
          <w:sz w:val="22"/>
          <w:szCs w:val="22"/>
        </w:rPr>
      </w:pPr>
      <w:r>
        <w:rPr>
          <w:rFonts w:cs="Arial"/>
          <w:b/>
          <w:bCs/>
          <w:sz w:val="22"/>
          <w:szCs w:val="22"/>
        </w:rPr>
        <w:t>Por tanto, se acuerda:</w:t>
      </w:r>
    </w:p>
    <w:p w14:paraId="2831CCE1" w14:textId="665E2D08" w:rsidR="00D14058" w:rsidRDefault="00D14058" w:rsidP="00D14058">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w:t>
      </w:r>
      <w:r w:rsidR="00AF2F82">
        <w:rPr>
          <w:rFonts w:cs="Arial"/>
          <w:bCs/>
          <w:sz w:val="22"/>
          <w:szCs w:val="22"/>
        </w:rPr>
        <w:t>tres</w:t>
      </w:r>
      <w:r>
        <w:rPr>
          <w:rFonts w:cs="Arial"/>
          <w:bCs/>
          <w:sz w:val="22"/>
          <w:szCs w:val="22"/>
        </w:rPr>
        <w:t xml:space="preserve"> operaciones individuales de Bono Familiar de Vivienda, por situación de extrema necesidad, de conformidad con las condiciones que se consignan en el informe </w:t>
      </w:r>
      <w:r>
        <w:rPr>
          <w:rFonts w:cs="Arial"/>
          <w:sz w:val="22"/>
          <w:szCs w:val="22"/>
          <w:lang w:val="es-CR"/>
        </w:rPr>
        <w:t xml:space="preserve">DF-OF-0898-2022 </w:t>
      </w:r>
      <w:r>
        <w:rPr>
          <w:rFonts w:cs="Arial"/>
          <w:bCs/>
          <w:sz w:val="22"/>
        </w:rPr>
        <w:t>y según el siguiente detalle:</w:t>
      </w:r>
    </w:p>
    <w:p w14:paraId="198DAC28" w14:textId="77777777" w:rsidR="00D14058" w:rsidRDefault="00D14058" w:rsidP="00D14058">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D14058" w14:paraId="356A3E28" w14:textId="77777777" w:rsidTr="00D14058">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B123AE4" w14:textId="77777777" w:rsidR="00D14058" w:rsidRDefault="00D14058">
            <w:pPr>
              <w:ind w:left="87"/>
              <w:rPr>
                <w:b/>
                <w:sz w:val="20"/>
                <w:szCs w:val="20"/>
              </w:rPr>
            </w:pPr>
            <w:r>
              <w:rPr>
                <w:b/>
                <w:sz w:val="20"/>
                <w:szCs w:val="20"/>
              </w:rPr>
              <w:t xml:space="preserve">Entidad Autorizada:   </w:t>
            </w:r>
            <w:r>
              <w:rPr>
                <w:b/>
                <w:bCs/>
                <w:sz w:val="20"/>
                <w:szCs w:val="20"/>
              </w:rPr>
              <w:t xml:space="preserve">Mutual Alajuela – La Vivienda de Ahorro y Préstamo </w:t>
            </w:r>
          </w:p>
        </w:tc>
      </w:tr>
      <w:tr w:rsidR="00D14058" w14:paraId="0247CD67" w14:textId="77777777" w:rsidTr="00D14058">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47DF4BCA"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C6B5441"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C8C3395"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49A3992B"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437EFBF" w14:textId="77777777" w:rsidR="00D14058" w:rsidRDefault="00D14058">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0F54629" w14:textId="77777777" w:rsidR="00D14058" w:rsidRDefault="00D14058">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C914938"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CB2B745"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4F2DA84F" w14:textId="77777777" w:rsidR="00D14058" w:rsidRDefault="00D14058">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259EBB2A"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57EF347"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D14058" w14:paraId="7B54975D" w14:textId="77777777" w:rsidTr="00D14058">
        <w:trPr>
          <w:trHeight w:val="454"/>
        </w:trPr>
        <w:tc>
          <w:tcPr>
            <w:tcW w:w="1372" w:type="dxa"/>
            <w:tcBorders>
              <w:top w:val="single" w:sz="4" w:space="0" w:color="000000"/>
              <w:left w:val="single" w:sz="4" w:space="0" w:color="000000"/>
              <w:bottom w:val="single" w:sz="4" w:space="0" w:color="000000"/>
              <w:right w:val="single" w:sz="4" w:space="0" w:color="000000"/>
            </w:tcBorders>
            <w:vAlign w:val="center"/>
            <w:hideMark/>
          </w:tcPr>
          <w:p w14:paraId="23A91B35" w14:textId="6A3645DB" w:rsidR="00D14058" w:rsidRDefault="009E43C8">
            <w:pPr>
              <w:rPr>
                <w:rFonts w:ascii="Arial Narrow" w:eastAsia="Arial Narrow" w:hAnsi="Arial Narrow" w:cs="Arial Narrow"/>
                <w:sz w:val="16"/>
                <w:szCs w:val="16"/>
              </w:rPr>
            </w:pPr>
            <w:r>
              <w:rPr>
                <w:rFonts w:ascii="Arial Narrow" w:eastAsia="Arial Narrow" w:hAnsi="Arial Narrow" w:cs="Arial Narrow"/>
                <w:sz w:val="16"/>
                <w:szCs w:val="16"/>
              </w:rPr>
              <w:t xml:space="preserve">Mendoza </w:t>
            </w:r>
            <w:r w:rsidR="00421209">
              <w:rPr>
                <w:rFonts w:ascii="Arial Narrow" w:eastAsia="Arial Narrow" w:hAnsi="Arial Narrow" w:cs="Arial Narrow"/>
                <w:sz w:val="16"/>
                <w:szCs w:val="16"/>
              </w:rPr>
              <w:t>Vásquez</w:t>
            </w:r>
            <w:r>
              <w:rPr>
                <w:rFonts w:ascii="Arial Narrow" w:eastAsia="Arial Narrow" w:hAnsi="Arial Narrow" w:cs="Arial Narrow"/>
                <w:sz w:val="16"/>
                <w:szCs w:val="16"/>
              </w:rPr>
              <w:t xml:space="preserve"> Adelina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857741" w14:textId="24C3C4A4" w:rsidR="00D14058" w:rsidRDefault="009E43C8">
            <w:pPr>
              <w:jc w:val="center"/>
              <w:rPr>
                <w:rFonts w:ascii="Arial Narrow" w:eastAsia="Arial Narrow" w:hAnsi="Arial Narrow" w:cs="Arial Narrow"/>
                <w:sz w:val="16"/>
                <w:szCs w:val="16"/>
              </w:rPr>
            </w:pPr>
            <w:r>
              <w:rPr>
                <w:rFonts w:ascii="Arial Narrow" w:eastAsia="Arial Narrow" w:hAnsi="Arial Narrow" w:cs="Arial Narrow"/>
                <w:sz w:val="16"/>
                <w:szCs w:val="16"/>
              </w:rPr>
              <w:t>155821</w:t>
            </w:r>
            <w:r w:rsidR="00421209">
              <w:rPr>
                <w:rFonts w:ascii="Arial Narrow" w:eastAsia="Arial Narrow" w:hAnsi="Arial Narrow" w:cs="Arial Narrow"/>
                <w:sz w:val="16"/>
                <w:szCs w:val="16"/>
              </w:rPr>
              <w:t>-</w:t>
            </w:r>
            <w:r>
              <w:rPr>
                <w:rFonts w:ascii="Arial Narrow" w:eastAsia="Arial Narrow" w:hAnsi="Arial Narrow" w:cs="Arial Narrow"/>
                <w:sz w:val="16"/>
                <w:szCs w:val="16"/>
              </w:rPr>
              <w:t>769516</w:t>
            </w:r>
          </w:p>
        </w:tc>
        <w:tc>
          <w:tcPr>
            <w:tcW w:w="708" w:type="dxa"/>
            <w:tcBorders>
              <w:top w:val="single" w:sz="4" w:space="0" w:color="000000"/>
              <w:left w:val="nil"/>
              <w:bottom w:val="single" w:sz="4" w:space="0" w:color="000000"/>
              <w:right w:val="single" w:sz="4" w:space="0" w:color="000000"/>
            </w:tcBorders>
            <w:vAlign w:val="center"/>
            <w:hideMark/>
          </w:tcPr>
          <w:p w14:paraId="003CB888" w14:textId="4EA8EABA" w:rsidR="00D14058" w:rsidRDefault="009E43C8">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2-578426</w:t>
            </w:r>
          </w:p>
        </w:tc>
        <w:tc>
          <w:tcPr>
            <w:tcW w:w="720" w:type="dxa"/>
            <w:tcBorders>
              <w:top w:val="single" w:sz="4" w:space="0" w:color="000000"/>
              <w:left w:val="nil"/>
              <w:bottom w:val="single" w:sz="4" w:space="0" w:color="000000"/>
              <w:right w:val="single" w:sz="4" w:space="0" w:color="000000"/>
            </w:tcBorders>
            <w:vAlign w:val="center"/>
            <w:hideMark/>
          </w:tcPr>
          <w:p w14:paraId="347FEA8F" w14:textId="1066483D" w:rsidR="00D14058" w:rsidRDefault="002C2F2B" w:rsidP="00421209">
            <w:pPr>
              <w:ind w:left="-107" w:right="-97"/>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2A564FC9" w14:textId="6493416E" w:rsidR="00D14058" w:rsidRDefault="009E43C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4C3FA018" w14:textId="3BEE96A1" w:rsidR="00D14058" w:rsidRDefault="008908ED">
            <w:pPr>
              <w:jc w:val="right"/>
              <w:rPr>
                <w:rFonts w:ascii="Arial Narrow" w:eastAsia="Arial Narrow" w:hAnsi="Arial Narrow" w:cs="Arial Narrow"/>
                <w:sz w:val="16"/>
                <w:szCs w:val="16"/>
              </w:rPr>
            </w:pPr>
            <w:r>
              <w:rPr>
                <w:rFonts w:ascii="Arial Narrow" w:eastAsia="Arial Narrow" w:hAnsi="Arial Narrow" w:cs="Arial Narrow"/>
                <w:sz w:val="16"/>
                <w:szCs w:val="16"/>
              </w:rPr>
              <w:t>7.448.000,00</w:t>
            </w:r>
          </w:p>
        </w:tc>
        <w:tc>
          <w:tcPr>
            <w:tcW w:w="992" w:type="dxa"/>
            <w:tcBorders>
              <w:top w:val="single" w:sz="4" w:space="0" w:color="000000"/>
              <w:left w:val="nil"/>
              <w:bottom w:val="single" w:sz="4" w:space="0" w:color="000000"/>
              <w:right w:val="single" w:sz="4" w:space="0" w:color="000000"/>
            </w:tcBorders>
            <w:vAlign w:val="center"/>
            <w:hideMark/>
          </w:tcPr>
          <w:p w14:paraId="3FED9CE6" w14:textId="7DF92788" w:rsidR="00D14058" w:rsidRDefault="008908ED">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12.950.000,00</w:t>
            </w:r>
          </w:p>
        </w:tc>
        <w:tc>
          <w:tcPr>
            <w:tcW w:w="990" w:type="dxa"/>
            <w:tcBorders>
              <w:top w:val="single" w:sz="4" w:space="0" w:color="000000"/>
              <w:left w:val="nil"/>
              <w:bottom w:val="single" w:sz="4" w:space="0" w:color="000000"/>
              <w:right w:val="single" w:sz="4" w:space="0" w:color="000000"/>
            </w:tcBorders>
            <w:vAlign w:val="center"/>
            <w:hideMark/>
          </w:tcPr>
          <w:p w14:paraId="19A8F7C7" w14:textId="229E3422" w:rsidR="00D14058" w:rsidRDefault="008908ED" w:rsidP="00D36556">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40.721,13</w:t>
            </w:r>
          </w:p>
        </w:tc>
        <w:tc>
          <w:tcPr>
            <w:tcW w:w="849" w:type="dxa"/>
            <w:tcBorders>
              <w:top w:val="single" w:sz="4" w:space="0" w:color="000000"/>
              <w:left w:val="nil"/>
              <w:bottom w:val="single" w:sz="4" w:space="0" w:color="000000"/>
              <w:right w:val="single" w:sz="4" w:space="0" w:color="000000"/>
            </w:tcBorders>
            <w:vAlign w:val="center"/>
            <w:hideMark/>
          </w:tcPr>
          <w:p w14:paraId="02364711" w14:textId="204C6320" w:rsidR="00D14058" w:rsidRDefault="008908ED">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407.211,25</w:t>
            </w:r>
          </w:p>
        </w:tc>
        <w:tc>
          <w:tcPr>
            <w:tcW w:w="992" w:type="dxa"/>
            <w:tcBorders>
              <w:top w:val="single" w:sz="4" w:space="0" w:color="000000"/>
              <w:left w:val="nil"/>
              <w:bottom w:val="single" w:sz="4" w:space="0" w:color="000000"/>
              <w:right w:val="single" w:sz="4" w:space="0" w:color="000000"/>
            </w:tcBorders>
            <w:vAlign w:val="center"/>
            <w:hideMark/>
          </w:tcPr>
          <w:p w14:paraId="77510C5F" w14:textId="78CE8122" w:rsidR="00D14058" w:rsidRDefault="008908E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20.764.490,13</w:t>
            </w:r>
          </w:p>
        </w:tc>
      </w:tr>
      <w:tr w:rsidR="00D14058" w14:paraId="0ABEAFFA" w14:textId="77777777" w:rsidTr="00D14058">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435B071" w14:textId="0DE0DEB1" w:rsidR="00D14058" w:rsidRDefault="00D14058">
            <w:pPr>
              <w:ind w:left="87"/>
              <w:rPr>
                <w:rFonts w:cs="Arial"/>
                <w:b/>
                <w:sz w:val="20"/>
                <w:szCs w:val="20"/>
              </w:rPr>
            </w:pPr>
            <w:r>
              <w:rPr>
                <w:rFonts w:cs="Arial"/>
                <w:b/>
                <w:sz w:val="20"/>
                <w:szCs w:val="20"/>
              </w:rPr>
              <w:t>Entidad Autorizada:</w:t>
            </w:r>
            <w:r>
              <w:rPr>
                <w:rFonts w:cs="Arial"/>
                <w:b/>
                <w:bCs/>
                <w:sz w:val="20"/>
                <w:szCs w:val="20"/>
                <w:lang w:val="es-ES_tradnl"/>
              </w:rPr>
              <w:t xml:space="preserve"> COOPE</w:t>
            </w:r>
            <w:r w:rsidR="00393278">
              <w:rPr>
                <w:rFonts w:cs="Arial"/>
                <w:b/>
                <w:bCs/>
                <w:sz w:val="20"/>
                <w:szCs w:val="20"/>
                <w:lang w:val="es-ES_tradnl"/>
              </w:rPr>
              <w:t>NAE</w:t>
            </w:r>
            <w:r>
              <w:rPr>
                <w:rFonts w:cs="Arial"/>
                <w:b/>
                <w:bCs/>
                <w:sz w:val="20"/>
                <w:szCs w:val="20"/>
                <w:lang w:val="es-ES_tradnl"/>
              </w:rPr>
              <w:t xml:space="preserve"> R.L</w:t>
            </w:r>
          </w:p>
        </w:tc>
      </w:tr>
      <w:tr w:rsidR="00D14058" w14:paraId="685E136B" w14:textId="77777777" w:rsidTr="00D14058">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5071CF64"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92E0F0D"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7042E1B"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3669871E"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971646A" w14:textId="77777777" w:rsidR="00D14058" w:rsidRDefault="00D14058">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E25FA2B" w14:textId="77777777" w:rsidR="00D14058" w:rsidRDefault="00D14058">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1FB1E48"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9C5A81E"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3ECF5965" w14:textId="77777777" w:rsidR="00D14058" w:rsidRDefault="00D14058">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33A55102"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82180FB" w14:textId="77777777" w:rsidR="00D14058" w:rsidRDefault="00D14058">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D14058" w14:paraId="5498D8BF" w14:textId="77777777" w:rsidTr="00D14058">
        <w:trPr>
          <w:trHeight w:val="454"/>
        </w:trPr>
        <w:tc>
          <w:tcPr>
            <w:tcW w:w="1372" w:type="dxa"/>
            <w:tcBorders>
              <w:top w:val="single" w:sz="4" w:space="0" w:color="000000"/>
              <w:left w:val="single" w:sz="4" w:space="0" w:color="000000"/>
              <w:bottom w:val="single" w:sz="4" w:space="0" w:color="000000"/>
              <w:right w:val="single" w:sz="4" w:space="0" w:color="000000"/>
            </w:tcBorders>
            <w:vAlign w:val="center"/>
            <w:hideMark/>
          </w:tcPr>
          <w:p w14:paraId="7C1BE1D5" w14:textId="52E519F3" w:rsidR="00D14058" w:rsidRDefault="00315762">
            <w:pPr>
              <w:rPr>
                <w:rFonts w:ascii="Arial Narrow" w:hAnsi="Arial Narrow"/>
                <w:sz w:val="16"/>
                <w:szCs w:val="16"/>
              </w:rPr>
            </w:pPr>
            <w:r>
              <w:rPr>
                <w:rFonts w:ascii="Arial Narrow" w:hAnsi="Arial Narrow"/>
                <w:sz w:val="16"/>
                <w:szCs w:val="16"/>
              </w:rPr>
              <w:t xml:space="preserve">Abarca Rodriguez Greivin Antonio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B3B325" w14:textId="23687460" w:rsidR="00D14058" w:rsidRDefault="00315762">
            <w:pPr>
              <w:jc w:val="center"/>
              <w:rPr>
                <w:rFonts w:ascii="Arial Narrow" w:hAnsi="Arial Narrow"/>
                <w:sz w:val="16"/>
                <w:szCs w:val="16"/>
              </w:rPr>
            </w:pPr>
            <w:r>
              <w:rPr>
                <w:rFonts w:ascii="Arial Narrow" w:hAnsi="Arial Narrow"/>
                <w:sz w:val="16"/>
                <w:szCs w:val="16"/>
              </w:rPr>
              <w:t>1-1458-0240</w:t>
            </w:r>
          </w:p>
        </w:tc>
        <w:tc>
          <w:tcPr>
            <w:tcW w:w="708" w:type="dxa"/>
            <w:tcBorders>
              <w:top w:val="single" w:sz="4" w:space="0" w:color="000000"/>
              <w:left w:val="nil"/>
              <w:bottom w:val="single" w:sz="4" w:space="0" w:color="000000"/>
              <w:right w:val="single" w:sz="4" w:space="0" w:color="000000"/>
            </w:tcBorders>
            <w:vAlign w:val="center"/>
            <w:hideMark/>
          </w:tcPr>
          <w:p w14:paraId="0CEC7B92" w14:textId="06F8BE88" w:rsidR="00D14058" w:rsidRDefault="00315762">
            <w:pPr>
              <w:jc w:val="center"/>
              <w:rPr>
                <w:rFonts w:ascii="Arial Narrow" w:hAnsi="Arial Narrow"/>
                <w:sz w:val="16"/>
                <w:szCs w:val="16"/>
              </w:rPr>
            </w:pPr>
            <w:r>
              <w:rPr>
                <w:rFonts w:ascii="Arial Narrow" w:hAnsi="Arial Narrow"/>
                <w:sz w:val="16"/>
                <w:szCs w:val="16"/>
              </w:rPr>
              <w:t>6-24</w:t>
            </w:r>
            <w:r w:rsidR="00D01AE5">
              <w:rPr>
                <w:rFonts w:ascii="Arial Narrow" w:hAnsi="Arial Narrow"/>
                <w:sz w:val="16"/>
                <w:szCs w:val="16"/>
              </w:rPr>
              <w:t>3275</w:t>
            </w:r>
          </w:p>
        </w:tc>
        <w:tc>
          <w:tcPr>
            <w:tcW w:w="720" w:type="dxa"/>
            <w:tcBorders>
              <w:top w:val="single" w:sz="4" w:space="0" w:color="000000"/>
              <w:left w:val="nil"/>
              <w:bottom w:val="single" w:sz="4" w:space="0" w:color="000000"/>
              <w:right w:val="single" w:sz="4" w:space="0" w:color="000000"/>
            </w:tcBorders>
            <w:vAlign w:val="center"/>
            <w:hideMark/>
          </w:tcPr>
          <w:p w14:paraId="674D3D72" w14:textId="04ABC36E" w:rsidR="00D14058" w:rsidRDefault="00D01AE5" w:rsidP="00421209">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193B1B1A" w14:textId="28459F34" w:rsidR="00D14058" w:rsidRDefault="00315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0B8B8260" w14:textId="68A5F8AC" w:rsidR="00D14058" w:rsidRDefault="0027520C" w:rsidP="00D36556">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8.977.500,00</w:t>
            </w:r>
          </w:p>
        </w:tc>
        <w:tc>
          <w:tcPr>
            <w:tcW w:w="992" w:type="dxa"/>
            <w:tcBorders>
              <w:top w:val="single" w:sz="4" w:space="0" w:color="000000"/>
              <w:left w:val="nil"/>
              <w:bottom w:val="single" w:sz="4" w:space="0" w:color="000000"/>
              <w:right w:val="single" w:sz="4" w:space="0" w:color="000000"/>
            </w:tcBorders>
            <w:vAlign w:val="center"/>
            <w:hideMark/>
          </w:tcPr>
          <w:p w14:paraId="02154CC2" w14:textId="0D97C2AE" w:rsidR="00D14058" w:rsidRDefault="0027520C" w:rsidP="00D36556">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vAlign w:val="center"/>
            <w:hideMark/>
          </w:tcPr>
          <w:p w14:paraId="062E6494" w14:textId="69F27FA2" w:rsidR="00D14058" w:rsidRDefault="0027520C" w:rsidP="00D36556">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48.252,91</w:t>
            </w:r>
          </w:p>
        </w:tc>
        <w:tc>
          <w:tcPr>
            <w:tcW w:w="849" w:type="dxa"/>
            <w:tcBorders>
              <w:top w:val="single" w:sz="4" w:space="0" w:color="000000"/>
              <w:left w:val="nil"/>
              <w:bottom w:val="single" w:sz="4" w:space="0" w:color="000000"/>
              <w:right w:val="single" w:sz="4" w:space="0" w:color="000000"/>
            </w:tcBorders>
            <w:vAlign w:val="center"/>
            <w:hideMark/>
          </w:tcPr>
          <w:p w14:paraId="3CD53ACA" w14:textId="0800B2EE" w:rsidR="00D14058" w:rsidRDefault="0027520C" w:rsidP="00D36556">
            <w:pPr>
              <w:ind w:right="-43"/>
              <w:jc w:val="center"/>
              <w:rPr>
                <w:rFonts w:ascii="Arial Narrow" w:eastAsia="Arial Narrow" w:hAnsi="Arial Narrow" w:cs="Arial Narrow"/>
                <w:sz w:val="16"/>
                <w:szCs w:val="16"/>
              </w:rPr>
            </w:pPr>
            <w:r>
              <w:rPr>
                <w:rFonts w:ascii="Arial Narrow" w:eastAsia="Arial Narrow" w:hAnsi="Arial Narrow" w:cs="Arial Narrow"/>
                <w:sz w:val="16"/>
                <w:szCs w:val="16"/>
              </w:rPr>
              <w:t>482.529,13</w:t>
            </w:r>
          </w:p>
        </w:tc>
        <w:tc>
          <w:tcPr>
            <w:tcW w:w="992" w:type="dxa"/>
            <w:tcBorders>
              <w:top w:val="single" w:sz="4" w:space="0" w:color="000000"/>
              <w:left w:val="nil"/>
              <w:bottom w:val="single" w:sz="4" w:space="0" w:color="000000"/>
              <w:right w:val="single" w:sz="4" w:space="0" w:color="000000"/>
            </w:tcBorders>
            <w:vAlign w:val="center"/>
            <w:hideMark/>
          </w:tcPr>
          <w:p w14:paraId="5B3D2A9E" w14:textId="00825BB8" w:rsidR="00D14058" w:rsidRDefault="00A554A3" w:rsidP="00D36556">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20.331.776,22</w:t>
            </w:r>
          </w:p>
        </w:tc>
      </w:tr>
      <w:tr w:rsidR="00D14058" w14:paraId="3AE365E5" w14:textId="77777777" w:rsidTr="00D14058">
        <w:trPr>
          <w:trHeight w:val="454"/>
        </w:trPr>
        <w:tc>
          <w:tcPr>
            <w:tcW w:w="1372" w:type="dxa"/>
            <w:tcBorders>
              <w:top w:val="single" w:sz="4" w:space="0" w:color="000000"/>
              <w:left w:val="single" w:sz="4" w:space="0" w:color="000000"/>
              <w:bottom w:val="single" w:sz="4" w:space="0" w:color="000000"/>
              <w:right w:val="single" w:sz="4" w:space="0" w:color="000000"/>
            </w:tcBorders>
            <w:vAlign w:val="center"/>
          </w:tcPr>
          <w:p w14:paraId="180C50DF" w14:textId="3B0C31AB" w:rsidR="00D14058" w:rsidRDefault="00797D20">
            <w:pPr>
              <w:rPr>
                <w:rFonts w:ascii="Arial Narrow" w:hAnsi="Arial Narrow"/>
                <w:sz w:val="16"/>
                <w:szCs w:val="16"/>
              </w:rPr>
            </w:pPr>
            <w:r>
              <w:rPr>
                <w:rFonts w:ascii="Arial Narrow" w:hAnsi="Arial Narrow"/>
                <w:sz w:val="16"/>
                <w:szCs w:val="16"/>
              </w:rPr>
              <w:t xml:space="preserve">Santo Amador Hilario </w:t>
            </w:r>
          </w:p>
        </w:tc>
        <w:tc>
          <w:tcPr>
            <w:tcW w:w="709" w:type="dxa"/>
            <w:tcBorders>
              <w:top w:val="single" w:sz="4" w:space="0" w:color="000000"/>
              <w:left w:val="single" w:sz="4" w:space="0" w:color="000000"/>
              <w:bottom w:val="single" w:sz="4" w:space="0" w:color="000000"/>
              <w:right w:val="single" w:sz="4" w:space="0" w:color="000000"/>
            </w:tcBorders>
            <w:vAlign w:val="center"/>
          </w:tcPr>
          <w:p w14:paraId="2B873A7A" w14:textId="70733CC8" w:rsidR="00D14058" w:rsidRDefault="00797D20">
            <w:pPr>
              <w:jc w:val="center"/>
              <w:rPr>
                <w:rFonts w:ascii="Arial Narrow" w:hAnsi="Arial Narrow"/>
                <w:sz w:val="16"/>
                <w:szCs w:val="16"/>
              </w:rPr>
            </w:pPr>
            <w:r>
              <w:rPr>
                <w:rFonts w:ascii="Arial Narrow" w:hAnsi="Arial Narrow"/>
                <w:sz w:val="16"/>
                <w:szCs w:val="16"/>
              </w:rPr>
              <w:t>8-0142-0923</w:t>
            </w:r>
          </w:p>
        </w:tc>
        <w:tc>
          <w:tcPr>
            <w:tcW w:w="708" w:type="dxa"/>
            <w:tcBorders>
              <w:top w:val="single" w:sz="4" w:space="0" w:color="000000"/>
              <w:left w:val="nil"/>
              <w:bottom w:val="single" w:sz="4" w:space="0" w:color="000000"/>
              <w:right w:val="single" w:sz="4" w:space="0" w:color="000000"/>
            </w:tcBorders>
            <w:vAlign w:val="center"/>
          </w:tcPr>
          <w:p w14:paraId="7DDB2E63" w14:textId="71C82D0C" w:rsidR="00D14058" w:rsidRDefault="00797D20">
            <w:pPr>
              <w:jc w:val="center"/>
              <w:rPr>
                <w:rFonts w:ascii="Arial Narrow" w:hAnsi="Arial Narrow"/>
                <w:sz w:val="16"/>
                <w:szCs w:val="16"/>
              </w:rPr>
            </w:pPr>
            <w:r>
              <w:rPr>
                <w:rFonts w:ascii="Arial Narrow" w:hAnsi="Arial Narrow"/>
                <w:sz w:val="16"/>
                <w:szCs w:val="16"/>
              </w:rPr>
              <w:t>6-220657</w:t>
            </w:r>
          </w:p>
        </w:tc>
        <w:tc>
          <w:tcPr>
            <w:tcW w:w="720" w:type="dxa"/>
            <w:tcBorders>
              <w:top w:val="single" w:sz="4" w:space="0" w:color="000000"/>
              <w:left w:val="nil"/>
              <w:bottom w:val="single" w:sz="4" w:space="0" w:color="000000"/>
              <w:right w:val="single" w:sz="4" w:space="0" w:color="000000"/>
            </w:tcBorders>
            <w:vAlign w:val="center"/>
          </w:tcPr>
          <w:p w14:paraId="5C8F8486" w14:textId="3F22E11D" w:rsidR="00D14058" w:rsidRDefault="00797D20" w:rsidP="00421209">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vAlign w:val="center"/>
          </w:tcPr>
          <w:p w14:paraId="08DBEC90" w14:textId="46B91362" w:rsidR="00D14058" w:rsidRDefault="00797D20">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80F08A8" w14:textId="4248ED7C" w:rsidR="00D14058" w:rsidRDefault="00797D20">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7.527.800,00</w:t>
            </w:r>
          </w:p>
        </w:tc>
        <w:tc>
          <w:tcPr>
            <w:tcW w:w="992" w:type="dxa"/>
            <w:tcBorders>
              <w:top w:val="single" w:sz="4" w:space="0" w:color="000000"/>
              <w:left w:val="nil"/>
              <w:bottom w:val="single" w:sz="4" w:space="0" w:color="000000"/>
              <w:right w:val="single" w:sz="4" w:space="0" w:color="000000"/>
            </w:tcBorders>
            <w:vAlign w:val="center"/>
          </w:tcPr>
          <w:p w14:paraId="73CC05A5" w14:textId="364B121C" w:rsidR="00D14058" w:rsidRDefault="00797D2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vAlign w:val="center"/>
          </w:tcPr>
          <w:p w14:paraId="75018B71" w14:textId="016BB318" w:rsidR="00D14058" w:rsidRDefault="00797D20" w:rsidP="00D972AB">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46.614,75</w:t>
            </w:r>
          </w:p>
        </w:tc>
        <w:tc>
          <w:tcPr>
            <w:tcW w:w="849" w:type="dxa"/>
            <w:tcBorders>
              <w:top w:val="single" w:sz="4" w:space="0" w:color="000000"/>
              <w:left w:val="nil"/>
              <w:bottom w:val="single" w:sz="4" w:space="0" w:color="000000"/>
              <w:right w:val="single" w:sz="4" w:space="0" w:color="000000"/>
            </w:tcBorders>
            <w:vAlign w:val="center"/>
          </w:tcPr>
          <w:p w14:paraId="574F5BAB" w14:textId="55D5FAA9" w:rsidR="00D14058" w:rsidRDefault="00797D20">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466.147,52</w:t>
            </w:r>
          </w:p>
        </w:tc>
        <w:tc>
          <w:tcPr>
            <w:tcW w:w="992" w:type="dxa"/>
            <w:tcBorders>
              <w:top w:val="single" w:sz="4" w:space="0" w:color="000000"/>
              <w:left w:val="nil"/>
              <w:bottom w:val="single" w:sz="4" w:space="0" w:color="000000"/>
              <w:right w:val="single" w:sz="4" w:space="0" w:color="000000"/>
            </w:tcBorders>
            <w:vAlign w:val="center"/>
          </w:tcPr>
          <w:p w14:paraId="1A7CA56F" w14:textId="33FAD429" w:rsidR="00D14058" w:rsidRDefault="00797D20" w:rsidP="00D14058">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18.867.332,77</w:t>
            </w:r>
          </w:p>
        </w:tc>
      </w:tr>
      <w:tr w:rsidR="00D14058" w14:paraId="31BD281D" w14:textId="77777777" w:rsidTr="00D972AB">
        <w:trPr>
          <w:trHeight w:val="239"/>
        </w:trPr>
        <w:tc>
          <w:tcPr>
            <w:tcW w:w="4441" w:type="dxa"/>
            <w:gridSpan w:val="6"/>
            <w:tcBorders>
              <w:top w:val="nil"/>
              <w:left w:val="single" w:sz="4" w:space="0" w:color="000000"/>
              <w:bottom w:val="single" w:sz="4" w:space="0" w:color="000000"/>
              <w:right w:val="single" w:sz="4" w:space="0" w:color="000000"/>
            </w:tcBorders>
            <w:shd w:val="clear" w:color="auto" w:fill="FFFFFF"/>
            <w:vAlign w:val="center"/>
            <w:hideMark/>
          </w:tcPr>
          <w:p w14:paraId="0ECF3624" w14:textId="57283DCE" w:rsidR="00D14058" w:rsidRDefault="00D14058">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439" w:type="dxa"/>
            <w:gridSpan w:val="5"/>
            <w:tcBorders>
              <w:top w:val="nil"/>
              <w:left w:val="single" w:sz="4" w:space="0" w:color="000000"/>
              <w:bottom w:val="single" w:sz="4" w:space="0" w:color="000000"/>
              <w:right w:val="single" w:sz="4" w:space="0" w:color="000000"/>
            </w:tcBorders>
            <w:shd w:val="clear" w:color="auto" w:fill="FFFFFF"/>
            <w:vAlign w:val="center"/>
          </w:tcPr>
          <w:p w14:paraId="043649E2" w14:textId="3DD7F48F" w:rsidR="00D14058" w:rsidRDefault="00D14058">
            <w:pPr>
              <w:jc w:val="both"/>
              <w:rPr>
                <w:rFonts w:ascii="Arial Narrow" w:eastAsia="Arial Narrow" w:hAnsi="Arial Narrow" w:cs="Arial Narrow"/>
                <w:b/>
                <w:bCs/>
                <w:sz w:val="16"/>
                <w:szCs w:val="16"/>
              </w:rPr>
            </w:pPr>
          </w:p>
        </w:tc>
      </w:tr>
    </w:tbl>
    <w:p w14:paraId="40B89F2D" w14:textId="77777777" w:rsidR="00D14058" w:rsidRDefault="00D14058" w:rsidP="00D14058">
      <w:pPr>
        <w:spacing w:line="360" w:lineRule="auto"/>
        <w:jc w:val="both"/>
        <w:rPr>
          <w:sz w:val="22"/>
          <w:szCs w:val="22"/>
        </w:rPr>
      </w:pPr>
    </w:p>
    <w:p w14:paraId="05BF557F" w14:textId="77777777" w:rsidR="00D14058" w:rsidRDefault="00D14058" w:rsidP="00D14058">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183F9BF1" w14:textId="77777777" w:rsidR="00D14058" w:rsidRDefault="00D14058" w:rsidP="00D14058">
      <w:pPr>
        <w:spacing w:line="360" w:lineRule="auto"/>
        <w:jc w:val="both"/>
        <w:rPr>
          <w:rFonts w:cs="Arial"/>
          <w:bCs/>
          <w:sz w:val="22"/>
          <w:szCs w:val="22"/>
        </w:rPr>
      </w:pPr>
    </w:p>
    <w:p w14:paraId="5B4E25DF" w14:textId="77777777" w:rsidR="00D14058" w:rsidRDefault="00D14058" w:rsidP="00D14058">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00FB420" w14:textId="77777777" w:rsidR="00D14058" w:rsidRDefault="00D14058" w:rsidP="00D14058">
      <w:pPr>
        <w:spacing w:line="360" w:lineRule="auto"/>
        <w:jc w:val="both"/>
        <w:rPr>
          <w:sz w:val="22"/>
          <w:szCs w:val="22"/>
        </w:rPr>
      </w:pPr>
    </w:p>
    <w:p w14:paraId="557E20D7" w14:textId="77777777" w:rsidR="00D14058" w:rsidRDefault="00D14058" w:rsidP="00D14058">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62BEC38D" w14:textId="77777777" w:rsidR="00D14058" w:rsidRDefault="00D14058" w:rsidP="00D14058">
      <w:pPr>
        <w:spacing w:line="360" w:lineRule="auto"/>
        <w:jc w:val="both"/>
        <w:rPr>
          <w:rFonts w:cs="Arial"/>
          <w:bCs/>
          <w:sz w:val="22"/>
          <w:szCs w:val="22"/>
        </w:rPr>
      </w:pPr>
    </w:p>
    <w:p w14:paraId="4B60E432" w14:textId="77777777" w:rsidR="00D14058" w:rsidRDefault="00D14058" w:rsidP="00D14058">
      <w:pPr>
        <w:spacing w:line="360" w:lineRule="auto"/>
        <w:jc w:val="both"/>
        <w:rPr>
          <w:rFonts w:cs="Arial"/>
          <w:sz w:val="22"/>
          <w:szCs w:val="22"/>
        </w:rPr>
      </w:pPr>
      <w:r>
        <w:rPr>
          <w:rFonts w:cs="Arial"/>
          <w:b/>
          <w:bCs/>
          <w:sz w:val="22"/>
          <w:szCs w:val="22"/>
        </w:rPr>
        <w:lastRenderedPageBreak/>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F1F2230" w14:textId="77777777" w:rsidR="00D14058" w:rsidRDefault="00D14058" w:rsidP="00D14058">
      <w:pPr>
        <w:pStyle w:val="Ttulo2"/>
        <w:spacing w:line="360" w:lineRule="auto"/>
        <w:rPr>
          <w:rFonts w:cs="Arial"/>
          <w:szCs w:val="22"/>
          <w:lang w:val="es-ES_tradnl"/>
        </w:rPr>
      </w:pPr>
      <w:r>
        <w:rPr>
          <w:rFonts w:cs="Arial"/>
          <w:szCs w:val="22"/>
        </w:rPr>
        <w:t>Acuerdo Unánime y Firme.-</w:t>
      </w:r>
    </w:p>
    <w:p w14:paraId="486F64FA" w14:textId="77777777" w:rsidR="00D14058" w:rsidRDefault="00D14058" w:rsidP="00D14058">
      <w:pPr>
        <w:spacing w:line="360" w:lineRule="auto"/>
        <w:jc w:val="both"/>
        <w:rPr>
          <w:rFonts w:cs="Arial"/>
          <w:b/>
          <w:sz w:val="22"/>
        </w:rPr>
      </w:pPr>
      <w:r>
        <w:rPr>
          <w:rFonts w:cs="Arial"/>
          <w:b/>
          <w:sz w:val="22"/>
        </w:rPr>
        <w:t>************</w:t>
      </w:r>
    </w:p>
    <w:p w14:paraId="3607905C" w14:textId="77777777" w:rsidR="002B71CC" w:rsidRDefault="002B71CC" w:rsidP="002B71CC">
      <w:pPr>
        <w:spacing w:line="360" w:lineRule="auto"/>
        <w:jc w:val="both"/>
        <w:rPr>
          <w:rFonts w:cs="Arial"/>
          <w:sz w:val="22"/>
          <w:lang w:val="es-ES_tradnl"/>
        </w:rPr>
      </w:pPr>
    </w:p>
    <w:p w14:paraId="2A1F5123" w14:textId="5E952F4D" w:rsidR="005257E4" w:rsidRPr="00AB2826" w:rsidRDefault="005257E4" w:rsidP="005257E4">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sidR="003C1026">
        <w:rPr>
          <w:rFonts w:cs="Arial"/>
          <w:szCs w:val="22"/>
        </w:rPr>
        <w:t>4</w:t>
      </w:r>
      <w:r w:rsidRPr="00AB2826">
        <w:rPr>
          <w:rFonts w:cs="Arial"/>
          <w:szCs w:val="22"/>
        </w:rPr>
        <w:t>:</w:t>
      </w:r>
    </w:p>
    <w:p w14:paraId="0E787812" w14:textId="77777777" w:rsidR="005257E4" w:rsidRDefault="005257E4" w:rsidP="005257E4">
      <w:pPr>
        <w:spacing w:line="360" w:lineRule="auto"/>
        <w:jc w:val="both"/>
        <w:rPr>
          <w:rFonts w:cs="Arial"/>
          <w:b/>
          <w:bCs/>
          <w:sz w:val="22"/>
          <w:szCs w:val="22"/>
        </w:rPr>
      </w:pPr>
      <w:r>
        <w:rPr>
          <w:rFonts w:cs="Arial"/>
          <w:b/>
          <w:bCs/>
          <w:sz w:val="22"/>
          <w:szCs w:val="22"/>
        </w:rPr>
        <w:t>Considerando:</w:t>
      </w:r>
    </w:p>
    <w:p w14:paraId="3EA30189" w14:textId="03C46507" w:rsidR="005257E4" w:rsidRDefault="005257E4" w:rsidP="005257E4">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GG-ME-1065-2022 del 26 de agosto de 2022, la Gerencia General remite y avala el informe </w:t>
      </w:r>
      <w:r>
        <w:rPr>
          <w:rFonts w:cs="Arial"/>
          <w:sz w:val="22"/>
          <w:szCs w:val="22"/>
          <w:lang w:val="es-CR"/>
        </w:rPr>
        <w:t>DF-OF-0898-2022 de la Dirección FOSUVI</w:t>
      </w:r>
      <w:r>
        <w:rPr>
          <w:rFonts w:cs="Arial"/>
          <w:bCs/>
          <w:sz w:val="22"/>
          <w:lang w:val="es-CR"/>
        </w:rPr>
        <w:t>, que contiene un resumen de los resultados del estudio efectuado</w:t>
      </w:r>
      <w:r w:rsidR="00DB02CE">
        <w:rPr>
          <w:rFonts w:cs="Arial"/>
          <w:bCs/>
          <w:sz w:val="22"/>
          <w:lang w:val="es-CR"/>
        </w:rPr>
        <w:t>, en lo que ahora interesa,</w:t>
      </w:r>
      <w:r>
        <w:rPr>
          <w:rFonts w:cs="Arial"/>
          <w:bCs/>
          <w:sz w:val="22"/>
          <w:lang w:val="es-CR"/>
        </w:rPr>
        <w:t xml:space="preserve"> a la solicitud de Grupo Mutual Alajuela – La Vivienda </w:t>
      </w:r>
      <w:r>
        <w:rPr>
          <w:rFonts w:cs="Arial"/>
          <w:bCs/>
          <w:sz w:val="22"/>
          <w:lang w:val="es-ES_tradnl"/>
        </w:rPr>
        <w:t>de Ahorro y Préstamo</w:t>
      </w:r>
      <w:r>
        <w:rPr>
          <w:rFonts w:cs="Arial"/>
          <w:bCs/>
          <w:sz w:val="22"/>
          <w:szCs w:val="22"/>
          <w:lang w:val="es-ES_tradnl"/>
        </w:rPr>
        <w:t>,</w:t>
      </w:r>
      <w:r>
        <w:rPr>
          <w:rFonts w:cs="Arial"/>
          <w:bCs/>
          <w:sz w:val="22"/>
          <w:lang w:val="es-CR"/>
        </w:rPr>
        <w:t xml:space="preserve"> para financiar </w:t>
      </w:r>
      <w:r w:rsidR="00DB02CE">
        <w:rPr>
          <w:rFonts w:cs="Arial"/>
          <w:bCs/>
          <w:sz w:val="22"/>
          <w:lang w:val="es-CR"/>
        </w:rPr>
        <w:t>una</w:t>
      </w:r>
      <w:r>
        <w:rPr>
          <w:rFonts w:cs="Arial"/>
          <w:bCs/>
          <w:sz w:val="22"/>
        </w:rPr>
        <w:t xml:space="preserve"> operaci</w:t>
      </w:r>
      <w:r w:rsidR="00DB02CE">
        <w:rPr>
          <w:rFonts w:cs="Arial"/>
          <w:bCs/>
          <w:sz w:val="22"/>
        </w:rPr>
        <w:t>ón</w:t>
      </w:r>
      <w:r>
        <w:rPr>
          <w:rFonts w:cs="Arial"/>
          <w:bCs/>
          <w:sz w:val="22"/>
        </w:rPr>
        <w:t xml:space="preserve"> individual de Bono Familiar de Vivienda, por situación de extrema necesidad, al amparo del artículo 59 de la Ley del Sistema Financiero Nacional para la Vivienda.</w:t>
      </w:r>
    </w:p>
    <w:p w14:paraId="0E7ECB0D" w14:textId="77777777" w:rsidR="005257E4" w:rsidRDefault="005257E4" w:rsidP="005257E4">
      <w:pPr>
        <w:spacing w:line="360" w:lineRule="auto"/>
        <w:jc w:val="both"/>
        <w:rPr>
          <w:rFonts w:cs="Arial"/>
          <w:bCs/>
          <w:sz w:val="22"/>
        </w:rPr>
      </w:pPr>
    </w:p>
    <w:p w14:paraId="314062E0" w14:textId="54384067" w:rsidR="005257E4" w:rsidRDefault="005257E4" w:rsidP="005257E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w:t>
      </w:r>
      <w:r w:rsidR="00DB02CE">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DB02CE">
        <w:rPr>
          <w:rFonts w:cs="Arial"/>
          <w:bCs/>
          <w:sz w:val="22"/>
          <w:szCs w:val="22"/>
        </w:rPr>
        <w:t>el</w:t>
      </w:r>
      <w:r>
        <w:rPr>
          <w:rFonts w:cs="Arial"/>
          <w:bCs/>
          <w:sz w:val="22"/>
          <w:szCs w:val="22"/>
        </w:rPr>
        <w:t xml:space="preserve"> subsidio, recomienda autorizar la emisión del respectivo bono familiar de vivienda, bajo las condiciones establecidas en el referido estudio.</w:t>
      </w:r>
    </w:p>
    <w:p w14:paraId="0E1E0B36" w14:textId="77777777" w:rsidR="005257E4" w:rsidRDefault="005257E4" w:rsidP="005257E4">
      <w:pPr>
        <w:spacing w:line="360" w:lineRule="auto"/>
        <w:jc w:val="both"/>
        <w:rPr>
          <w:rFonts w:cs="Arial"/>
          <w:bCs/>
          <w:sz w:val="22"/>
          <w:szCs w:val="22"/>
        </w:rPr>
      </w:pPr>
    </w:p>
    <w:p w14:paraId="31A0D64F" w14:textId="4CE5A223" w:rsidR="005257E4" w:rsidRDefault="005257E4" w:rsidP="005257E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esta Junta Directiva no encuentra objeción en acoger la recomendación de la Administración y, en consecuencia, lo que procede es aprobar la emisión de</w:t>
      </w:r>
      <w:r w:rsidR="00DB02CE">
        <w:rPr>
          <w:rFonts w:cs="Arial"/>
          <w:bCs/>
          <w:sz w:val="22"/>
          <w:szCs w:val="22"/>
          <w:lang w:val="es-ES_tradnl"/>
        </w:rPr>
        <w:t>l</w:t>
      </w:r>
      <w:r>
        <w:rPr>
          <w:rFonts w:cs="Arial"/>
          <w:bCs/>
          <w:sz w:val="22"/>
          <w:szCs w:val="22"/>
          <w:lang w:val="es-ES_tradnl"/>
        </w:rPr>
        <w:t xml:space="preserve"> indicado bono de vivienda, en los términos planteados en el citado informe </w:t>
      </w:r>
      <w:r>
        <w:rPr>
          <w:rFonts w:cs="Arial"/>
          <w:sz w:val="22"/>
          <w:szCs w:val="22"/>
          <w:lang w:val="es-CR"/>
        </w:rPr>
        <w:t>DF-OF-08</w:t>
      </w:r>
      <w:r w:rsidR="00DB02CE">
        <w:rPr>
          <w:rFonts w:cs="Arial"/>
          <w:sz w:val="22"/>
          <w:szCs w:val="22"/>
          <w:lang w:val="es-CR"/>
        </w:rPr>
        <w:t>98</w:t>
      </w:r>
      <w:r>
        <w:rPr>
          <w:rFonts w:cs="Arial"/>
          <w:sz w:val="22"/>
          <w:szCs w:val="22"/>
          <w:lang w:val="es-CR"/>
        </w:rPr>
        <w:t>-2022</w:t>
      </w:r>
      <w:r>
        <w:rPr>
          <w:rFonts w:cs="Arial"/>
          <w:bCs/>
          <w:sz w:val="22"/>
          <w:szCs w:val="22"/>
        </w:rPr>
        <w:t>.</w:t>
      </w:r>
    </w:p>
    <w:p w14:paraId="024A5751" w14:textId="77777777" w:rsidR="005257E4" w:rsidRDefault="005257E4" w:rsidP="005257E4">
      <w:pPr>
        <w:spacing w:line="360" w:lineRule="auto"/>
        <w:jc w:val="both"/>
        <w:rPr>
          <w:rFonts w:cs="Arial"/>
          <w:bCs/>
          <w:sz w:val="22"/>
          <w:szCs w:val="22"/>
          <w:lang w:val="es-ES_tradnl"/>
        </w:rPr>
      </w:pPr>
    </w:p>
    <w:p w14:paraId="79045DE4" w14:textId="77777777" w:rsidR="005257E4" w:rsidRDefault="005257E4" w:rsidP="005257E4">
      <w:pPr>
        <w:spacing w:line="360" w:lineRule="auto"/>
        <w:jc w:val="both"/>
        <w:rPr>
          <w:rFonts w:cs="Arial"/>
          <w:b/>
          <w:bCs/>
          <w:sz w:val="22"/>
          <w:szCs w:val="22"/>
        </w:rPr>
      </w:pPr>
      <w:r>
        <w:rPr>
          <w:rFonts w:cs="Arial"/>
          <w:b/>
          <w:bCs/>
          <w:sz w:val="22"/>
          <w:szCs w:val="22"/>
        </w:rPr>
        <w:t>Por tanto, se acuerda:</w:t>
      </w:r>
    </w:p>
    <w:p w14:paraId="3792FF1F" w14:textId="7F238822" w:rsidR="005257E4" w:rsidRDefault="005257E4" w:rsidP="005257E4">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w:t>
      </w:r>
      <w:r w:rsidR="009D6330">
        <w:rPr>
          <w:rFonts w:cs="Arial"/>
          <w:bCs/>
          <w:sz w:val="22"/>
          <w:szCs w:val="22"/>
        </w:rPr>
        <w:t>una</w:t>
      </w:r>
      <w:r>
        <w:rPr>
          <w:rFonts w:cs="Arial"/>
          <w:bCs/>
          <w:sz w:val="22"/>
          <w:szCs w:val="22"/>
        </w:rPr>
        <w:t xml:space="preserve"> operaci</w:t>
      </w:r>
      <w:r w:rsidR="009D6330">
        <w:rPr>
          <w:rFonts w:cs="Arial"/>
          <w:bCs/>
          <w:sz w:val="22"/>
          <w:szCs w:val="22"/>
        </w:rPr>
        <w:t>ón</w:t>
      </w:r>
      <w:r>
        <w:rPr>
          <w:rFonts w:cs="Arial"/>
          <w:bCs/>
          <w:sz w:val="22"/>
          <w:szCs w:val="22"/>
        </w:rPr>
        <w:t xml:space="preserve"> individual de Bono Familiar de Vivienda, por situación de extrema necesidad, de conformidad con las condiciones que se consignan en el informe </w:t>
      </w:r>
      <w:r>
        <w:rPr>
          <w:rFonts w:cs="Arial"/>
          <w:sz w:val="22"/>
          <w:szCs w:val="22"/>
          <w:lang w:val="es-CR"/>
        </w:rPr>
        <w:t xml:space="preserve">DF-OF-0898-2022 </w:t>
      </w:r>
      <w:r>
        <w:rPr>
          <w:rFonts w:cs="Arial"/>
          <w:bCs/>
          <w:sz w:val="22"/>
        </w:rPr>
        <w:t>y según el siguiente detalle:</w:t>
      </w:r>
    </w:p>
    <w:p w14:paraId="1D522C71" w14:textId="77777777" w:rsidR="005257E4" w:rsidRDefault="005257E4" w:rsidP="005257E4">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5257E4" w14:paraId="63D99A33" w14:textId="77777777" w:rsidTr="001607B0">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47FBF44" w14:textId="3AE51748" w:rsidR="005257E4" w:rsidRDefault="005257E4" w:rsidP="001607B0">
            <w:pPr>
              <w:ind w:left="87"/>
              <w:rPr>
                <w:b/>
                <w:sz w:val="20"/>
                <w:szCs w:val="20"/>
              </w:rPr>
            </w:pPr>
            <w:r>
              <w:rPr>
                <w:b/>
                <w:sz w:val="20"/>
                <w:szCs w:val="20"/>
              </w:rPr>
              <w:t xml:space="preserve">Entidad Autorizada:  </w:t>
            </w:r>
            <w:r w:rsidR="009F6CFA">
              <w:rPr>
                <w:b/>
                <w:sz w:val="20"/>
                <w:szCs w:val="20"/>
              </w:rPr>
              <w:t>Grupo</w:t>
            </w:r>
            <w:r>
              <w:rPr>
                <w:b/>
                <w:sz w:val="20"/>
                <w:szCs w:val="20"/>
              </w:rPr>
              <w:t xml:space="preserve"> </w:t>
            </w:r>
            <w:r>
              <w:rPr>
                <w:b/>
                <w:bCs/>
                <w:sz w:val="20"/>
                <w:szCs w:val="20"/>
              </w:rPr>
              <w:t xml:space="preserve">Mutual Alajuela – La Vivienda de Ahorro y Préstamo </w:t>
            </w:r>
          </w:p>
        </w:tc>
      </w:tr>
      <w:tr w:rsidR="005257E4" w14:paraId="033800A1" w14:textId="77777777" w:rsidTr="001607B0">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2DFD722B"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F1194B7"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0831A0F"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108B6261"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E49EE2B" w14:textId="77777777" w:rsidR="005257E4" w:rsidRDefault="005257E4" w:rsidP="001607B0">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542B3AD" w14:textId="77777777" w:rsidR="005257E4" w:rsidRDefault="005257E4" w:rsidP="001607B0">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AF3B555"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28074A4"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35078DAC" w14:textId="77777777" w:rsidR="005257E4" w:rsidRDefault="005257E4" w:rsidP="001607B0">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7DD2CE01"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Gastos de </w:t>
            </w:r>
            <w:r>
              <w:rPr>
                <w:rFonts w:ascii="Arial Narrow" w:eastAsia="Arial Narrow" w:hAnsi="Arial Narrow" w:cs="Arial Narrow"/>
                <w:b/>
                <w:sz w:val="16"/>
                <w:szCs w:val="16"/>
              </w:rPr>
              <w:lastRenderedPageBreak/>
              <w:t>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B360A5B" w14:textId="77777777" w:rsidR="005257E4" w:rsidRDefault="005257E4" w:rsidP="001607B0">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Monto del Bono (¢)</w:t>
            </w:r>
          </w:p>
        </w:tc>
      </w:tr>
      <w:tr w:rsidR="005257E4" w14:paraId="689E3C59" w14:textId="77777777" w:rsidTr="001607B0">
        <w:trPr>
          <w:trHeight w:val="454"/>
        </w:trPr>
        <w:tc>
          <w:tcPr>
            <w:tcW w:w="1372" w:type="dxa"/>
            <w:tcBorders>
              <w:top w:val="single" w:sz="4" w:space="0" w:color="000000"/>
              <w:left w:val="single" w:sz="4" w:space="0" w:color="000000"/>
              <w:bottom w:val="single" w:sz="4" w:space="0" w:color="000000"/>
              <w:right w:val="single" w:sz="4" w:space="0" w:color="000000"/>
            </w:tcBorders>
            <w:vAlign w:val="center"/>
            <w:hideMark/>
          </w:tcPr>
          <w:p w14:paraId="167CE37A" w14:textId="77777777" w:rsidR="005257E4" w:rsidRDefault="005257E4" w:rsidP="001607B0">
            <w:pPr>
              <w:rPr>
                <w:rFonts w:ascii="Arial Narrow" w:eastAsia="Arial Narrow" w:hAnsi="Arial Narrow" w:cs="Arial Narrow"/>
                <w:sz w:val="16"/>
                <w:szCs w:val="16"/>
              </w:rPr>
            </w:pPr>
            <w:proofErr w:type="spellStart"/>
            <w:r>
              <w:rPr>
                <w:rFonts w:ascii="Arial Narrow" w:eastAsia="Arial Narrow" w:hAnsi="Arial Narrow" w:cs="Arial Narrow"/>
                <w:sz w:val="16"/>
                <w:szCs w:val="16"/>
              </w:rPr>
              <w:t>Nororis</w:t>
            </w:r>
            <w:proofErr w:type="spellEnd"/>
            <w:r>
              <w:rPr>
                <w:rFonts w:ascii="Arial Narrow" w:eastAsia="Arial Narrow" w:hAnsi="Arial Narrow" w:cs="Arial Narrow"/>
                <w:sz w:val="16"/>
                <w:szCs w:val="16"/>
              </w:rPr>
              <w:t xml:space="preserve"> Morales Martha Adelina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2F81A2" w14:textId="77777777" w:rsidR="005257E4" w:rsidRDefault="005257E4" w:rsidP="001607B0">
            <w:pPr>
              <w:jc w:val="center"/>
              <w:rPr>
                <w:rFonts w:ascii="Arial Narrow" w:eastAsia="Arial Narrow" w:hAnsi="Arial Narrow" w:cs="Arial Narrow"/>
                <w:sz w:val="16"/>
                <w:szCs w:val="16"/>
              </w:rPr>
            </w:pPr>
            <w:r>
              <w:rPr>
                <w:rFonts w:ascii="Arial Narrow" w:eastAsia="Arial Narrow" w:hAnsi="Arial Narrow" w:cs="Arial Narrow"/>
                <w:sz w:val="16"/>
                <w:szCs w:val="16"/>
              </w:rPr>
              <w:t>155806-150214</w:t>
            </w:r>
          </w:p>
        </w:tc>
        <w:tc>
          <w:tcPr>
            <w:tcW w:w="708" w:type="dxa"/>
            <w:tcBorders>
              <w:top w:val="single" w:sz="4" w:space="0" w:color="000000"/>
              <w:left w:val="nil"/>
              <w:bottom w:val="single" w:sz="4" w:space="0" w:color="000000"/>
              <w:right w:val="single" w:sz="4" w:space="0" w:color="000000"/>
            </w:tcBorders>
            <w:vAlign w:val="center"/>
            <w:hideMark/>
          </w:tcPr>
          <w:p w14:paraId="498D0B2D" w14:textId="77777777" w:rsidR="005257E4" w:rsidRDefault="005257E4" w:rsidP="001607B0">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7-81497</w:t>
            </w:r>
          </w:p>
        </w:tc>
        <w:tc>
          <w:tcPr>
            <w:tcW w:w="720" w:type="dxa"/>
            <w:tcBorders>
              <w:top w:val="single" w:sz="4" w:space="0" w:color="000000"/>
              <w:left w:val="nil"/>
              <w:bottom w:val="single" w:sz="4" w:space="0" w:color="000000"/>
              <w:right w:val="single" w:sz="4" w:space="0" w:color="000000"/>
            </w:tcBorders>
            <w:vAlign w:val="center"/>
            <w:hideMark/>
          </w:tcPr>
          <w:p w14:paraId="42F2A9B2" w14:textId="77777777" w:rsidR="005257E4" w:rsidRDefault="005257E4" w:rsidP="001607B0">
            <w:pPr>
              <w:ind w:right="-97"/>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7264DE2A" w14:textId="77777777" w:rsidR="005257E4" w:rsidRDefault="005257E4" w:rsidP="001607B0">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14:paraId="22ABDC8F" w14:textId="77777777" w:rsidR="005257E4" w:rsidRDefault="005257E4" w:rsidP="001607B0">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vAlign w:val="center"/>
            <w:hideMark/>
          </w:tcPr>
          <w:p w14:paraId="3639119F" w14:textId="77777777" w:rsidR="005257E4" w:rsidRDefault="005257E4" w:rsidP="001607B0">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19.730.000,00</w:t>
            </w:r>
          </w:p>
        </w:tc>
        <w:tc>
          <w:tcPr>
            <w:tcW w:w="990" w:type="dxa"/>
            <w:tcBorders>
              <w:top w:val="single" w:sz="4" w:space="0" w:color="000000"/>
              <w:left w:val="nil"/>
              <w:bottom w:val="single" w:sz="4" w:space="0" w:color="000000"/>
              <w:right w:val="single" w:sz="4" w:space="0" w:color="000000"/>
            </w:tcBorders>
            <w:vAlign w:val="center"/>
            <w:hideMark/>
          </w:tcPr>
          <w:p w14:paraId="4665D907" w14:textId="77777777" w:rsidR="005257E4" w:rsidRDefault="005257E4" w:rsidP="001607B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246.064,87</w:t>
            </w:r>
          </w:p>
        </w:tc>
        <w:tc>
          <w:tcPr>
            <w:tcW w:w="849" w:type="dxa"/>
            <w:tcBorders>
              <w:top w:val="single" w:sz="4" w:space="0" w:color="000000"/>
              <w:left w:val="nil"/>
              <w:bottom w:val="single" w:sz="4" w:space="0" w:color="000000"/>
              <w:right w:val="single" w:sz="4" w:space="0" w:color="000000"/>
            </w:tcBorders>
            <w:vAlign w:val="center"/>
            <w:hideMark/>
          </w:tcPr>
          <w:p w14:paraId="4C43BA55" w14:textId="77777777" w:rsidR="005257E4" w:rsidRDefault="005257E4" w:rsidP="001607B0">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558.272,43</w:t>
            </w:r>
          </w:p>
        </w:tc>
        <w:tc>
          <w:tcPr>
            <w:tcW w:w="992" w:type="dxa"/>
            <w:tcBorders>
              <w:top w:val="single" w:sz="4" w:space="0" w:color="000000"/>
              <w:left w:val="nil"/>
              <w:bottom w:val="single" w:sz="4" w:space="0" w:color="000000"/>
              <w:right w:val="single" w:sz="4" w:space="0" w:color="000000"/>
            </w:tcBorders>
            <w:vAlign w:val="center"/>
            <w:hideMark/>
          </w:tcPr>
          <w:p w14:paraId="5D503215" w14:textId="77777777" w:rsidR="005257E4" w:rsidRDefault="005257E4" w:rsidP="001607B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20.042.207,56</w:t>
            </w:r>
          </w:p>
        </w:tc>
      </w:tr>
      <w:tr w:rsidR="005257E4" w14:paraId="5277D459" w14:textId="77777777" w:rsidTr="009D6330">
        <w:trPr>
          <w:trHeight w:val="239"/>
        </w:trPr>
        <w:tc>
          <w:tcPr>
            <w:tcW w:w="4441" w:type="dxa"/>
            <w:gridSpan w:val="6"/>
            <w:tcBorders>
              <w:top w:val="nil"/>
              <w:left w:val="single" w:sz="4" w:space="0" w:color="000000"/>
              <w:bottom w:val="single" w:sz="4" w:space="0" w:color="000000"/>
              <w:right w:val="single" w:sz="4" w:space="0" w:color="000000"/>
            </w:tcBorders>
            <w:shd w:val="clear" w:color="auto" w:fill="FFFFFF"/>
            <w:vAlign w:val="center"/>
            <w:hideMark/>
          </w:tcPr>
          <w:p w14:paraId="0487F132" w14:textId="380DAE0E" w:rsidR="005257E4" w:rsidRDefault="005257E4" w:rsidP="009D6330">
            <w:pPr>
              <w:jc w:val="both"/>
              <w:rPr>
                <w:rFonts w:ascii="Arial Narrow" w:eastAsia="Arial Narrow" w:hAnsi="Arial Narrow" w:cs="Arial Narrow"/>
                <w:sz w:val="16"/>
                <w:szCs w:val="16"/>
              </w:rPr>
            </w:pPr>
            <w:r>
              <w:rPr>
                <w:rFonts w:ascii="Arial Narrow" w:eastAsia="Arial Narrow" w:hAnsi="Arial Narrow" w:cs="Arial Narrow"/>
                <w:sz w:val="16"/>
                <w:szCs w:val="16"/>
              </w:rPr>
              <w:t>(*)</w:t>
            </w:r>
            <w:r w:rsidR="009D6330">
              <w:rPr>
                <w:rFonts w:ascii="Arial Narrow" w:eastAsia="Arial Narrow" w:hAnsi="Arial Narrow" w:cs="Arial Narrow"/>
                <w:sz w:val="16"/>
                <w:szCs w:val="16"/>
              </w:rPr>
              <w:t xml:space="preserve"> </w:t>
            </w:r>
            <w:r>
              <w:rPr>
                <w:rFonts w:ascii="Arial Narrow" w:eastAsia="Arial Narrow" w:hAnsi="Arial Narrow" w:cs="Arial Narrow"/>
                <w:sz w:val="16"/>
                <w:szCs w:val="16"/>
              </w:rPr>
              <w:t>CVE: Compra de vivienda existente</w:t>
            </w:r>
          </w:p>
        </w:tc>
        <w:tc>
          <w:tcPr>
            <w:tcW w:w="4439" w:type="dxa"/>
            <w:gridSpan w:val="5"/>
            <w:tcBorders>
              <w:top w:val="nil"/>
              <w:left w:val="single" w:sz="4" w:space="0" w:color="000000"/>
              <w:bottom w:val="single" w:sz="4" w:space="0" w:color="000000"/>
              <w:right w:val="single" w:sz="4" w:space="0" w:color="000000"/>
            </w:tcBorders>
            <w:shd w:val="clear" w:color="auto" w:fill="FFFFFF"/>
            <w:vAlign w:val="center"/>
          </w:tcPr>
          <w:p w14:paraId="28E0C87B" w14:textId="03426CB8" w:rsidR="005257E4" w:rsidRDefault="005257E4" w:rsidP="001607B0">
            <w:pPr>
              <w:jc w:val="both"/>
              <w:rPr>
                <w:rFonts w:ascii="Arial Narrow" w:eastAsia="Arial Narrow" w:hAnsi="Arial Narrow" w:cs="Arial Narrow"/>
                <w:b/>
                <w:bCs/>
                <w:sz w:val="16"/>
                <w:szCs w:val="16"/>
              </w:rPr>
            </w:pPr>
          </w:p>
        </w:tc>
      </w:tr>
    </w:tbl>
    <w:p w14:paraId="5A1A46FA" w14:textId="77777777" w:rsidR="005257E4" w:rsidRDefault="005257E4" w:rsidP="005257E4">
      <w:pPr>
        <w:spacing w:line="360" w:lineRule="auto"/>
        <w:jc w:val="both"/>
        <w:rPr>
          <w:sz w:val="22"/>
          <w:szCs w:val="22"/>
        </w:rPr>
      </w:pPr>
    </w:p>
    <w:p w14:paraId="5D89435A" w14:textId="14A14A93" w:rsidR="005257E4" w:rsidRDefault="009D6330" w:rsidP="005257E4">
      <w:pPr>
        <w:spacing w:line="360" w:lineRule="auto"/>
        <w:jc w:val="both"/>
        <w:rPr>
          <w:sz w:val="22"/>
          <w:szCs w:val="22"/>
        </w:rPr>
      </w:pPr>
      <w:r>
        <w:rPr>
          <w:b/>
          <w:bCs/>
          <w:sz w:val="22"/>
          <w:szCs w:val="22"/>
        </w:rPr>
        <w:t>2</w:t>
      </w:r>
      <w:r w:rsidR="005257E4">
        <w:rPr>
          <w:b/>
          <w:bCs/>
          <w:sz w:val="22"/>
          <w:szCs w:val="22"/>
        </w:rPr>
        <w:t>)</w:t>
      </w:r>
      <w:r w:rsidR="005257E4">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E9C43C" w14:textId="77777777" w:rsidR="005257E4" w:rsidRDefault="005257E4" w:rsidP="005257E4">
      <w:pPr>
        <w:spacing w:line="360" w:lineRule="auto"/>
        <w:jc w:val="both"/>
        <w:rPr>
          <w:sz w:val="22"/>
          <w:szCs w:val="22"/>
        </w:rPr>
      </w:pPr>
    </w:p>
    <w:p w14:paraId="241A2B42" w14:textId="1E450C07" w:rsidR="005257E4" w:rsidRDefault="009D6330" w:rsidP="005257E4">
      <w:pPr>
        <w:spacing w:line="360" w:lineRule="auto"/>
        <w:jc w:val="both"/>
        <w:rPr>
          <w:rFonts w:cs="Arial"/>
          <w:bCs/>
          <w:sz w:val="22"/>
          <w:szCs w:val="22"/>
        </w:rPr>
      </w:pPr>
      <w:r>
        <w:rPr>
          <w:rFonts w:cs="Arial"/>
          <w:b/>
          <w:bCs/>
          <w:sz w:val="22"/>
          <w:szCs w:val="22"/>
        </w:rPr>
        <w:t>3</w:t>
      </w:r>
      <w:r w:rsidR="005257E4">
        <w:rPr>
          <w:rFonts w:cs="Arial"/>
          <w:b/>
          <w:bCs/>
          <w:sz w:val="22"/>
          <w:szCs w:val="22"/>
        </w:rPr>
        <w:t>)</w:t>
      </w:r>
      <w:r w:rsidR="005257E4">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AFA4764" w14:textId="77777777" w:rsidR="005257E4" w:rsidRDefault="005257E4" w:rsidP="005257E4">
      <w:pPr>
        <w:spacing w:line="360" w:lineRule="auto"/>
        <w:jc w:val="both"/>
        <w:rPr>
          <w:rFonts w:cs="Arial"/>
          <w:bCs/>
          <w:sz w:val="22"/>
          <w:szCs w:val="22"/>
        </w:rPr>
      </w:pPr>
    </w:p>
    <w:p w14:paraId="0E917497" w14:textId="2F2554E2" w:rsidR="005257E4" w:rsidRDefault="009D6330" w:rsidP="005257E4">
      <w:pPr>
        <w:spacing w:line="360" w:lineRule="auto"/>
        <w:jc w:val="both"/>
        <w:rPr>
          <w:rFonts w:cs="Arial"/>
          <w:sz w:val="22"/>
          <w:szCs w:val="22"/>
        </w:rPr>
      </w:pPr>
      <w:r>
        <w:rPr>
          <w:rFonts w:cs="Arial"/>
          <w:b/>
          <w:bCs/>
          <w:sz w:val="22"/>
          <w:szCs w:val="22"/>
        </w:rPr>
        <w:t>4</w:t>
      </w:r>
      <w:r w:rsidR="005257E4">
        <w:rPr>
          <w:rFonts w:cs="Arial"/>
          <w:b/>
          <w:bCs/>
          <w:sz w:val="22"/>
          <w:szCs w:val="22"/>
        </w:rPr>
        <w:t>)</w:t>
      </w:r>
      <w:r w:rsidR="005257E4">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D326D3D" w14:textId="3475CA5F" w:rsidR="005257E4" w:rsidRDefault="005257E4" w:rsidP="005257E4">
      <w:pPr>
        <w:pStyle w:val="Ttulo2"/>
        <w:spacing w:line="360" w:lineRule="auto"/>
        <w:rPr>
          <w:rFonts w:cs="Arial"/>
          <w:szCs w:val="22"/>
          <w:lang w:val="es-ES_tradnl"/>
        </w:rPr>
      </w:pPr>
      <w:r>
        <w:rPr>
          <w:rFonts w:cs="Arial"/>
          <w:szCs w:val="22"/>
        </w:rPr>
        <w:t>Acuerdo por Mayoría</w:t>
      </w:r>
      <w:r w:rsidR="00561408">
        <w:rPr>
          <w:rFonts w:cs="Arial"/>
          <w:szCs w:val="22"/>
        </w:rPr>
        <w:t xml:space="preserve"> y Firme</w:t>
      </w:r>
      <w:r>
        <w:rPr>
          <w:rFonts w:cs="Arial"/>
          <w:szCs w:val="22"/>
        </w:rPr>
        <w:t>.-</w:t>
      </w:r>
    </w:p>
    <w:p w14:paraId="1295B9B2" w14:textId="77777777" w:rsidR="005257E4" w:rsidRDefault="005257E4" w:rsidP="005257E4">
      <w:pPr>
        <w:spacing w:line="360" w:lineRule="auto"/>
        <w:jc w:val="both"/>
        <w:rPr>
          <w:rFonts w:cs="Arial"/>
          <w:b/>
          <w:sz w:val="22"/>
        </w:rPr>
      </w:pPr>
      <w:r>
        <w:rPr>
          <w:rFonts w:cs="Arial"/>
          <w:b/>
          <w:sz w:val="22"/>
        </w:rPr>
        <w:t>************</w:t>
      </w:r>
    </w:p>
    <w:p w14:paraId="47A5F470" w14:textId="77777777" w:rsidR="002B71CC" w:rsidRDefault="002B71CC" w:rsidP="002B71CC">
      <w:pPr>
        <w:spacing w:line="360" w:lineRule="auto"/>
        <w:jc w:val="both"/>
        <w:rPr>
          <w:rFonts w:cs="Arial"/>
          <w:sz w:val="22"/>
          <w:lang w:val="es-ES_tradnl"/>
        </w:rPr>
      </w:pPr>
    </w:p>
    <w:p w14:paraId="7C0D05D3" w14:textId="46EF1F6B"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sidR="00FA2104">
        <w:rPr>
          <w:rFonts w:cs="Arial"/>
          <w:szCs w:val="22"/>
        </w:rPr>
        <w:t>5</w:t>
      </w:r>
      <w:r w:rsidRPr="00AB2826">
        <w:rPr>
          <w:rFonts w:cs="Arial"/>
          <w:szCs w:val="22"/>
        </w:rPr>
        <w:t>:</w:t>
      </w:r>
    </w:p>
    <w:p w14:paraId="70B59DB4" w14:textId="77777777" w:rsidR="00035BB4" w:rsidRPr="004E3077" w:rsidRDefault="00035BB4" w:rsidP="00035BB4">
      <w:pPr>
        <w:spacing w:line="360" w:lineRule="auto"/>
        <w:jc w:val="both"/>
        <w:rPr>
          <w:rFonts w:cs="Arial"/>
          <w:b/>
          <w:sz w:val="22"/>
          <w:szCs w:val="22"/>
        </w:rPr>
      </w:pPr>
      <w:r w:rsidRPr="004E3077">
        <w:rPr>
          <w:rFonts w:cs="Arial"/>
          <w:b/>
          <w:sz w:val="22"/>
          <w:szCs w:val="22"/>
        </w:rPr>
        <w:t>Considerando:</w:t>
      </w:r>
    </w:p>
    <w:p w14:paraId="026FEF31" w14:textId="41203CDD" w:rsidR="00035BB4" w:rsidRPr="004E3077" w:rsidRDefault="00035BB4" w:rsidP="00035BB4">
      <w:pPr>
        <w:spacing w:line="360" w:lineRule="auto"/>
        <w:jc w:val="both"/>
        <w:rPr>
          <w:rFonts w:cs="Arial"/>
          <w:b/>
          <w:sz w:val="22"/>
          <w:szCs w:val="22"/>
        </w:rPr>
      </w:pPr>
      <w:r w:rsidRPr="004E3077">
        <w:rPr>
          <w:rFonts w:cs="Arial"/>
          <w:b/>
          <w:sz w:val="22"/>
          <w:szCs w:val="22"/>
        </w:rPr>
        <w:t>Primero:</w:t>
      </w:r>
      <w:r w:rsidRPr="004E3077">
        <w:rPr>
          <w:rFonts w:cs="Arial"/>
          <w:sz w:val="22"/>
          <w:szCs w:val="22"/>
        </w:rPr>
        <w:t xml:space="preserve"> Que por medio del oficio GG-ME-</w:t>
      </w:r>
      <w:r>
        <w:rPr>
          <w:rFonts w:cs="Arial"/>
          <w:sz w:val="22"/>
          <w:szCs w:val="22"/>
        </w:rPr>
        <w:t>1066</w:t>
      </w:r>
      <w:r w:rsidRPr="004E3077">
        <w:rPr>
          <w:rFonts w:cs="Arial"/>
          <w:sz w:val="22"/>
          <w:szCs w:val="22"/>
        </w:rPr>
        <w:t>-202</w:t>
      </w:r>
      <w:r>
        <w:rPr>
          <w:rFonts w:cs="Arial"/>
          <w:sz w:val="22"/>
          <w:szCs w:val="22"/>
        </w:rPr>
        <w:t>2</w:t>
      </w:r>
      <w:r w:rsidRPr="004E3077">
        <w:rPr>
          <w:rFonts w:cs="Arial"/>
          <w:sz w:val="22"/>
          <w:szCs w:val="22"/>
        </w:rPr>
        <w:t xml:space="preserve"> del </w:t>
      </w:r>
      <w:r>
        <w:rPr>
          <w:rFonts w:cs="Arial"/>
          <w:sz w:val="22"/>
          <w:szCs w:val="22"/>
        </w:rPr>
        <w:t>26 de agosto</w:t>
      </w:r>
      <w:r w:rsidRPr="004E3077">
        <w:rPr>
          <w:rFonts w:cs="Arial"/>
          <w:sz w:val="22"/>
          <w:szCs w:val="22"/>
        </w:rPr>
        <w:t xml:space="preserve"> de 202</w:t>
      </w:r>
      <w:r>
        <w:rPr>
          <w:rFonts w:cs="Arial"/>
          <w:sz w:val="22"/>
          <w:szCs w:val="22"/>
        </w:rPr>
        <w:t>2</w:t>
      </w:r>
      <w:r w:rsidRPr="004E3077">
        <w:rPr>
          <w:rFonts w:cs="Arial"/>
          <w:sz w:val="22"/>
          <w:szCs w:val="22"/>
        </w:rPr>
        <w:t>, la Gerencia General avala y somete a la consideración de esta Junta Directiva, el informe DF-OF-</w:t>
      </w:r>
      <w:r>
        <w:rPr>
          <w:rFonts w:cs="Arial"/>
          <w:sz w:val="22"/>
          <w:szCs w:val="22"/>
        </w:rPr>
        <w:t>0899</w:t>
      </w:r>
      <w:r w:rsidRPr="004E3077">
        <w:rPr>
          <w:rFonts w:cs="Arial"/>
          <w:sz w:val="22"/>
          <w:szCs w:val="22"/>
        </w:rPr>
        <w:t>-202</w:t>
      </w:r>
      <w:r>
        <w:rPr>
          <w:rFonts w:cs="Arial"/>
          <w:sz w:val="22"/>
          <w:szCs w:val="22"/>
        </w:rPr>
        <w:t>2</w:t>
      </w:r>
      <w:r w:rsidRPr="004E3077">
        <w:rPr>
          <w:rFonts w:cs="Arial"/>
          <w:sz w:val="22"/>
          <w:szCs w:val="22"/>
        </w:rPr>
        <w:t xml:space="preserve"> de la Dirección FOSUVI, que contiene los resultados del estudio realizado a la solicitud de </w:t>
      </w:r>
      <w:r w:rsidRPr="00301B6D">
        <w:rPr>
          <w:rFonts w:cs="Arial"/>
          <w:sz w:val="22"/>
          <w:szCs w:val="22"/>
        </w:rPr>
        <w:t>la Mutual Cartago de Ahorro y Préstamo (MUCAP),</w:t>
      </w:r>
      <w:r w:rsidRPr="004E3077">
        <w:rPr>
          <w:rFonts w:cs="Arial"/>
          <w:sz w:val="22"/>
          <w:szCs w:val="22"/>
        </w:rPr>
        <w:t xml:space="preserve"> para </w:t>
      </w:r>
      <w:r w:rsidRPr="004E3077">
        <w:rPr>
          <w:rFonts w:cs="Arial"/>
          <w:sz w:val="22"/>
          <w:szCs w:val="22"/>
          <w:lang w:val="es-ES_tradnl"/>
        </w:rPr>
        <w:t>financiar</w:t>
      </w:r>
      <w:r w:rsidRPr="004E3077">
        <w:rPr>
          <w:rFonts w:cs="Arial"/>
          <w:sz w:val="22"/>
          <w:szCs w:val="22"/>
        </w:rPr>
        <w:t xml:space="preserve">, al amparo del artículo 59 de la Ley del Sistema Financiero Nacional para la Vivienda, actividades adicionales no contempladas originalmente en el </w:t>
      </w:r>
      <w:r w:rsidR="00B26F5A" w:rsidRPr="00AF674B">
        <w:rPr>
          <w:rFonts w:cs="Arial"/>
          <w:sz w:val="22"/>
          <w:szCs w:val="22"/>
          <w:lang w:val="es-CR"/>
        </w:rPr>
        <w:t>Anteproyecto de</w:t>
      </w:r>
      <w:r w:rsidR="00B26F5A">
        <w:rPr>
          <w:rFonts w:cs="Arial"/>
          <w:sz w:val="22"/>
          <w:szCs w:val="22"/>
          <w:lang w:val="es-CR"/>
        </w:rPr>
        <w:t>l conjunto residencial</w:t>
      </w:r>
      <w:r w:rsidR="00B26F5A" w:rsidRPr="00AF674B">
        <w:rPr>
          <w:rFonts w:cs="Arial"/>
          <w:sz w:val="22"/>
          <w:szCs w:val="22"/>
          <w:lang w:val="es-CR"/>
        </w:rPr>
        <w:t xml:space="preserve"> Nueva Angostura</w:t>
      </w:r>
      <w:r w:rsidR="00B26F5A">
        <w:rPr>
          <w:rFonts w:cs="Arial"/>
          <w:sz w:val="22"/>
          <w:szCs w:val="22"/>
          <w:lang w:val="es-CR"/>
        </w:rPr>
        <w:t xml:space="preserve">, </w:t>
      </w:r>
      <w:r w:rsidR="00B26F5A" w:rsidRPr="00301B6D">
        <w:rPr>
          <w:rFonts w:cs="Arial"/>
          <w:sz w:val="22"/>
          <w:szCs w:val="22"/>
          <w:lang w:val="es-ES_tradnl"/>
        </w:rPr>
        <w:t>a desarrollarse en el distrito La Suiza del cantón de Turrialba, provincia de Cartago, conforme lo aprobado con el acuerdo N° 7 de la sesión 07-2021, del 25 de enero de 2021</w:t>
      </w:r>
      <w:r w:rsidRPr="004E3077">
        <w:rPr>
          <w:rFonts w:cs="Arial"/>
          <w:sz w:val="22"/>
          <w:szCs w:val="22"/>
        </w:rPr>
        <w:t>.</w:t>
      </w:r>
    </w:p>
    <w:p w14:paraId="013E2806" w14:textId="4892233B" w:rsidR="00035BB4" w:rsidRDefault="00035BB4" w:rsidP="005E71B1">
      <w:pPr>
        <w:spacing w:line="360" w:lineRule="auto"/>
        <w:jc w:val="both"/>
        <w:rPr>
          <w:rFonts w:cs="Arial"/>
          <w:sz w:val="22"/>
          <w:szCs w:val="22"/>
          <w:lang w:val="es-CR"/>
        </w:rPr>
      </w:pPr>
    </w:p>
    <w:p w14:paraId="3D58E058" w14:textId="30E02A4B" w:rsidR="00B26F5A" w:rsidRDefault="00B26F5A" w:rsidP="00B26F5A">
      <w:pPr>
        <w:spacing w:line="360" w:lineRule="auto"/>
        <w:jc w:val="both"/>
        <w:rPr>
          <w:rFonts w:cs="Arial"/>
          <w:sz w:val="22"/>
          <w:szCs w:val="22"/>
          <w:lang w:val="es-CR"/>
        </w:rPr>
      </w:pPr>
      <w:r w:rsidRPr="004E3077">
        <w:rPr>
          <w:rFonts w:cs="Arial"/>
          <w:b/>
          <w:sz w:val="22"/>
          <w:szCs w:val="22"/>
          <w:lang w:val="es-ES_tradnl"/>
        </w:rPr>
        <w:t>Segundo:</w:t>
      </w:r>
      <w:r w:rsidRPr="004E3077">
        <w:rPr>
          <w:rFonts w:cs="Arial"/>
          <w:sz w:val="22"/>
          <w:szCs w:val="22"/>
          <w:lang w:val="es-ES_tradnl"/>
        </w:rPr>
        <w:t xml:space="preserve"> </w:t>
      </w:r>
      <w:proofErr w:type="gramStart"/>
      <w:r w:rsidRPr="004E3077">
        <w:rPr>
          <w:rFonts w:cs="Arial"/>
          <w:sz w:val="22"/>
          <w:szCs w:val="22"/>
          <w:lang w:val="es-ES_tradnl"/>
        </w:rPr>
        <w:t>Que</w:t>
      </w:r>
      <w:proofErr w:type="gramEnd"/>
      <w:r w:rsidRPr="004E3077">
        <w:rPr>
          <w:rFonts w:cs="Arial"/>
          <w:sz w:val="22"/>
          <w:szCs w:val="22"/>
          <w:lang w:val="es-ES_tradnl"/>
        </w:rPr>
        <w:t xml:space="preserve"> en dicho informe, la Dirección FOSUVI analiza y finalmente se manifiesta a favor de acoger la solicitud de la entidad autorizada, en el sentido de</w:t>
      </w:r>
      <w:r w:rsidRPr="004E3077">
        <w:rPr>
          <w:rFonts w:cs="Arial"/>
          <w:sz w:val="22"/>
          <w:szCs w:val="22"/>
        </w:rPr>
        <w:t xml:space="preserve"> </w:t>
      </w:r>
      <w:r w:rsidRPr="004E3077">
        <w:rPr>
          <w:rFonts w:cs="Arial"/>
          <w:sz w:val="22"/>
          <w:szCs w:val="22"/>
          <w:lang w:val="es-ES_tradnl"/>
        </w:rPr>
        <w:t>aprobar un financiamiento adicional por la suma de ¢</w:t>
      </w:r>
      <w:r>
        <w:rPr>
          <w:rFonts w:cs="Arial"/>
          <w:sz w:val="22"/>
          <w:szCs w:val="22"/>
          <w:lang w:val="es-ES_tradnl"/>
        </w:rPr>
        <w:t>807</w:t>
      </w:r>
      <w:r w:rsidRPr="004E3077">
        <w:rPr>
          <w:rFonts w:cs="Arial"/>
          <w:sz w:val="22"/>
          <w:szCs w:val="22"/>
          <w:lang w:val="es-ES_tradnl"/>
        </w:rPr>
        <w:t>.</w:t>
      </w:r>
      <w:r>
        <w:rPr>
          <w:rFonts w:cs="Arial"/>
          <w:sz w:val="22"/>
          <w:szCs w:val="22"/>
          <w:lang w:val="es-ES_tradnl"/>
        </w:rPr>
        <w:t>172</w:t>
      </w:r>
      <w:r w:rsidRPr="004E3077">
        <w:rPr>
          <w:rFonts w:cs="Arial"/>
          <w:sz w:val="22"/>
          <w:szCs w:val="22"/>
          <w:lang w:val="es-ES_tradnl"/>
        </w:rPr>
        <w:t>,</w:t>
      </w:r>
      <w:r>
        <w:rPr>
          <w:rFonts w:cs="Arial"/>
          <w:sz w:val="22"/>
          <w:szCs w:val="22"/>
          <w:lang w:val="es-ES_tradnl"/>
        </w:rPr>
        <w:t>75</w:t>
      </w:r>
      <w:r w:rsidRPr="004E3077">
        <w:rPr>
          <w:rFonts w:cs="Arial"/>
          <w:sz w:val="22"/>
          <w:szCs w:val="22"/>
          <w:lang w:val="es-ES_tradnl"/>
        </w:rPr>
        <w:t xml:space="preserve">, </w:t>
      </w:r>
      <w:r w:rsidRPr="004E3077">
        <w:rPr>
          <w:rFonts w:cs="Arial"/>
          <w:sz w:val="22"/>
          <w:szCs w:val="22"/>
          <w:lang w:val="es-CR"/>
        </w:rPr>
        <w:t>para el pago de</w:t>
      </w:r>
      <w:r>
        <w:rPr>
          <w:rFonts w:cs="Arial"/>
          <w:sz w:val="22"/>
          <w:szCs w:val="22"/>
          <w:lang w:val="es-CR"/>
        </w:rPr>
        <w:t xml:space="preserve"> </w:t>
      </w:r>
      <w:r w:rsidRPr="00B26F5A">
        <w:rPr>
          <w:rFonts w:cs="Arial"/>
          <w:sz w:val="22"/>
          <w:szCs w:val="22"/>
          <w:lang w:val="es-CR"/>
        </w:rPr>
        <w:t xml:space="preserve">impuestos y timbres </w:t>
      </w:r>
      <w:r w:rsidRPr="00B26F5A">
        <w:rPr>
          <w:rFonts w:cs="Arial"/>
          <w:sz w:val="22"/>
          <w:szCs w:val="22"/>
          <w:lang w:val="es-CR"/>
        </w:rPr>
        <w:lastRenderedPageBreak/>
        <w:t xml:space="preserve">de </w:t>
      </w:r>
      <w:r>
        <w:rPr>
          <w:rFonts w:cs="Arial"/>
          <w:sz w:val="22"/>
          <w:szCs w:val="22"/>
          <w:lang w:val="es-CR"/>
        </w:rPr>
        <w:t>l</w:t>
      </w:r>
      <w:r w:rsidRPr="00B26F5A">
        <w:rPr>
          <w:rFonts w:cs="Arial"/>
          <w:sz w:val="22"/>
          <w:szCs w:val="22"/>
          <w:lang w:val="es-CR"/>
        </w:rPr>
        <w:t>a escritura de</w:t>
      </w:r>
      <w:r>
        <w:rPr>
          <w:rFonts w:cs="Arial"/>
          <w:sz w:val="22"/>
          <w:szCs w:val="22"/>
          <w:lang w:val="es-CR"/>
        </w:rPr>
        <w:t xml:space="preserve"> </w:t>
      </w:r>
      <w:r w:rsidRPr="00B26F5A">
        <w:rPr>
          <w:rFonts w:cs="Arial"/>
          <w:sz w:val="22"/>
          <w:szCs w:val="22"/>
          <w:lang w:val="es-CR"/>
        </w:rPr>
        <w:t>donaci</w:t>
      </w:r>
      <w:r>
        <w:rPr>
          <w:rFonts w:cs="Arial"/>
          <w:sz w:val="22"/>
          <w:szCs w:val="22"/>
          <w:lang w:val="es-CR"/>
        </w:rPr>
        <w:t>ón</w:t>
      </w:r>
      <w:r w:rsidRPr="00B26F5A">
        <w:rPr>
          <w:rFonts w:cs="Arial"/>
          <w:sz w:val="22"/>
          <w:szCs w:val="22"/>
          <w:lang w:val="es-CR"/>
        </w:rPr>
        <w:t xml:space="preserve"> al </w:t>
      </w:r>
      <w:r>
        <w:rPr>
          <w:rFonts w:cs="Arial"/>
          <w:sz w:val="22"/>
          <w:szCs w:val="22"/>
          <w:lang w:val="es-CR"/>
        </w:rPr>
        <w:t>Instituto Costarricense de Acueductos y Alcantarillados (</w:t>
      </w:r>
      <w:proofErr w:type="spellStart"/>
      <w:r>
        <w:rPr>
          <w:rFonts w:cs="Arial"/>
          <w:sz w:val="22"/>
          <w:szCs w:val="22"/>
          <w:lang w:val="es-CR"/>
        </w:rPr>
        <w:t>AyA</w:t>
      </w:r>
      <w:proofErr w:type="spellEnd"/>
      <w:r>
        <w:rPr>
          <w:rFonts w:cs="Arial"/>
          <w:sz w:val="22"/>
          <w:szCs w:val="22"/>
          <w:lang w:val="es-CR"/>
        </w:rPr>
        <w:t>)</w:t>
      </w:r>
      <w:r w:rsidR="0010234D">
        <w:rPr>
          <w:rFonts w:cs="Arial"/>
          <w:sz w:val="22"/>
          <w:szCs w:val="22"/>
          <w:lang w:val="es-CR"/>
        </w:rPr>
        <w:t>, según los siguientes argumentos técnicos y jurídicos:</w:t>
      </w:r>
    </w:p>
    <w:p w14:paraId="1F28206F" w14:textId="77777777" w:rsidR="0010234D" w:rsidRDefault="0010234D" w:rsidP="00B26F5A">
      <w:pPr>
        <w:spacing w:line="360" w:lineRule="auto"/>
        <w:jc w:val="both"/>
        <w:rPr>
          <w:rFonts w:cs="Arial"/>
          <w:sz w:val="22"/>
          <w:szCs w:val="22"/>
          <w:lang w:val="es-CR"/>
        </w:rPr>
      </w:pPr>
      <w:r>
        <w:rPr>
          <w:rFonts w:cs="Arial"/>
          <w:sz w:val="22"/>
          <w:szCs w:val="22"/>
          <w:lang w:val="es-CR"/>
        </w:rPr>
        <w:t xml:space="preserve">a) </w:t>
      </w:r>
      <w:r w:rsidR="00B26F5A" w:rsidRPr="00B26F5A">
        <w:rPr>
          <w:rFonts w:cs="Arial"/>
          <w:sz w:val="22"/>
          <w:szCs w:val="22"/>
          <w:lang w:val="es-CR"/>
        </w:rPr>
        <w:t>El proyecto actualmente se encuentra en fase de dise</w:t>
      </w:r>
      <w:r w:rsidR="00B26F5A">
        <w:rPr>
          <w:rFonts w:cs="Arial"/>
          <w:sz w:val="22"/>
          <w:szCs w:val="22"/>
          <w:lang w:val="es-CR"/>
        </w:rPr>
        <w:t>ñ</w:t>
      </w:r>
      <w:r w:rsidR="00B26F5A" w:rsidRPr="00B26F5A">
        <w:rPr>
          <w:rFonts w:cs="Arial"/>
          <w:sz w:val="22"/>
          <w:szCs w:val="22"/>
          <w:lang w:val="es-CR"/>
        </w:rPr>
        <w:t>o</w:t>
      </w:r>
      <w:r>
        <w:rPr>
          <w:rFonts w:cs="Arial"/>
          <w:sz w:val="22"/>
          <w:szCs w:val="22"/>
          <w:lang w:val="es-CR"/>
        </w:rPr>
        <w:t>.  E</w:t>
      </w:r>
      <w:r w:rsidR="00B26F5A" w:rsidRPr="00B26F5A">
        <w:rPr>
          <w:rFonts w:cs="Arial"/>
          <w:sz w:val="22"/>
          <w:szCs w:val="22"/>
          <w:lang w:val="es-CR"/>
        </w:rPr>
        <w:t>l anteproyecto fue aprobado por</w:t>
      </w:r>
      <w:r w:rsidR="00B26F5A">
        <w:rPr>
          <w:rFonts w:cs="Arial"/>
          <w:sz w:val="22"/>
          <w:szCs w:val="22"/>
          <w:lang w:val="es-CR"/>
        </w:rPr>
        <w:t xml:space="preserve"> el </w:t>
      </w:r>
      <w:r w:rsidR="00B26F5A" w:rsidRPr="00B26F5A">
        <w:rPr>
          <w:rFonts w:cs="Arial"/>
          <w:sz w:val="22"/>
          <w:szCs w:val="22"/>
          <w:lang w:val="es-CR"/>
        </w:rPr>
        <w:t>Colegio Federado de Ingeniero</w:t>
      </w:r>
      <w:r>
        <w:rPr>
          <w:rFonts w:cs="Arial"/>
          <w:sz w:val="22"/>
          <w:szCs w:val="22"/>
          <w:lang w:val="es-CR"/>
        </w:rPr>
        <w:t>s</w:t>
      </w:r>
      <w:r w:rsidR="00B26F5A" w:rsidRPr="00B26F5A">
        <w:rPr>
          <w:rFonts w:cs="Arial"/>
          <w:sz w:val="22"/>
          <w:szCs w:val="22"/>
          <w:lang w:val="es-CR"/>
        </w:rPr>
        <w:t xml:space="preserve"> y de Arquitectos en su plataforma de APC. El terreno del</w:t>
      </w:r>
      <w:r w:rsidR="00B26F5A">
        <w:rPr>
          <w:rFonts w:cs="Arial"/>
          <w:sz w:val="22"/>
          <w:szCs w:val="22"/>
          <w:lang w:val="es-CR"/>
        </w:rPr>
        <w:t xml:space="preserve"> </w:t>
      </w:r>
      <w:r w:rsidR="00B26F5A" w:rsidRPr="00B26F5A">
        <w:rPr>
          <w:rFonts w:cs="Arial"/>
          <w:sz w:val="22"/>
          <w:szCs w:val="22"/>
          <w:lang w:val="es-CR"/>
        </w:rPr>
        <w:t xml:space="preserve">proyecto fue donado al BANHVI en diciembre de 2015, sin embargo, en </w:t>
      </w:r>
      <w:r w:rsidR="00B26F5A">
        <w:rPr>
          <w:rFonts w:cs="Arial"/>
          <w:sz w:val="22"/>
          <w:szCs w:val="22"/>
          <w:lang w:val="es-CR"/>
        </w:rPr>
        <w:t>l</w:t>
      </w:r>
      <w:r w:rsidR="00B26F5A" w:rsidRPr="00B26F5A">
        <w:rPr>
          <w:rFonts w:cs="Arial"/>
          <w:sz w:val="22"/>
          <w:szCs w:val="22"/>
          <w:lang w:val="es-CR"/>
        </w:rPr>
        <w:t>a nota de</w:t>
      </w:r>
      <w:r w:rsidR="00B26F5A">
        <w:rPr>
          <w:rFonts w:cs="Arial"/>
          <w:sz w:val="22"/>
          <w:szCs w:val="22"/>
          <w:lang w:val="es-CR"/>
        </w:rPr>
        <w:t xml:space="preserve"> </w:t>
      </w:r>
      <w:r w:rsidR="00B26F5A" w:rsidRPr="00B26F5A">
        <w:rPr>
          <w:rFonts w:cs="Arial"/>
          <w:sz w:val="22"/>
          <w:szCs w:val="22"/>
          <w:lang w:val="es-CR"/>
        </w:rPr>
        <w:t>capacidad h</w:t>
      </w:r>
      <w:r w:rsidR="00B26F5A">
        <w:rPr>
          <w:rFonts w:cs="Arial"/>
          <w:sz w:val="22"/>
          <w:szCs w:val="22"/>
          <w:lang w:val="es-CR"/>
        </w:rPr>
        <w:t>í</w:t>
      </w:r>
      <w:r w:rsidR="00B26F5A" w:rsidRPr="00B26F5A">
        <w:rPr>
          <w:rFonts w:cs="Arial"/>
          <w:sz w:val="22"/>
          <w:szCs w:val="22"/>
          <w:lang w:val="es-CR"/>
        </w:rPr>
        <w:t xml:space="preserve">drica otorgada por </w:t>
      </w:r>
      <w:r w:rsidR="00B26F5A">
        <w:rPr>
          <w:rFonts w:cs="Arial"/>
          <w:sz w:val="22"/>
          <w:szCs w:val="22"/>
          <w:lang w:val="es-CR"/>
        </w:rPr>
        <w:t>l</w:t>
      </w:r>
      <w:r w:rsidR="00B26F5A" w:rsidRPr="00B26F5A">
        <w:rPr>
          <w:rFonts w:cs="Arial"/>
          <w:sz w:val="22"/>
          <w:szCs w:val="22"/>
          <w:lang w:val="es-CR"/>
        </w:rPr>
        <w:t>a A</w:t>
      </w:r>
      <w:r w:rsidR="00B26F5A">
        <w:rPr>
          <w:rFonts w:cs="Arial"/>
          <w:sz w:val="22"/>
          <w:szCs w:val="22"/>
          <w:lang w:val="es-CR"/>
        </w:rPr>
        <w:t>SADA</w:t>
      </w:r>
      <w:r w:rsidR="00B26F5A" w:rsidRPr="00B26F5A">
        <w:rPr>
          <w:rFonts w:cs="Arial"/>
          <w:sz w:val="22"/>
          <w:szCs w:val="22"/>
          <w:lang w:val="es-CR"/>
        </w:rPr>
        <w:t xml:space="preserve"> de La Suiza, se indic</w:t>
      </w:r>
      <w:r w:rsidR="00B26F5A">
        <w:rPr>
          <w:rFonts w:cs="Arial"/>
          <w:sz w:val="22"/>
          <w:szCs w:val="22"/>
          <w:lang w:val="es-CR"/>
        </w:rPr>
        <w:t>ó</w:t>
      </w:r>
      <w:r w:rsidR="00B26F5A" w:rsidRPr="00B26F5A">
        <w:rPr>
          <w:rFonts w:cs="Arial"/>
          <w:sz w:val="22"/>
          <w:szCs w:val="22"/>
          <w:lang w:val="es-CR"/>
        </w:rPr>
        <w:t xml:space="preserve"> que se requer</w:t>
      </w:r>
      <w:r w:rsidR="00B26F5A">
        <w:rPr>
          <w:rFonts w:cs="Arial"/>
          <w:sz w:val="22"/>
          <w:szCs w:val="22"/>
          <w:lang w:val="es-CR"/>
        </w:rPr>
        <w:t>í</w:t>
      </w:r>
      <w:r w:rsidR="00B26F5A" w:rsidRPr="00B26F5A">
        <w:rPr>
          <w:rFonts w:cs="Arial"/>
          <w:sz w:val="22"/>
          <w:szCs w:val="22"/>
          <w:lang w:val="es-CR"/>
        </w:rPr>
        <w:t>a un tanque</w:t>
      </w:r>
      <w:r w:rsidR="00B26F5A">
        <w:rPr>
          <w:rFonts w:cs="Arial"/>
          <w:sz w:val="22"/>
          <w:szCs w:val="22"/>
          <w:lang w:val="es-CR"/>
        </w:rPr>
        <w:t xml:space="preserve"> </w:t>
      </w:r>
      <w:r w:rsidR="00B26F5A" w:rsidRPr="00B26F5A">
        <w:rPr>
          <w:rFonts w:cs="Arial"/>
          <w:sz w:val="22"/>
          <w:szCs w:val="22"/>
          <w:lang w:val="es-CR"/>
        </w:rPr>
        <w:t xml:space="preserve">de almacenamiento de </w:t>
      </w:r>
      <w:r w:rsidR="00B26F5A">
        <w:rPr>
          <w:rFonts w:cs="Arial"/>
          <w:sz w:val="22"/>
          <w:szCs w:val="22"/>
          <w:lang w:val="es-CR"/>
        </w:rPr>
        <w:t>a</w:t>
      </w:r>
      <w:r w:rsidR="00B26F5A" w:rsidRPr="00B26F5A">
        <w:rPr>
          <w:rFonts w:cs="Arial"/>
          <w:sz w:val="22"/>
          <w:szCs w:val="22"/>
          <w:lang w:val="es-CR"/>
        </w:rPr>
        <w:t xml:space="preserve">gua </w:t>
      </w:r>
      <w:r w:rsidR="00B26F5A">
        <w:rPr>
          <w:rFonts w:cs="Arial"/>
          <w:sz w:val="22"/>
          <w:szCs w:val="22"/>
          <w:lang w:val="es-CR"/>
        </w:rPr>
        <w:t>p</w:t>
      </w:r>
      <w:r w:rsidR="00B26F5A" w:rsidRPr="00B26F5A">
        <w:rPr>
          <w:rFonts w:cs="Arial"/>
          <w:sz w:val="22"/>
          <w:szCs w:val="22"/>
          <w:lang w:val="es-CR"/>
        </w:rPr>
        <w:t xml:space="preserve">otable para el desarrollo del proyecto, </w:t>
      </w:r>
      <w:r>
        <w:rPr>
          <w:rFonts w:cs="Arial"/>
          <w:sz w:val="22"/>
          <w:szCs w:val="22"/>
          <w:lang w:val="es-CR"/>
        </w:rPr>
        <w:t xml:space="preserve">y </w:t>
      </w:r>
      <w:r w:rsidR="00B26F5A">
        <w:rPr>
          <w:rFonts w:cs="Arial"/>
          <w:sz w:val="22"/>
          <w:szCs w:val="22"/>
          <w:lang w:val="es-CR"/>
        </w:rPr>
        <w:t>é</w:t>
      </w:r>
      <w:r w:rsidR="00B26F5A" w:rsidRPr="00B26F5A">
        <w:rPr>
          <w:rFonts w:cs="Arial"/>
          <w:sz w:val="22"/>
          <w:szCs w:val="22"/>
          <w:lang w:val="es-CR"/>
        </w:rPr>
        <w:t>ste no se pod</w:t>
      </w:r>
      <w:r w:rsidR="00B26F5A">
        <w:rPr>
          <w:rFonts w:cs="Arial"/>
          <w:sz w:val="22"/>
          <w:szCs w:val="22"/>
          <w:lang w:val="es-CR"/>
        </w:rPr>
        <w:t>í</w:t>
      </w:r>
      <w:r w:rsidR="00B26F5A" w:rsidRPr="00B26F5A">
        <w:rPr>
          <w:rFonts w:cs="Arial"/>
          <w:sz w:val="22"/>
          <w:szCs w:val="22"/>
          <w:lang w:val="es-CR"/>
        </w:rPr>
        <w:t>a</w:t>
      </w:r>
      <w:r w:rsidR="00B26F5A">
        <w:rPr>
          <w:rFonts w:cs="Arial"/>
          <w:sz w:val="22"/>
          <w:szCs w:val="22"/>
          <w:lang w:val="es-CR"/>
        </w:rPr>
        <w:t xml:space="preserve"> </w:t>
      </w:r>
      <w:r w:rsidR="00B26F5A" w:rsidRPr="00B26F5A">
        <w:rPr>
          <w:rFonts w:cs="Arial"/>
          <w:sz w:val="22"/>
          <w:szCs w:val="22"/>
          <w:lang w:val="es-CR"/>
        </w:rPr>
        <w:t>ubicar en el lote ya donado</w:t>
      </w:r>
      <w:r>
        <w:rPr>
          <w:rFonts w:cs="Arial"/>
          <w:sz w:val="22"/>
          <w:szCs w:val="22"/>
          <w:lang w:val="es-CR"/>
        </w:rPr>
        <w:t>.</w:t>
      </w:r>
    </w:p>
    <w:p w14:paraId="25F04E58" w14:textId="77777777" w:rsidR="000639ED" w:rsidRDefault="0010234D" w:rsidP="0078161F">
      <w:pPr>
        <w:spacing w:line="360" w:lineRule="auto"/>
        <w:jc w:val="both"/>
        <w:rPr>
          <w:rFonts w:cs="Arial"/>
          <w:sz w:val="22"/>
          <w:szCs w:val="22"/>
          <w:lang w:val="es-CR"/>
        </w:rPr>
      </w:pPr>
      <w:r>
        <w:rPr>
          <w:rFonts w:cs="Arial"/>
          <w:sz w:val="22"/>
          <w:szCs w:val="22"/>
          <w:lang w:val="es-CR"/>
        </w:rPr>
        <w:t>b) Por consiguiente, el</w:t>
      </w:r>
      <w:r w:rsidR="00B26F5A" w:rsidRPr="00B26F5A">
        <w:rPr>
          <w:rFonts w:cs="Arial"/>
          <w:sz w:val="22"/>
          <w:szCs w:val="22"/>
          <w:lang w:val="es-CR"/>
        </w:rPr>
        <w:t xml:space="preserve"> I</w:t>
      </w:r>
      <w:r>
        <w:rPr>
          <w:rFonts w:cs="Arial"/>
          <w:sz w:val="22"/>
          <w:szCs w:val="22"/>
          <w:lang w:val="es-CR"/>
        </w:rPr>
        <w:t xml:space="preserve">nstituto Costarricense de Electricidad </w:t>
      </w:r>
      <w:r w:rsidR="000639ED">
        <w:rPr>
          <w:rFonts w:cs="Arial"/>
          <w:sz w:val="22"/>
          <w:szCs w:val="22"/>
          <w:lang w:val="es-CR"/>
        </w:rPr>
        <w:t>(I</w:t>
      </w:r>
      <w:r w:rsidR="00B26F5A" w:rsidRPr="00B26F5A">
        <w:rPr>
          <w:rFonts w:cs="Arial"/>
          <w:sz w:val="22"/>
          <w:szCs w:val="22"/>
          <w:lang w:val="es-CR"/>
        </w:rPr>
        <w:t>CE</w:t>
      </w:r>
      <w:r w:rsidR="000639ED">
        <w:rPr>
          <w:rFonts w:cs="Arial"/>
          <w:sz w:val="22"/>
          <w:szCs w:val="22"/>
          <w:lang w:val="es-CR"/>
        </w:rPr>
        <w:t>)</w:t>
      </w:r>
      <w:r w:rsidR="00B26F5A" w:rsidRPr="00B26F5A">
        <w:rPr>
          <w:rFonts w:cs="Arial"/>
          <w:sz w:val="22"/>
          <w:szCs w:val="22"/>
          <w:lang w:val="es-CR"/>
        </w:rPr>
        <w:t xml:space="preserve"> va a realizar otra donaci</w:t>
      </w:r>
      <w:r w:rsidR="0078161F">
        <w:rPr>
          <w:rFonts w:cs="Arial"/>
          <w:sz w:val="22"/>
          <w:szCs w:val="22"/>
          <w:lang w:val="es-CR"/>
        </w:rPr>
        <w:t>ó</w:t>
      </w:r>
      <w:r w:rsidR="00B26F5A" w:rsidRPr="00B26F5A">
        <w:rPr>
          <w:rFonts w:cs="Arial"/>
          <w:sz w:val="22"/>
          <w:szCs w:val="22"/>
          <w:lang w:val="es-CR"/>
        </w:rPr>
        <w:t>n, en este caso el</w:t>
      </w:r>
      <w:r w:rsidR="0078161F">
        <w:rPr>
          <w:rFonts w:cs="Arial"/>
          <w:sz w:val="22"/>
          <w:szCs w:val="22"/>
          <w:lang w:val="es-CR"/>
        </w:rPr>
        <w:t xml:space="preserve"> </w:t>
      </w:r>
      <w:r w:rsidR="00B26F5A" w:rsidRPr="00B26F5A">
        <w:rPr>
          <w:rFonts w:cs="Arial"/>
          <w:sz w:val="22"/>
          <w:szCs w:val="22"/>
          <w:lang w:val="es-CR"/>
        </w:rPr>
        <w:t xml:space="preserve">traspaso es directo al </w:t>
      </w:r>
      <w:proofErr w:type="spellStart"/>
      <w:r w:rsidR="00B26F5A" w:rsidRPr="00B26F5A">
        <w:rPr>
          <w:rFonts w:cs="Arial"/>
          <w:sz w:val="22"/>
          <w:szCs w:val="22"/>
          <w:lang w:val="es-CR"/>
        </w:rPr>
        <w:t>AyA</w:t>
      </w:r>
      <w:proofErr w:type="spellEnd"/>
      <w:r w:rsidR="000639ED">
        <w:rPr>
          <w:rFonts w:cs="Arial"/>
          <w:sz w:val="22"/>
          <w:szCs w:val="22"/>
          <w:lang w:val="es-CR"/>
        </w:rPr>
        <w:t xml:space="preserve">, y para ello </w:t>
      </w:r>
      <w:r w:rsidR="0078161F" w:rsidRPr="0078161F">
        <w:rPr>
          <w:rFonts w:cs="Arial"/>
          <w:sz w:val="22"/>
          <w:szCs w:val="22"/>
          <w:lang w:val="es-CR"/>
        </w:rPr>
        <w:t xml:space="preserve">existe </w:t>
      </w:r>
      <w:r w:rsidR="0078161F">
        <w:rPr>
          <w:rFonts w:cs="Arial"/>
          <w:sz w:val="22"/>
          <w:szCs w:val="22"/>
          <w:lang w:val="es-CR"/>
        </w:rPr>
        <w:t>l</w:t>
      </w:r>
      <w:r w:rsidR="0078161F" w:rsidRPr="0078161F">
        <w:rPr>
          <w:rFonts w:cs="Arial"/>
          <w:sz w:val="22"/>
          <w:szCs w:val="22"/>
          <w:lang w:val="es-CR"/>
        </w:rPr>
        <w:t>a necesidad de cubrir los gastos por concepto de impuestos y timbres</w:t>
      </w:r>
      <w:r w:rsidR="0078161F">
        <w:rPr>
          <w:rFonts w:cs="Arial"/>
          <w:sz w:val="22"/>
          <w:szCs w:val="22"/>
          <w:lang w:val="es-CR"/>
        </w:rPr>
        <w:t xml:space="preserve"> </w:t>
      </w:r>
      <w:r w:rsidR="0078161F" w:rsidRPr="0078161F">
        <w:rPr>
          <w:rFonts w:cs="Arial"/>
          <w:sz w:val="22"/>
          <w:szCs w:val="22"/>
          <w:lang w:val="es-CR"/>
        </w:rPr>
        <w:t xml:space="preserve">de </w:t>
      </w:r>
      <w:r w:rsidR="0078161F">
        <w:rPr>
          <w:rFonts w:cs="Arial"/>
          <w:sz w:val="22"/>
          <w:szCs w:val="22"/>
          <w:lang w:val="es-CR"/>
        </w:rPr>
        <w:t>l</w:t>
      </w:r>
      <w:r w:rsidR="0078161F" w:rsidRPr="0078161F">
        <w:rPr>
          <w:rFonts w:cs="Arial"/>
          <w:sz w:val="22"/>
          <w:szCs w:val="22"/>
          <w:lang w:val="es-CR"/>
        </w:rPr>
        <w:t>a escritura de donaci</w:t>
      </w:r>
      <w:r w:rsidR="0078161F">
        <w:rPr>
          <w:rFonts w:cs="Arial"/>
          <w:sz w:val="22"/>
          <w:szCs w:val="22"/>
          <w:lang w:val="es-CR"/>
        </w:rPr>
        <w:t>ó</w:t>
      </w:r>
      <w:r w:rsidR="0078161F" w:rsidRPr="0078161F">
        <w:rPr>
          <w:rFonts w:cs="Arial"/>
          <w:sz w:val="22"/>
          <w:szCs w:val="22"/>
          <w:lang w:val="es-CR"/>
        </w:rPr>
        <w:t xml:space="preserve">n al </w:t>
      </w:r>
      <w:proofErr w:type="spellStart"/>
      <w:r w:rsidR="0078161F" w:rsidRPr="0078161F">
        <w:rPr>
          <w:rFonts w:cs="Arial"/>
          <w:sz w:val="22"/>
          <w:szCs w:val="22"/>
          <w:lang w:val="es-CR"/>
        </w:rPr>
        <w:t>A</w:t>
      </w:r>
      <w:r w:rsidR="0078161F">
        <w:rPr>
          <w:rFonts w:cs="Arial"/>
          <w:sz w:val="22"/>
          <w:szCs w:val="22"/>
          <w:lang w:val="es-CR"/>
        </w:rPr>
        <w:t>y</w:t>
      </w:r>
      <w:r w:rsidR="0078161F" w:rsidRPr="0078161F">
        <w:rPr>
          <w:rFonts w:cs="Arial"/>
          <w:sz w:val="22"/>
          <w:szCs w:val="22"/>
          <w:lang w:val="es-CR"/>
        </w:rPr>
        <w:t>A</w:t>
      </w:r>
      <w:proofErr w:type="spellEnd"/>
      <w:r w:rsidR="0078161F" w:rsidRPr="0078161F">
        <w:rPr>
          <w:rFonts w:cs="Arial"/>
          <w:sz w:val="22"/>
          <w:szCs w:val="22"/>
          <w:lang w:val="es-CR"/>
        </w:rPr>
        <w:t>.</w:t>
      </w:r>
    </w:p>
    <w:p w14:paraId="00A213FF" w14:textId="1A503C67" w:rsidR="0078161F" w:rsidRDefault="000639ED" w:rsidP="0078161F">
      <w:pPr>
        <w:spacing w:line="360" w:lineRule="auto"/>
        <w:jc w:val="both"/>
        <w:rPr>
          <w:rFonts w:cs="Arial"/>
          <w:sz w:val="22"/>
          <w:szCs w:val="22"/>
          <w:lang w:val="es-CR"/>
        </w:rPr>
      </w:pPr>
      <w:r>
        <w:rPr>
          <w:rFonts w:cs="Arial"/>
          <w:sz w:val="22"/>
          <w:szCs w:val="22"/>
          <w:lang w:val="es-CR"/>
        </w:rPr>
        <w:t xml:space="preserve">c) La donación </w:t>
      </w:r>
      <w:r w:rsidR="0078161F" w:rsidRPr="0078161F">
        <w:rPr>
          <w:rFonts w:cs="Arial"/>
          <w:sz w:val="22"/>
          <w:szCs w:val="22"/>
          <w:lang w:val="es-CR"/>
        </w:rPr>
        <w:t>de este terreno es accesori</w:t>
      </w:r>
      <w:r>
        <w:rPr>
          <w:rFonts w:cs="Arial"/>
          <w:sz w:val="22"/>
          <w:szCs w:val="22"/>
          <w:lang w:val="es-CR"/>
        </w:rPr>
        <w:t>a</w:t>
      </w:r>
      <w:r w:rsidR="0078161F" w:rsidRPr="0078161F">
        <w:rPr>
          <w:rFonts w:cs="Arial"/>
          <w:sz w:val="22"/>
          <w:szCs w:val="22"/>
          <w:lang w:val="es-CR"/>
        </w:rPr>
        <w:t xml:space="preserve"> al contrato principal, </w:t>
      </w:r>
      <w:r>
        <w:rPr>
          <w:rFonts w:cs="Arial"/>
          <w:sz w:val="22"/>
          <w:szCs w:val="22"/>
          <w:lang w:val="es-CR"/>
        </w:rPr>
        <w:t xml:space="preserve">y </w:t>
      </w:r>
      <w:r w:rsidR="0078161F" w:rsidRPr="0078161F">
        <w:rPr>
          <w:rFonts w:cs="Arial"/>
          <w:sz w:val="22"/>
          <w:szCs w:val="22"/>
          <w:lang w:val="es-CR"/>
        </w:rPr>
        <w:t>en atenci</w:t>
      </w:r>
      <w:r w:rsidR="0078161F">
        <w:rPr>
          <w:rFonts w:cs="Arial"/>
          <w:sz w:val="22"/>
          <w:szCs w:val="22"/>
          <w:lang w:val="es-CR"/>
        </w:rPr>
        <w:t>ó</w:t>
      </w:r>
      <w:r w:rsidR="0078161F" w:rsidRPr="0078161F">
        <w:rPr>
          <w:rFonts w:cs="Arial"/>
          <w:sz w:val="22"/>
          <w:szCs w:val="22"/>
          <w:lang w:val="es-CR"/>
        </w:rPr>
        <w:t>n al</w:t>
      </w:r>
      <w:r w:rsidR="0078161F">
        <w:rPr>
          <w:rFonts w:cs="Arial"/>
          <w:sz w:val="22"/>
          <w:szCs w:val="22"/>
          <w:lang w:val="es-CR"/>
        </w:rPr>
        <w:t xml:space="preserve"> </w:t>
      </w:r>
      <w:r w:rsidR="0078161F" w:rsidRPr="0078161F">
        <w:rPr>
          <w:rFonts w:cs="Arial"/>
          <w:sz w:val="22"/>
          <w:szCs w:val="22"/>
          <w:lang w:val="es-CR"/>
        </w:rPr>
        <w:t xml:space="preserve">principio legal de </w:t>
      </w:r>
      <w:r>
        <w:rPr>
          <w:rFonts w:cs="Arial"/>
          <w:sz w:val="22"/>
          <w:szCs w:val="22"/>
          <w:lang w:val="es-CR"/>
        </w:rPr>
        <w:t xml:space="preserve">que </w:t>
      </w:r>
      <w:r w:rsidR="0078161F" w:rsidRPr="0078161F">
        <w:rPr>
          <w:rFonts w:cs="Arial"/>
          <w:sz w:val="22"/>
          <w:szCs w:val="22"/>
          <w:lang w:val="es-CR"/>
        </w:rPr>
        <w:t xml:space="preserve">lo accesorio sigue el curso del principal, es necesaria </w:t>
      </w:r>
      <w:r w:rsidR="0078161F">
        <w:rPr>
          <w:rFonts w:cs="Arial"/>
          <w:sz w:val="22"/>
          <w:szCs w:val="22"/>
          <w:lang w:val="es-CR"/>
        </w:rPr>
        <w:t>l</w:t>
      </w:r>
      <w:r w:rsidR="0078161F" w:rsidRPr="0078161F">
        <w:rPr>
          <w:rFonts w:cs="Arial"/>
          <w:sz w:val="22"/>
          <w:szCs w:val="22"/>
          <w:lang w:val="es-CR"/>
        </w:rPr>
        <w:t>a donaci</w:t>
      </w:r>
      <w:r w:rsidR="0078161F">
        <w:rPr>
          <w:rFonts w:cs="Arial"/>
          <w:sz w:val="22"/>
          <w:szCs w:val="22"/>
          <w:lang w:val="es-CR"/>
        </w:rPr>
        <w:t>ó</w:t>
      </w:r>
      <w:r w:rsidR="0078161F" w:rsidRPr="0078161F">
        <w:rPr>
          <w:rFonts w:cs="Arial"/>
          <w:sz w:val="22"/>
          <w:szCs w:val="22"/>
          <w:lang w:val="es-CR"/>
        </w:rPr>
        <w:t>n de ese</w:t>
      </w:r>
      <w:r w:rsidR="0078161F">
        <w:rPr>
          <w:rFonts w:cs="Arial"/>
          <w:sz w:val="22"/>
          <w:szCs w:val="22"/>
          <w:lang w:val="es-CR"/>
        </w:rPr>
        <w:t xml:space="preserve"> </w:t>
      </w:r>
      <w:r w:rsidR="0078161F" w:rsidRPr="0078161F">
        <w:rPr>
          <w:rFonts w:cs="Arial"/>
          <w:sz w:val="22"/>
          <w:szCs w:val="22"/>
          <w:lang w:val="es-CR"/>
        </w:rPr>
        <w:t xml:space="preserve">terreno para </w:t>
      </w:r>
      <w:r w:rsidR="0078161F">
        <w:rPr>
          <w:rFonts w:cs="Arial"/>
          <w:sz w:val="22"/>
          <w:szCs w:val="22"/>
          <w:lang w:val="es-CR"/>
        </w:rPr>
        <w:t>l</w:t>
      </w:r>
      <w:r w:rsidR="0078161F" w:rsidRPr="0078161F">
        <w:rPr>
          <w:rFonts w:cs="Arial"/>
          <w:sz w:val="22"/>
          <w:szCs w:val="22"/>
          <w:lang w:val="es-CR"/>
        </w:rPr>
        <w:t>a construcci</w:t>
      </w:r>
      <w:r w:rsidR="0078161F">
        <w:rPr>
          <w:rFonts w:cs="Arial"/>
          <w:sz w:val="22"/>
          <w:szCs w:val="22"/>
          <w:lang w:val="es-CR"/>
        </w:rPr>
        <w:t>ó</w:t>
      </w:r>
      <w:r w:rsidR="0078161F" w:rsidRPr="0078161F">
        <w:rPr>
          <w:rFonts w:cs="Arial"/>
          <w:sz w:val="22"/>
          <w:szCs w:val="22"/>
          <w:lang w:val="es-CR"/>
        </w:rPr>
        <w:t>n del tanque de almacenamiento, el cual no puede ser</w:t>
      </w:r>
      <w:r w:rsidR="0078161F">
        <w:rPr>
          <w:rFonts w:cs="Arial"/>
          <w:sz w:val="22"/>
          <w:szCs w:val="22"/>
          <w:lang w:val="es-CR"/>
        </w:rPr>
        <w:t xml:space="preserve"> </w:t>
      </w:r>
      <w:r w:rsidR="0078161F" w:rsidRPr="0078161F">
        <w:rPr>
          <w:rFonts w:cs="Arial"/>
          <w:sz w:val="22"/>
          <w:szCs w:val="22"/>
          <w:lang w:val="es-CR"/>
        </w:rPr>
        <w:t>construido en el terreno ya donado, por aspectos t</w:t>
      </w:r>
      <w:r w:rsidR="0078161F">
        <w:rPr>
          <w:rFonts w:cs="Arial"/>
          <w:sz w:val="22"/>
          <w:szCs w:val="22"/>
          <w:lang w:val="es-CR"/>
        </w:rPr>
        <w:t>é</w:t>
      </w:r>
      <w:r w:rsidR="0078161F" w:rsidRPr="0078161F">
        <w:rPr>
          <w:rFonts w:cs="Arial"/>
          <w:sz w:val="22"/>
          <w:szCs w:val="22"/>
          <w:lang w:val="es-CR"/>
        </w:rPr>
        <w:t>cnicos en las pendientes de las tuber</w:t>
      </w:r>
      <w:r w:rsidR="0078161F">
        <w:rPr>
          <w:rFonts w:cs="Arial"/>
          <w:sz w:val="22"/>
          <w:szCs w:val="22"/>
          <w:lang w:val="es-CR"/>
        </w:rPr>
        <w:t>í</w:t>
      </w:r>
      <w:r w:rsidR="0078161F" w:rsidRPr="0078161F">
        <w:rPr>
          <w:rFonts w:cs="Arial"/>
          <w:sz w:val="22"/>
          <w:szCs w:val="22"/>
          <w:lang w:val="es-CR"/>
        </w:rPr>
        <w:t>as.</w:t>
      </w:r>
    </w:p>
    <w:p w14:paraId="532DC0D8" w14:textId="7E25BD60" w:rsidR="0078161F" w:rsidRDefault="000639ED" w:rsidP="0078161F">
      <w:pPr>
        <w:spacing w:line="360" w:lineRule="auto"/>
        <w:jc w:val="both"/>
        <w:rPr>
          <w:rFonts w:cs="Arial"/>
          <w:sz w:val="22"/>
          <w:szCs w:val="22"/>
          <w:lang w:val="es-CR"/>
        </w:rPr>
      </w:pPr>
      <w:r>
        <w:rPr>
          <w:rFonts w:cs="Arial"/>
          <w:sz w:val="22"/>
          <w:szCs w:val="22"/>
          <w:lang w:val="es-CR"/>
        </w:rPr>
        <w:t>d) Con el fin</w:t>
      </w:r>
      <w:r w:rsidR="0078161F" w:rsidRPr="0078161F">
        <w:rPr>
          <w:rFonts w:cs="Arial"/>
          <w:sz w:val="22"/>
          <w:szCs w:val="22"/>
          <w:lang w:val="es-CR"/>
        </w:rPr>
        <w:t xml:space="preserve"> </w:t>
      </w:r>
      <w:r w:rsidR="0078161F">
        <w:rPr>
          <w:rFonts w:cs="Arial"/>
          <w:sz w:val="22"/>
          <w:szCs w:val="22"/>
          <w:lang w:val="es-CR"/>
        </w:rPr>
        <w:t xml:space="preserve">de </w:t>
      </w:r>
      <w:r w:rsidR="0078161F" w:rsidRPr="0078161F">
        <w:rPr>
          <w:rFonts w:cs="Arial"/>
          <w:sz w:val="22"/>
          <w:szCs w:val="22"/>
          <w:lang w:val="es-CR"/>
        </w:rPr>
        <w:t>cumplir cabalmente con el objeto contractual se est</w:t>
      </w:r>
      <w:r w:rsidR="0078161F">
        <w:rPr>
          <w:rFonts w:cs="Arial"/>
          <w:sz w:val="22"/>
          <w:szCs w:val="22"/>
          <w:lang w:val="es-CR"/>
        </w:rPr>
        <w:t>á</w:t>
      </w:r>
      <w:r w:rsidR="0078161F" w:rsidRPr="0078161F">
        <w:rPr>
          <w:rFonts w:cs="Arial"/>
          <w:sz w:val="22"/>
          <w:szCs w:val="22"/>
          <w:lang w:val="es-CR"/>
        </w:rPr>
        <w:t xml:space="preserve"> dise</w:t>
      </w:r>
      <w:r w:rsidR="0078161F">
        <w:rPr>
          <w:rFonts w:cs="Arial"/>
          <w:sz w:val="22"/>
          <w:szCs w:val="22"/>
          <w:lang w:val="es-CR"/>
        </w:rPr>
        <w:t>ñ</w:t>
      </w:r>
      <w:r w:rsidR="0078161F" w:rsidRPr="0078161F">
        <w:rPr>
          <w:rFonts w:cs="Arial"/>
          <w:sz w:val="22"/>
          <w:szCs w:val="22"/>
          <w:lang w:val="es-CR"/>
        </w:rPr>
        <w:t>ando</w:t>
      </w:r>
      <w:r w:rsidR="0078161F">
        <w:rPr>
          <w:rFonts w:cs="Arial"/>
          <w:sz w:val="22"/>
          <w:szCs w:val="22"/>
          <w:lang w:val="es-CR"/>
        </w:rPr>
        <w:t xml:space="preserve"> </w:t>
      </w:r>
      <w:r>
        <w:rPr>
          <w:rFonts w:cs="Arial"/>
          <w:sz w:val="22"/>
          <w:szCs w:val="22"/>
          <w:lang w:val="es-CR"/>
        </w:rPr>
        <w:t>la</w:t>
      </w:r>
      <w:r w:rsidR="0078161F" w:rsidRPr="0078161F">
        <w:rPr>
          <w:rFonts w:cs="Arial"/>
          <w:sz w:val="22"/>
          <w:szCs w:val="22"/>
          <w:lang w:val="es-CR"/>
        </w:rPr>
        <w:t xml:space="preserve"> construcci</w:t>
      </w:r>
      <w:r w:rsidR="0078161F">
        <w:rPr>
          <w:rFonts w:cs="Arial"/>
          <w:sz w:val="22"/>
          <w:szCs w:val="22"/>
          <w:lang w:val="es-CR"/>
        </w:rPr>
        <w:t>ó</w:t>
      </w:r>
      <w:r w:rsidR="0078161F" w:rsidRPr="0078161F">
        <w:rPr>
          <w:rFonts w:cs="Arial"/>
          <w:sz w:val="22"/>
          <w:szCs w:val="22"/>
          <w:lang w:val="es-CR"/>
        </w:rPr>
        <w:t xml:space="preserve">n </w:t>
      </w:r>
      <w:r>
        <w:rPr>
          <w:rFonts w:cs="Arial"/>
          <w:sz w:val="22"/>
          <w:szCs w:val="22"/>
          <w:lang w:val="es-CR"/>
        </w:rPr>
        <w:t xml:space="preserve">del tanque de almacenamiento </w:t>
      </w:r>
      <w:r w:rsidR="0078161F" w:rsidRPr="0078161F">
        <w:rPr>
          <w:rFonts w:cs="Arial"/>
          <w:sz w:val="22"/>
          <w:szCs w:val="22"/>
          <w:lang w:val="es-CR"/>
        </w:rPr>
        <w:t>en un terreno que va a ser donado</w:t>
      </w:r>
      <w:r>
        <w:rPr>
          <w:rFonts w:cs="Arial"/>
          <w:sz w:val="22"/>
          <w:szCs w:val="22"/>
          <w:lang w:val="es-CR"/>
        </w:rPr>
        <w:t>; y s</w:t>
      </w:r>
      <w:r w:rsidR="0078161F" w:rsidRPr="0078161F">
        <w:rPr>
          <w:rFonts w:cs="Arial"/>
          <w:sz w:val="22"/>
          <w:szCs w:val="22"/>
          <w:lang w:val="es-CR"/>
        </w:rPr>
        <w:t>iendo est</w:t>
      </w:r>
      <w:r>
        <w:rPr>
          <w:rFonts w:cs="Arial"/>
          <w:sz w:val="22"/>
          <w:szCs w:val="22"/>
          <w:lang w:val="es-CR"/>
        </w:rPr>
        <w:t>e</w:t>
      </w:r>
      <w:r w:rsidR="0078161F" w:rsidRPr="0078161F">
        <w:rPr>
          <w:rFonts w:cs="Arial"/>
          <w:sz w:val="22"/>
          <w:szCs w:val="22"/>
          <w:lang w:val="es-CR"/>
        </w:rPr>
        <w:t xml:space="preserve"> aspecto accesorio al</w:t>
      </w:r>
      <w:r w:rsidR="0078161F">
        <w:rPr>
          <w:rFonts w:cs="Arial"/>
          <w:sz w:val="22"/>
          <w:szCs w:val="22"/>
          <w:lang w:val="es-CR"/>
        </w:rPr>
        <w:t xml:space="preserve"> </w:t>
      </w:r>
      <w:r w:rsidR="0078161F" w:rsidRPr="0078161F">
        <w:rPr>
          <w:rFonts w:cs="Arial"/>
          <w:sz w:val="22"/>
          <w:szCs w:val="22"/>
          <w:lang w:val="es-CR"/>
        </w:rPr>
        <w:t xml:space="preserve">contrato principal, </w:t>
      </w:r>
      <w:r w:rsidR="0078161F">
        <w:rPr>
          <w:rFonts w:cs="Arial"/>
          <w:sz w:val="22"/>
          <w:szCs w:val="22"/>
          <w:lang w:val="es-CR"/>
        </w:rPr>
        <w:t>l</w:t>
      </w:r>
      <w:r w:rsidR="0078161F" w:rsidRPr="0078161F">
        <w:rPr>
          <w:rFonts w:cs="Arial"/>
          <w:sz w:val="22"/>
          <w:szCs w:val="22"/>
          <w:lang w:val="es-CR"/>
        </w:rPr>
        <w:t>a Asesor</w:t>
      </w:r>
      <w:r w:rsidR="0078161F">
        <w:rPr>
          <w:rFonts w:cs="Arial"/>
          <w:sz w:val="22"/>
          <w:szCs w:val="22"/>
          <w:lang w:val="es-CR"/>
        </w:rPr>
        <w:t>í</w:t>
      </w:r>
      <w:r w:rsidR="0078161F" w:rsidRPr="0078161F">
        <w:rPr>
          <w:rFonts w:cs="Arial"/>
          <w:sz w:val="22"/>
          <w:szCs w:val="22"/>
          <w:lang w:val="es-CR"/>
        </w:rPr>
        <w:t xml:space="preserve">a Legal ha </w:t>
      </w:r>
      <w:r>
        <w:rPr>
          <w:rFonts w:cs="Arial"/>
          <w:sz w:val="22"/>
          <w:szCs w:val="22"/>
          <w:lang w:val="es-CR"/>
        </w:rPr>
        <w:t xml:space="preserve">afirmado </w:t>
      </w:r>
      <w:r w:rsidR="0078161F" w:rsidRPr="0078161F">
        <w:rPr>
          <w:rFonts w:cs="Arial"/>
          <w:sz w:val="22"/>
          <w:szCs w:val="22"/>
          <w:lang w:val="es-CR"/>
        </w:rPr>
        <w:t>que no</w:t>
      </w:r>
      <w:r w:rsidR="0078161F">
        <w:rPr>
          <w:rFonts w:cs="Arial"/>
          <w:sz w:val="22"/>
          <w:szCs w:val="22"/>
          <w:lang w:val="es-CR"/>
        </w:rPr>
        <w:t xml:space="preserve"> </w:t>
      </w:r>
      <w:r w:rsidR="00706047">
        <w:rPr>
          <w:rFonts w:cs="Arial"/>
          <w:sz w:val="22"/>
          <w:szCs w:val="22"/>
          <w:lang w:val="es-CR"/>
        </w:rPr>
        <w:t xml:space="preserve">encuentra </w:t>
      </w:r>
      <w:r w:rsidR="0078161F" w:rsidRPr="0078161F">
        <w:rPr>
          <w:rFonts w:cs="Arial"/>
          <w:sz w:val="22"/>
          <w:szCs w:val="22"/>
          <w:lang w:val="es-CR"/>
        </w:rPr>
        <w:t>inconveniente o aspectos</w:t>
      </w:r>
      <w:r w:rsidR="0078161F">
        <w:rPr>
          <w:rFonts w:cs="Arial"/>
          <w:sz w:val="22"/>
          <w:szCs w:val="22"/>
          <w:lang w:val="es-CR"/>
        </w:rPr>
        <w:t xml:space="preserve"> </w:t>
      </w:r>
      <w:r w:rsidR="0078161F" w:rsidRPr="0078161F">
        <w:rPr>
          <w:rFonts w:cs="Arial"/>
          <w:sz w:val="22"/>
          <w:szCs w:val="22"/>
          <w:lang w:val="es-CR"/>
        </w:rPr>
        <w:t xml:space="preserve">de ilegalidad para que </w:t>
      </w:r>
      <w:r w:rsidR="00706047">
        <w:rPr>
          <w:rFonts w:cs="Arial"/>
          <w:sz w:val="22"/>
          <w:szCs w:val="22"/>
          <w:lang w:val="es-CR"/>
        </w:rPr>
        <w:t xml:space="preserve">el BANHVI </w:t>
      </w:r>
      <w:r w:rsidR="0078161F" w:rsidRPr="0078161F">
        <w:rPr>
          <w:rFonts w:cs="Arial"/>
          <w:sz w:val="22"/>
          <w:szCs w:val="22"/>
          <w:lang w:val="es-CR"/>
        </w:rPr>
        <w:t>ampl</w:t>
      </w:r>
      <w:r w:rsidR="00706047">
        <w:rPr>
          <w:rFonts w:cs="Arial"/>
          <w:sz w:val="22"/>
          <w:szCs w:val="22"/>
          <w:lang w:val="es-CR"/>
        </w:rPr>
        <w:t>í</w:t>
      </w:r>
      <w:r w:rsidR="0078161F" w:rsidRPr="0078161F">
        <w:rPr>
          <w:rFonts w:cs="Arial"/>
          <w:sz w:val="22"/>
          <w:szCs w:val="22"/>
          <w:lang w:val="es-CR"/>
        </w:rPr>
        <w:t xml:space="preserve">e el financiamiento del contrato para atender </w:t>
      </w:r>
      <w:r>
        <w:rPr>
          <w:rFonts w:cs="Arial"/>
          <w:sz w:val="22"/>
          <w:szCs w:val="22"/>
          <w:lang w:val="es-CR"/>
        </w:rPr>
        <w:t>esta</w:t>
      </w:r>
      <w:r w:rsidR="0078161F" w:rsidRPr="0078161F">
        <w:rPr>
          <w:rFonts w:cs="Arial"/>
          <w:sz w:val="22"/>
          <w:szCs w:val="22"/>
          <w:lang w:val="es-CR"/>
        </w:rPr>
        <w:t xml:space="preserve"> actividad</w:t>
      </w:r>
      <w:r w:rsidR="0078161F">
        <w:rPr>
          <w:rFonts w:cs="Arial"/>
          <w:sz w:val="22"/>
          <w:szCs w:val="22"/>
          <w:lang w:val="es-CR"/>
        </w:rPr>
        <w:t xml:space="preserve"> </w:t>
      </w:r>
      <w:r w:rsidR="0078161F" w:rsidRPr="0078161F">
        <w:rPr>
          <w:rFonts w:cs="Arial"/>
          <w:sz w:val="22"/>
          <w:szCs w:val="22"/>
          <w:lang w:val="es-CR"/>
        </w:rPr>
        <w:t>accesoria, necesaria y urgente para el cumplimiento del objeto contractual y el</w:t>
      </w:r>
      <w:r w:rsidR="0078161F">
        <w:rPr>
          <w:rFonts w:cs="Arial"/>
          <w:sz w:val="22"/>
          <w:szCs w:val="22"/>
          <w:lang w:val="es-CR"/>
        </w:rPr>
        <w:t xml:space="preserve"> </w:t>
      </w:r>
      <w:r w:rsidR="0078161F" w:rsidRPr="0078161F">
        <w:rPr>
          <w:rFonts w:cs="Arial"/>
          <w:sz w:val="22"/>
          <w:szCs w:val="22"/>
          <w:lang w:val="es-CR"/>
        </w:rPr>
        <w:t>fin p</w:t>
      </w:r>
      <w:r w:rsidR="0078161F">
        <w:rPr>
          <w:rFonts w:cs="Arial"/>
          <w:sz w:val="22"/>
          <w:szCs w:val="22"/>
          <w:lang w:val="es-CR"/>
        </w:rPr>
        <w:t>ú</w:t>
      </w:r>
      <w:r w:rsidR="0078161F" w:rsidRPr="0078161F">
        <w:rPr>
          <w:rFonts w:cs="Arial"/>
          <w:sz w:val="22"/>
          <w:szCs w:val="22"/>
          <w:lang w:val="es-CR"/>
        </w:rPr>
        <w:t>blico.</w:t>
      </w:r>
    </w:p>
    <w:p w14:paraId="3D9AB42F" w14:textId="77777777" w:rsidR="005E71B1" w:rsidRPr="00301B6D" w:rsidRDefault="005E71B1" w:rsidP="005E71B1">
      <w:pPr>
        <w:spacing w:line="360" w:lineRule="auto"/>
        <w:jc w:val="both"/>
        <w:rPr>
          <w:rFonts w:cs="Arial"/>
          <w:sz w:val="22"/>
          <w:szCs w:val="22"/>
        </w:rPr>
      </w:pPr>
    </w:p>
    <w:p w14:paraId="72FF3CFF" w14:textId="1173BB31" w:rsidR="005E71B1" w:rsidRPr="00301B6D" w:rsidRDefault="005E71B1" w:rsidP="005E71B1">
      <w:pPr>
        <w:spacing w:line="360" w:lineRule="auto"/>
        <w:jc w:val="both"/>
        <w:rPr>
          <w:rFonts w:cs="Arial"/>
          <w:sz w:val="22"/>
          <w:szCs w:val="22"/>
        </w:rPr>
      </w:pPr>
      <w:r w:rsidRPr="00301B6D">
        <w:rPr>
          <w:rFonts w:cs="Arial"/>
          <w:b/>
          <w:bCs/>
          <w:sz w:val="22"/>
          <w:szCs w:val="22"/>
        </w:rPr>
        <w:t>Tercero:</w:t>
      </w:r>
      <w:r w:rsidRPr="00301B6D">
        <w:rPr>
          <w:rFonts w:cs="Arial"/>
          <w:sz w:val="22"/>
          <w:szCs w:val="22"/>
        </w:rPr>
        <w:t xml:space="preserve"> Que esta Junta Directiva no encuentra objeción en acoger la recomendación de la Administración en los mismos términos planteados </w:t>
      </w:r>
      <w:r>
        <w:rPr>
          <w:rFonts w:cs="Arial"/>
          <w:sz w:val="22"/>
          <w:szCs w:val="22"/>
        </w:rPr>
        <w:t xml:space="preserve">por la Dirección FOSUVI y </w:t>
      </w:r>
      <w:r w:rsidR="000639ED">
        <w:rPr>
          <w:rFonts w:cs="Arial"/>
          <w:sz w:val="22"/>
          <w:szCs w:val="22"/>
        </w:rPr>
        <w:t>avalados por la Asesoría Legal</w:t>
      </w:r>
      <w:r w:rsidRPr="00301B6D">
        <w:rPr>
          <w:rFonts w:cs="Arial"/>
          <w:sz w:val="22"/>
          <w:szCs w:val="22"/>
          <w:lang w:val="es-ES_tradnl"/>
        </w:rPr>
        <w:t>.</w:t>
      </w:r>
    </w:p>
    <w:p w14:paraId="44D3FF3E" w14:textId="77777777" w:rsidR="005E71B1" w:rsidRPr="00301B6D" w:rsidRDefault="005E71B1" w:rsidP="005E71B1">
      <w:pPr>
        <w:spacing w:line="360" w:lineRule="auto"/>
        <w:jc w:val="both"/>
        <w:rPr>
          <w:rFonts w:cs="Arial"/>
          <w:sz w:val="22"/>
          <w:szCs w:val="22"/>
        </w:rPr>
      </w:pPr>
    </w:p>
    <w:p w14:paraId="13F3CA10" w14:textId="77777777" w:rsidR="005E71B1" w:rsidRPr="00301B6D" w:rsidRDefault="005E71B1" w:rsidP="005E71B1">
      <w:pPr>
        <w:spacing w:line="360" w:lineRule="auto"/>
        <w:jc w:val="both"/>
        <w:rPr>
          <w:rFonts w:cs="Arial"/>
          <w:b/>
          <w:bCs/>
          <w:sz w:val="22"/>
          <w:szCs w:val="22"/>
        </w:rPr>
      </w:pPr>
      <w:r w:rsidRPr="00301B6D">
        <w:rPr>
          <w:rFonts w:cs="Arial"/>
          <w:b/>
          <w:bCs/>
          <w:sz w:val="22"/>
          <w:szCs w:val="22"/>
        </w:rPr>
        <w:t>Por tanto, se acuerda:</w:t>
      </w:r>
    </w:p>
    <w:p w14:paraId="09709EF7" w14:textId="2F4D5A1A" w:rsidR="00AF2F60" w:rsidRDefault="005E71B1" w:rsidP="00AF2F60">
      <w:pPr>
        <w:spacing w:line="360" w:lineRule="auto"/>
        <w:jc w:val="both"/>
        <w:rPr>
          <w:rFonts w:cs="Arial"/>
          <w:sz w:val="22"/>
          <w:szCs w:val="22"/>
          <w:lang w:val="es-CR"/>
        </w:rPr>
      </w:pPr>
      <w:r w:rsidRPr="00301B6D">
        <w:rPr>
          <w:rFonts w:cs="Arial"/>
          <w:b/>
          <w:bCs/>
          <w:sz w:val="22"/>
          <w:szCs w:val="22"/>
          <w:lang w:val="es-CR"/>
        </w:rPr>
        <w:t>1)</w:t>
      </w:r>
      <w:r w:rsidRPr="00301B6D">
        <w:rPr>
          <w:rFonts w:cs="Arial"/>
          <w:sz w:val="22"/>
          <w:szCs w:val="22"/>
          <w:lang w:val="es-CR"/>
        </w:rPr>
        <w:t xml:space="preserve"> Autorizar a la Mutual Cartago </w:t>
      </w:r>
      <w:r w:rsidRPr="00301B6D">
        <w:rPr>
          <w:rFonts w:cs="Arial"/>
          <w:sz w:val="22"/>
          <w:szCs w:val="22"/>
          <w:lang w:val="es-ES_tradnl"/>
        </w:rPr>
        <w:t xml:space="preserve">de Ahorro y Préstamo, para el proyecto Nueva Angostura, </w:t>
      </w:r>
      <w:r w:rsidR="00AF2F60">
        <w:rPr>
          <w:rFonts w:cs="Arial"/>
          <w:sz w:val="22"/>
          <w:szCs w:val="22"/>
          <w:lang w:val="es-ES_tradnl"/>
        </w:rPr>
        <w:t xml:space="preserve">un financiamiento </w:t>
      </w:r>
      <w:r w:rsidR="00AF2F60" w:rsidRPr="00AF2F60">
        <w:rPr>
          <w:rFonts w:cs="Arial"/>
          <w:sz w:val="22"/>
          <w:szCs w:val="22"/>
          <w:lang w:val="es-CR"/>
        </w:rPr>
        <w:t xml:space="preserve">adicional </w:t>
      </w:r>
      <w:r w:rsidR="00AF2F60">
        <w:rPr>
          <w:rFonts w:cs="Arial"/>
          <w:sz w:val="22"/>
          <w:szCs w:val="22"/>
          <w:lang w:val="es-CR"/>
        </w:rPr>
        <w:t xml:space="preserve">por un monto de </w:t>
      </w:r>
      <w:r w:rsidR="00D74FC8">
        <w:rPr>
          <w:rFonts w:cs="Arial"/>
          <w:sz w:val="22"/>
          <w:szCs w:val="22"/>
          <w:lang w:val="es-CR"/>
        </w:rPr>
        <w:t xml:space="preserve">hasta </w:t>
      </w:r>
      <w:r w:rsidR="00AF2F60">
        <w:rPr>
          <w:rFonts w:cs="Arial"/>
          <w:sz w:val="22"/>
          <w:szCs w:val="22"/>
          <w:lang w:val="es-CR"/>
        </w:rPr>
        <w:t xml:space="preserve">¢807.172,75 </w:t>
      </w:r>
      <w:r w:rsidR="00AF2F60" w:rsidRPr="00AF2F60">
        <w:rPr>
          <w:rFonts w:cs="Arial"/>
          <w:sz w:val="22"/>
          <w:szCs w:val="22"/>
          <w:lang w:val="es-CR"/>
        </w:rPr>
        <w:t>(ochocientos siete mil ciento setenta</w:t>
      </w:r>
      <w:r w:rsidR="00AF2F60">
        <w:rPr>
          <w:rFonts w:cs="Arial"/>
          <w:sz w:val="22"/>
          <w:szCs w:val="22"/>
          <w:lang w:val="es-CR"/>
        </w:rPr>
        <w:t xml:space="preserve"> </w:t>
      </w:r>
      <w:r w:rsidR="00AF2F60" w:rsidRPr="00AF2F60">
        <w:rPr>
          <w:rFonts w:cs="Arial"/>
          <w:sz w:val="22"/>
          <w:szCs w:val="22"/>
          <w:lang w:val="es-CR"/>
        </w:rPr>
        <w:t>y dos colones con 75/100)</w:t>
      </w:r>
      <w:r w:rsidR="00AF2F60">
        <w:rPr>
          <w:rFonts w:cs="Arial"/>
          <w:sz w:val="22"/>
          <w:szCs w:val="22"/>
          <w:lang w:val="es-CR"/>
        </w:rPr>
        <w:t xml:space="preserve">, </w:t>
      </w:r>
      <w:r w:rsidR="00AF2F60" w:rsidRPr="00AF2F60">
        <w:rPr>
          <w:rFonts w:cs="Arial"/>
          <w:sz w:val="22"/>
          <w:szCs w:val="22"/>
          <w:lang w:val="es-CR"/>
        </w:rPr>
        <w:t xml:space="preserve">para </w:t>
      </w:r>
      <w:r w:rsidR="00AF2F60">
        <w:rPr>
          <w:rFonts w:cs="Arial"/>
          <w:sz w:val="22"/>
          <w:szCs w:val="22"/>
          <w:lang w:val="es-CR"/>
        </w:rPr>
        <w:t>l</w:t>
      </w:r>
      <w:r w:rsidR="00AF2F60" w:rsidRPr="00AF2F60">
        <w:rPr>
          <w:rFonts w:cs="Arial"/>
          <w:sz w:val="22"/>
          <w:szCs w:val="22"/>
          <w:lang w:val="es-CR"/>
        </w:rPr>
        <w:t xml:space="preserve">a cobertura </w:t>
      </w:r>
      <w:r w:rsidR="00AF2F60">
        <w:rPr>
          <w:rFonts w:cs="Arial"/>
          <w:sz w:val="22"/>
          <w:szCs w:val="22"/>
          <w:lang w:val="es-CR"/>
        </w:rPr>
        <w:t xml:space="preserve">de </w:t>
      </w:r>
      <w:r w:rsidR="00AF2F60" w:rsidRPr="00AF2F60">
        <w:rPr>
          <w:rFonts w:cs="Arial"/>
          <w:sz w:val="22"/>
          <w:szCs w:val="22"/>
          <w:lang w:val="es-CR"/>
        </w:rPr>
        <w:t xml:space="preserve">gastos por concepto de impuestos y timbres de </w:t>
      </w:r>
      <w:r w:rsidR="00AF2F60">
        <w:rPr>
          <w:rFonts w:cs="Arial"/>
          <w:sz w:val="22"/>
          <w:szCs w:val="22"/>
          <w:lang w:val="es-CR"/>
        </w:rPr>
        <w:t>l</w:t>
      </w:r>
      <w:r w:rsidR="00AF2F60" w:rsidRPr="00AF2F60">
        <w:rPr>
          <w:rFonts w:cs="Arial"/>
          <w:sz w:val="22"/>
          <w:szCs w:val="22"/>
          <w:lang w:val="es-CR"/>
        </w:rPr>
        <w:t>a escritura de</w:t>
      </w:r>
      <w:r w:rsidR="00AF2F60">
        <w:rPr>
          <w:rFonts w:cs="Arial"/>
          <w:sz w:val="22"/>
          <w:szCs w:val="22"/>
          <w:lang w:val="es-CR"/>
        </w:rPr>
        <w:t xml:space="preserve"> </w:t>
      </w:r>
      <w:r w:rsidR="00AF2F60" w:rsidRPr="00AF2F60">
        <w:rPr>
          <w:rFonts w:cs="Arial"/>
          <w:sz w:val="22"/>
          <w:szCs w:val="22"/>
          <w:lang w:val="es-CR"/>
        </w:rPr>
        <w:t>donaci</w:t>
      </w:r>
      <w:r w:rsidR="00AF2F60">
        <w:rPr>
          <w:rFonts w:cs="Arial"/>
          <w:sz w:val="22"/>
          <w:szCs w:val="22"/>
          <w:lang w:val="es-CR"/>
        </w:rPr>
        <w:t>ó</w:t>
      </w:r>
      <w:r w:rsidR="00AF2F60" w:rsidRPr="00AF2F60">
        <w:rPr>
          <w:rFonts w:cs="Arial"/>
          <w:sz w:val="22"/>
          <w:szCs w:val="22"/>
          <w:lang w:val="es-CR"/>
        </w:rPr>
        <w:t xml:space="preserve">n al </w:t>
      </w:r>
      <w:proofErr w:type="spellStart"/>
      <w:r w:rsidR="00AF2F60" w:rsidRPr="00AF2F60">
        <w:rPr>
          <w:rFonts w:cs="Arial"/>
          <w:sz w:val="22"/>
          <w:szCs w:val="22"/>
          <w:lang w:val="es-CR"/>
        </w:rPr>
        <w:t>A</w:t>
      </w:r>
      <w:r w:rsidR="00AF2F60">
        <w:rPr>
          <w:rFonts w:cs="Arial"/>
          <w:sz w:val="22"/>
          <w:szCs w:val="22"/>
          <w:lang w:val="es-CR"/>
        </w:rPr>
        <w:t>y</w:t>
      </w:r>
      <w:r w:rsidR="00AF2F60" w:rsidRPr="00AF2F60">
        <w:rPr>
          <w:rFonts w:cs="Arial"/>
          <w:sz w:val="22"/>
          <w:szCs w:val="22"/>
          <w:lang w:val="es-CR"/>
        </w:rPr>
        <w:t>A</w:t>
      </w:r>
      <w:proofErr w:type="spellEnd"/>
      <w:r w:rsidR="00AF2F60">
        <w:rPr>
          <w:rFonts w:cs="Arial"/>
          <w:sz w:val="22"/>
          <w:szCs w:val="22"/>
          <w:lang w:val="es-CR"/>
        </w:rPr>
        <w:t>.</w:t>
      </w:r>
    </w:p>
    <w:p w14:paraId="4CB3D3AF" w14:textId="77777777" w:rsidR="00AF2F60" w:rsidRDefault="00AF2F60" w:rsidP="00AF2F60">
      <w:pPr>
        <w:spacing w:line="360" w:lineRule="auto"/>
        <w:jc w:val="both"/>
        <w:rPr>
          <w:rFonts w:cs="Arial"/>
          <w:sz w:val="22"/>
          <w:szCs w:val="22"/>
          <w:lang w:val="es-CR"/>
        </w:rPr>
      </w:pPr>
    </w:p>
    <w:p w14:paraId="3F507DF9" w14:textId="7474BE78" w:rsidR="00AF2F60" w:rsidRPr="00AF2F60" w:rsidRDefault="00AF2F60" w:rsidP="00AF2F60">
      <w:pPr>
        <w:spacing w:line="360" w:lineRule="auto"/>
        <w:jc w:val="both"/>
        <w:rPr>
          <w:rFonts w:cs="Arial"/>
          <w:sz w:val="22"/>
          <w:szCs w:val="22"/>
          <w:lang w:val="es-CR"/>
        </w:rPr>
      </w:pPr>
      <w:r w:rsidRPr="009E25A5">
        <w:rPr>
          <w:rFonts w:cs="Arial"/>
          <w:b/>
          <w:bCs/>
          <w:sz w:val="22"/>
          <w:szCs w:val="22"/>
          <w:lang w:val="es-CR"/>
        </w:rPr>
        <w:t>2)</w:t>
      </w:r>
      <w:r>
        <w:rPr>
          <w:rFonts w:cs="Arial"/>
          <w:sz w:val="22"/>
          <w:szCs w:val="22"/>
          <w:lang w:val="es-CR"/>
        </w:rPr>
        <w:t xml:space="preserve"> Se instruye a la MUCAP para</w:t>
      </w:r>
      <w:r w:rsidRPr="00AF2F60">
        <w:rPr>
          <w:rFonts w:cs="Arial"/>
          <w:sz w:val="22"/>
          <w:szCs w:val="22"/>
          <w:lang w:val="es-CR"/>
        </w:rPr>
        <w:t xml:space="preserve"> que proceda y gestione </w:t>
      </w:r>
      <w:r>
        <w:rPr>
          <w:rFonts w:cs="Arial"/>
          <w:sz w:val="22"/>
          <w:szCs w:val="22"/>
          <w:lang w:val="es-CR"/>
        </w:rPr>
        <w:t>l</w:t>
      </w:r>
      <w:r w:rsidRPr="00AF2F60">
        <w:rPr>
          <w:rFonts w:cs="Arial"/>
          <w:sz w:val="22"/>
          <w:szCs w:val="22"/>
          <w:lang w:val="es-CR"/>
        </w:rPr>
        <w:t xml:space="preserve">a </w:t>
      </w:r>
      <w:r>
        <w:rPr>
          <w:rFonts w:cs="Arial"/>
          <w:sz w:val="22"/>
          <w:szCs w:val="22"/>
          <w:lang w:val="es-CR"/>
        </w:rPr>
        <w:t xml:space="preserve">respectiva </w:t>
      </w:r>
      <w:r w:rsidRPr="00AF2F60">
        <w:rPr>
          <w:rFonts w:cs="Arial"/>
          <w:sz w:val="22"/>
          <w:szCs w:val="22"/>
          <w:lang w:val="es-CR"/>
        </w:rPr>
        <w:t>donaci</w:t>
      </w:r>
      <w:r>
        <w:rPr>
          <w:rFonts w:cs="Arial"/>
          <w:sz w:val="22"/>
          <w:szCs w:val="22"/>
          <w:lang w:val="es-CR"/>
        </w:rPr>
        <w:t>ó</w:t>
      </w:r>
      <w:r w:rsidRPr="00AF2F60">
        <w:rPr>
          <w:rFonts w:cs="Arial"/>
          <w:sz w:val="22"/>
          <w:szCs w:val="22"/>
          <w:lang w:val="es-CR"/>
        </w:rPr>
        <w:t>n, realice el</w:t>
      </w:r>
    </w:p>
    <w:p w14:paraId="26A3C541" w14:textId="3DBBF1E9" w:rsidR="00AF2F60" w:rsidRDefault="00AF2F60" w:rsidP="00AF2F60">
      <w:pPr>
        <w:spacing w:line="360" w:lineRule="auto"/>
        <w:jc w:val="both"/>
        <w:rPr>
          <w:rFonts w:cs="Arial"/>
          <w:sz w:val="22"/>
          <w:szCs w:val="22"/>
          <w:lang w:val="es-ES_tradnl"/>
        </w:rPr>
      </w:pPr>
      <w:r w:rsidRPr="00AF2F60">
        <w:rPr>
          <w:rFonts w:cs="Arial"/>
          <w:sz w:val="22"/>
          <w:szCs w:val="22"/>
          <w:lang w:val="es-CR"/>
        </w:rPr>
        <w:t>pago de</w:t>
      </w:r>
      <w:r>
        <w:rPr>
          <w:rFonts w:cs="Arial"/>
          <w:sz w:val="22"/>
          <w:szCs w:val="22"/>
          <w:lang w:val="es-CR"/>
        </w:rPr>
        <w:t>l</w:t>
      </w:r>
      <w:r w:rsidRPr="00AF2F60">
        <w:rPr>
          <w:rFonts w:cs="Arial"/>
          <w:sz w:val="22"/>
          <w:szCs w:val="22"/>
          <w:lang w:val="es-CR"/>
        </w:rPr>
        <w:t xml:space="preserve"> traspaso y liquide el monto correspondiente.</w:t>
      </w:r>
    </w:p>
    <w:p w14:paraId="35FDBCED" w14:textId="7309076D" w:rsidR="002B71CC" w:rsidRPr="00AB2826" w:rsidRDefault="002B71CC" w:rsidP="002B71CC">
      <w:pPr>
        <w:pStyle w:val="Ttulo2"/>
        <w:spacing w:line="360" w:lineRule="auto"/>
        <w:rPr>
          <w:rFonts w:cs="Arial"/>
          <w:szCs w:val="22"/>
          <w:lang w:val="es-ES_tradnl"/>
        </w:rPr>
      </w:pPr>
      <w:r w:rsidRPr="00AB2826">
        <w:rPr>
          <w:rFonts w:cs="Arial"/>
          <w:szCs w:val="22"/>
        </w:rPr>
        <w:lastRenderedPageBreak/>
        <w:t xml:space="preserve">Acuerdo </w:t>
      </w:r>
      <w:r w:rsidR="009E25A5">
        <w:rPr>
          <w:rFonts w:cs="Arial"/>
          <w:szCs w:val="22"/>
        </w:rPr>
        <w:t>por Mayoría</w:t>
      </w:r>
      <w:r>
        <w:rPr>
          <w:rFonts w:cs="Arial"/>
          <w:szCs w:val="22"/>
        </w:rPr>
        <w:t xml:space="preserve"> y Firme</w:t>
      </w:r>
      <w:r w:rsidRPr="00AB2826">
        <w:rPr>
          <w:rFonts w:cs="Arial"/>
          <w:szCs w:val="22"/>
        </w:rPr>
        <w:t>.-</w:t>
      </w:r>
    </w:p>
    <w:p w14:paraId="6245A224" w14:textId="77777777" w:rsidR="002B71CC" w:rsidRPr="00D14EAF" w:rsidRDefault="002B71CC" w:rsidP="002B71CC">
      <w:pPr>
        <w:spacing w:line="360" w:lineRule="auto"/>
        <w:jc w:val="both"/>
        <w:rPr>
          <w:rFonts w:cs="Arial"/>
          <w:b/>
          <w:sz w:val="22"/>
        </w:rPr>
      </w:pPr>
      <w:r w:rsidRPr="00D14EAF">
        <w:rPr>
          <w:rFonts w:cs="Arial"/>
          <w:b/>
          <w:sz w:val="22"/>
        </w:rPr>
        <w:t>************</w:t>
      </w:r>
    </w:p>
    <w:p w14:paraId="246A3B50" w14:textId="77777777" w:rsidR="002B71CC" w:rsidRDefault="002B71CC" w:rsidP="002B71CC">
      <w:pPr>
        <w:spacing w:line="360" w:lineRule="auto"/>
        <w:jc w:val="both"/>
        <w:rPr>
          <w:rFonts w:cs="Arial"/>
          <w:sz w:val="22"/>
          <w:szCs w:val="22"/>
        </w:rPr>
      </w:pPr>
    </w:p>
    <w:p w14:paraId="1A7225AF" w14:textId="068567E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w:t>
      </w:r>
      <w:r w:rsidR="00FA2104">
        <w:rPr>
          <w:rFonts w:cs="Arial"/>
          <w:szCs w:val="22"/>
        </w:rPr>
        <w:t>6</w:t>
      </w:r>
      <w:r w:rsidRPr="00AB2826">
        <w:rPr>
          <w:rFonts w:cs="Arial"/>
          <w:szCs w:val="22"/>
        </w:rPr>
        <w:t>:</w:t>
      </w:r>
    </w:p>
    <w:p w14:paraId="4C71901A" w14:textId="77777777" w:rsidR="0012456C" w:rsidRPr="00B346F1" w:rsidRDefault="0012456C" w:rsidP="0012456C">
      <w:pPr>
        <w:spacing w:line="360" w:lineRule="auto"/>
        <w:jc w:val="both"/>
        <w:rPr>
          <w:rFonts w:cs="Arial"/>
          <w:b/>
          <w:bCs/>
          <w:sz w:val="22"/>
          <w:szCs w:val="22"/>
        </w:rPr>
      </w:pPr>
      <w:r w:rsidRPr="00B346F1">
        <w:rPr>
          <w:rFonts w:cs="Arial"/>
          <w:b/>
          <w:bCs/>
          <w:sz w:val="22"/>
          <w:szCs w:val="22"/>
        </w:rPr>
        <w:t>Considerando:</w:t>
      </w:r>
    </w:p>
    <w:p w14:paraId="3BB2114F" w14:textId="62DD0D8B" w:rsidR="0012456C" w:rsidRDefault="0012456C" w:rsidP="0012456C">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sidR="0036150B">
        <w:rPr>
          <w:rFonts w:cs="Arial"/>
          <w:sz w:val="22"/>
          <w:szCs w:val="22"/>
        </w:rPr>
        <w:t>1038</w:t>
      </w:r>
      <w:r w:rsidRPr="00B346F1">
        <w:rPr>
          <w:rFonts w:cs="Arial"/>
          <w:sz w:val="22"/>
          <w:szCs w:val="22"/>
        </w:rPr>
        <w:t>-20</w:t>
      </w:r>
      <w:r>
        <w:rPr>
          <w:rFonts w:cs="Arial"/>
          <w:sz w:val="22"/>
          <w:szCs w:val="22"/>
        </w:rPr>
        <w:t>22</w:t>
      </w:r>
      <w:r w:rsidRPr="00B346F1">
        <w:rPr>
          <w:rFonts w:cs="Arial"/>
          <w:sz w:val="22"/>
          <w:szCs w:val="22"/>
        </w:rPr>
        <w:t xml:space="preserve"> del </w:t>
      </w:r>
      <w:r w:rsidR="0036150B">
        <w:rPr>
          <w:rFonts w:cs="Arial"/>
          <w:sz w:val="22"/>
          <w:szCs w:val="22"/>
        </w:rPr>
        <w:t>19</w:t>
      </w:r>
      <w:r>
        <w:rPr>
          <w:rFonts w:cs="Arial"/>
          <w:sz w:val="22"/>
          <w:szCs w:val="22"/>
        </w:rPr>
        <w:t xml:space="preserve"> de </w:t>
      </w:r>
      <w:r w:rsidR="0036150B">
        <w:rPr>
          <w:rFonts w:cs="Arial"/>
          <w:sz w:val="22"/>
          <w:szCs w:val="22"/>
        </w:rPr>
        <w:t>agosto</w:t>
      </w:r>
      <w:r>
        <w:rPr>
          <w:rFonts w:cs="Arial"/>
          <w:sz w:val="22"/>
          <w:szCs w:val="22"/>
        </w:rPr>
        <w:t xml:space="preserve"> de 2022</w:t>
      </w:r>
      <w:r w:rsidRPr="00B346F1">
        <w:rPr>
          <w:rFonts w:cs="Arial"/>
          <w:sz w:val="22"/>
          <w:szCs w:val="22"/>
        </w:rPr>
        <w:t xml:space="preserve">, </w:t>
      </w:r>
      <w:r>
        <w:rPr>
          <w:rFonts w:cs="Arial"/>
          <w:sz w:val="22"/>
          <w:szCs w:val="22"/>
        </w:rPr>
        <w:t xml:space="preserve">la </w:t>
      </w:r>
      <w:r w:rsidRPr="002C1873">
        <w:rPr>
          <w:rFonts w:cs="Arial"/>
          <w:sz w:val="22"/>
          <w:szCs w:val="22"/>
          <w:lang w:val="es-ES_tradnl"/>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w:t>
      </w:r>
      <w:r w:rsidR="0036150B">
        <w:rPr>
          <w:rFonts w:cs="Arial"/>
          <w:sz w:val="22"/>
          <w:szCs w:val="22"/>
        </w:rPr>
        <w:t>2</w:t>
      </w:r>
      <w:r w:rsidRPr="00B346F1">
        <w:rPr>
          <w:rFonts w:cs="Arial"/>
          <w:sz w:val="22"/>
          <w:szCs w:val="22"/>
        </w:rPr>
        <w:t xml:space="preserve"> al Presupuesto Ordinario 20</w:t>
      </w:r>
      <w:r>
        <w:rPr>
          <w:rFonts w:cs="Arial"/>
          <w:sz w:val="22"/>
          <w:szCs w:val="22"/>
        </w:rPr>
        <w:t>22</w:t>
      </w:r>
      <w:r w:rsidRPr="00B346F1">
        <w:rPr>
          <w:rFonts w:cs="Arial"/>
          <w:sz w:val="22"/>
          <w:szCs w:val="22"/>
        </w:rPr>
        <w:t xml:space="preserve"> del BANHVI, el que –según lo indica el documento adjunto a la nota DFC-OF-</w:t>
      </w:r>
      <w:r w:rsidR="0036150B">
        <w:rPr>
          <w:rFonts w:cs="Arial"/>
          <w:sz w:val="22"/>
          <w:szCs w:val="22"/>
        </w:rPr>
        <w:t>148</w:t>
      </w:r>
      <w:r>
        <w:rPr>
          <w:rFonts w:cs="Arial"/>
          <w:sz w:val="22"/>
          <w:szCs w:val="22"/>
        </w:rPr>
        <w:t>-</w:t>
      </w:r>
      <w:r w:rsidRPr="00B346F1">
        <w:rPr>
          <w:rFonts w:cs="Arial"/>
          <w:sz w:val="22"/>
          <w:szCs w:val="22"/>
        </w:rPr>
        <w:t>20</w:t>
      </w:r>
      <w:r>
        <w:rPr>
          <w:rFonts w:cs="Arial"/>
          <w:sz w:val="22"/>
          <w:szCs w:val="22"/>
        </w:rPr>
        <w:t>22</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 tiene el propósito </w:t>
      </w:r>
      <w:r>
        <w:rPr>
          <w:rFonts w:cs="Arial"/>
          <w:sz w:val="22"/>
          <w:szCs w:val="22"/>
        </w:rPr>
        <w:t xml:space="preserve">de </w:t>
      </w:r>
      <w:r w:rsidR="008F203F" w:rsidRPr="008F203F">
        <w:rPr>
          <w:rFonts w:cs="Arial"/>
          <w:sz w:val="22"/>
          <w:szCs w:val="22"/>
          <w:lang w:val="es-CR"/>
        </w:rPr>
        <w:t>incorpora</w:t>
      </w:r>
      <w:r w:rsidR="008F203F">
        <w:rPr>
          <w:rFonts w:cs="Arial"/>
          <w:sz w:val="22"/>
          <w:szCs w:val="22"/>
          <w:lang w:val="es-CR"/>
        </w:rPr>
        <w:t>r</w:t>
      </w:r>
      <w:r w:rsidR="008F203F" w:rsidRPr="008F203F">
        <w:rPr>
          <w:rFonts w:cs="Arial"/>
          <w:sz w:val="22"/>
          <w:szCs w:val="22"/>
          <w:lang w:val="es-CR"/>
        </w:rPr>
        <w:t xml:space="preserve"> los recursos aportados por la</w:t>
      </w:r>
      <w:r w:rsidR="008F203F">
        <w:rPr>
          <w:rFonts w:cs="Arial"/>
          <w:sz w:val="22"/>
          <w:szCs w:val="22"/>
          <w:lang w:val="es-CR"/>
        </w:rPr>
        <w:t xml:space="preserve"> </w:t>
      </w:r>
      <w:r w:rsidR="008F203F" w:rsidRPr="008F203F">
        <w:rPr>
          <w:rFonts w:cs="Arial"/>
          <w:sz w:val="22"/>
          <w:szCs w:val="22"/>
          <w:lang w:val="es-CR"/>
        </w:rPr>
        <w:t>Municipalidad de San José, para cubrir gastos de diseño incurridos en la construcción del proyecto de</w:t>
      </w:r>
      <w:r w:rsidR="008F203F">
        <w:rPr>
          <w:rFonts w:cs="Arial"/>
          <w:sz w:val="22"/>
          <w:szCs w:val="22"/>
          <w:lang w:val="es-CR"/>
        </w:rPr>
        <w:t xml:space="preserve"> </w:t>
      </w:r>
      <w:r w:rsidR="008F203F" w:rsidRPr="008F203F">
        <w:rPr>
          <w:rFonts w:cs="Arial"/>
          <w:sz w:val="22"/>
          <w:szCs w:val="22"/>
          <w:lang w:val="es-CR"/>
        </w:rPr>
        <w:t>Bono Colectivo Parque La Libertad, tramitado por Grupo Mutual Alajuela La Vivienda,</w:t>
      </w:r>
      <w:r>
        <w:rPr>
          <w:rFonts w:cs="Arial"/>
          <w:sz w:val="22"/>
          <w:szCs w:val="22"/>
          <w:lang w:val="es-CR"/>
        </w:rPr>
        <w:t xml:space="preserve"> por un monto total de ¢</w:t>
      </w:r>
      <w:r w:rsidR="00D55DF8">
        <w:rPr>
          <w:rFonts w:cs="Arial"/>
          <w:sz w:val="22"/>
          <w:szCs w:val="22"/>
          <w:lang w:val="es-CR"/>
        </w:rPr>
        <w:t>3.561.624,85</w:t>
      </w:r>
      <w:r>
        <w:rPr>
          <w:rFonts w:cs="Arial"/>
          <w:sz w:val="22"/>
          <w:szCs w:val="22"/>
          <w:lang w:val="es-CR"/>
        </w:rPr>
        <w:t>.</w:t>
      </w:r>
    </w:p>
    <w:p w14:paraId="394ED1B3" w14:textId="77777777" w:rsidR="0012456C" w:rsidRDefault="0012456C" w:rsidP="0012456C">
      <w:pPr>
        <w:spacing w:line="360" w:lineRule="auto"/>
        <w:jc w:val="both"/>
        <w:rPr>
          <w:rFonts w:cs="Arial"/>
          <w:sz w:val="22"/>
          <w:szCs w:val="22"/>
          <w:lang w:val="es-CR"/>
        </w:rPr>
      </w:pPr>
    </w:p>
    <w:p w14:paraId="1FCF9D3E" w14:textId="24D8F625" w:rsidR="0012456C" w:rsidRPr="00B346F1" w:rsidRDefault="0012456C" w:rsidP="0012456C">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justificación de dicho Presupuesto Extraordinario, según el documento adjunto al citado oficio </w:t>
      </w:r>
      <w:r>
        <w:rPr>
          <w:rFonts w:cs="Arial"/>
          <w:sz w:val="22"/>
          <w:szCs w:val="22"/>
        </w:rPr>
        <w:t>GG-</w:t>
      </w:r>
      <w:r w:rsidRPr="00B346F1">
        <w:rPr>
          <w:rFonts w:cs="Arial"/>
          <w:sz w:val="22"/>
          <w:szCs w:val="22"/>
        </w:rPr>
        <w:t>ME-</w:t>
      </w:r>
      <w:r w:rsidR="000256F8">
        <w:rPr>
          <w:rFonts w:cs="Arial"/>
          <w:sz w:val="22"/>
          <w:szCs w:val="22"/>
        </w:rPr>
        <w:t>1038</w:t>
      </w:r>
      <w:r w:rsidRPr="00B346F1">
        <w:rPr>
          <w:rFonts w:cs="Arial"/>
          <w:sz w:val="22"/>
          <w:szCs w:val="22"/>
        </w:rPr>
        <w:t>-20</w:t>
      </w:r>
      <w:r>
        <w:rPr>
          <w:rFonts w:cs="Arial"/>
          <w:sz w:val="22"/>
          <w:szCs w:val="22"/>
        </w:rPr>
        <w:t>22</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7AD0057F" w14:textId="77777777" w:rsidR="0012456C" w:rsidRPr="00B346F1" w:rsidRDefault="0012456C" w:rsidP="0012456C">
      <w:pPr>
        <w:spacing w:line="360" w:lineRule="auto"/>
        <w:jc w:val="both"/>
        <w:rPr>
          <w:rFonts w:cs="Arial"/>
          <w:sz w:val="22"/>
          <w:szCs w:val="22"/>
        </w:rPr>
      </w:pPr>
    </w:p>
    <w:p w14:paraId="196FDF43" w14:textId="77777777" w:rsidR="0012456C" w:rsidRPr="00B346F1" w:rsidRDefault="0012456C" w:rsidP="0012456C">
      <w:pPr>
        <w:spacing w:line="360" w:lineRule="auto"/>
        <w:jc w:val="both"/>
        <w:rPr>
          <w:rFonts w:cs="Arial"/>
          <w:b/>
          <w:sz w:val="22"/>
          <w:szCs w:val="22"/>
        </w:rPr>
      </w:pPr>
      <w:r w:rsidRPr="00B346F1">
        <w:rPr>
          <w:rFonts w:cs="Arial"/>
          <w:b/>
          <w:sz w:val="22"/>
          <w:szCs w:val="22"/>
        </w:rPr>
        <w:t>Por tanto, se acuerda:</w:t>
      </w:r>
    </w:p>
    <w:p w14:paraId="73D4C635" w14:textId="02D5F88B" w:rsidR="0012456C" w:rsidRDefault="0012456C" w:rsidP="0012456C">
      <w:pPr>
        <w:spacing w:line="360" w:lineRule="auto"/>
        <w:jc w:val="both"/>
        <w:rPr>
          <w:rFonts w:cs="Arial"/>
          <w:sz w:val="22"/>
          <w:szCs w:val="22"/>
          <w:lang w:val="es-CR"/>
        </w:rPr>
      </w:pPr>
      <w:r w:rsidRPr="00500554">
        <w:rPr>
          <w:rFonts w:cs="Arial"/>
          <w:b/>
          <w:bCs/>
          <w:sz w:val="22"/>
          <w:szCs w:val="22"/>
          <w:lang w:val="es-CR"/>
        </w:rPr>
        <w:t>1)</w:t>
      </w:r>
      <w:r w:rsidRPr="00500554">
        <w:rPr>
          <w:rFonts w:cs="Arial"/>
          <w:sz w:val="22"/>
          <w:szCs w:val="22"/>
          <w:lang w:val="es-CR"/>
        </w:rPr>
        <w:t xml:space="preserve"> Aprobar el Presupuesto Extraordinario N° </w:t>
      </w:r>
      <w:r w:rsidR="00FB69FE">
        <w:rPr>
          <w:rFonts w:cs="Arial"/>
          <w:sz w:val="22"/>
          <w:szCs w:val="22"/>
          <w:lang w:val="es-CR"/>
        </w:rPr>
        <w:t>2</w:t>
      </w:r>
      <w:r w:rsidRPr="00500554">
        <w:rPr>
          <w:rFonts w:cs="Arial"/>
          <w:sz w:val="22"/>
          <w:szCs w:val="22"/>
          <w:lang w:val="es-CR"/>
        </w:rPr>
        <w:t xml:space="preserve"> al Presupuesto Ordinario 202</w:t>
      </w:r>
      <w:r>
        <w:rPr>
          <w:rFonts w:cs="Arial"/>
          <w:sz w:val="22"/>
          <w:szCs w:val="22"/>
          <w:lang w:val="es-CR"/>
        </w:rPr>
        <w:t>2</w:t>
      </w:r>
      <w:r w:rsidRPr="00500554">
        <w:rPr>
          <w:rFonts w:cs="Arial"/>
          <w:sz w:val="22"/>
          <w:szCs w:val="22"/>
          <w:lang w:val="es-CR"/>
        </w:rPr>
        <w:t xml:space="preserve"> del BANHVI, por un monto total de </w:t>
      </w:r>
      <w:r w:rsidR="000256F8">
        <w:rPr>
          <w:rFonts w:cs="Arial"/>
          <w:sz w:val="22"/>
          <w:szCs w:val="22"/>
          <w:lang w:val="es-CR"/>
        </w:rPr>
        <w:t>tres millones quinientos sesenta y un</w:t>
      </w:r>
      <w:r w:rsidR="00611F7D">
        <w:rPr>
          <w:rFonts w:cs="Arial"/>
          <w:sz w:val="22"/>
          <w:szCs w:val="22"/>
          <w:lang w:val="es-CR"/>
        </w:rPr>
        <w:t xml:space="preserve"> mil seiscientos veinticuatro colones</w:t>
      </w:r>
      <w:r w:rsidR="000256F8">
        <w:rPr>
          <w:rFonts w:cs="Arial"/>
          <w:sz w:val="22"/>
          <w:szCs w:val="22"/>
          <w:lang w:val="es-CR"/>
        </w:rPr>
        <w:t xml:space="preserve"> con</w:t>
      </w:r>
      <w:r>
        <w:rPr>
          <w:rFonts w:cs="Arial"/>
          <w:sz w:val="22"/>
          <w:szCs w:val="22"/>
          <w:lang w:val="es-CR"/>
        </w:rPr>
        <w:t xml:space="preserve"> </w:t>
      </w:r>
      <w:r w:rsidR="000256F8">
        <w:rPr>
          <w:rFonts w:cs="Arial"/>
          <w:sz w:val="22"/>
          <w:szCs w:val="22"/>
          <w:lang w:val="es-CR"/>
        </w:rPr>
        <w:t>85</w:t>
      </w:r>
      <w:r>
        <w:rPr>
          <w:rFonts w:cs="Arial"/>
          <w:sz w:val="22"/>
          <w:szCs w:val="22"/>
          <w:lang w:val="es-CR"/>
        </w:rPr>
        <w:t>/100</w:t>
      </w:r>
      <w:r w:rsidRPr="00500554">
        <w:rPr>
          <w:rFonts w:cs="Arial"/>
          <w:sz w:val="22"/>
          <w:szCs w:val="22"/>
          <w:lang w:val="es-CR"/>
        </w:rPr>
        <w:t xml:space="preserve"> </w:t>
      </w:r>
      <w:r w:rsidRPr="00500554">
        <w:rPr>
          <w:rFonts w:cs="Arial"/>
          <w:b/>
          <w:bCs/>
          <w:sz w:val="22"/>
          <w:szCs w:val="22"/>
          <w:lang w:val="es-CR"/>
        </w:rPr>
        <w:t>(¢</w:t>
      </w:r>
      <w:r w:rsidR="000256F8">
        <w:rPr>
          <w:rFonts w:cs="Arial"/>
          <w:sz w:val="22"/>
          <w:szCs w:val="22"/>
          <w:lang w:val="es-CR"/>
        </w:rPr>
        <w:t>3.561.624,85</w:t>
      </w:r>
      <w:r w:rsidRPr="00500554">
        <w:rPr>
          <w:rFonts w:cs="Arial"/>
          <w:sz w:val="22"/>
          <w:szCs w:val="22"/>
          <w:lang w:val="es-CR"/>
        </w:rPr>
        <w:t xml:space="preserve">), según el detalle que se consigna en los documentos adjuntos a los oficios </w:t>
      </w:r>
      <w:r w:rsidR="00A31EE1">
        <w:rPr>
          <w:rFonts w:cs="Arial"/>
          <w:sz w:val="22"/>
          <w:szCs w:val="22"/>
        </w:rPr>
        <w:t>GG</w:t>
      </w:r>
      <w:r w:rsidR="00A31EE1" w:rsidRPr="00B346F1">
        <w:rPr>
          <w:rFonts w:cs="Arial"/>
          <w:sz w:val="22"/>
          <w:szCs w:val="22"/>
        </w:rPr>
        <w:t>-ME-</w:t>
      </w:r>
      <w:r w:rsidR="00A31EE1">
        <w:rPr>
          <w:rFonts w:cs="Arial"/>
          <w:sz w:val="22"/>
          <w:szCs w:val="22"/>
        </w:rPr>
        <w:t>1038</w:t>
      </w:r>
      <w:r w:rsidR="00A31EE1" w:rsidRPr="00B346F1">
        <w:rPr>
          <w:rFonts w:cs="Arial"/>
          <w:sz w:val="22"/>
          <w:szCs w:val="22"/>
        </w:rPr>
        <w:t>-20</w:t>
      </w:r>
      <w:r w:rsidR="00A31EE1">
        <w:rPr>
          <w:rFonts w:cs="Arial"/>
          <w:sz w:val="22"/>
          <w:szCs w:val="22"/>
        </w:rPr>
        <w:t xml:space="preserve">22 </w:t>
      </w:r>
      <w:r w:rsidRPr="00500554">
        <w:rPr>
          <w:rFonts w:cs="Arial"/>
          <w:sz w:val="22"/>
          <w:szCs w:val="22"/>
          <w:lang w:val="es-CR"/>
        </w:rPr>
        <w:t xml:space="preserve">de la Gerencia General y </w:t>
      </w:r>
      <w:r w:rsidR="00A31EE1" w:rsidRPr="00B346F1">
        <w:rPr>
          <w:rFonts w:cs="Arial"/>
          <w:sz w:val="22"/>
          <w:szCs w:val="22"/>
        </w:rPr>
        <w:t>DFC-OF-</w:t>
      </w:r>
      <w:r w:rsidR="00A31EE1">
        <w:rPr>
          <w:rFonts w:cs="Arial"/>
          <w:sz w:val="22"/>
          <w:szCs w:val="22"/>
        </w:rPr>
        <w:t>148-</w:t>
      </w:r>
      <w:r w:rsidR="00A31EE1" w:rsidRPr="00B346F1">
        <w:rPr>
          <w:rFonts w:cs="Arial"/>
          <w:sz w:val="22"/>
          <w:szCs w:val="22"/>
        </w:rPr>
        <w:t>20</w:t>
      </w:r>
      <w:r w:rsidR="00A31EE1">
        <w:rPr>
          <w:rFonts w:cs="Arial"/>
          <w:sz w:val="22"/>
          <w:szCs w:val="22"/>
        </w:rPr>
        <w:t>22</w:t>
      </w:r>
      <w:r w:rsidR="00A31EE1" w:rsidRPr="00B346F1">
        <w:rPr>
          <w:rFonts w:cs="Arial"/>
          <w:sz w:val="22"/>
          <w:szCs w:val="22"/>
        </w:rPr>
        <w:t xml:space="preserve"> </w:t>
      </w:r>
      <w:r w:rsidRPr="00500554">
        <w:rPr>
          <w:rFonts w:cs="Arial"/>
          <w:sz w:val="22"/>
          <w:szCs w:val="22"/>
          <w:lang w:val="es-CR"/>
        </w:rPr>
        <w:t>del Departamento Financiero</w:t>
      </w:r>
      <w:r w:rsidR="006C43AE">
        <w:rPr>
          <w:rFonts w:cs="Arial"/>
          <w:sz w:val="22"/>
          <w:szCs w:val="22"/>
          <w:lang w:val="es-CR"/>
        </w:rPr>
        <w:t xml:space="preserve"> – </w:t>
      </w:r>
      <w:r w:rsidRPr="00500554">
        <w:rPr>
          <w:rFonts w:cs="Arial"/>
          <w:sz w:val="22"/>
          <w:szCs w:val="22"/>
          <w:lang w:val="es-CR"/>
        </w:rPr>
        <w:t>Contable.</w:t>
      </w:r>
    </w:p>
    <w:p w14:paraId="44C4DA49" w14:textId="77777777" w:rsidR="0012456C" w:rsidRPr="00500554" w:rsidRDefault="0012456C" w:rsidP="0012456C">
      <w:pPr>
        <w:spacing w:line="360" w:lineRule="auto"/>
        <w:jc w:val="both"/>
        <w:rPr>
          <w:rFonts w:cs="Arial"/>
          <w:sz w:val="22"/>
          <w:szCs w:val="22"/>
          <w:lang w:val="es-CR"/>
        </w:rPr>
      </w:pPr>
    </w:p>
    <w:p w14:paraId="67F5909E" w14:textId="1407D201" w:rsidR="002B71CC" w:rsidRDefault="0012456C" w:rsidP="002B71CC">
      <w:pPr>
        <w:spacing w:line="360" w:lineRule="auto"/>
        <w:jc w:val="both"/>
        <w:rPr>
          <w:rFonts w:cs="Arial"/>
          <w:sz w:val="22"/>
          <w:szCs w:val="22"/>
        </w:rPr>
      </w:pPr>
      <w:r>
        <w:rPr>
          <w:rFonts w:cs="Arial"/>
          <w:b/>
          <w:bCs/>
          <w:sz w:val="22"/>
          <w:szCs w:val="22"/>
          <w:lang w:val="es-CR"/>
        </w:rPr>
        <w:t>2</w:t>
      </w:r>
      <w:r w:rsidRPr="00500554">
        <w:rPr>
          <w:rFonts w:cs="Arial"/>
          <w:b/>
          <w:bCs/>
          <w:sz w:val="22"/>
          <w:szCs w:val="22"/>
          <w:lang w:val="es-CR"/>
        </w:rPr>
        <w:t>)</w:t>
      </w:r>
      <w:r w:rsidRPr="00500554">
        <w:rPr>
          <w:rFonts w:cs="Arial"/>
          <w:sz w:val="22"/>
          <w:szCs w:val="22"/>
          <w:lang w:val="es-CR"/>
        </w:rPr>
        <w:t xml:space="preserve"> Se instruye a la Administración, para que, de acuerdo con las disposiciones, procedimientos y regulaciones establecidas por la</w:t>
      </w:r>
      <w:r>
        <w:rPr>
          <w:rFonts w:cs="Arial"/>
          <w:sz w:val="22"/>
          <w:szCs w:val="22"/>
          <w:lang w:val="es-CR"/>
        </w:rPr>
        <w:t xml:space="preserve"> </w:t>
      </w:r>
      <w:r w:rsidRPr="00500554">
        <w:rPr>
          <w:rFonts w:cs="Arial"/>
          <w:sz w:val="22"/>
          <w:szCs w:val="22"/>
          <w:lang w:val="es-CR"/>
        </w:rPr>
        <w:t>Contraloría General de la República, someta a la aprobación de ese Órgano Contralor el referido Presupuesto Extraordinario</w:t>
      </w:r>
      <w:r>
        <w:rPr>
          <w:rFonts w:cs="Arial"/>
          <w:sz w:val="22"/>
          <w:szCs w:val="22"/>
          <w:lang w:val="es-CR"/>
        </w:rPr>
        <w:t>.</w:t>
      </w:r>
    </w:p>
    <w:p w14:paraId="52B9EE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EFC963" w14:textId="77777777" w:rsidR="002B71CC" w:rsidRPr="00D14EAF" w:rsidRDefault="002B71CC" w:rsidP="002B71CC">
      <w:pPr>
        <w:spacing w:line="360" w:lineRule="auto"/>
        <w:jc w:val="both"/>
        <w:rPr>
          <w:rFonts w:cs="Arial"/>
          <w:b/>
          <w:sz w:val="22"/>
        </w:rPr>
      </w:pPr>
      <w:r w:rsidRPr="00D14EAF">
        <w:rPr>
          <w:rFonts w:cs="Arial"/>
          <w:b/>
          <w:sz w:val="22"/>
        </w:rPr>
        <w:t>************</w:t>
      </w:r>
    </w:p>
    <w:p w14:paraId="270DBD6C" w14:textId="77777777" w:rsidR="002B71CC" w:rsidRDefault="002B71CC" w:rsidP="002B71CC">
      <w:pPr>
        <w:spacing w:line="360" w:lineRule="auto"/>
        <w:jc w:val="both"/>
        <w:rPr>
          <w:rFonts w:cs="Arial"/>
          <w:sz w:val="22"/>
          <w:szCs w:val="22"/>
        </w:rPr>
      </w:pPr>
    </w:p>
    <w:p w14:paraId="5528A5A2" w14:textId="59D2C96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E46E7D">
        <w:rPr>
          <w:rFonts w:cs="Arial"/>
          <w:szCs w:val="22"/>
        </w:rPr>
        <w:t xml:space="preserve"> </w:t>
      </w:r>
      <w:r w:rsidR="00FA2104">
        <w:rPr>
          <w:rFonts w:cs="Arial"/>
          <w:szCs w:val="22"/>
        </w:rPr>
        <w:t>7</w:t>
      </w:r>
      <w:r w:rsidRPr="00AB2826">
        <w:rPr>
          <w:rFonts w:cs="Arial"/>
          <w:szCs w:val="22"/>
        </w:rPr>
        <w:t>:</w:t>
      </w:r>
    </w:p>
    <w:p w14:paraId="34A25497" w14:textId="77777777" w:rsidR="00D51D44" w:rsidRPr="00156C6C" w:rsidRDefault="00D51D44" w:rsidP="00D51D44">
      <w:pPr>
        <w:spacing w:line="360" w:lineRule="auto"/>
        <w:jc w:val="both"/>
        <w:rPr>
          <w:rFonts w:cs="Arial"/>
          <w:b/>
          <w:sz w:val="22"/>
        </w:rPr>
      </w:pPr>
      <w:r w:rsidRPr="00156C6C">
        <w:rPr>
          <w:rFonts w:cs="Arial"/>
          <w:b/>
          <w:sz w:val="22"/>
        </w:rPr>
        <w:t>Considerando:</w:t>
      </w:r>
    </w:p>
    <w:p w14:paraId="5293F70D" w14:textId="5BB1A2FC" w:rsidR="00D51D44" w:rsidRDefault="00D51D44" w:rsidP="00D51D44">
      <w:pPr>
        <w:spacing w:line="360" w:lineRule="auto"/>
        <w:jc w:val="both"/>
        <w:rPr>
          <w:rFonts w:cs="Arial"/>
          <w:sz w:val="22"/>
        </w:rPr>
      </w:pPr>
      <w:r w:rsidRPr="00156C6C">
        <w:rPr>
          <w:rFonts w:cs="Arial"/>
          <w:b/>
          <w:sz w:val="22"/>
        </w:rPr>
        <w:t>Primero:</w:t>
      </w:r>
      <w:r>
        <w:rPr>
          <w:rFonts w:cs="Arial"/>
          <w:sz w:val="22"/>
        </w:rPr>
        <w:t xml:space="preserve"> Que mediante el oficio </w:t>
      </w:r>
      <w:r>
        <w:rPr>
          <w:rFonts w:cs="Arial"/>
          <w:sz w:val="22"/>
          <w:lang w:val="es-ES_tradnl"/>
        </w:rPr>
        <w:t>GG-ME-</w:t>
      </w:r>
      <w:r w:rsidR="000D4306">
        <w:rPr>
          <w:rFonts w:cs="Arial"/>
          <w:sz w:val="22"/>
          <w:lang w:val="es-ES_tradnl"/>
        </w:rPr>
        <w:t>1043</w:t>
      </w:r>
      <w:r>
        <w:rPr>
          <w:rFonts w:cs="Arial"/>
          <w:sz w:val="22"/>
          <w:lang w:val="es-ES_tradnl"/>
        </w:rPr>
        <w:t>-20</w:t>
      </w:r>
      <w:r w:rsidR="000D4306">
        <w:rPr>
          <w:rFonts w:cs="Arial"/>
          <w:sz w:val="22"/>
          <w:lang w:val="es-ES_tradnl"/>
        </w:rPr>
        <w:t>22</w:t>
      </w:r>
      <w:r>
        <w:rPr>
          <w:rFonts w:cs="Arial"/>
          <w:sz w:val="22"/>
          <w:lang w:val="es-ES_tradnl"/>
        </w:rPr>
        <w:t xml:space="preserve"> del </w:t>
      </w:r>
      <w:r w:rsidR="000D4306">
        <w:rPr>
          <w:rFonts w:cs="Arial"/>
          <w:sz w:val="22"/>
          <w:lang w:val="es-ES_tradnl"/>
        </w:rPr>
        <w:t>19</w:t>
      </w:r>
      <w:r>
        <w:rPr>
          <w:rFonts w:cs="Arial"/>
          <w:sz w:val="22"/>
          <w:lang w:val="es-ES_tradnl"/>
        </w:rPr>
        <w:t xml:space="preserve"> de </w:t>
      </w:r>
      <w:r w:rsidR="000D4306">
        <w:rPr>
          <w:rFonts w:cs="Arial"/>
          <w:sz w:val="22"/>
          <w:lang w:val="es-ES_tradnl"/>
        </w:rPr>
        <w:t>agosto</w:t>
      </w:r>
      <w:r>
        <w:rPr>
          <w:rFonts w:cs="Arial"/>
          <w:sz w:val="22"/>
          <w:lang w:val="es-ES_tradnl"/>
        </w:rPr>
        <w:t xml:space="preserve"> de 20</w:t>
      </w:r>
      <w:r w:rsidR="000D4306">
        <w:rPr>
          <w:rFonts w:cs="Arial"/>
          <w:sz w:val="22"/>
          <w:lang w:val="es-ES_tradnl"/>
        </w:rPr>
        <w:t>22</w:t>
      </w:r>
      <w:r>
        <w:rPr>
          <w:rFonts w:cs="Arial"/>
          <w:sz w:val="22"/>
        </w:rPr>
        <w:t xml:space="preserve">, la </w:t>
      </w:r>
      <w:r>
        <w:rPr>
          <w:rFonts w:cs="Arial"/>
          <w:sz w:val="22"/>
          <w:szCs w:val="22"/>
        </w:rPr>
        <w:t xml:space="preserve">Gerencia General </w:t>
      </w:r>
      <w:r>
        <w:rPr>
          <w:rFonts w:cs="Arial"/>
          <w:sz w:val="22"/>
        </w:rPr>
        <w:t xml:space="preserve">somete a la aprobación de esta </w:t>
      </w:r>
      <w:r w:rsidRPr="002627CB">
        <w:rPr>
          <w:rFonts w:cs="Arial"/>
          <w:sz w:val="22"/>
        </w:rPr>
        <w:t>Junta Directiva</w:t>
      </w:r>
      <w:r>
        <w:rPr>
          <w:rFonts w:cs="Arial"/>
          <w:sz w:val="22"/>
        </w:rPr>
        <w:t xml:space="preserve">, una propuesta para </w:t>
      </w:r>
      <w:r w:rsidR="00BC098B">
        <w:rPr>
          <w:rFonts w:cs="Arial"/>
          <w:sz w:val="22"/>
        </w:rPr>
        <w:t>capitalizar las utilidades acumuladas de los períodos</w:t>
      </w:r>
      <w:r>
        <w:rPr>
          <w:rFonts w:cs="Arial"/>
          <w:sz w:val="22"/>
        </w:rPr>
        <w:t xml:space="preserve"> 2019, </w:t>
      </w:r>
      <w:r w:rsidR="00BC098B">
        <w:rPr>
          <w:rFonts w:cs="Arial"/>
          <w:sz w:val="22"/>
        </w:rPr>
        <w:t>2020 y 2021, así como para realizar la gestión correspondiente ante el Consejo Nacional de Supervisión del Sistema Financiero (CONASSIF)</w:t>
      </w:r>
      <w:r w:rsidR="000F7693">
        <w:rPr>
          <w:rFonts w:cs="Arial"/>
          <w:sz w:val="22"/>
        </w:rPr>
        <w:t>,</w:t>
      </w:r>
      <w:r w:rsidR="00BC098B">
        <w:rPr>
          <w:rFonts w:cs="Arial"/>
          <w:sz w:val="22"/>
        </w:rPr>
        <w:t xml:space="preserve"> </w:t>
      </w:r>
      <w:r>
        <w:rPr>
          <w:rFonts w:cs="Arial"/>
          <w:sz w:val="22"/>
        </w:rPr>
        <w:t>por un monto de ¢6.865,0 millones, de conformidad con lo indicado por el Departamento Financiero Contable en el informe DFC-OF-</w:t>
      </w:r>
      <w:r w:rsidR="000D4306">
        <w:rPr>
          <w:rFonts w:cs="Arial"/>
          <w:sz w:val="22"/>
        </w:rPr>
        <w:t>143</w:t>
      </w:r>
      <w:r>
        <w:rPr>
          <w:rFonts w:cs="Arial"/>
          <w:sz w:val="22"/>
        </w:rPr>
        <w:t>-20</w:t>
      </w:r>
      <w:r w:rsidR="000D4306">
        <w:rPr>
          <w:rFonts w:cs="Arial"/>
          <w:sz w:val="22"/>
        </w:rPr>
        <w:t>22</w:t>
      </w:r>
      <w:r>
        <w:rPr>
          <w:rFonts w:cs="Arial"/>
          <w:sz w:val="22"/>
        </w:rPr>
        <w:t xml:space="preserve"> del </w:t>
      </w:r>
      <w:r w:rsidR="000D4306">
        <w:rPr>
          <w:rFonts w:cs="Arial"/>
          <w:sz w:val="22"/>
        </w:rPr>
        <w:t>17 de agosto de 2022</w:t>
      </w:r>
      <w:r>
        <w:rPr>
          <w:rFonts w:cs="Arial"/>
          <w:sz w:val="22"/>
        </w:rPr>
        <w:t>.</w:t>
      </w:r>
    </w:p>
    <w:p w14:paraId="11799188" w14:textId="77777777" w:rsidR="00D51D44" w:rsidRDefault="00D51D44" w:rsidP="00D51D44">
      <w:pPr>
        <w:spacing w:line="360" w:lineRule="auto"/>
        <w:jc w:val="both"/>
        <w:rPr>
          <w:rFonts w:cs="Arial"/>
          <w:sz w:val="22"/>
        </w:rPr>
      </w:pPr>
    </w:p>
    <w:p w14:paraId="27211241" w14:textId="034FC899" w:rsidR="006F6345" w:rsidRDefault="00D51D44" w:rsidP="006F6345">
      <w:pPr>
        <w:spacing w:line="360" w:lineRule="auto"/>
        <w:jc w:val="both"/>
        <w:rPr>
          <w:rFonts w:cs="Arial"/>
          <w:sz w:val="22"/>
          <w:lang w:val="es-CR"/>
        </w:rPr>
      </w:pPr>
      <w:r w:rsidRPr="00156C6C">
        <w:rPr>
          <w:rFonts w:cs="Arial"/>
          <w:b/>
          <w:sz w:val="22"/>
        </w:rPr>
        <w:t xml:space="preserve">Segundo: </w:t>
      </w:r>
      <w:r>
        <w:rPr>
          <w:rFonts w:cs="Arial"/>
          <w:sz w:val="22"/>
        </w:rPr>
        <w:t>Que según indica el Departamento Financiero Contable</w:t>
      </w:r>
      <w:r w:rsidRPr="009026F1">
        <w:rPr>
          <w:rFonts w:cs="Arial"/>
          <w:sz w:val="22"/>
        </w:rPr>
        <w:t xml:space="preserve"> </w:t>
      </w:r>
      <w:r>
        <w:rPr>
          <w:rFonts w:cs="Arial"/>
          <w:sz w:val="22"/>
        </w:rPr>
        <w:t xml:space="preserve">en dicho informe, la propuesta se plantea en apego a lo establecido en la política </w:t>
      </w:r>
      <w:r w:rsidR="006F6345" w:rsidRPr="006F6345">
        <w:rPr>
          <w:rFonts w:cs="Arial"/>
          <w:sz w:val="22"/>
          <w:lang w:val="es-CR"/>
        </w:rPr>
        <w:t xml:space="preserve">de </w:t>
      </w:r>
      <w:r w:rsidR="006F6345">
        <w:rPr>
          <w:rFonts w:cs="Arial"/>
          <w:sz w:val="22"/>
          <w:lang w:val="es-CR"/>
        </w:rPr>
        <w:t>g</w:t>
      </w:r>
      <w:r w:rsidR="006F6345" w:rsidRPr="006F6345">
        <w:rPr>
          <w:rFonts w:cs="Arial"/>
          <w:sz w:val="22"/>
          <w:lang w:val="es-CR"/>
        </w:rPr>
        <w:t>esti</w:t>
      </w:r>
      <w:r w:rsidR="006F6345">
        <w:rPr>
          <w:rFonts w:cs="Arial"/>
          <w:sz w:val="22"/>
          <w:lang w:val="es-CR"/>
        </w:rPr>
        <w:t>ó</w:t>
      </w:r>
      <w:r w:rsidR="006F6345" w:rsidRPr="006F6345">
        <w:rPr>
          <w:rFonts w:cs="Arial"/>
          <w:sz w:val="22"/>
          <w:lang w:val="es-CR"/>
        </w:rPr>
        <w:t xml:space="preserve">n de </w:t>
      </w:r>
      <w:r w:rsidR="006F6345">
        <w:rPr>
          <w:rFonts w:cs="Arial"/>
          <w:sz w:val="22"/>
          <w:lang w:val="es-CR"/>
        </w:rPr>
        <w:t>r</w:t>
      </w:r>
      <w:r w:rsidR="006F6345" w:rsidRPr="006F6345">
        <w:rPr>
          <w:rFonts w:cs="Arial"/>
          <w:sz w:val="22"/>
          <w:lang w:val="es-CR"/>
        </w:rPr>
        <w:t>iesgo PO-INST-GRI-O1O</w:t>
      </w:r>
      <w:r w:rsidR="006F6345">
        <w:rPr>
          <w:rFonts w:cs="Arial"/>
          <w:sz w:val="22"/>
          <w:lang w:val="es-CR"/>
        </w:rPr>
        <w:t xml:space="preserve"> Adecuación </w:t>
      </w:r>
      <w:r w:rsidR="006F6345" w:rsidRPr="006F6345">
        <w:rPr>
          <w:rFonts w:cs="Arial"/>
          <w:sz w:val="22"/>
          <w:lang w:val="es-CR"/>
        </w:rPr>
        <w:t>de Capital</w:t>
      </w:r>
      <w:r w:rsidR="006F6345">
        <w:rPr>
          <w:rFonts w:cs="Arial"/>
          <w:sz w:val="22"/>
          <w:lang w:val="es-CR"/>
        </w:rPr>
        <w:t>, la cual establece que “</w:t>
      </w:r>
      <w:r w:rsidR="006F6345" w:rsidRPr="006F6345">
        <w:rPr>
          <w:rFonts w:cs="Arial"/>
          <w:sz w:val="22"/>
          <w:lang w:val="es-CR"/>
        </w:rPr>
        <w:t>El Capital del Banco ser</w:t>
      </w:r>
      <w:r w:rsidR="006F6345">
        <w:rPr>
          <w:rFonts w:cs="Arial"/>
          <w:sz w:val="22"/>
          <w:lang w:val="es-CR"/>
        </w:rPr>
        <w:t>á</w:t>
      </w:r>
      <w:r w:rsidR="006F6345" w:rsidRPr="006F6345">
        <w:rPr>
          <w:rFonts w:cs="Arial"/>
          <w:sz w:val="22"/>
          <w:lang w:val="es-CR"/>
        </w:rPr>
        <w:t xml:space="preserve"> incrementado cada tres a</w:t>
      </w:r>
      <w:r w:rsidR="006F6345">
        <w:rPr>
          <w:rFonts w:cs="Arial"/>
          <w:sz w:val="22"/>
          <w:lang w:val="es-CR"/>
        </w:rPr>
        <w:t>ñ</w:t>
      </w:r>
      <w:r w:rsidR="006F6345" w:rsidRPr="006F6345">
        <w:rPr>
          <w:rFonts w:cs="Arial"/>
          <w:sz w:val="22"/>
          <w:lang w:val="es-CR"/>
        </w:rPr>
        <w:t>os, v</w:t>
      </w:r>
      <w:r w:rsidR="006F6345">
        <w:rPr>
          <w:rFonts w:cs="Arial"/>
          <w:sz w:val="22"/>
          <w:lang w:val="es-CR"/>
        </w:rPr>
        <w:t>í</w:t>
      </w:r>
      <w:r w:rsidR="006F6345" w:rsidRPr="006F6345">
        <w:rPr>
          <w:rFonts w:cs="Arial"/>
          <w:sz w:val="22"/>
          <w:lang w:val="es-CR"/>
        </w:rPr>
        <w:t>a capitalizac</w:t>
      </w:r>
      <w:r w:rsidR="006F6345">
        <w:rPr>
          <w:rFonts w:cs="Arial"/>
          <w:sz w:val="22"/>
          <w:lang w:val="es-CR"/>
        </w:rPr>
        <w:t>ió</w:t>
      </w:r>
      <w:r w:rsidR="006F6345" w:rsidRPr="006F6345">
        <w:rPr>
          <w:rFonts w:cs="Arial"/>
          <w:sz w:val="22"/>
          <w:lang w:val="es-CR"/>
        </w:rPr>
        <w:t>n de</w:t>
      </w:r>
      <w:r w:rsidR="006F6345">
        <w:rPr>
          <w:rFonts w:cs="Arial"/>
          <w:sz w:val="22"/>
          <w:lang w:val="es-CR"/>
        </w:rPr>
        <w:t xml:space="preserve"> </w:t>
      </w:r>
      <w:r w:rsidR="006F6345" w:rsidRPr="006F6345">
        <w:rPr>
          <w:rFonts w:cs="Arial"/>
          <w:sz w:val="22"/>
          <w:lang w:val="es-CR"/>
        </w:rPr>
        <w:t>“Utilidades de ejercicios anteriores afectadas para capitalizar” y por todas</w:t>
      </w:r>
      <w:r w:rsidR="00CE5FD3">
        <w:rPr>
          <w:rFonts w:cs="Arial"/>
          <w:sz w:val="22"/>
          <w:lang w:val="es-CR"/>
        </w:rPr>
        <w:t xml:space="preserve"> </w:t>
      </w:r>
      <w:r w:rsidR="006F6345" w:rsidRPr="006F6345">
        <w:rPr>
          <w:rFonts w:cs="Arial"/>
          <w:sz w:val="22"/>
          <w:lang w:val="es-CR"/>
        </w:rPr>
        <w:t>aquellas cuentas patrimoniales sujetas de capitalizac</w:t>
      </w:r>
      <w:r w:rsidR="00CE5FD3">
        <w:rPr>
          <w:rFonts w:cs="Arial"/>
          <w:sz w:val="22"/>
          <w:lang w:val="es-CR"/>
        </w:rPr>
        <w:t>ió</w:t>
      </w:r>
      <w:r w:rsidR="006F6345" w:rsidRPr="006F6345">
        <w:rPr>
          <w:rFonts w:cs="Arial"/>
          <w:sz w:val="22"/>
          <w:lang w:val="es-CR"/>
        </w:rPr>
        <w:t xml:space="preserve">n, posterior a </w:t>
      </w:r>
      <w:r w:rsidR="00CE5FD3">
        <w:rPr>
          <w:rFonts w:cs="Arial"/>
          <w:sz w:val="22"/>
          <w:lang w:val="es-CR"/>
        </w:rPr>
        <w:t>l</w:t>
      </w:r>
      <w:r w:rsidR="006F6345" w:rsidRPr="006F6345">
        <w:rPr>
          <w:rFonts w:cs="Arial"/>
          <w:sz w:val="22"/>
          <w:lang w:val="es-CR"/>
        </w:rPr>
        <w:t>a</w:t>
      </w:r>
      <w:r w:rsidR="00CE5FD3">
        <w:rPr>
          <w:rFonts w:cs="Arial"/>
          <w:sz w:val="22"/>
          <w:lang w:val="es-CR"/>
        </w:rPr>
        <w:t xml:space="preserve"> </w:t>
      </w:r>
      <w:r w:rsidR="006F6345" w:rsidRPr="006F6345">
        <w:rPr>
          <w:rFonts w:cs="Arial"/>
          <w:sz w:val="22"/>
          <w:lang w:val="es-CR"/>
        </w:rPr>
        <w:t>aprobaci</w:t>
      </w:r>
      <w:r w:rsidR="00CE5FD3">
        <w:rPr>
          <w:rFonts w:cs="Arial"/>
          <w:sz w:val="22"/>
          <w:lang w:val="es-CR"/>
        </w:rPr>
        <w:t>ó</w:t>
      </w:r>
      <w:r w:rsidR="006F6345" w:rsidRPr="006F6345">
        <w:rPr>
          <w:rFonts w:cs="Arial"/>
          <w:sz w:val="22"/>
          <w:lang w:val="es-CR"/>
        </w:rPr>
        <w:t>n por parte del CONASSIF, para lo cual se har</w:t>
      </w:r>
      <w:r w:rsidR="00CE5FD3">
        <w:rPr>
          <w:rFonts w:cs="Arial"/>
          <w:sz w:val="22"/>
          <w:lang w:val="es-CR"/>
        </w:rPr>
        <w:t>á</w:t>
      </w:r>
      <w:r w:rsidR="006F6345" w:rsidRPr="006F6345">
        <w:rPr>
          <w:rFonts w:cs="Arial"/>
          <w:sz w:val="22"/>
          <w:lang w:val="es-CR"/>
        </w:rPr>
        <w:t xml:space="preserve"> un estudio de </w:t>
      </w:r>
      <w:r w:rsidR="00CE5FD3">
        <w:rPr>
          <w:rFonts w:cs="Arial"/>
          <w:sz w:val="22"/>
          <w:lang w:val="es-CR"/>
        </w:rPr>
        <w:t>l</w:t>
      </w:r>
      <w:r w:rsidR="006F6345" w:rsidRPr="006F6345">
        <w:rPr>
          <w:rFonts w:cs="Arial"/>
          <w:sz w:val="22"/>
          <w:lang w:val="es-CR"/>
        </w:rPr>
        <w:t>a</w:t>
      </w:r>
      <w:r w:rsidR="00CE5FD3">
        <w:rPr>
          <w:rFonts w:cs="Arial"/>
          <w:sz w:val="22"/>
          <w:lang w:val="es-CR"/>
        </w:rPr>
        <w:t xml:space="preserve"> </w:t>
      </w:r>
      <w:r w:rsidR="006F6345" w:rsidRPr="006F6345">
        <w:rPr>
          <w:rFonts w:cs="Arial"/>
          <w:sz w:val="22"/>
          <w:lang w:val="es-CR"/>
        </w:rPr>
        <w:t>situaci</w:t>
      </w:r>
      <w:r w:rsidR="00CE5FD3">
        <w:rPr>
          <w:rFonts w:cs="Arial"/>
          <w:sz w:val="22"/>
          <w:lang w:val="es-CR"/>
        </w:rPr>
        <w:t>ó</w:t>
      </w:r>
      <w:r w:rsidR="006F6345" w:rsidRPr="006F6345">
        <w:rPr>
          <w:rFonts w:cs="Arial"/>
          <w:sz w:val="22"/>
          <w:lang w:val="es-CR"/>
        </w:rPr>
        <w:t xml:space="preserve">n patrimonial del Banco a efectos de proponer </w:t>
      </w:r>
      <w:r w:rsidR="00CE5FD3">
        <w:rPr>
          <w:rFonts w:cs="Arial"/>
          <w:sz w:val="22"/>
          <w:lang w:val="es-CR"/>
        </w:rPr>
        <w:t>l</w:t>
      </w:r>
      <w:r w:rsidR="006F6345" w:rsidRPr="006F6345">
        <w:rPr>
          <w:rFonts w:cs="Arial"/>
          <w:sz w:val="22"/>
          <w:lang w:val="es-CR"/>
        </w:rPr>
        <w:t>a capitalizaci</w:t>
      </w:r>
      <w:r w:rsidR="00CE5FD3">
        <w:rPr>
          <w:rFonts w:cs="Arial"/>
          <w:sz w:val="22"/>
          <w:lang w:val="es-CR"/>
        </w:rPr>
        <w:t>ó</w:t>
      </w:r>
      <w:r w:rsidR="006F6345" w:rsidRPr="006F6345">
        <w:rPr>
          <w:rFonts w:cs="Arial"/>
          <w:sz w:val="22"/>
          <w:lang w:val="es-CR"/>
        </w:rPr>
        <w:t>n ante los</w:t>
      </w:r>
      <w:r w:rsidR="000F2A40">
        <w:rPr>
          <w:rFonts w:cs="Arial"/>
          <w:sz w:val="22"/>
          <w:lang w:val="es-CR"/>
        </w:rPr>
        <w:t xml:space="preserve"> </w:t>
      </w:r>
      <w:r w:rsidR="00CE5FD3">
        <w:rPr>
          <w:rFonts w:cs="Arial"/>
          <w:sz w:val="22"/>
          <w:lang w:val="es-CR"/>
        </w:rPr>
        <w:t>ó</w:t>
      </w:r>
      <w:r w:rsidR="006F6345" w:rsidRPr="006F6345">
        <w:rPr>
          <w:rFonts w:cs="Arial"/>
          <w:sz w:val="22"/>
          <w:lang w:val="es-CR"/>
        </w:rPr>
        <w:t>rganos competentes</w:t>
      </w:r>
      <w:r w:rsidR="00CE5FD3">
        <w:rPr>
          <w:rFonts w:cs="Arial"/>
          <w:sz w:val="22"/>
          <w:lang w:val="es-CR"/>
        </w:rPr>
        <w:t>”.</w:t>
      </w:r>
    </w:p>
    <w:p w14:paraId="5AFBD378" w14:textId="09EC9A42" w:rsidR="006F6345" w:rsidRDefault="006F6345" w:rsidP="00D51D44">
      <w:pPr>
        <w:spacing w:line="360" w:lineRule="auto"/>
        <w:jc w:val="both"/>
        <w:rPr>
          <w:rFonts w:cs="Arial"/>
          <w:sz w:val="22"/>
          <w:lang w:val="es-CR"/>
        </w:rPr>
      </w:pPr>
    </w:p>
    <w:p w14:paraId="51CB0C88" w14:textId="20047560" w:rsidR="00D51D44" w:rsidRDefault="00D51D44" w:rsidP="00D51D44">
      <w:pPr>
        <w:spacing w:line="360" w:lineRule="auto"/>
        <w:jc w:val="both"/>
        <w:rPr>
          <w:rFonts w:cs="Arial"/>
          <w:sz w:val="22"/>
        </w:rPr>
      </w:pPr>
      <w:r w:rsidRPr="007C063E">
        <w:rPr>
          <w:rFonts w:cs="Arial"/>
          <w:b/>
          <w:sz w:val="22"/>
        </w:rPr>
        <w:t>Tercero:</w:t>
      </w:r>
      <w:r>
        <w:rPr>
          <w:rFonts w:cs="Arial"/>
          <w:sz w:val="22"/>
        </w:rPr>
        <w:t xml:space="preserve"> </w:t>
      </w:r>
      <w:proofErr w:type="gramStart"/>
      <w:r>
        <w:rPr>
          <w:rFonts w:cs="Arial"/>
          <w:sz w:val="22"/>
        </w:rPr>
        <w:t>Que</w:t>
      </w:r>
      <w:proofErr w:type="gramEnd"/>
      <w:r>
        <w:rPr>
          <w:rFonts w:cs="Arial"/>
          <w:sz w:val="22"/>
        </w:rPr>
        <w:t xml:space="preserve"> con vista de la información suministrada, esta </w:t>
      </w:r>
      <w:r w:rsidRPr="007C063E">
        <w:rPr>
          <w:rFonts w:cs="Arial"/>
          <w:sz w:val="22"/>
        </w:rPr>
        <w:t>Junta Directiva</w:t>
      </w:r>
      <w:r>
        <w:rPr>
          <w:rFonts w:cs="Arial"/>
          <w:sz w:val="22"/>
        </w:rPr>
        <w:t xml:space="preserve"> estima que la propuesta de la </w:t>
      </w:r>
      <w:r w:rsidRPr="00D26823">
        <w:rPr>
          <w:rFonts w:cs="Arial"/>
          <w:color w:val="000000"/>
          <w:sz w:val="22"/>
          <w:szCs w:val="22"/>
        </w:rPr>
        <w:t>Administración</w:t>
      </w:r>
      <w:r>
        <w:rPr>
          <w:rFonts w:cs="Arial"/>
          <w:color w:val="000000"/>
          <w:sz w:val="22"/>
          <w:szCs w:val="22"/>
        </w:rPr>
        <w:t xml:space="preserve"> es</w:t>
      </w:r>
      <w:r>
        <w:rPr>
          <w:rFonts w:cs="Arial"/>
          <w:sz w:val="22"/>
        </w:rPr>
        <w:t xml:space="preserve"> razonable y se ajusta a las necesidades e intereses de este Banco y del </w:t>
      </w:r>
      <w:r w:rsidRPr="00E17DE1">
        <w:rPr>
          <w:rFonts w:cs="Arial"/>
          <w:sz w:val="22"/>
        </w:rPr>
        <w:t>Sistema Financiero Nacional para la Vivienda</w:t>
      </w:r>
      <w:r>
        <w:rPr>
          <w:rFonts w:cs="Arial"/>
          <w:sz w:val="22"/>
        </w:rPr>
        <w:t>, razón por la cual, lo procedente es acogerla en los mismos términos señalados por el Departamento Financiero Contable en el informe DFC-OF-</w:t>
      </w:r>
      <w:r w:rsidR="00CE5FD3">
        <w:rPr>
          <w:rFonts w:cs="Arial"/>
          <w:sz w:val="22"/>
        </w:rPr>
        <w:t>143</w:t>
      </w:r>
      <w:r>
        <w:rPr>
          <w:rFonts w:cs="Arial"/>
          <w:sz w:val="22"/>
        </w:rPr>
        <w:t>-20</w:t>
      </w:r>
      <w:r w:rsidR="00CE5FD3">
        <w:rPr>
          <w:rFonts w:cs="Arial"/>
          <w:sz w:val="22"/>
        </w:rPr>
        <w:t>22</w:t>
      </w:r>
      <w:r>
        <w:rPr>
          <w:rFonts w:cs="Arial"/>
          <w:sz w:val="22"/>
        </w:rPr>
        <w:t>.</w:t>
      </w:r>
    </w:p>
    <w:p w14:paraId="75AC8F13" w14:textId="77777777" w:rsidR="00D51D44" w:rsidRDefault="00D51D44" w:rsidP="00D51D44">
      <w:pPr>
        <w:spacing w:line="360" w:lineRule="auto"/>
        <w:jc w:val="both"/>
        <w:rPr>
          <w:rFonts w:cs="Arial"/>
          <w:sz w:val="22"/>
        </w:rPr>
      </w:pPr>
    </w:p>
    <w:p w14:paraId="77F9CBA7" w14:textId="6C043BE7" w:rsidR="00D51D44" w:rsidRPr="00FF67AF" w:rsidRDefault="00D51D44" w:rsidP="00D51D44">
      <w:pPr>
        <w:spacing w:line="360" w:lineRule="auto"/>
        <w:jc w:val="both"/>
        <w:rPr>
          <w:rFonts w:cs="Arial"/>
          <w:sz w:val="22"/>
        </w:rPr>
      </w:pPr>
      <w:r w:rsidRPr="00156C6C">
        <w:rPr>
          <w:rFonts w:cs="Arial"/>
          <w:b/>
          <w:sz w:val="22"/>
        </w:rPr>
        <w:t>Por tanto</w:t>
      </w:r>
      <w:r w:rsidR="00CE5FD3">
        <w:rPr>
          <w:rFonts w:cs="Arial"/>
          <w:b/>
          <w:sz w:val="22"/>
        </w:rPr>
        <w:t>,</w:t>
      </w:r>
      <w:r w:rsidRPr="00156C6C">
        <w:rPr>
          <w:rFonts w:cs="Arial"/>
          <w:b/>
          <w:sz w:val="22"/>
        </w:rPr>
        <w:t xml:space="preserve"> se acuerda</w:t>
      </w:r>
      <w:r w:rsidRPr="00FF67AF">
        <w:rPr>
          <w:rFonts w:cs="Arial"/>
          <w:sz w:val="22"/>
        </w:rPr>
        <w:t>:</w:t>
      </w:r>
    </w:p>
    <w:p w14:paraId="4506BA55" w14:textId="10397A2D" w:rsidR="00D51D44" w:rsidRDefault="00D51D44" w:rsidP="00D51D44">
      <w:pPr>
        <w:spacing w:line="360" w:lineRule="auto"/>
        <w:ind w:right="51"/>
        <w:jc w:val="both"/>
        <w:rPr>
          <w:rFonts w:cs="Arial"/>
          <w:sz w:val="22"/>
          <w:szCs w:val="22"/>
        </w:rPr>
      </w:pPr>
      <w:r>
        <w:rPr>
          <w:rFonts w:cs="Arial"/>
          <w:sz w:val="22"/>
        </w:rPr>
        <w:t>Autorizar la disposición</w:t>
      </w:r>
      <w:r w:rsidR="008D48F9">
        <w:rPr>
          <w:rFonts w:cs="Arial"/>
          <w:sz w:val="22"/>
        </w:rPr>
        <w:t xml:space="preserve"> y gestión de aprobación ante el CONASSIF</w:t>
      </w:r>
      <w:r>
        <w:rPr>
          <w:rFonts w:cs="Arial"/>
          <w:sz w:val="22"/>
        </w:rPr>
        <w:t xml:space="preserve">, </w:t>
      </w:r>
      <w:r w:rsidR="008D48F9">
        <w:rPr>
          <w:rFonts w:cs="Arial"/>
          <w:sz w:val="22"/>
        </w:rPr>
        <w:t>de la partida patrimonial “Utilidades de Ejercicios Anteriores Afectados para Capitalizar”, por</w:t>
      </w:r>
      <w:r>
        <w:rPr>
          <w:rFonts w:cs="Arial"/>
          <w:sz w:val="22"/>
        </w:rPr>
        <w:t xml:space="preserve"> monto de ¢</w:t>
      </w:r>
      <w:r w:rsidR="008D48F9">
        <w:rPr>
          <w:rFonts w:cs="Arial"/>
          <w:sz w:val="22"/>
        </w:rPr>
        <w:t>22.495.565.176</w:t>
      </w:r>
      <w:r>
        <w:rPr>
          <w:rFonts w:cs="Arial"/>
          <w:sz w:val="22"/>
        </w:rPr>
        <w:t>,</w:t>
      </w:r>
      <w:r w:rsidR="008D48F9">
        <w:rPr>
          <w:rFonts w:cs="Arial"/>
          <w:sz w:val="22"/>
        </w:rPr>
        <w:t xml:space="preserve">49 (veintidós mil cuatrocientos </w:t>
      </w:r>
      <w:r w:rsidR="0086393E">
        <w:rPr>
          <w:rFonts w:cs="Arial"/>
          <w:sz w:val="22"/>
        </w:rPr>
        <w:t>noventa y cinco millones quinientos sesenta y cinco mil ciento setenta y seis colones con 49/100)</w:t>
      </w:r>
      <w:r>
        <w:rPr>
          <w:rFonts w:cs="Arial"/>
          <w:sz w:val="22"/>
        </w:rPr>
        <w:t>.</w:t>
      </w:r>
    </w:p>
    <w:p w14:paraId="006F21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73163E" w14:textId="77777777" w:rsidR="002B71CC" w:rsidRPr="00D14EAF" w:rsidRDefault="002B71CC" w:rsidP="002B71CC">
      <w:pPr>
        <w:spacing w:line="360" w:lineRule="auto"/>
        <w:jc w:val="both"/>
        <w:rPr>
          <w:rFonts w:cs="Arial"/>
          <w:b/>
          <w:sz w:val="22"/>
        </w:rPr>
      </w:pPr>
      <w:r w:rsidRPr="00D14EAF">
        <w:rPr>
          <w:rFonts w:cs="Arial"/>
          <w:b/>
          <w:sz w:val="22"/>
        </w:rPr>
        <w:t>************</w:t>
      </w:r>
    </w:p>
    <w:p w14:paraId="54292523" w14:textId="3EBD480B" w:rsidR="002B71CC" w:rsidRDefault="002B71CC" w:rsidP="002B71CC">
      <w:pPr>
        <w:spacing w:line="360" w:lineRule="auto"/>
        <w:jc w:val="both"/>
        <w:rPr>
          <w:rFonts w:cs="Arial"/>
          <w:sz w:val="22"/>
          <w:lang w:val="es-ES_tradnl"/>
        </w:rPr>
      </w:pPr>
    </w:p>
    <w:p w14:paraId="0BE1274E" w14:textId="103095E2" w:rsidR="00721AD6" w:rsidRPr="003657B1" w:rsidRDefault="00721AD6" w:rsidP="007D6CB9">
      <w:pPr>
        <w:pStyle w:val="Ttulo2"/>
        <w:spacing w:line="360" w:lineRule="auto"/>
        <w:rPr>
          <w:rFonts w:cs="Arial"/>
          <w:szCs w:val="22"/>
        </w:rPr>
      </w:pPr>
      <w:r w:rsidRPr="003657B1">
        <w:rPr>
          <w:rFonts w:cs="Arial"/>
          <w:szCs w:val="22"/>
        </w:rPr>
        <w:lastRenderedPageBreak/>
        <w:t>ACUERDO N°</w:t>
      </w:r>
      <w:r w:rsidR="00E46E7D" w:rsidRPr="003657B1">
        <w:rPr>
          <w:rFonts w:cs="Arial"/>
          <w:szCs w:val="22"/>
        </w:rPr>
        <w:t xml:space="preserve"> </w:t>
      </w:r>
      <w:r w:rsidRPr="003657B1">
        <w:rPr>
          <w:rFonts w:cs="Arial"/>
          <w:szCs w:val="22"/>
        </w:rPr>
        <w:t>8:</w:t>
      </w:r>
    </w:p>
    <w:p w14:paraId="2ACCC7F3" w14:textId="77777777" w:rsidR="00CF355A" w:rsidRPr="003657B1" w:rsidRDefault="00CF355A" w:rsidP="007D6CB9">
      <w:pPr>
        <w:spacing w:line="360" w:lineRule="auto"/>
        <w:jc w:val="both"/>
        <w:textAlignment w:val="baseline"/>
        <w:rPr>
          <w:rFonts w:cs="Arial"/>
          <w:sz w:val="22"/>
          <w:szCs w:val="22"/>
        </w:rPr>
      </w:pPr>
      <w:r w:rsidRPr="003657B1">
        <w:rPr>
          <w:rFonts w:cs="Arial"/>
          <w:b/>
          <w:bCs/>
          <w:sz w:val="22"/>
          <w:szCs w:val="22"/>
        </w:rPr>
        <w:t>RESULTANDO:</w:t>
      </w:r>
      <w:r w:rsidRPr="003657B1">
        <w:rPr>
          <w:rFonts w:cs="Arial"/>
          <w:sz w:val="22"/>
          <w:szCs w:val="22"/>
        </w:rPr>
        <w:t> </w:t>
      </w:r>
    </w:p>
    <w:p w14:paraId="0F2C9ECA" w14:textId="1CCD3ECC" w:rsidR="00CF355A" w:rsidRPr="003657B1" w:rsidRDefault="00CF355A" w:rsidP="007D6CB9">
      <w:pPr>
        <w:spacing w:line="360" w:lineRule="auto"/>
        <w:contextualSpacing/>
        <w:jc w:val="both"/>
        <w:rPr>
          <w:rFonts w:eastAsia="Calibri" w:cs="Arial"/>
          <w:sz w:val="22"/>
          <w:szCs w:val="22"/>
          <w:lang w:eastAsia="en-US"/>
        </w:rPr>
      </w:pPr>
      <w:r w:rsidRPr="003657B1">
        <w:rPr>
          <w:rFonts w:eastAsia="Calibri" w:cs="Arial"/>
          <w:b/>
          <w:bCs/>
          <w:sz w:val="22"/>
          <w:szCs w:val="22"/>
          <w:lang w:eastAsia="en-US"/>
        </w:rPr>
        <w:t>Primero:</w:t>
      </w:r>
      <w:r w:rsidRPr="003657B1">
        <w:rPr>
          <w:rFonts w:eastAsia="Calibri" w:cs="Arial"/>
          <w:sz w:val="22"/>
          <w:szCs w:val="22"/>
          <w:lang w:eastAsia="en-US"/>
        </w:rPr>
        <w:t xml:space="preserve"> Que mediante acuerdo </w:t>
      </w:r>
      <w:r w:rsidR="00C7144F" w:rsidRPr="003657B1">
        <w:rPr>
          <w:rFonts w:eastAsia="Calibri" w:cs="Arial"/>
          <w:sz w:val="22"/>
          <w:szCs w:val="22"/>
          <w:lang w:eastAsia="en-US"/>
        </w:rPr>
        <w:t xml:space="preserve">N° </w:t>
      </w:r>
      <w:r w:rsidRPr="003657B1">
        <w:rPr>
          <w:rFonts w:eastAsia="Calibri" w:cs="Arial"/>
          <w:sz w:val="22"/>
          <w:szCs w:val="22"/>
          <w:lang w:eastAsia="en-US"/>
        </w:rPr>
        <w:t xml:space="preserve">1 de la </w:t>
      </w:r>
      <w:r w:rsidR="00C7144F" w:rsidRPr="003657B1">
        <w:rPr>
          <w:rFonts w:eastAsia="Calibri" w:cs="Arial"/>
          <w:sz w:val="22"/>
          <w:szCs w:val="22"/>
          <w:lang w:eastAsia="en-US"/>
        </w:rPr>
        <w:t>s</w:t>
      </w:r>
      <w:r w:rsidRPr="003657B1">
        <w:rPr>
          <w:rFonts w:eastAsia="Calibri" w:cs="Arial"/>
          <w:sz w:val="22"/>
          <w:szCs w:val="22"/>
          <w:lang w:eastAsia="en-US"/>
        </w:rPr>
        <w:t>esión 89-2021, se apr</w:t>
      </w:r>
      <w:r w:rsidR="00C7144F" w:rsidRPr="003657B1">
        <w:rPr>
          <w:rFonts w:eastAsia="Calibri" w:cs="Arial"/>
          <w:sz w:val="22"/>
          <w:szCs w:val="22"/>
          <w:lang w:eastAsia="en-US"/>
        </w:rPr>
        <w:t>o</w:t>
      </w:r>
      <w:r w:rsidRPr="003657B1">
        <w:rPr>
          <w:rFonts w:eastAsia="Calibri" w:cs="Arial"/>
          <w:sz w:val="22"/>
          <w:szCs w:val="22"/>
          <w:lang w:eastAsia="en-US"/>
        </w:rPr>
        <w:t>bó la estrategia propuesta por la Administración, para la contratación de una empresa especializada en la materia, para alcanzar el siguiente objeto contractual:</w:t>
      </w:r>
    </w:p>
    <w:p w14:paraId="3DD45F62" w14:textId="77777777" w:rsidR="00CF355A" w:rsidRPr="00CF355A" w:rsidRDefault="00CF355A" w:rsidP="00F11C17">
      <w:pPr>
        <w:ind w:left="284" w:right="193"/>
        <w:contextualSpacing/>
        <w:jc w:val="both"/>
        <w:rPr>
          <w:rFonts w:eastAsia="Calibri" w:cs="Arial"/>
          <w:lang w:eastAsia="en-US"/>
        </w:rPr>
      </w:pPr>
    </w:p>
    <w:p w14:paraId="175C0EB1" w14:textId="77777777" w:rsidR="00CF355A" w:rsidRPr="00CF355A" w:rsidRDefault="00CF355A" w:rsidP="00F11C17">
      <w:pPr>
        <w:ind w:left="284" w:right="193"/>
        <w:contextualSpacing/>
        <w:jc w:val="both"/>
        <w:rPr>
          <w:rFonts w:eastAsia="Calibri" w:cs="Arial"/>
          <w:lang w:eastAsia="en-US"/>
        </w:rPr>
      </w:pPr>
      <w:r w:rsidRPr="00CF355A">
        <w:rPr>
          <w:rFonts w:eastAsia="Calibri" w:cs="Arial"/>
          <w:lang w:eastAsia="en-US"/>
        </w:rPr>
        <w:t>“</w:t>
      </w:r>
      <w:r w:rsidRPr="00CF355A">
        <w:rPr>
          <w:rFonts w:eastAsia="Calibri" w:cs="Arial"/>
          <w:i/>
          <w:iCs/>
          <w:lang w:eastAsia="en-US"/>
        </w:rPr>
        <w:t>El Banco Hipotecario de la Vivienda, en adelante BANHVI, requiere contratar los servicios profesionales de una empresa (persona jurídica) que realice un estudio integral de puestos que permita contar con un manual de puestos estandarizado y actualizado, la escala salarial acorde a dicho manual, así como disponer del diseño de una herramienta de medición de las cargas de trabajo que le permita a la organización evaluar periódicamente la suficiencia cuantitativa de su personal</w:t>
      </w:r>
      <w:r w:rsidRPr="00CF355A">
        <w:rPr>
          <w:rFonts w:eastAsia="Calibri" w:cs="Arial"/>
          <w:lang w:eastAsia="en-US"/>
        </w:rPr>
        <w:t>.”</w:t>
      </w:r>
    </w:p>
    <w:p w14:paraId="41AC58D8"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sz w:val="22"/>
          <w:szCs w:val="22"/>
        </w:rPr>
        <w:t> </w:t>
      </w:r>
    </w:p>
    <w:p w14:paraId="0BD92752" w14:textId="037A695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t>Segundo:</w:t>
      </w:r>
      <w:r w:rsidRPr="00CF355A">
        <w:rPr>
          <w:rFonts w:cs="Arial"/>
          <w:sz w:val="22"/>
          <w:szCs w:val="22"/>
        </w:rPr>
        <w:t xml:space="preserve"> Que el 24 de marzo de 2022, el área de Proveeduría y la Dirección Administrativa recomienda</w:t>
      </w:r>
      <w:r w:rsidR="00F11C17">
        <w:rPr>
          <w:rFonts w:cs="Arial"/>
          <w:sz w:val="22"/>
          <w:szCs w:val="22"/>
        </w:rPr>
        <w:t>n</w:t>
      </w:r>
      <w:r w:rsidRPr="00CF355A">
        <w:rPr>
          <w:rFonts w:cs="Arial"/>
          <w:sz w:val="22"/>
          <w:szCs w:val="22"/>
        </w:rPr>
        <w:t xml:space="preserve"> la adjudicación del concurso a la empresa Van </w:t>
      </w:r>
      <w:proofErr w:type="spellStart"/>
      <w:r w:rsidRPr="00CF355A">
        <w:rPr>
          <w:rFonts w:cs="Arial"/>
          <w:sz w:val="22"/>
          <w:szCs w:val="22"/>
        </w:rPr>
        <w:t>der</w:t>
      </w:r>
      <w:proofErr w:type="spellEnd"/>
      <w:r w:rsidRPr="00CF355A">
        <w:rPr>
          <w:rFonts w:cs="Arial"/>
          <w:sz w:val="22"/>
          <w:szCs w:val="22"/>
        </w:rPr>
        <w:t xml:space="preserve"> Leer S.A. </w:t>
      </w:r>
      <w:r w:rsidR="00F11C17">
        <w:rPr>
          <w:rFonts w:cs="Arial"/>
          <w:sz w:val="22"/>
          <w:szCs w:val="22"/>
        </w:rPr>
        <w:t>y</w:t>
      </w:r>
      <w:r w:rsidRPr="00CF355A">
        <w:rPr>
          <w:rFonts w:cs="Arial"/>
          <w:sz w:val="22"/>
          <w:szCs w:val="22"/>
        </w:rPr>
        <w:t xml:space="preserve"> el 31 de marzo de los corrientes, la Gerencia General aprueba el acto de adjudicación antes dicho.</w:t>
      </w:r>
    </w:p>
    <w:p w14:paraId="24C627E4"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sz w:val="22"/>
          <w:szCs w:val="22"/>
        </w:rPr>
        <w:t> </w:t>
      </w:r>
    </w:p>
    <w:p w14:paraId="60F52B05" w14:textId="1F884E9C" w:rsidR="00CF355A" w:rsidRDefault="00CF355A" w:rsidP="007D6CB9">
      <w:pPr>
        <w:tabs>
          <w:tab w:val="num" w:pos="720"/>
        </w:tabs>
        <w:spacing w:line="360" w:lineRule="auto"/>
        <w:jc w:val="both"/>
        <w:rPr>
          <w:rFonts w:eastAsia="Calibri" w:cs="Arial"/>
          <w:sz w:val="22"/>
          <w:szCs w:val="22"/>
          <w:lang w:eastAsia="en-US"/>
        </w:rPr>
      </w:pPr>
      <w:r w:rsidRPr="00CF355A">
        <w:rPr>
          <w:rFonts w:eastAsia="Calibri" w:cs="Arial"/>
          <w:b/>
          <w:bCs/>
          <w:sz w:val="22"/>
          <w:szCs w:val="22"/>
          <w:lang w:eastAsia="en-US"/>
        </w:rPr>
        <w:t>Tercero:</w:t>
      </w:r>
      <w:r w:rsidRPr="00CF355A">
        <w:rPr>
          <w:rFonts w:eastAsia="Calibri" w:cs="Arial"/>
          <w:sz w:val="22"/>
          <w:szCs w:val="22"/>
          <w:lang w:eastAsia="en-US"/>
        </w:rPr>
        <w:t xml:space="preserve"> Que la empresa Bermúdez, Méndez </w:t>
      </w:r>
      <w:r w:rsidR="00305E61">
        <w:rPr>
          <w:rFonts w:eastAsia="Calibri" w:cs="Arial"/>
          <w:sz w:val="22"/>
          <w:szCs w:val="22"/>
          <w:lang w:eastAsia="en-US"/>
        </w:rPr>
        <w:t>&amp;</w:t>
      </w:r>
      <w:r w:rsidRPr="00CF355A">
        <w:rPr>
          <w:rFonts w:eastAsia="Calibri" w:cs="Arial"/>
          <w:sz w:val="22"/>
          <w:szCs w:val="22"/>
          <w:lang w:eastAsia="en-US"/>
        </w:rPr>
        <w:t xml:space="preserve"> Asociados interpuso el 08 de abril de los corrientes, recurso de apelación contra el citado acto de adjudicación, al amparo de los artículos 90 de la Ley de Contratación Administrativa, y 185 y siguientes del Reglamento a la Ley de Contratación Administrativa.  Expresamente </w:t>
      </w:r>
      <w:r w:rsidR="00F11C17">
        <w:rPr>
          <w:rFonts w:eastAsia="Calibri" w:cs="Arial"/>
          <w:sz w:val="22"/>
          <w:szCs w:val="22"/>
          <w:lang w:eastAsia="en-US"/>
        </w:rPr>
        <w:t xml:space="preserve">solicita </w:t>
      </w:r>
      <w:r w:rsidRPr="00CF355A">
        <w:rPr>
          <w:rFonts w:eastAsia="Calibri" w:cs="Arial"/>
          <w:sz w:val="22"/>
          <w:szCs w:val="22"/>
          <w:lang w:eastAsia="en-US"/>
        </w:rPr>
        <w:t>la empresa recurrente:</w:t>
      </w:r>
    </w:p>
    <w:p w14:paraId="36051DB8" w14:textId="77777777" w:rsidR="00F11C17" w:rsidRPr="00CF355A" w:rsidRDefault="00F11C17" w:rsidP="00F11C17">
      <w:pPr>
        <w:tabs>
          <w:tab w:val="num" w:pos="720"/>
        </w:tabs>
        <w:ind w:left="142" w:right="193"/>
        <w:jc w:val="both"/>
        <w:rPr>
          <w:rFonts w:asciiTheme="minorHAnsi" w:eastAsia="Calibri" w:hAnsiTheme="minorHAnsi" w:cstheme="minorHAnsi"/>
          <w:lang w:eastAsia="en-US"/>
        </w:rPr>
      </w:pPr>
    </w:p>
    <w:p w14:paraId="2D0F93EA" w14:textId="16DFB355" w:rsidR="00CF355A" w:rsidRPr="00CF355A" w:rsidRDefault="00835EFB" w:rsidP="00F11C17">
      <w:pPr>
        <w:tabs>
          <w:tab w:val="num" w:pos="720"/>
        </w:tabs>
        <w:ind w:left="142" w:right="193"/>
        <w:jc w:val="both"/>
        <w:rPr>
          <w:rFonts w:asciiTheme="minorHAnsi" w:eastAsia="Calibri" w:hAnsiTheme="minorHAnsi" w:cstheme="minorHAnsi"/>
          <w:i/>
          <w:iCs/>
        </w:rPr>
      </w:pPr>
      <w:r w:rsidRPr="00835EFB">
        <w:rPr>
          <w:rFonts w:asciiTheme="minorHAnsi" w:eastAsia="Calibri" w:hAnsiTheme="minorHAnsi" w:cstheme="minorHAnsi"/>
          <w:lang w:eastAsia="en-US"/>
        </w:rPr>
        <w:t>“</w:t>
      </w:r>
      <w:r w:rsidR="00F11C17" w:rsidRPr="00835EFB">
        <w:rPr>
          <w:rFonts w:asciiTheme="minorHAnsi" w:eastAsia="Calibri" w:hAnsiTheme="minorHAnsi" w:cstheme="minorHAnsi"/>
          <w:lang w:eastAsia="en-US"/>
        </w:rPr>
        <w:t>a)</w:t>
      </w:r>
      <w:r w:rsidR="00CF355A" w:rsidRPr="00CF355A">
        <w:rPr>
          <w:rFonts w:asciiTheme="minorHAnsi" w:hAnsiTheme="minorHAnsi" w:cstheme="minorHAnsi"/>
        </w:rPr>
        <w:t xml:space="preserve"> </w:t>
      </w:r>
      <w:r w:rsidR="00CF355A" w:rsidRPr="00CF355A">
        <w:rPr>
          <w:rFonts w:asciiTheme="minorHAnsi" w:eastAsia="Calibri" w:hAnsiTheme="minorHAnsi" w:cstheme="minorHAnsi"/>
          <w:i/>
          <w:iCs/>
        </w:rPr>
        <w:t>Valorar la oferta de Van Der Leer, no cumple con los requisitos de admisibilidad.</w:t>
      </w:r>
    </w:p>
    <w:p w14:paraId="49AA555E" w14:textId="6AFD66ED" w:rsidR="00CF355A" w:rsidRPr="00CF355A" w:rsidRDefault="00F11C17" w:rsidP="00F11C17">
      <w:pPr>
        <w:ind w:left="142" w:right="193"/>
        <w:jc w:val="both"/>
        <w:rPr>
          <w:rFonts w:asciiTheme="minorHAnsi" w:eastAsia="Calibri" w:hAnsiTheme="minorHAnsi" w:cstheme="minorHAnsi"/>
          <w:i/>
          <w:iCs/>
          <w:lang w:eastAsia="en-US"/>
        </w:rPr>
      </w:pPr>
      <w:r w:rsidRPr="00835EFB">
        <w:rPr>
          <w:rFonts w:asciiTheme="minorHAnsi" w:eastAsia="Calibri" w:hAnsiTheme="minorHAnsi" w:cstheme="minorHAnsi"/>
          <w:i/>
          <w:iCs/>
          <w:lang w:eastAsia="en-US"/>
        </w:rPr>
        <w:t xml:space="preserve">b) </w:t>
      </w:r>
      <w:r w:rsidR="00CF355A" w:rsidRPr="00CF355A">
        <w:rPr>
          <w:rFonts w:asciiTheme="minorHAnsi" w:eastAsia="Calibri" w:hAnsiTheme="minorHAnsi" w:cstheme="minorHAnsi"/>
          <w:i/>
          <w:iCs/>
          <w:lang w:eastAsia="en-US"/>
        </w:rPr>
        <w:t>Que la asignación de Van Der Leer el factor de cantidad de proyectos es de 10 puntos.</w:t>
      </w:r>
    </w:p>
    <w:p w14:paraId="2699DD6D" w14:textId="19220AAA" w:rsidR="00CF355A" w:rsidRPr="00CF355A" w:rsidRDefault="00F11C17" w:rsidP="00F11C17">
      <w:pPr>
        <w:ind w:left="142" w:right="193"/>
        <w:jc w:val="both"/>
        <w:rPr>
          <w:rFonts w:asciiTheme="minorHAnsi" w:eastAsia="Calibri" w:hAnsiTheme="minorHAnsi" w:cstheme="minorHAnsi"/>
          <w:i/>
          <w:iCs/>
          <w:lang w:eastAsia="en-US"/>
        </w:rPr>
      </w:pPr>
      <w:r w:rsidRPr="00835EFB">
        <w:rPr>
          <w:rFonts w:asciiTheme="minorHAnsi" w:eastAsia="Calibri" w:hAnsiTheme="minorHAnsi" w:cstheme="minorHAnsi"/>
          <w:i/>
          <w:iCs/>
          <w:lang w:eastAsia="en-US"/>
        </w:rPr>
        <w:t xml:space="preserve">c) </w:t>
      </w:r>
      <w:r w:rsidR="00CF355A" w:rsidRPr="00CF355A">
        <w:rPr>
          <w:rFonts w:asciiTheme="minorHAnsi" w:eastAsia="Calibri" w:hAnsiTheme="minorHAnsi" w:cstheme="minorHAnsi"/>
          <w:i/>
          <w:iCs/>
          <w:lang w:eastAsia="en-US"/>
        </w:rPr>
        <w:t>Que de mantener la oferta el ente público nuestra oferta presenta un puntaje que supera a Van Der Leer en razón que Vander Der Leer, llegaría a 80 puntos dado que el factor de cantidad de proyectos el puntaje obtenido es de 10 puntos y no 30 como lo indica el informe.</w:t>
      </w:r>
    </w:p>
    <w:p w14:paraId="77D0761C" w14:textId="0D598A4E" w:rsidR="00CF355A" w:rsidRPr="00CF355A" w:rsidRDefault="00F11C17" w:rsidP="00F11C17">
      <w:pPr>
        <w:ind w:left="142" w:right="193"/>
        <w:jc w:val="both"/>
        <w:rPr>
          <w:rFonts w:asciiTheme="minorHAnsi" w:eastAsia="Calibri" w:hAnsiTheme="minorHAnsi" w:cstheme="minorHAnsi"/>
          <w:i/>
          <w:iCs/>
          <w:lang w:eastAsia="en-US"/>
        </w:rPr>
      </w:pPr>
      <w:r w:rsidRPr="00835EFB">
        <w:rPr>
          <w:rFonts w:asciiTheme="minorHAnsi" w:eastAsia="Calibri" w:hAnsiTheme="minorHAnsi" w:cstheme="minorHAnsi"/>
          <w:i/>
          <w:iCs/>
          <w:lang w:eastAsia="en-US"/>
        </w:rPr>
        <w:t xml:space="preserve">d) </w:t>
      </w:r>
      <w:r w:rsidR="00CF355A" w:rsidRPr="00CF355A">
        <w:rPr>
          <w:rFonts w:asciiTheme="minorHAnsi" w:eastAsia="Calibri" w:hAnsiTheme="minorHAnsi" w:cstheme="minorHAnsi"/>
          <w:i/>
          <w:iCs/>
          <w:lang w:eastAsia="en-US"/>
        </w:rPr>
        <w:t>Que nuestra oferta registra 95,73% puntos.</w:t>
      </w:r>
    </w:p>
    <w:p w14:paraId="1350165F" w14:textId="784B8402" w:rsidR="00CF355A" w:rsidRPr="00CF355A" w:rsidRDefault="00F11C17" w:rsidP="00F11C17">
      <w:pPr>
        <w:ind w:left="142" w:right="193"/>
        <w:jc w:val="both"/>
        <w:rPr>
          <w:rFonts w:asciiTheme="minorHAnsi" w:eastAsia="Calibri" w:hAnsiTheme="minorHAnsi" w:cstheme="minorHAnsi"/>
          <w:i/>
          <w:iCs/>
          <w:lang w:eastAsia="en-US"/>
        </w:rPr>
      </w:pPr>
      <w:r w:rsidRPr="00835EFB">
        <w:rPr>
          <w:rFonts w:asciiTheme="minorHAnsi" w:eastAsia="Calibri" w:hAnsiTheme="minorHAnsi" w:cstheme="minorHAnsi"/>
          <w:i/>
          <w:iCs/>
          <w:lang w:eastAsia="en-US"/>
        </w:rPr>
        <w:t xml:space="preserve">e) </w:t>
      </w:r>
      <w:proofErr w:type="spellStart"/>
      <w:r w:rsidR="00CF355A" w:rsidRPr="00CF355A">
        <w:rPr>
          <w:rFonts w:asciiTheme="minorHAnsi" w:eastAsia="Calibri" w:hAnsiTheme="minorHAnsi" w:cstheme="minorHAnsi"/>
          <w:i/>
          <w:iCs/>
          <w:lang w:eastAsia="en-US"/>
        </w:rPr>
        <w:t>Readjudicar</w:t>
      </w:r>
      <w:proofErr w:type="spellEnd"/>
      <w:r w:rsidR="00CF355A" w:rsidRPr="00CF355A">
        <w:rPr>
          <w:rFonts w:asciiTheme="minorHAnsi" w:eastAsia="Calibri" w:hAnsiTheme="minorHAnsi" w:cstheme="minorHAnsi"/>
          <w:i/>
          <w:iCs/>
          <w:lang w:eastAsia="en-US"/>
        </w:rPr>
        <w:t xml:space="preserve"> la oferta a favor de Bermúdez Méndez &amp; Asociados S.A.</w:t>
      </w:r>
      <w:r w:rsidR="00835EFB" w:rsidRPr="00835EFB">
        <w:rPr>
          <w:rFonts w:asciiTheme="minorHAnsi" w:eastAsia="Calibri" w:hAnsiTheme="minorHAnsi" w:cstheme="minorHAnsi"/>
          <w:i/>
          <w:iCs/>
          <w:lang w:eastAsia="en-US"/>
        </w:rPr>
        <w:t>”</w:t>
      </w:r>
    </w:p>
    <w:p w14:paraId="0276FA48" w14:textId="77777777" w:rsidR="00CF355A" w:rsidRPr="00CF355A" w:rsidRDefault="00CF355A" w:rsidP="00110550">
      <w:pPr>
        <w:spacing w:line="360" w:lineRule="auto"/>
        <w:jc w:val="both"/>
        <w:rPr>
          <w:rFonts w:ascii="Calibri" w:eastAsia="Calibri" w:hAnsi="Calibri" w:cs="Calibri"/>
          <w:i/>
          <w:iCs/>
          <w:sz w:val="22"/>
          <w:lang w:eastAsia="en-US"/>
        </w:rPr>
      </w:pPr>
    </w:p>
    <w:p w14:paraId="296C3F60" w14:textId="27C635B6" w:rsidR="00CF355A" w:rsidRPr="00CF355A" w:rsidRDefault="00CF355A" w:rsidP="00110550">
      <w:pPr>
        <w:spacing w:line="360" w:lineRule="auto"/>
        <w:jc w:val="both"/>
        <w:textAlignment w:val="baseline"/>
        <w:rPr>
          <w:rFonts w:ascii="Segoe UI" w:hAnsi="Segoe UI" w:cs="Segoe UI"/>
          <w:sz w:val="18"/>
          <w:szCs w:val="18"/>
        </w:rPr>
      </w:pPr>
      <w:r w:rsidRPr="00CF355A">
        <w:rPr>
          <w:rFonts w:cs="Arial"/>
          <w:b/>
          <w:bCs/>
          <w:sz w:val="22"/>
          <w:szCs w:val="22"/>
        </w:rPr>
        <w:t>Cuarto:</w:t>
      </w:r>
      <w:r w:rsidRPr="00CF355A">
        <w:rPr>
          <w:rFonts w:cs="Arial"/>
          <w:sz w:val="22"/>
          <w:szCs w:val="22"/>
        </w:rPr>
        <w:t xml:space="preserve"> Que el 31 de mayo de los corrientes, la Administración traslada el recurso a la Junta Directiva</w:t>
      </w:r>
      <w:r w:rsidR="00110550">
        <w:rPr>
          <w:rFonts w:cs="Arial"/>
          <w:sz w:val="22"/>
          <w:szCs w:val="22"/>
        </w:rPr>
        <w:t>, para</w:t>
      </w:r>
      <w:r w:rsidRPr="00CF355A">
        <w:rPr>
          <w:rFonts w:cs="Arial"/>
          <w:sz w:val="22"/>
          <w:szCs w:val="22"/>
        </w:rPr>
        <w:t xml:space="preserve"> que fuera atendido una vez que estuviera instaurada la nueva Junta Directiva del BANHVI. </w:t>
      </w:r>
    </w:p>
    <w:p w14:paraId="38C80797" w14:textId="77777777" w:rsidR="00CF355A" w:rsidRPr="00CF355A" w:rsidRDefault="00CF355A" w:rsidP="00110550">
      <w:pPr>
        <w:spacing w:line="360" w:lineRule="auto"/>
        <w:jc w:val="both"/>
        <w:textAlignment w:val="baseline"/>
        <w:rPr>
          <w:rFonts w:ascii="Segoe UI" w:hAnsi="Segoe UI" w:cs="Segoe UI"/>
          <w:sz w:val="18"/>
          <w:szCs w:val="18"/>
        </w:rPr>
      </w:pPr>
      <w:r w:rsidRPr="00CF355A">
        <w:rPr>
          <w:rFonts w:cs="Arial"/>
          <w:sz w:val="22"/>
          <w:szCs w:val="22"/>
        </w:rPr>
        <w:t> </w:t>
      </w:r>
    </w:p>
    <w:p w14:paraId="6CD801CC" w14:textId="118D21DF" w:rsidR="00CF355A" w:rsidRPr="00CF355A" w:rsidRDefault="00CF355A" w:rsidP="00110550">
      <w:pPr>
        <w:spacing w:line="360" w:lineRule="auto"/>
        <w:jc w:val="both"/>
        <w:textAlignment w:val="baseline"/>
        <w:rPr>
          <w:rFonts w:ascii="Segoe UI" w:hAnsi="Segoe UI" w:cs="Segoe UI"/>
          <w:sz w:val="18"/>
          <w:szCs w:val="18"/>
        </w:rPr>
      </w:pPr>
      <w:r w:rsidRPr="00CF355A">
        <w:rPr>
          <w:rFonts w:cs="Arial"/>
          <w:b/>
          <w:bCs/>
          <w:sz w:val="22"/>
          <w:szCs w:val="22"/>
        </w:rPr>
        <w:t>Quinto:</w:t>
      </w:r>
      <w:r w:rsidRPr="00CF355A">
        <w:rPr>
          <w:rFonts w:cs="Arial"/>
          <w:sz w:val="22"/>
          <w:szCs w:val="22"/>
        </w:rPr>
        <w:t xml:space="preserve"> Instaurada la Junta Directiva, se procede a instruir a la Administración, Dirección Administrativa</w:t>
      </w:r>
      <w:r w:rsidR="00337D5B">
        <w:rPr>
          <w:rFonts w:cs="Arial"/>
          <w:sz w:val="22"/>
          <w:szCs w:val="22"/>
        </w:rPr>
        <w:t>,</w:t>
      </w:r>
      <w:r w:rsidRPr="00CF355A">
        <w:rPr>
          <w:rFonts w:cs="Arial"/>
          <w:sz w:val="22"/>
          <w:szCs w:val="22"/>
        </w:rPr>
        <w:t xml:space="preserve"> para su análisis y elev</w:t>
      </w:r>
      <w:r w:rsidR="00337D5B">
        <w:rPr>
          <w:rFonts w:cs="Arial"/>
          <w:sz w:val="22"/>
          <w:szCs w:val="22"/>
        </w:rPr>
        <w:t>ar</w:t>
      </w:r>
      <w:r w:rsidRPr="00CF355A">
        <w:rPr>
          <w:rFonts w:cs="Arial"/>
          <w:sz w:val="22"/>
          <w:szCs w:val="22"/>
        </w:rPr>
        <w:t xml:space="preserve"> la recomendación pertinente a </w:t>
      </w:r>
      <w:r w:rsidR="00337D5B">
        <w:rPr>
          <w:rFonts w:cs="Arial"/>
          <w:sz w:val="22"/>
          <w:szCs w:val="22"/>
        </w:rPr>
        <w:t>la</w:t>
      </w:r>
      <w:r w:rsidRPr="00CF355A">
        <w:rPr>
          <w:rFonts w:cs="Arial"/>
          <w:sz w:val="22"/>
          <w:szCs w:val="22"/>
        </w:rPr>
        <w:t xml:space="preserve"> Junta</w:t>
      </w:r>
      <w:r w:rsidR="00337D5B">
        <w:rPr>
          <w:rFonts w:cs="Arial"/>
          <w:sz w:val="22"/>
          <w:szCs w:val="22"/>
        </w:rPr>
        <w:t xml:space="preserve"> Directiva</w:t>
      </w:r>
      <w:r w:rsidRPr="00CF355A">
        <w:rPr>
          <w:rFonts w:cs="Arial"/>
          <w:sz w:val="22"/>
          <w:szCs w:val="22"/>
        </w:rPr>
        <w:t xml:space="preserve">. </w:t>
      </w:r>
      <w:r w:rsidRPr="00CF355A">
        <w:rPr>
          <w:rFonts w:cs="Arial"/>
          <w:sz w:val="22"/>
          <w:szCs w:val="22"/>
        </w:rPr>
        <w:lastRenderedPageBreak/>
        <w:t>Para los efectos indicados, la Licda. Margoth Campos Barrantes, Directora Administrativa del BANHVI, presenta el dictamen número DAD-0F-252-2022 del 24 de agosto de 2022, señalando y recomendando, en lo conducente, lo siguiente: </w:t>
      </w:r>
    </w:p>
    <w:p w14:paraId="1E07F8D2" w14:textId="77777777" w:rsidR="00CF355A" w:rsidRPr="00CF355A" w:rsidRDefault="00CF355A" w:rsidP="00337D5B">
      <w:pPr>
        <w:jc w:val="right"/>
        <w:textAlignment w:val="baseline"/>
        <w:rPr>
          <w:rFonts w:ascii="Segoe UI" w:hAnsi="Segoe UI" w:cs="Segoe UI"/>
          <w:sz w:val="22"/>
          <w:szCs w:val="22"/>
        </w:rPr>
      </w:pPr>
      <w:r w:rsidRPr="00CF355A">
        <w:rPr>
          <w:rFonts w:ascii="Calibri" w:hAnsi="Calibri" w:cs="Calibri"/>
          <w:sz w:val="22"/>
          <w:szCs w:val="22"/>
        </w:rPr>
        <w:t> </w:t>
      </w:r>
    </w:p>
    <w:p w14:paraId="32E15C31" w14:textId="0B7E6DDE" w:rsidR="00CF355A" w:rsidRPr="00CF355A" w:rsidRDefault="00CF355A" w:rsidP="00337D5B">
      <w:pPr>
        <w:jc w:val="both"/>
        <w:textAlignment w:val="baseline"/>
        <w:rPr>
          <w:rFonts w:ascii="Segoe UI" w:hAnsi="Segoe UI" w:cs="Segoe UI"/>
          <w:sz w:val="22"/>
          <w:szCs w:val="22"/>
        </w:rPr>
      </w:pPr>
      <w:r w:rsidRPr="00CF355A">
        <w:rPr>
          <w:rFonts w:ascii="Calibri" w:hAnsi="Calibri" w:cs="Calibri"/>
          <w:sz w:val="22"/>
          <w:szCs w:val="22"/>
        </w:rPr>
        <w:t>«</w:t>
      </w:r>
      <w:r w:rsidRPr="00CF355A">
        <w:rPr>
          <w:rFonts w:ascii="Calibri" w:hAnsi="Calibri" w:cs="Calibri"/>
          <w:b/>
          <w:bCs/>
          <w:i/>
          <w:iCs/>
          <w:sz w:val="22"/>
          <w:szCs w:val="22"/>
        </w:rPr>
        <w:t xml:space="preserve"> Consideraciones de fondo: </w:t>
      </w:r>
    </w:p>
    <w:p w14:paraId="0A9A9DB8" w14:textId="77777777" w:rsidR="00CF355A" w:rsidRPr="00CF355A" w:rsidRDefault="00CF355A" w:rsidP="00337D5B">
      <w:pPr>
        <w:jc w:val="both"/>
        <w:rPr>
          <w:rFonts w:ascii="Calibri" w:eastAsia="Calibri" w:hAnsi="Calibri" w:cs="Calibri"/>
          <w:sz w:val="22"/>
          <w:szCs w:val="22"/>
          <w:lang w:eastAsia="en-US"/>
        </w:rPr>
      </w:pPr>
    </w:p>
    <w:p w14:paraId="68A14E1E" w14:textId="4270FBAA"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Se procede de seguido con el análisis puntual de los argumentos expuestos por el recurrente, en el mismo orden en el que fueron presentados:</w:t>
      </w:r>
    </w:p>
    <w:p w14:paraId="03738560" w14:textId="77777777" w:rsidR="00337D5B" w:rsidRPr="00CF355A" w:rsidRDefault="00337D5B" w:rsidP="00337D5B">
      <w:pPr>
        <w:jc w:val="both"/>
        <w:rPr>
          <w:rFonts w:ascii="Calibri" w:eastAsia="Calibri" w:hAnsi="Calibri" w:cs="Calibri"/>
          <w:i/>
          <w:iCs/>
          <w:sz w:val="22"/>
          <w:szCs w:val="22"/>
          <w:lang w:eastAsia="en-US"/>
        </w:rPr>
      </w:pPr>
    </w:p>
    <w:p w14:paraId="0F3ED089" w14:textId="77777777" w:rsidR="00CF355A" w:rsidRPr="00CF355A" w:rsidRDefault="00CF355A" w:rsidP="00337D5B">
      <w:pPr>
        <w:numPr>
          <w:ilvl w:val="0"/>
          <w:numId w:val="21"/>
        </w:numPr>
        <w:ind w:left="426" w:hanging="284"/>
        <w:jc w:val="both"/>
        <w:rPr>
          <w:rFonts w:ascii="Calibri" w:eastAsia="Calibri" w:hAnsi="Calibri" w:cs="Calibri"/>
          <w:b/>
          <w:bCs/>
          <w:i/>
          <w:iCs/>
          <w:sz w:val="22"/>
          <w:szCs w:val="22"/>
          <w:lang w:eastAsia="en-US"/>
        </w:rPr>
      </w:pPr>
      <w:r w:rsidRPr="00CF355A">
        <w:rPr>
          <w:rFonts w:ascii="Calibri" w:eastAsia="Calibri" w:hAnsi="Calibri" w:cs="Calibri"/>
          <w:b/>
          <w:bCs/>
          <w:i/>
          <w:iCs/>
          <w:sz w:val="22"/>
          <w:szCs w:val="22"/>
          <w:lang w:eastAsia="en-US"/>
        </w:rPr>
        <w:t>Incumplimiento de requisito de admisibilidad en cuanto al requisito de experiencia del profesional ofertado:</w:t>
      </w:r>
    </w:p>
    <w:p w14:paraId="77D2C001" w14:textId="77777777" w:rsidR="00CF355A" w:rsidRPr="00CF355A" w:rsidRDefault="00CF355A" w:rsidP="00337D5B">
      <w:pPr>
        <w:ind w:left="720"/>
        <w:jc w:val="both"/>
        <w:rPr>
          <w:rFonts w:ascii="Calibri" w:eastAsia="Calibri" w:hAnsi="Calibri" w:cs="Calibri"/>
          <w:b/>
          <w:bCs/>
          <w:i/>
          <w:iCs/>
          <w:sz w:val="22"/>
          <w:szCs w:val="22"/>
          <w:lang w:eastAsia="en-US"/>
        </w:rPr>
      </w:pPr>
    </w:p>
    <w:p w14:paraId="6B1CD4F5" w14:textId="552F2A9F"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El punto 12 del cartel se dedica a la definición de los requisitos del personal que realizará el trabajo, definiéndolo, así como una condición de admisibilidad de las ofertas.</w:t>
      </w:r>
    </w:p>
    <w:p w14:paraId="0D83058F" w14:textId="77777777" w:rsidR="00DD5237" w:rsidRPr="00CF355A" w:rsidRDefault="00DD5237" w:rsidP="00337D5B">
      <w:pPr>
        <w:jc w:val="both"/>
        <w:rPr>
          <w:rFonts w:ascii="Calibri" w:eastAsia="Calibri" w:hAnsi="Calibri" w:cs="Calibri"/>
          <w:i/>
          <w:iCs/>
          <w:sz w:val="22"/>
          <w:szCs w:val="22"/>
          <w:lang w:eastAsia="en-US"/>
        </w:rPr>
      </w:pPr>
    </w:p>
    <w:p w14:paraId="4C2298BD" w14:textId="7678F2B9"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El punto 12.1 establece que la empresa oferente deberá contar para el desarrollo del objeto contractual, con un equipo de trabajo mínimo de 3 profesionales.</w:t>
      </w:r>
    </w:p>
    <w:p w14:paraId="190490C1" w14:textId="77777777" w:rsidR="00DD5237" w:rsidRPr="00CF355A" w:rsidRDefault="00DD5237" w:rsidP="00337D5B">
      <w:pPr>
        <w:jc w:val="both"/>
        <w:rPr>
          <w:rFonts w:ascii="Calibri" w:eastAsia="Calibri" w:hAnsi="Calibri" w:cs="Calibri"/>
          <w:i/>
          <w:iCs/>
          <w:sz w:val="22"/>
          <w:szCs w:val="22"/>
          <w:lang w:eastAsia="en-US"/>
        </w:rPr>
      </w:pPr>
    </w:p>
    <w:p w14:paraId="664A6D7D" w14:textId="5F32052B"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Los puntos del 12.2 al 12.4, define los requisitos que deberán cumplir esos 3 profesionales.</w:t>
      </w:r>
    </w:p>
    <w:p w14:paraId="1CFD2049" w14:textId="77777777" w:rsidR="00DD5237" w:rsidRPr="00CF355A" w:rsidRDefault="00DD5237" w:rsidP="00337D5B">
      <w:pPr>
        <w:jc w:val="both"/>
        <w:rPr>
          <w:rFonts w:ascii="Calibri" w:eastAsia="Calibri" w:hAnsi="Calibri" w:cs="Calibri"/>
          <w:i/>
          <w:iCs/>
          <w:sz w:val="22"/>
          <w:szCs w:val="22"/>
          <w:lang w:eastAsia="en-US"/>
        </w:rPr>
      </w:pPr>
    </w:p>
    <w:p w14:paraId="505744A7" w14:textId="35CC45F2"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Lleva razón el recurrente al señalar que la experiencia requerida para cada uno de estos profesionales, debe ser considerada a partir del momento en que se encontraban legitimados para el ejercicio profesional, es decir, a partir del momento en que cuentan con la acreditación de incorporación al Colegio Profesional que los agremia, legitimándolos así para el ejercicio de la profesión; no obstante, tal y como señala en su escrito el representante de la empresa Van del Leer S.A. , en su oferta están ofreciendo un equipo integrado por cuatro profesionales, una de las cuales es la Ing. Murillo Salazar.  De manera tal que, cumpliendo los otros tres profesionales con la totalidad de los requisitos requeridos y exigidos para el equipo de trabajo, la empresa Van del Leer S.A. está cumpliendo con el requisito de admisibilidad exigido en cuanto al perfil profesional de los profesionales integrantes del equipo de trabajo ofertado.</w:t>
      </w:r>
    </w:p>
    <w:p w14:paraId="78A41BF1" w14:textId="77777777" w:rsidR="00DD5237" w:rsidRPr="00CF355A" w:rsidRDefault="00DD5237" w:rsidP="00337D5B">
      <w:pPr>
        <w:jc w:val="both"/>
        <w:rPr>
          <w:rFonts w:ascii="Calibri" w:eastAsia="Calibri" w:hAnsi="Calibri" w:cs="Calibri"/>
          <w:i/>
          <w:iCs/>
          <w:sz w:val="22"/>
          <w:szCs w:val="22"/>
          <w:lang w:eastAsia="en-US"/>
        </w:rPr>
      </w:pPr>
    </w:p>
    <w:p w14:paraId="3EF19841" w14:textId="77777777" w:rsidR="00CF355A" w:rsidRPr="00CF355A" w:rsidRDefault="00CF355A" w:rsidP="00DD5237">
      <w:pPr>
        <w:numPr>
          <w:ilvl w:val="0"/>
          <w:numId w:val="21"/>
        </w:numPr>
        <w:ind w:left="567" w:hanging="283"/>
        <w:jc w:val="both"/>
        <w:rPr>
          <w:rFonts w:ascii="Calibri" w:eastAsia="Calibri" w:hAnsi="Calibri" w:cs="Calibri"/>
          <w:b/>
          <w:bCs/>
          <w:i/>
          <w:iCs/>
          <w:sz w:val="22"/>
          <w:szCs w:val="22"/>
          <w:lang w:eastAsia="en-US"/>
        </w:rPr>
      </w:pPr>
      <w:r w:rsidRPr="00CF355A">
        <w:rPr>
          <w:rFonts w:ascii="Calibri" w:eastAsia="Calibri" w:hAnsi="Calibri" w:cs="Calibri"/>
          <w:b/>
          <w:bCs/>
          <w:i/>
          <w:iCs/>
          <w:sz w:val="22"/>
          <w:szCs w:val="22"/>
          <w:lang w:eastAsia="en-US"/>
        </w:rPr>
        <w:t>En cuanto a la aplicación del factor de evaluación c) Cantidad de trabajos adicionales de la empresa:</w:t>
      </w:r>
    </w:p>
    <w:p w14:paraId="556ACA6E" w14:textId="77777777" w:rsidR="00CF355A" w:rsidRPr="00CF355A" w:rsidRDefault="00CF355A" w:rsidP="00337D5B">
      <w:pPr>
        <w:jc w:val="both"/>
        <w:rPr>
          <w:rFonts w:ascii="Calibri" w:eastAsia="Calibri" w:hAnsi="Calibri" w:cs="Calibri"/>
          <w:i/>
          <w:iCs/>
          <w:sz w:val="22"/>
          <w:szCs w:val="22"/>
          <w:lang w:eastAsia="en-US"/>
        </w:rPr>
      </w:pPr>
    </w:p>
    <w:p w14:paraId="7CE4CF79"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Alega el recurrente que en la evaluación del factor cantidad de trabajos realizados del adjudicado se cometen tres errores:</w:t>
      </w:r>
    </w:p>
    <w:p w14:paraId="70F85C46" w14:textId="77777777" w:rsidR="00CF355A" w:rsidRPr="00CF355A" w:rsidRDefault="00CF355A" w:rsidP="00337D5B">
      <w:pPr>
        <w:numPr>
          <w:ilvl w:val="0"/>
          <w:numId w:val="22"/>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El informe de adjudicación no precisa cual experiencia se está tomando para acreditar la admisibilidad y cuál para la acreditación de puntos.</w:t>
      </w:r>
    </w:p>
    <w:p w14:paraId="02F8EB6F" w14:textId="77777777" w:rsidR="00CF355A" w:rsidRPr="00CF355A" w:rsidRDefault="00CF355A" w:rsidP="00337D5B">
      <w:pPr>
        <w:numPr>
          <w:ilvl w:val="0"/>
          <w:numId w:val="22"/>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El equipo evaluador no toma una posición coherente a la hora de analizar las respuestas a las solicitudes de aclaración formuladas y las respuestas recibidas.</w:t>
      </w:r>
    </w:p>
    <w:p w14:paraId="226CBA7F" w14:textId="77777777" w:rsidR="00CF355A" w:rsidRPr="00CF355A" w:rsidRDefault="00CF355A" w:rsidP="00337D5B">
      <w:pPr>
        <w:numPr>
          <w:ilvl w:val="0"/>
          <w:numId w:val="22"/>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El informe de adjudicación no distingue la naturaleza de la experiencia de admisibilidad de la experiencia de evaluación.</w:t>
      </w:r>
    </w:p>
    <w:p w14:paraId="403B6452" w14:textId="77777777" w:rsidR="00CF355A" w:rsidRPr="00CF355A" w:rsidRDefault="00CF355A" w:rsidP="00337D5B">
      <w:pPr>
        <w:jc w:val="both"/>
        <w:rPr>
          <w:rFonts w:ascii="Calibri" w:eastAsia="Calibri" w:hAnsi="Calibri" w:cs="Calibri"/>
          <w:i/>
          <w:iCs/>
          <w:sz w:val="22"/>
          <w:szCs w:val="22"/>
          <w:lang w:eastAsia="en-US"/>
        </w:rPr>
      </w:pPr>
    </w:p>
    <w:p w14:paraId="41846186" w14:textId="1E415DEE"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Analizado con detenimiento, en realidad los argumentos respecto a los errores señalados se reducen a 2, pues el indicado como c) no es más que una reiteración, con diferentes palabras de lo señalado en punto a).</w:t>
      </w:r>
    </w:p>
    <w:p w14:paraId="4CBD298F" w14:textId="77777777" w:rsidR="00DD5237" w:rsidRPr="00CF355A" w:rsidRDefault="00DD5237" w:rsidP="00337D5B">
      <w:pPr>
        <w:jc w:val="both"/>
        <w:rPr>
          <w:rFonts w:ascii="Calibri" w:eastAsia="Calibri" w:hAnsi="Calibri" w:cs="Calibri"/>
          <w:i/>
          <w:iCs/>
          <w:sz w:val="22"/>
          <w:szCs w:val="22"/>
          <w:lang w:eastAsia="en-US"/>
        </w:rPr>
      </w:pPr>
    </w:p>
    <w:p w14:paraId="0E9E3351" w14:textId="0FF03256"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lastRenderedPageBreak/>
        <w:t>El punto respecto del cual versa la discusión es el establecido en el punto 11.3 del cartel, en relación con el factor c) del mecanismo de evaluación de las ofertas.</w:t>
      </w:r>
    </w:p>
    <w:p w14:paraId="0CC7C97D" w14:textId="77777777" w:rsidR="00DD5237" w:rsidRPr="00CF355A" w:rsidRDefault="00DD5237" w:rsidP="00337D5B">
      <w:pPr>
        <w:jc w:val="both"/>
        <w:rPr>
          <w:rFonts w:ascii="Calibri" w:eastAsia="Calibri" w:hAnsi="Calibri" w:cs="Calibri"/>
          <w:i/>
          <w:iCs/>
          <w:sz w:val="22"/>
          <w:szCs w:val="22"/>
          <w:lang w:eastAsia="en-US"/>
        </w:rPr>
      </w:pPr>
    </w:p>
    <w:p w14:paraId="66235189" w14:textId="67897562"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Textualmente señalan estas normas del pliego </w:t>
      </w:r>
      <w:proofErr w:type="spellStart"/>
      <w:r w:rsidRPr="00CF355A">
        <w:rPr>
          <w:rFonts w:ascii="Calibri" w:eastAsia="Calibri" w:hAnsi="Calibri" w:cs="Calibri"/>
          <w:i/>
          <w:iCs/>
          <w:sz w:val="22"/>
          <w:szCs w:val="22"/>
          <w:lang w:eastAsia="en-US"/>
        </w:rPr>
        <w:t>cartelario</w:t>
      </w:r>
      <w:proofErr w:type="spellEnd"/>
      <w:r w:rsidRPr="00CF355A">
        <w:rPr>
          <w:rFonts w:ascii="Calibri" w:eastAsia="Calibri" w:hAnsi="Calibri" w:cs="Calibri"/>
          <w:i/>
          <w:iCs/>
          <w:sz w:val="22"/>
          <w:szCs w:val="22"/>
          <w:lang w:eastAsia="en-US"/>
        </w:rPr>
        <w:t>:</w:t>
      </w:r>
    </w:p>
    <w:p w14:paraId="1F691A8D" w14:textId="77777777" w:rsidR="00DD5237" w:rsidRPr="00CF355A" w:rsidRDefault="00DD5237" w:rsidP="00337D5B">
      <w:pPr>
        <w:jc w:val="both"/>
        <w:rPr>
          <w:rFonts w:ascii="Calibri" w:eastAsia="Calibri" w:hAnsi="Calibri" w:cs="Calibri"/>
          <w:i/>
          <w:iCs/>
          <w:sz w:val="22"/>
          <w:szCs w:val="22"/>
          <w:lang w:eastAsia="en-US"/>
        </w:rPr>
      </w:pPr>
    </w:p>
    <w:p w14:paraId="73FBEDED"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w:t>
      </w:r>
      <w:r w:rsidRPr="00CF355A">
        <w:rPr>
          <w:rFonts w:ascii="Calibri" w:eastAsia="Calibri" w:hAnsi="Calibri" w:cs="Calibri"/>
          <w:b/>
          <w:bCs/>
          <w:i/>
          <w:iCs/>
          <w:sz w:val="22"/>
          <w:szCs w:val="22"/>
          <w:lang w:eastAsia="en-US"/>
        </w:rPr>
        <w:t xml:space="preserve">11) </w:t>
      </w:r>
      <w:r w:rsidRPr="00CF355A">
        <w:rPr>
          <w:rFonts w:ascii="Calibri" w:eastAsia="Calibri" w:hAnsi="Calibri" w:cs="Calibri"/>
          <w:b/>
          <w:bCs/>
          <w:i/>
          <w:iCs/>
          <w:sz w:val="22"/>
          <w:szCs w:val="22"/>
          <w:u w:val="single"/>
          <w:lang w:eastAsia="en-US"/>
        </w:rPr>
        <w:t>Requisitos de admisibilidad:</w:t>
      </w:r>
    </w:p>
    <w:p w14:paraId="22E3924A" w14:textId="77777777" w:rsidR="00CF355A" w:rsidRPr="00CF355A" w:rsidRDefault="00CF355A" w:rsidP="00337D5B">
      <w:pPr>
        <w:ind w:firstLine="708"/>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w:t>
      </w:r>
    </w:p>
    <w:p w14:paraId="0F6FD7A9" w14:textId="48200065" w:rsidR="00CF355A" w:rsidRDefault="00CF355A" w:rsidP="00337D5B">
      <w:pPr>
        <w:ind w:left="708"/>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11.3 Que la empresa ha desarrollado en los 6 años previos a la apertura de esta contratación, al menos 3 trabajos relacionados con algunos de los siguientes alcances: </w:t>
      </w:r>
      <w:r w:rsidRPr="00CF355A">
        <w:rPr>
          <w:rFonts w:ascii="Calibri" w:eastAsia="Calibri" w:hAnsi="Calibri" w:cs="Calibri"/>
          <w:i/>
          <w:iCs/>
          <w:sz w:val="22"/>
          <w:szCs w:val="22"/>
          <w:u w:val="single"/>
          <w:lang w:eastAsia="en-US"/>
        </w:rPr>
        <w:t xml:space="preserve">estudio de puestos / escala salarial / estudios de cargas de trabajo.” </w:t>
      </w:r>
      <w:r w:rsidRPr="00CF355A">
        <w:rPr>
          <w:rFonts w:ascii="Calibri" w:eastAsia="Calibri" w:hAnsi="Calibri" w:cs="Calibri"/>
          <w:i/>
          <w:iCs/>
          <w:sz w:val="22"/>
          <w:szCs w:val="22"/>
          <w:lang w:eastAsia="en-US"/>
        </w:rPr>
        <w:t>(El subrayado final no es del original)</w:t>
      </w:r>
    </w:p>
    <w:p w14:paraId="0EBC042D" w14:textId="77777777" w:rsidR="009C37FD" w:rsidRPr="00CF355A" w:rsidRDefault="009C37FD" w:rsidP="00337D5B">
      <w:pPr>
        <w:ind w:left="708"/>
        <w:jc w:val="both"/>
        <w:rPr>
          <w:rFonts w:ascii="Calibri" w:eastAsia="Calibri" w:hAnsi="Calibri" w:cs="Calibri"/>
          <w:i/>
          <w:iCs/>
          <w:sz w:val="22"/>
          <w:szCs w:val="22"/>
          <w:lang w:eastAsia="en-US"/>
        </w:rPr>
      </w:pPr>
    </w:p>
    <w:p w14:paraId="50B11967" w14:textId="77777777" w:rsidR="00CF355A" w:rsidRPr="00CF355A" w:rsidRDefault="00CF355A" w:rsidP="00337D5B">
      <w:pPr>
        <w:jc w:val="both"/>
        <w:rPr>
          <w:rFonts w:ascii="Calibri" w:eastAsia="Calibri" w:hAnsi="Calibri" w:cs="Calibri"/>
          <w:b/>
          <w:bCs/>
          <w:i/>
          <w:iCs/>
          <w:sz w:val="22"/>
          <w:szCs w:val="22"/>
          <w:lang w:eastAsia="en-US"/>
        </w:rPr>
      </w:pPr>
      <w:r w:rsidRPr="00CF355A">
        <w:rPr>
          <w:rFonts w:ascii="Calibri" w:eastAsia="Calibri" w:hAnsi="Calibri" w:cs="Calibri"/>
          <w:b/>
          <w:bCs/>
          <w:i/>
          <w:iCs/>
          <w:sz w:val="22"/>
          <w:szCs w:val="22"/>
          <w:lang w:eastAsia="en-US"/>
        </w:rPr>
        <w:t>“</w:t>
      </w:r>
      <w:r w:rsidRPr="00CF355A">
        <w:rPr>
          <w:rFonts w:ascii="Calibri" w:eastAsia="Calibri" w:hAnsi="Calibri" w:cs="Calibri"/>
          <w:b/>
          <w:bCs/>
          <w:i/>
          <w:iCs/>
          <w:sz w:val="22"/>
          <w:szCs w:val="22"/>
          <w:u w:val="single"/>
          <w:lang w:eastAsia="en-US"/>
        </w:rPr>
        <w:t>III. MECANISMO DE EVALUACIÓN</w:t>
      </w:r>
      <w:r w:rsidRPr="00CF355A">
        <w:rPr>
          <w:rFonts w:ascii="Calibri" w:eastAsia="Calibri" w:hAnsi="Calibri" w:cs="Calibri"/>
          <w:b/>
          <w:bCs/>
          <w:i/>
          <w:iCs/>
          <w:sz w:val="22"/>
          <w:szCs w:val="22"/>
          <w:lang w:eastAsia="en-US"/>
        </w:rPr>
        <w:t xml:space="preserve"> </w:t>
      </w:r>
    </w:p>
    <w:p w14:paraId="3528684C"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w:t>
      </w:r>
    </w:p>
    <w:p w14:paraId="6A360A51" w14:textId="77777777" w:rsidR="00CF355A" w:rsidRPr="00CF355A" w:rsidRDefault="00CF355A" w:rsidP="00337D5B">
      <w:pPr>
        <w:jc w:val="both"/>
        <w:rPr>
          <w:rFonts w:ascii="Calibri" w:eastAsia="Calibri" w:hAnsi="Calibri" w:cs="Calibri"/>
          <w:b/>
          <w:bCs/>
          <w:i/>
          <w:iCs/>
          <w:sz w:val="22"/>
          <w:szCs w:val="22"/>
          <w:u w:val="single"/>
          <w:lang w:eastAsia="en-US"/>
        </w:rPr>
      </w:pPr>
      <w:r w:rsidRPr="00CF355A">
        <w:rPr>
          <w:rFonts w:ascii="Calibri" w:eastAsia="Calibri" w:hAnsi="Calibri" w:cs="Calibri"/>
          <w:b/>
          <w:bCs/>
          <w:i/>
          <w:iCs/>
          <w:sz w:val="22"/>
          <w:szCs w:val="22"/>
          <w:u w:val="single"/>
          <w:lang w:eastAsia="en-US"/>
        </w:rPr>
        <w:t>c. Cantidad de trabajos adicionales realizados por la empresa en los últimos 6 años (40%)</w:t>
      </w:r>
    </w:p>
    <w:p w14:paraId="5710BCF3" w14:textId="77777777" w:rsidR="009C37FD" w:rsidRDefault="009C37FD" w:rsidP="00337D5B">
      <w:pPr>
        <w:jc w:val="both"/>
        <w:rPr>
          <w:rFonts w:ascii="Calibri" w:eastAsia="Calibri" w:hAnsi="Calibri" w:cs="Calibri"/>
          <w:i/>
          <w:iCs/>
          <w:sz w:val="22"/>
          <w:szCs w:val="22"/>
          <w:lang w:eastAsia="en-US"/>
        </w:rPr>
      </w:pPr>
    </w:p>
    <w:p w14:paraId="3636B60B" w14:textId="4EA2CFF5"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Se calificará la cantidad de trabajos adicionales realizados por la empresa en los 6 años previos a la apertura de ofertas, iguales al objeto de este concurso, por encima del mínimo señalado en el punto 11.3 del cartel.</w:t>
      </w:r>
    </w:p>
    <w:p w14:paraId="476EBB87" w14:textId="77777777" w:rsidR="009C37FD" w:rsidRDefault="009C37FD" w:rsidP="00337D5B">
      <w:pPr>
        <w:jc w:val="both"/>
        <w:rPr>
          <w:rFonts w:ascii="Calibri" w:eastAsia="Calibri" w:hAnsi="Calibri" w:cs="Calibri"/>
          <w:i/>
          <w:iCs/>
          <w:sz w:val="22"/>
          <w:szCs w:val="22"/>
          <w:lang w:eastAsia="en-US"/>
        </w:rPr>
      </w:pPr>
    </w:p>
    <w:p w14:paraId="6BF29E0F" w14:textId="382D930A"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Para ello deben presentar una declaración jurada en la cual hagan constar lo siguiente:</w:t>
      </w:r>
    </w:p>
    <w:p w14:paraId="55A68C06" w14:textId="77777777" w:rsidR="00CF355A" w:rsidRPr="00CF355A" w:rsidRDefault="00CF355A" w:rsidP="00CF355A">
      <w:pPr>
        <w:spacing w:after="160" w:line="259" w:lineRule="auto"/>
        <w:jc w:val="both"/>
        <w:rPr>
          <w:rFonts w:ascii="Calibri" w:eastAsia="Calibri" w:hAnsi="Calibri" w:cs="Calibri"/>
          <w:i/>
          <w:iCs/>
          <w:sz w:val="22"/>
          <w:lang w:eastAsia="en-US"/>
        </w:rPr>
      </w:pPr>
    </w:p>
    <w:p w14:paraId="7156B5A4" w14:textId="77777777" w:rsidR="00CF355A" w:rsidRPr="00CF355A" w:rsidRDefault="00CF355A" w:rsidP="00CF355A">
      <w:pPr>
        <w:spacing w:after="160" w:line="259" w:lineRule="auto"/>
        <w:jc w:val="center"/>
        <w:rPr>
          <w:rFonts w:ascii="Calibri" w:eastAsia="Calibri" w:hAnsi="Calibri" w:cs="Calibri"/>
          <w:i/>
          <w:iCs/>
          <w:sz w:val="22"/>
          <w:lang w:eastAsia="en-US"/>
        </w:rPr>
      </w:pPr>
      <w:r w:rsidRPr="00CF355A">
        <w:rPr>
          <w:rFonts w:ascii="Calibri" w:eastAsia="Calibri" w:hAnsi="Calibri" w:cs="Calibri"/>
          <w:i/>
          <w:iCs/>
          <w:noProof/>
          <w:sz w:val="22"/>
          <w:lang w:eastAsia="en-US"/>
        </w:rPr>
        <w:drawing>
          <wp:inline distT="0" distB="0" distL="0" distR="0" wp14:anchorId="1B4485FA" wp14:editId="2ED4911A">
            <wp:extent cx="4540195" cy="1495080"/>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7"/>
                    <a:stretch>
                      <a:fillRect/>
                    </a:stretch>
                  </pic:blipFill>
                  <pic:spPr>
                    <a:xfrm>
                      <a:off x="0" y="0"/>
                      <a:ext cx="4570814" cy="1505163"/>
                    </a:xfrm>
                    <a:prstGeom prst="rect">
                      <a:avLst/>
                    </a:prstGeom>
                  </pic:spPr>
                </pic:pic>
              </a:graphicData>
            </a:graphic>
          </wp:inline>
        </w:drawing>
      </w:r>
    </w:p>
    <w:p w14:paraId="54D5EA25" w14:textId="77777777" w:rsidR="00C36F5A" w:rsidRDefault="00C36F5A" w:rsidP="00337D5B">
      <w:pPr>
        <w:jc w:val="both"/>
        <w:rPr>
          <w:rFonts w:ascii="Calibri" w:eastAsia="Calibri" w:hAnsi="Calibri" w:cs="Calibri"/>
          <w:b/>
          <w:bCs/>
          <w:i/>
          <w:iCs/>
          <w:sz w:val="22"/>
          <w:szCs w:val="22"/>
          <w:u w:val="single"/>
          <w:lang w:eastAsia="en-US"/>
        </w:rPr>
      </w:pPr>
    </w:p>
    <w:p w14:paraId="26835143" w14:textId="23642B18" w:rsidR="00CF355A" w:rsidRPr="00CF355A" w:rsidRDefault="00CF355A" w:rsidP="00337D5B">
      <w:pPr>
        <w:jc w:val="both"/>
        <w:rPr>
          <w:rFonts w:ascii="Calibri" w:eastAsia="Calibri" w:hAnsi="Calibri" w:cs="Calibri"/>
          <w:b/>
          <w:bCs/>
          <w:i/>
          <w:iCs/>
          <w:sz w:val="22"/>
          <w:szCs w:val="22"/>
          <w:u w:val="single"/>
          <w:lang w:eastAsia="en-US"/>
        </w:rPr>
      </w:pPr>
      <w:r w:rsidRPr="00CF355A">
        <w:rPr>
          <w:rFonts w:ascii="Calibri" w:eastAsia="Calibri" w:hAnsi="Calibri" w:cs="Calibri"/>
          <w:b/>
          <w:bCs/>
          <w:i/>
          <w:iCs/>
          <w:sz w:val="22"/>
          <w:szCs w:val="22"/>
          <w:u w:val="single"/>
          <w:lang w:eastAsia="en-US"/>
        </w:rPr>
        <w:t>Se otorgará un 5% por cada trabajo adicional en cualquiera de los siguientes alcances, hasta un máximo de 40%:</w:t>
      </w:r>
    </w:p>
    <w:p w14:paraId="4CE256A9" w14:textId="77777777" w:rsidR="00C36F5A" w:rsidRDefault="00C36F5A" w:rsidP="00337D5B">
      <w:pPr>
        <w:jc w:val="both"/>
        <w:rPr>
          <w:rFonts w:ascii="Calibri" w:eastAsia="Calibri" w:hAnsi="Calibri" w:cs="Calibri"/>
          <w:i/>
          <w:iCs/>
          <w:sz w:val="22"/>
          <w:szCs w:val="22"/>
          <w:u w:val="single"/>
          <w:lang w:eastAsia="en-US"/>
        </w:rPr>
      </w:pPr>
    </w:p>
    <w:p w14:paraId="16D13469" w14:textId="2D8470A6" w:rsidR="00CF355A" w:rsidRPr="00CF355A" w:rsidRDefault="00CF355A" w:rsidP="00337D5B">
      <w:pPr>
        <w:jc w:val="both"/>
        <w:rPr>
          <w:rFonts w:ascii="Calibri" w:eastAsia="Calibri" w:hAnsi="Calibri" w:cs="Calibri"/>
          <w:i/>
          <w:iCs/>
          <w:sz w:val="22"/>
          <w:szCs w:val="22"/>
          <w:u w:val="single"/>
          <w:lang w:eastAsia="en-US"/>
        </w:rPr>
      </w:pPr>
      <w:r w:rsidRPr="00CF355A">
        <w:rPr>
          <w:rFonts w:ascii="Calibri" w:eastAsia="Calibri" w:hAnsi="Calibri" w:cs="Calibri"/>
          <w:i/>
          <w:iCs/>
          <w:sz w:val="22"/>
          <w:szCs w:val="22"/>
          <w:u w:val="single"/>
          <w:lang w:eastAsia="en-US"/>
        </w:rPr>
        <w:t>• estudio de puestos</w:t>
      </w:r>
    </w:p>
    <w:p w14:paraId="470EA95A" w14:textId="77777777" w:rsidR="00C36F5A" w:rsidRDefault="00C36F5A" w:rsidP="00337D5B">
      <w:pPr>
        <w:jc w:val="both"/>
        <w:rPr>
          <w:rFonts w:ascii="Calibri" w:eastAsia="Calibri" w:hAnsi="Calibri" w:cs="Calibri"/>
          <w:i/>
          <w:iCs/>
          <w:sz w:val="22"/>
          <w:szCs w:val="22"/>
          <w:u w:val="single"/>
          <w:lang w:eastAsia="en-US"/>
        </w:rPr>
      </w:pPr>
    </w:p>
    <w:p w14:paraId="72D4550B" w14:textId="222380BD"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u w:val="single"/>
          <w:lang w:eastAsia="en-US"/>
        </w:rPr>
        <w:t>• estudios de cargas de trabajo</w:t>
      </w:r>
      <w:r w:rsidRPr="00CF355A">
        <w:rPr>
          <w:rFonts w:ascii="Calibri" w:eastAsia="Calibri" w:hAnsi="Calibri" w:cs="Calibri"/>
          <w:i/>
          <w:iCs/>
          <w:sz w:val="22"/>
          <w:szCs w:val="22"/>
          <w:lang w:eastAsia="en-US"/>
        </w:rPr>
        <w:t>”  (El subrayado final no es del original)</w:t>
      </w:r>
    </w:p>
    <w:p w14:paraId="11A71DF8" w14:textId="77777777" w:rsidR="00C36F5A" w:rsidRDefault="00C36F5A" w:rsidP="00337D5B">
      <w:pPr>
        <w:jc w:val="both"/>
        <w:rPr>
          <w:rFonts w:ascii="Calibri" w:eastAsia="Calibri" w:hAnsi="Calibri" w:cs="Calibri"/>
          <w:i/>
          <w:iCs/>
          <w:sz w:val="22"/>
          <w:szCs w:val="22"/>
          <w:lang w:eastAsia="en-US"/>
        </w:rPr>
      </w:pPr>
    </w:p>
    <w:p w14:paraId="56CF69FA" w14:textId="53357195"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Habiendo dejado claras las bases del concurso establecidas en el cartel, debe señalarse que lleva razón el recurrente al argumentar que, en el informe de adjudicación no se precisa cuál experiencia se está tomando en consideración para acreditar el requisito de admisibilidad y cuál se está tomando para aplicar el mecanismo de evaluación.</w:t>
      </w:r>
    </w:p>
    <w:p w14:paraId="44534DB3" w14:textId="77777777" w:rsidR="00C36F5A" w:rsidRPr="00CF355A" w:rsidRDefault="00C36F5A" w:rsidP="00337D5B">
      <w:pPr>
        <w:jc w:val="both"/>
        <w:rPr>
          <w:rFonts w:ascii="Calibri" w:eastAsia="Calibri" w:hAnsi="Calibri" w:cs="Calibri"/>
          <w:i/>
          <w:iCs/>
          <w:sz w:val="22"/>
          <w:szCs w:val="22"/>
          <w:lang w:eastAsia="en-US"/>
        </w:rPr>
      </w:pPr>
    </w:p>
    <w:p w14:paraId="6E2173B5" w14:textId="4AD8AD6F"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Asimismo, lleva razón el recurrente al señalar que, al no presentar un detalle claro de la forma en la que la experiencia fue calificada, se están asignando puntos adicionales para valoración de la oferta, a experiencia que no califica, según lo establecido en el factor c de evaluación de las ofertas, pues </w:t>
      </w:r>
      <w:r w:rsidRPr="00CF355A">
        <w:rPr>
          <w:rFonts w:ascii="Calibri" w:eastAsia="Calibri" w:hAnsi="Calibri" w:cs="Calibri"/>
          <w:i/>
          <w:iCs/>
          <w:sz w:val="22"/>
          <w:szCs w:val="22"/>
          <w:lang w:eastAsia="en-US"/>
        </w:rPr>
        <w:lastRenderedPageBreak/>
        <w:t xml:space="preserve">aún para la calificación de la experiencia se usó como referencia las áreas de especialidad referidas para determinar la admisibilidad.  </w:t>
      </w:r>
    </w:p>
    <w:p w14:paraId="75825A41" w14:textId="77777777" w:rsidR="00C36F5A" w:rsidRPr="00CF355A" w:rsidRDefault="00C36F5A" w:rsidP="00337D5B">
      <w:pPr>
        <w:jc w:val="both"/>
        <w:rPr>
          <w:rFonts w:ascii="Calibri" w:eastAsia="Calibri" w:hAnsi="Calibri" w:cs="Calibri"/>
          <w:i/>
          <w:iCs/>
          <w:sz w:val="22"/>
          <w:szCs w:val="22"/>
          <w:lang w:eastAsia="en-US"/>
        </w:rPr>
      </w:pPr>
    </w:p>
    <w:p w14:paraId="1460E96F"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Para evaluar la experiencia requerida para acreditar la oferta como admisible, se dispuso en el cartel que la empresa debía acreditar haber desarrollado en los 6 años previos a la apertura de la contratación, al menos 3 trabajos </w:t>
      </w:r>
      <w:r w:rsidRPr="00CF355A">
        <w:rPr>
          <w:rFonts w:ascii="Calibri" w:eastAsia="Calibri" w:hAnsi="Calibri" w:cs="Calibri"/>
          <w:b/>
          <w:bCs/>
          <w:i/>
          <w:iCs/>
          <w:sz w:val="22"/>
          <w:szCs w:val="22"/>
          <w:u w:val="single"/>
          <w:lang w:eastAsia="en-US"/>
        </w:rPr>
        <w:t>relacionados</w:t>
      </w:r>
      <w:r w:rsidRPr="00CF355A">
        <w:rPr>
          <w:rFonts w:ascii="Calibri" w:eastAsia="Calibri" w:hAnsi="Calibri" w:cs="Calibri"/>
          <w:i/>
          <w:iCs/>
          <w:sz w:val="22"/>
          <w:szCs w:val="22"/>
          <w:lang w:eastAsia="en-US"/>
        </w:rPr>
        <w:t xml:space="preserve"> con algunos de los siguientes alcances:</w:t>
      </w:r>
    </w:p>
    <w:p w14:paraId="64E7F268" w14:textId="77777777" w:rsidR="00CF355A" w:rsidRPr="00CF355A" w:rsidRDefault="00CF355A" w:rsidP="00337D5B">
      <w:pPr>
        <w:jc w:val="both"/>
        <w:rPr>
          <w:rFonts w:ascii="Calibri" w:eastAsia="Calibri" w:hAnsi="Calibri" w:cs="Calibri"/>
          <w:i/>
          <w:iCs/>
          <w:sz w:val="22"/>
          <w:szCs w:val="22"/>
          <w:lang w:eastAsia="en-US"/>
        </w:rPr>
      </w:pPr>
    </w:p>
    <w:p w14:paraId="314B6AA1" w14:textId="77777777" w:rsidR="00CF355A" w:rsidRPr="00CF355A" w:rsidRDefault="00CF355A" w:rsidP="00337D5B">
      <w:pPr>
        <w:numPr>
          <w:ilvl w:val="0"/>
          <w:numId w:val="23"/>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Estudios de puestos</w:t>
      </w:r>
    </w:p>
    <w:p w14:paraId="35467D14" w14:textId="77777777" w:rsidR="00CF355A" w:rsidRPr="00CF355A" w:rsidRDefault="00CF355A" w:rsidP="00337D5B">
      <w:pPr>
        <w:numPr>
          <w:ilvl w:val="0"/>
          <w:numId w:val="23"/>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Escala salarial</w:t>
      </w:r>
    </w:p>
    <w:p w14:paraId="6C3932E4" w14:textId="77777777" w:rsidR="00CF355A" w:rsidRPr="00CF355A" w:rsidRDefault="00CF355A" w:rsidP="00337D5B">
      <w:pPr>
        <w:numPr>
          <w:ilvl w:val="0"/>
          <w:numId w:val="23"/>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Estudios de cargas de trabajo</w:t>
      </w:r>
    </w:p>
    <w:p w14:paraId="696251BB" w14:textId="77777777" w:rsidR="00CF355A" w:rsidRPr="00CF355A" w:rsidRDefault="00CF355A" w:rsidP="00337D5B">
      <w:pPr>
        <w:jc w:val="both"/>
        <w:rPr>
          <w:rFonts w:ascii="Calibri" w:eastAsia="Calibri" w:hAnsi="Calibri" w:cs="Calibri"/>
          <w:i/>
          <w:iCs/>
          <w:sz w:val="22"/>
          <w:szCs w:val="22"/>
          <w:lang w:eastAsia="en-US"/>
        </w:rPr>
      </w:pPr>
    </w:p>
    <w:p w14:paraId="7BE66B57"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Por su parte, en el mecanismo de evaluación de las ofertas se establece que se asignará 5% (hasta un máximo de 40%) por cada trabajo adicional realizado por la empresa en los 6 años previos a la apertura de ofertas, por encima del mínimo señalado en el punto 11.3, </w:t>
      </w:r>
      <w:r w:rsidRPr="00CF355A">
        <w:rPr>
          <w:rFonts w:ascii="Calibri" w:eastAsia="Calibri" w:hAnsi="Calibri" w:cs="Calibri"/>
          <w:i/>
          <w:iCs/>
          <w:sz w:val="22"/>
          <w:szCs w:val="22"/>
          <w:u w:val="single"/>
          <w:lang w:eastAsia="en-US"/>
        </w:rPr>
        <w:t>en cualquiera de los siguientes alcances:</w:t>
      </w:r>
    </w:p>
    <w:p w14:paraId="51B0E4D6" w14:textId="77777777" w:rsidR="00CF355A" w:rsidRPr="00CF355A" w:rsidRDefault="00CF355A" w:rsidP="00337D5B">
      <w:pPr>
        <w:jc w:val="both"/>
        <w:rPr>
          <w:rFonts w:ascii="Calibri" w:eastAsia="Calibri" w:hAnsi="Calibri" w:cs="Calibri"/>
          <w:i/>
          <w:iCs/>
          <w:sz w:val="22"/>
          <w:szCs w:val="22"/>
          <w:lang w:eastAsia="en-US"/>
        </w:rPr>
      </w:pPr>
    </w:p>
    <w:p w14:paraId="0A47C5E1" w14:textId="77777777" w:rsidR="00CF355A" w:rsidRPr="00CF355A" w:rsidRDefault="00CF355A" w:rsidP="00337D5B">
      <w:pPr>
        <w:numPr>
          <w:ilvl w:val="0"/>
          <w:numId w:val="24"/>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Estudios de puestos</w:t>
      </w:r>
    </w:p>
    <w:p w14:paraId="7E7EFDEF" w14:textId="77777777" w:rsidR="00CF355A" w:rsidRPr="00CF355A" w:rsidRDefault="00CF355A" w:rsidP="00337D5B">
      <w:pPr>
        <w:numPr>
          <w:ilvl w:val="0"/>
          <w:numId w:val="24"/>
        </w:num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Estudios de cargas de trabajo</w:t>
      </w:r>
    </w:p>
    <w:p w14:paraId="68E0B8AD" w14:textId="77777777" w:rsidR="00CF355A" w:rsidRPr="00CF355A" w:rsidRDefault="00CF355A" w:rsidP="00337D5B">
      <w:pPr>
        <w:jc w:val="both"/>
        <w:rPr>
          <w:rFonts w:ascii="Calibri" w:eastAsia="Calibri" w:hAnsi="Calibri" w:cs="Calibri"/>
          <w:i/>
          <w:iCs/>
          <w:sz w:val="22"/>
          <w:szCs w:val="22"/>
          <w:lang w:eastAsia="en-US"/>
        </w:rPr>
      </w:pPr>
    </w:p>
    <w:p w14:paraId="1019B29F" w14:textId="24CD7523"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 xml:space="preserve">La diferencia principal entre ambos alcances es que, para efectos de calificación de la experiencia requerida para declarar la admisibilidad de la oferta, se toma en consideración trabajos realizados durante los últimos 6 años, en temas </w:t>
      </w:r>
      <w:r w:rsidRPr="00CF355A">
        <w:rPr>
          <w:rFonts w:ascii="Calibri" w:eastAsia="Calibri" w:hAnsi="Calibri" w:cs="Calibri"/>
          <w:b/>
          <w:bCs/>
          <w:i/>
          <w:iCs/>
          <w:sz w:val="22"/>
          <w:szCs w:val="22"/>
          <w:lang w:eastAsia="en-US"/>
        </w:rPr>
        <w:t xml:space="preserve">RELACIONADOS </w:t>
      </w:r>
      <w:r w:rsidRPr="00CF355A">
        <w:rPr>
          <w:rFonts w:ascii="Calibri" w:eastAsia="Calibri" w:hAnsi="Calibri" w:cs="Calibri"/>
          <w:i/>
          <w:iCs/>
          <w:sz w:val="22"/>
          <w:szCs w:val="22"/>
          <w:lang w:eastAsia="en-US"/>
        </w:rPr>
        <w:t xml:space="preserve">con estudios de puestos, escala salarial y estudios de cargas de trabajos ( lo que hace mucho más amplio el campo de estudio), en tanto que para la valoración de las ofertas y asignación de puntaje por la experiencia superior a esa que fue considerada para la admisibilidad, </w:t>
      </w:r>
      <w:r w:rsidRPr="00CF355A">
        <w:rPr>
          <w:rFonts w:ascii="Calibri" w:eastAsia="Calibri" w:hAnsi="Calibri" w:cs="Calibri"/>
          <w:b/>
          <w:bCs/>
          <w:i/>
          <w:iCs/>
          <w:sz w:val="22"/>
          <w:szCs w:val="22"/>
          <w:lang w:eastAsia="en-US"/>
        </w:rPr>
        <w:t>UNICAMENTE</w:t>
      </w:r>
      <w:r w:rsidRPr="00CF355A">
        <w:rPr>
          <w:rFonts w:ascii="Calibri" w:eastAsia="Calibri" w:hAnsi="Calibri" w:cs="Calibri"/>
          <w:i/>
          <w:iCs/>
          <w:sz w:val="22"/>
          <w:szCs w:val="22"/>
          <w:lang w:eastAsia="en-US"/>
        </w:rPr>
        <w:t xml:space="preserve">  se pueden tomar en consideración los trabajos realizados durante los últimos 6 años en estudios que puntualmente se refieran a estudios de puestos y cargas de trabajo, por haberlo declarado puntualmente así, el pliego </w:t>
      </w:r>
      <w:proofErr w:type="spellStart"/>
      <w:r w:rsidRPr="00CF355A">
        <w:rPr>
          <w:rFonts w:ascii="Calibri" w:eastAsia="Calibri" w:hAnsi="Calibri" w:cs="Calibri"/>
          <w:i/>
          <w:iCs/>
          <w:sz w:val="22"/>
          <w:szCs w:val="22"/>
          <w:lang w:eastAsia="en-US"/>
        </w:rPr>
        <w:t>cartelario</w:t>
      </w:r>
      <w:proofErr w:type="spellEnd"/>
      <w:r w:rsidRPr="00CF355A">
        <w:rPr>
          <w:rFonts w:ascii="Calibri" w:eastAsia="Calibri" w:hAnsi="Calibri" w:cs="Calibri"/>
          <w:i/>
          <w:iCs/>
          <w:sz w:val="22"/>
          <w:szCs w:val="22"/>
          <w:lang w:eastAsia="en-US"/>
        </w:rPr>
        <w:t>.</w:t>
      </w:r>
    </w:p>
    <w:p w14:paraId="79138D90" w14:textId="77777777" w:rsidR="00C36F5A" w:rsidRPr="00CF355A" w:rsidRDefault="00C36F5A" w:rsidP="00337D5B">
      <w:pPr>
        <w:jc w:val="both"/>
        <w:rPr>
          <w:rFonts w:ascii="Calibri" w:eastAsia="Calibri" w:hAnsi="Calibri" w:cs="Calibri"/>
          <w:i/>
          <w:iCs/>
          <w:sz w:val="22"/>
          <w:szCs w:val="22"/>
          <w:lang w:eastAsia="en-US"/>
        </w:rPr>
      </w:pPr>
    </w:p>
    <w:p w14:paraId="44E63535" w14:textId="7E2AC2F2" w:rsid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Habiendo aclarado el punto anterior y llevando la razón el recurrente, pues el estudio de adjudicación realizado efectivamente confundió estos criterios y otorgó puntaje de valoración a estudios que no se ajustaban a lo señalado en la literalidad del cartel, procede realizar de nuevo el análisis de la experiencia y aplicar de nuevo el mecanismo de evaluación.</w:t>
      </w:r>
    </w:p>
    <w:p w14:paraId="4985C502" w14:textId="77777777" w:rsidR="00C36F5A" w:rsidRPr="00CF355A" w:rsidRDefault="00C36F5A" w:rsidP="00337D5B">
      <w:pPr>
        <w:jc w:val="both"/>
        <w:rPr>
          <w:rFonts w:ascii="Calibri" w:eastAsia="Calibri" w:hAnsi="Calibri" w:cs="Calibri"/>
          <w:i/>
          <w:iCs/>
          <w:sz w:val="22"/>
          <w:szCs w:val="22"/>
          <w:lang w:eastAsia="en-US"/>
        </w:rPr>
      </w:pPr>
    </w:p>
    <w:p w14:paraId="4E941BFA" w14:textId="77777777" w:rsidR="00CF355A" w:rsidRPr="00CF355A" w:rsidRDefault="00CF355A" w:rsidP="00337D5B">
      <w:pPr>
        <w:jc w:val="both"/>
        <w:rPr>
          <w:rFonts w:ascii="Calibri" w:eastAsia="Calibri" w:hAnsi="Calibri" w:cs="Calibri"/>
          <w:i/>
          <w:iCs/>
          <w:sz w:val="22"/>
          <w:szCs w:val="22"/>
          <w:lang w:eastAsia="en-US"/>
        </w:rPr>
      </w:pPr>
      <w:r w:rsidRPr="00CF355A">
        <w:rPr>
          <w:rFonts w:ascii="Calibri" w:eastAsia="Calibri" w:hAnsi="Calibri" w:cs="Calibri"/>
          <w:i/>
          <w:iCs/>
          <w:sz w:val="22"/>
          <w:szCs w:val="22"/>
          <w:lang w:eastAsia="en-US"/>
        </w:rPr>
        <w:t>Se presenta de seguido el detalle del análisis realizado a la experiencia acreditada por cada una de las empresas participantes en esta contratación:</w:t>
      </w:r>
    </w:p>
    <w:p w14:paraId="23022AFA" w14:textId="77777777" w:rsidR="00CF355A" w:rsidRPr="00CF355A" w:rsidRDefault="00CF355A" w:rsidP="00CF355A">
      <w:pPr>
        <w:spacing w:after="160" w:line="259" w:lineRule="auto"/>
        <w:jc w:val="both"/>
        <w:rPr>
          <w:rFonts w:ascii="Calibri" w:eastAsia="Calibri" w:hAnsi="Calibri" w:cs="Calibri"/>
          <w:i/>
          <w:iCs/>
          <w:sz w:val="22"/>
          <w:lang w:eastAsia="en-US"/>
        </w:rPr>
      </w:pPr>
      <w:r w:rsidRPr="00CF355A">
        <w:rPr>
          <w:rFonts w:ascii="Calibri" w:eastAsia="Calibri" w:hAnsi="Calibri"/>
          <w:i/>
          <w:iCs/>
          <w:noProof/>
          <w:sz w:val="22"/>
          <w:szCs w:val="22"/>
          <w:lang w:eastAsia="en-US"/>
        </w:rPr>
        <w:lastRenderedPageBreak/>
        <w:drawing>
          <wp:inline distT="0" distB="0" distL="0" distR="0" wp14:anchorId="2BCF5EA6" wp14:editId="4D6ED5BA">
            <wp:extent cx="5033176" cy="380448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10" cy="3809579"/>
                    </a:xfrm>
                    <a:prstGeom prst="rect">
                      <a:avLst/>
                    </a:prstGeom>
                    <a:noFill/>
                    <a:ln>
                      <a:noFill/>
                    </a:ln>
                  </pic:spPr>
                </pic:pic>
              </a:graphicData>
            </a:graphic>
          </wp:inline>
        </w:drawing>
      </w:r>
    </w:p>
    <w:p w14:paraId="2537748A" w14:textId="77777777" w:rsidR="00CF355A" w:rsidRPr="00CF355A" w:rsidRDefault="00CF355A" w:rsidP="00CF355A">
      <w:pPr>
        <w:spacing w:after="160" w:line="259" w:lineRule="auto"/>
        <w:jc w:val="both"/>
        <w:rPr>
          <w:rFonts w:ascii="Calibri" w:eastAsia="Calibri" w:hAnsi="Calibri" w:cs="Calibri"/>
          <w:i/>
          <w:iCs/>
          <w:sz w:val="16"/>
          <w:szCs w:val="16"/>
          <w:lang w:eastAsia="en-US"/>
        </w:rPr>
      </w:pPr>
    </w:p>
    <w:p w14:paraId="5B7EA30E" w14:textId="77777777" w:rsidR="00CF355A" w:rsidRPr="00CF355A" w:rsidRDefault="00CF355A" w:rsidP="00CF355A">
      <w:pPr>
        <w:spacing w:after="160" w:line="259" w:lineRule="auto"/>
        <w:jc w:val="both"/>
        <w:rPr>
          <w:rFonts w:ascii="Calibri" w:eastAsia="Calibri" w:hAnsi="Calibri" w:cs="Calibri"/>
          <w:i/>
          <w:iCs/>
          <w:sz w:val="22"/>
          <w:lang w:eastAsia="en-US"/>
        </w:rPr>
      </w:pPr>
      <w:r w:rsidRPr="00CF355A">
        <w:rPr>
          <w:rFonts w:ascii="Calibri" w:eastAsia="Calibri" w:hAnsi="Calibri"/>
          <w:i/>
          <w:iCs/>
          <w:noProof/>
          <w:sz w:val="22"/>
          <w:szCs w:val="22"/>
          <w:lang w:eastAsia="en-US"/>
        </w:rPr>
        <w:drawing>
          <wp:inline distT="0" distB="0" distL="0" distR="0" wp14:anchorId="300A2F17" wp14:editId="11BD5C20">
            <wp:extent cx="5090543" cy="3690068"/>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8639" cy="3695936"/>
                    </a:xfrm>
                    <a:prstGeom prst="rect">
                      <a:avLst/>
                    </a:prstGeom>
                    <a:noFill/>
                    <a:ln>
                      <a:noFill/>
                    </a:ln>
                  </pic:spPr>
                </pic:pic>
              </a:graphicData>
            </a:graphic>
          </wp:inline>
        </w:drawing>
      </w:r>
    </w:p>
    <w:p w14:paraId="24423085" w14:textId="77777777" w:rsidR="00CF355A" w:rsidRPr="00CF355A" w:rsidRDefault="00CF355A" w:rsidP="00337D5B">
      <w:pPr>
        <w:jc w:val="both"/>
        <w:rPr>
          <w:rFonts w:ascii="Calibri" w:eastAsia="Calibri" w:hAnsi="Calibri" w:cs="Calibri"/>
          <w:i/>
          <w:iCs/>
          <w:sz w:val="22"/>
          <w:lang w:eastAsia="en-US"/>
        </w:rPr>
      </w:pPr>
      <w:r w:rsidRPr="00CF355A">
        <w:rPr>
          <w:rFonts w:ascii="Calibri" w:eastAsia="Calibri" w:hAnsi="Calibri" w:cs="Calibri"/>
          <w:i/>
          <w:iCs/>
          <w:sz w:val="22"/>
          <w:lang w:eastAsia="en-US"/>
        </w:rPr>
        <w:lastRenderedPageBreak/>
        <w:t>Habiéndose corregido la calificación de la experiencia acreditada por las dos empresas y aplicando, a partir de los resultados alcanzados, de nuevo el mecanismo de evaluación, se alcanza el siguiente resultado:</w:t>
      </w:r>
    </w:p>
    <w:p w14:paraId="1A4C2F64" w14:textId="77777777" w:rsidR="00CF355A" w:rsidRPr="00CF355A" w:rsidRDefault="00CF355A" w:rsidP="00337D5B">
      <w:pPr>
        <w:jc w:val="both"/>
        <w:rPr>
          <w:rFonts w:ascii="Calibri" w:eastAsia="Calibri" w:hAnsi="Calibri" w:cs="Calibri"/>
          <w:i/>
          <w:iCs/>
          <w:sz w:val="22"/>
          <w:lang w:eastAsia="en-US"/>
        </w:rPr>
      </w:pPr>
    </w:p>
    <w:tbl>
      <w:tblPr>
        <w:tblStyle w:val="Tablaconcuadrcula1"/>
        <w:tblW w:w="0" w:type="auto"/>
        <w:tblInd w:w="720" w:type="dxa"/>
        <w:tblLook w:val="04A0" w:firstRow="1" w:lastRow="0" w:firstColumn="1" w:lastColumn="0" w:noHBand="0" w:noVBand="1"/>
      </w:tblPr>
      <w:tblGrid>
        <w:gridCol w:w="3528"/>
        <w:gridCol w:w="1417"/>
        <w:gridCol w:w="2552"/>
      </w:tblGrid>
      <w:tr w:rsidR="00CF355A" w:rsidRPr="00CF355A" w14:paraId="14A3D12F" w14:textId="77777777" w:rsidTr="00862F47">
        <w:tc>
          <w:tcPr>
            <w:tcW w:w="3528" w:type="dxa"/>
          </w:tcPr>
          <w:p w14:paraId="77C2D755" w14:textId="77777777" w:rsidR="00CF355A" w:rsidRPr="00CF355A" w:rsidRDefault="00CF355A" w:rsidP="00337D5B">
            <w:pPr>
              <w:contextualSpacing/>
              <w:jc w:val="center"/>
              <w:rPr>
                <w:rFonts w:ascii="Calibri" w:hAnsi="Calibri" w:cs="Calibri"/>
                <w:b/>
                <w:bCs/>
                <w:i/>
                <w:iCs/>
                <w:sz w:val="22"/>
                <w:lang w:eastAsia="en-US"/>
              </w:rPr>
            </w:pPr>
            <w:bookmarkStart w:id="0" w:name="_Hlk112243931"/>
            <w:r w:rsidRPr="00CF355A">
              <w:rPr>
                <w:rFonts w:ascii="Calibri" w:hAnsi="Calibri" w:cs="Calibri"/>
                <w:b/>
                <w:bCs/>
                <w:i/>
                <w:iCs/>
                <w:sz w:val="22"/>
                <w:lang w:eastAsia="en-US"/>
              </w:rPr>
              <w:t>Factor de evaluación</w:t>
            </w:r>
          </w:p>
        </w:tc>
        <w:tc>
          <w:tcPr>
            <w:tcW w:w="1417" w:type="dxa"/>
          </w:tcPr>
          <w:p w14:paraId="08CBC714" w14:textId="77777777" w:rsidR="00CF355A" w:rsidRPr="00CF355A" w:rsidRDefault="00CF355A" w:rsidP="00337D5B">
            <w:pPr>
              <w:contextualSpacing/>
              <w:jc w:val="center"/>
              <w:rPr>
                <w:rFonts w:ascii="Calibri" w:hAnsi="Calibri" w:cs="Calibri"/>
                <w:b/>
                <w:bCs/>
                <w:i/>
                <w:iCs/>
                <w:sz w:val="22"/>
                <w:lang w:eastAsia="en-US"/>
              </w:rPr>
            </w:pPr>
            <w:r w:rsidRPr="00CF355A">
              <w:rPr>
                <w:rFonts w:ascii="Calibri" w:hAnsi="Calibri" w:cs="Calibri"/>
                <w:b/>
                <w:bCs/>
                <w:i/>
                <w:iCs/>
                <w:sz w:val="22"/>
                <w:lang w:eastAsia="en-US"/>
              </w:rPr>
              <w:t xml:space="preserve">Van </w:t>
            </w:r>
            <w:proofErr w:type="spellStart"/>
            <w:r w:rsidRPr="00CF355A">
              <w:rPr>
                <w:rFonts w:ascii="Calibri" w:hAnsi="Calibri" w:cs="Calibri"/>
                <w:b/>
                <w:bCs/>
                <w:i/>
                <w:iCs/>
                <w:sz w:val="22"/>
                <w:lang w:eastAsia="en-US"/>
              </w:rPr>
              <w:t>der</w:t>
            </w:r>
            <w:proofErr w:type="spellEnd"/>
            <w:r w:rsidRPr="00CF355A">
              <w:rPr>
                <w:rFonts w:ascii="Calibri" w:hAnsi="Calibri" w:cs="Calibri"/>
                <w:b/>
                <w:bCs/>
                <w:i/>
                <w:iCs/>
                <w:sz w:val="22"/>
                <w:lang w:eastAsia="en-US"/>
              </w:rPr>
              <w:t xml:space="preserve"> Leer</w:t>
            </w:r>
          </w:p>
        </w:tc>
        <w:tc>
          <w:tcPr>
            <w:tcW w:w="2552" w:type="dxa"/>
          </w:tcPr>
          <w:p w14:paraId="0CA0ECA9" w14:textId="77777777" w:rsidR="00CF355A" w:rsidRPr="00CF355A" w:rsidRDefault="00CF355A" w:rsidP="00337D5B">
            <w:pPr>
              <w:contextualSpacing/>
              <w:jc w:val="center"/>
              <w:rPr>
                <w:rFonts w:ascii="Calibri" w:hAnsi="Calibri" w:cs="Calibri"/>
                <w:b/>
                <w:bCs/>
                <w:i/>
                <w:iCs/>
                <w:sz w:val="22"/>
                <w:lang w:eastAsia="en-US"/>
              </w:rPr>
            </w:pPr>
            <w:r w:rsidRPr="00CF355A">
              <w:rPr>
                <w:rFonts w:ascii="Calibri" w:hAnsi="Calibri" w:cs="Calibri"/>
                <w:b/>
                <w:bCs/>
                <w:i/>
                <w:iCs/>
                <w:sz w:val="22"/>
                <w:lang w:eastAsia="en-US"/>
              </w:rPr>
              <w:t>Bermúdez Méndez &amp; Asociados</w:t>
            </w:r>
          </w:p>
        </w:tc>
      </w:tr>
      <w:tr w:rsidR="00CF355A" w:rsidRPr="00CF355A" w14:paraId="02CECF50" w14:textId="77777777" w:rsidTr="00862F47">
        <w:tc>
          <w:tcPr>
            <w:tcW w:w="3528" w:type="dxa"/>
          </w:tcPr>
          <w:p w14:paraId="6B9CBDFB"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Precio 50%</w:t>
            </w:r>
          </w:p>
        </w:tc>
        <w:tc>
          <w:tcPr>
            <w:tcW w:w="1417" w:type="dxa"/>
          </w:tcPr>
          <w:p w14:paraId="77313214"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50</w:t>
            </w:r>
          </w:p>
        </w:tc>
        <w:tc>
          <w:tcPr>
            <w:tcW w:w="2552" w:type="dxa"/>
          </w:tcPr>
          <w:p w14:paraId="355B18AF"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44.67</w:t>
            </w:r>
          </w:p>
        </w:tc>
      </w:tr>
      <w:tr w:rsidR="00CF355A" w:rsidRPr="00CF355A" w14:paraId="0D5E3DCD" w14:textId="77777777" w:rsidTr="00862F47">
        <w:tc>
          <w:tcPr>
            <w:tcW w:w="3528" w:type="dxa"/>
          </w:tcPr>
          <w:p w14:paraId="52F3EC74"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Años de experiencia 10%</w:t>
            </w:r>
          </w:p>
        </w:tc>
        <w:tc>
          <w:tcPr>
            <w:tcW w:w="1417" w:type="dxa"/>
          </w:tcPr>
          <w:p w14:paraId="72C3076A"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10</w:t>
            </w:r>
          </w:p>
        </w:tc>
        <w:tc>
          <w:tcPr>
            <w:tcW w:w="2552" w:type="dxa"/>
          </w:tcPr>
          <w:p w14:paraId="3F006638"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10</w:t>
            </w:r>
          </w:p>
        </w:tc>
      </w:tr>
      <w:tr w:rsidR="00CF355A" w:rsidRPr="00CF355A" w14:paraId="07B8C319" w14:textId="77777777" w:rsidTr="00862F47">
        <w:tc>
          <w:tcPr>
            <w:tcW w:w="3528" w:type="dxa"/>
          </w:tcPr>
          <w:p w14:paraId="73759193"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Cantidad de trabajos adicionales (estudios de puestos y estudios de cargas de trabajo)</w:t>
            </w:r>
          </w:p>
        </w:tc>
        <w:tc>
          <w:tcPr>
            <w:tcW w:w="1417" w:type="dxa"/>
          </w:tcPr>
          <w:p w14:paraId="005EA5C6"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15</w:t>
            </w:r>
          </w:p>
        </w:tc>
        <w:tc>
          <w:tcPr>
            <w:tcW w:w="2552" w:type="dxa"/>
          </w:tcPr>
          <w:p w14:paraId="4A0A49A9" w14:textId="77777777" w:rsidR="00CF355A" w:rsidRPr="00CF355A" w:rsidRDefault="00CF355A" w:rsidP="00337D5B">
            <w:pPr>
              <w:contextualSpacing/>
              <w:jc w:val="center"/>
              <w:rPr>
                <w:rFonts w:ascii="Calibri" w:hAnsi="Calibri" w:cs="Calibri"/>
                <w:i/>
                <w:iCs/>
                <w:sz w:val="22"/>
                <w:lang w:eastAsia="en-US"/>
              </w:rPr>
            </w:pPr>
            <w:r w:rsidRPr="00CF355A">
              <w:rPr>
                <w:rFonts w:ascii="Calibri" w:hAnsi="Calibri" w:cs="Calibri"/>
                <w:i/>
                <w:iCs/>
                <w:sz w:val="22"/>
                <w:lang w:eastAsia="en-US"/>
              </w:rPr>
              <w:t>40</w:t>
            </w:r>
          </w:p>
        </w:tc>
      </w:tr>
      <w:tr w:rsidR="00CF355A" w:rsidRPr="00CF355A" w14:paraId="0FED66A4" w14:textId="77777777" w:rsidTr="00862F47">
        <w:tc>
          <w:tcPr>
            <w:tcW w:w="3528" w:type="dxa"/>
          </w:tcPr>
          <w:p w14:paraId="56214AC1" w14:textId="77777777" w:rsidR="00CF355A" w:rsidRPr="00CF355A" w:rsidRDefault="00CF355A" w:rsidP="00337D5B">
            <w:pPr>
              <w:contextualSpacing/>
              <w:jc w:val="center"/>
              <w:rPr>
                <w:rFonts w:ascii="Calibri" w:hAnsi="Calibri" w:cs="Calibri"/>
                <w:b/>
                <w:bCs/>
                <w:i/>
                <w:iCs/>
                <w:sz w:val="22"/>
                <w:lang w:eastAsia="en-US"/>
              </w:rPr>
            </w:pPr>
            <w:r w:rsidRPr="00CF355A">
              <w:rPr>
                <w:rFonts w:ascii="Calibri" w:hAnsi="Calibri" w:cs="Calibri"/>
                <w:b/>
                <w:bCs/>
                <w:i/>
                <w:iCs/>
                <w:sz w:val="22"/>
                <w:lang w:eastAsia="en-US"/>
              </w:rPr>
              <w:t>TOTAL</w:t>
            </w:r>
          </w:p>
        </w:tc>
        <w:tc>
          <w:tcPr>
            <w:tcW w:w="1417" w:type="dxa"/>
          </w:tcPr>
          <w:p w14:paraId="563DC28D" w14:textId="77777777" w:rsidR="00CF355A" w:rsidRPr="00CF355A" w:rsidRDefault="00CF355A" w:rsidP="00337D5B">
            <w:pPr>
              <w:contextualSpacing/>
              <w:jc w:val="center"/>
              <w:rPr>
                <w:rFonts w:ascii="Calibri" w:hAnsi="Calibri" w:cs="Calibri"/>
                <w:b/>
                <w:bCs/>
                <w:i/>
                <w:iCs/>
                <w:sz w:val="22"/>
                <w:lang w:eastAsia="en-US"/>
              </w:rPr>
            </w:pPr>
            <w:r w:rsidRPr="00CF355A">
              <w:rPr>
                <w:rFonts w:ascii="Calibri" w:hAnsi="Calibri" w:cs="Calibri"/>
                <w:b/>
                <w:bCs/>
                <w:i/>
                <w:iCs/>
                <w:sz w:val="22"/>
                <w:lang w:eastAsia="en-US"/>
              </w:rPr>
              <w:t>75</w:t>
            </w:r>
          </w:p>
        </w:tc>
        <w:tc>
          <w:tcPr>
            <w:tcW w:w="2552" w:type="dxa"/>
          </w:tcPr>
          <w:p w14:paraId="1A5D7F68" w14:textId="77777777" w:rsidR="00CF355A" w:rsidRPr="00CF355A" w:rsidRDefault="00CF355A" w:rsidP="00337D5B">
            <w:pPr>
              <w:contextualSpacing/>
              <w:jc w:val="center"/>
              <w:rPr>
                <w:rFonts w:ascii="Calibri" w:hAnsi="Calibri" w:cs="Calibri"/>
                <w:b/>
                <w:bCs/>
                <w:i/>
                <w:iCs/>
                <w:sz w:val="22"/>
                <w:lang w:eastAsia="en-US"/>
              </w:rPr>
            </w:pPr>
            <w:r w:rsidRPr="00CF355A">
              <w:rPr>
                <w:rFonts w:ascii="Calibri" w:hAnsi="Calibri" w:cs="Calibri"/>
                <w:b/>
                <w:bCs/>
                <w:i/>
                <w:iCs/>
                <w:sz w:val="22"/>
                <w:lang w:eastAsia="en-US"/>
              </w:rPr>
              <w:t>94.67</w:t>
            </w:r>
          </w:p>
        </w:tc>
      </w:tr>
      <w:bookmarkEnd w:id="0"/>
    </w:tbl>
    <w:p w14:paraId="21875B5A" w14:textId="77777777" w:rsidR="00CF355A" w:rsidRPr="00CF355A" w:rsidRDefault="00CF355A" w:rsidP="00337D5B">
      <w:pPr>
        <w:jc w:val="both"/>
        <w:rPr>
          <w:rFonts w:ascii="Calibri" w:eastAsia="Calibri" w:hAnsi="Calibri" w:cs="Calibri"/>
          <w:i/>
          <w:iCs/>
          <w:sz w:val="22"/>
          <w:lang w:eastAsia="en-US"/>
        </w:rPr>
      </w:pPr>
    </w:p>
    <w:p w14:paraId="60C840E5" w14:textId="77777777" w:rsidR="00CF355A" w:rsidRPr="00CF355A" w:rsidRDefault="00CF355A" w:rsidP="00337D5B">
      <w:pPr>
        <w:jc w:val="both"/>
        <w:rPr>
          <w:rFonts w:ascii="Calibri" w:eastAsia="Calibri" w:hAnsi="Calibri" w:cs="Calibri"/>
          <w:sz w:val="22"/>
          <w:lang w:eastAsia="en-US"/>
        </w:rPr>
      </w:pPr>
      <w:r w:rsidRPr="00CF355A">
        <w:rPr>
          <w:rFonts w:ascii="Calibri" w:eastAsia="Calibri" w:hAnsi="Calibri" w:cs="Calibri"/>
          <w:i/>
          <w:iCs/>
          <w:sz w:val="22"/>
          <w:lang w:eastAsia="en-US"/>
        </w:rPr>
        <w:t xml:space="preserve">A partir del análisis realizado a las dos ofertas admisibles, al estudio del recurso presentado por la empresa Bermúdez Méndez &amp; Asociados, así como a la contestación a la audiencia por parte del adjudicatario, se recomienda revocar el acto de adjudicación a favor de la empresa Van </w:t>
      </w:r>
      <w:proofErr w:type="spellStart"/>
      <w:r w:rsidRPr="00CF355A">
        <w:rPr>
          <w:rFonts w:ascii="Calibri" w:eastAsia="Calibri" w:hAnsi="Calibri" w:cs="Calibri"/>
          <w:i/>
          <w:iCs/>
          <w:sz w:val="22"/>
          <w:lang w:eastAsia="en-US"/>
        </w:rPr>
        <w:t>der</w:t>
      </w:r>
      <w:proofErr w:type="spellEnd"/>
      <w:r w:rsidRPr="00CF355A">
        <w:rPr>
          <w:rFonts w:ascii="Calibri" w:eastAsia="Calibri" w:hAnsi="Calibri" w:cs="Calibri"/>
          <w:i/>
          <w:iCs/>
          <w:sz w:val="22"/>
          <w:lang w:eastAsia="en-US"/>
        </w:rPr>
        <w:t xml:space="preserve"> Leer S.A y en su lugar </w:t>
      </w:r>
      <w:proofErr w:type="spellStart"/>
      <w:r w:rsidRPr="00CF355A">
        <w:rPr>
          <w:rFonts w:ascii="Calibri" w:eastAsia="Calibri" w:hAnsi="Calibri" w:cs="Calibri"/>
          <w:i/>
          <w:iCs/>
          <w:sz w:val="22"/>
          <w:lang w:eastAsia="en-US"/>
        </w:rPr>
        <w:t>readjudicar</w:t>
      </w:r>
      <w:proofErr w:type="spellEnd"/>
      <w:r w:rsidRPr="00CF355A">
        <w:rPr>
          <w:rFonts w:ascii="Calibri" w:eastAsia="Calibri" w:hAnsi="Calibri" w:cs="Calibri"/>
          <w:i/>
          <w:iCs/>
          <w:sz w:val="22"/>
          <w:lang w:eastAsia="en-US"/>
        </w:rPr>
        <w:t xml:space="preserve"> a favor de la empresa Bermúdez Méndez &amp; Asociados</w:t>
      </w:r>
      <w:r w:rsidRPr="00CF355A">
        <w:rPr>
          <w:rFonts w:ascii="Calibri" w:eastAsia="Calibri" w:hAnsi="Calibri" w:cs="Calibri"/>
          <w:sz w:val="22"/>
          <w:szCs w:val="22"/>
          <w:lang w:eastAsia="en-US"/>
        </w:rPr>
        <w:t>.» </w:t>
      </w:r>
    </w:p>
    <w:p w14:paraId="7D6E69AE"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sz w:val="22"/>
          <w:szCs w:val="22"/>
        </w:rPr>
        <w:t> </w:t>
      </w:r>
    </w:p>
    <w:p w14:paraId="0FD925E9"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t>CONSIDERANDO:</w:t>
      </w:r>
      <w:r w:rsidRPr="00CF355A">
        <w:rPr>
          <w:rFonts w:cs="Arial"/>
          <w:sz w:val="22"/>
          <w:szCs w:val="22"/>
        </w:rPr>
        <w:t> </w:t>
      </w:r>
    </w:p>
    <w:p w14:paraId="18900C20"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t>1-)</w:t>
      </w:r>
      <w:r w:rsidRPr="00CF355A">
        <w:rPr>
          <w:rFonts w:cs="Arial"/>
          <w:sz w:val="22"/>
          <w:szCs w:val="22"/>
        </w:rPr>
        <w:t xml:space="preserve"> Que esta Junta Directiva se ha abocado al conocimiento y resolución del presente asunto, teniendo a la vista el citado dictamen de la Dirección Administrativa, </w:t>
      </w:r>
      <w:r w:rsidRPr="00CF355A">
        <w:rPr>
          <w:rFonts w:cs="Arial"/>
          <w:sz w:val="22"/>
          <w:szCs w:val="22"/>
          <w:lang w:val="es-CR"/>
        </w:rPr>
        <w:t>el cual se adjunta integralmente a la presente acta y se tiene por incorporado al correspondiente expediente administrativo, de acuerdo con lo dispuesto en el artículo 136, inciso 2, de la Ley General de la Administración Pública. </w:t>
      </w:r>
      <w:r w:rsidRPr="00CF355A">
        <w:rPr>
          <w:rFonts w:cs="Arial"/>
          <w:sz w:val="22"/>
          <w:szCs w:val="22"/>
        </w:rPr>
        <w:t> </w:t>
      </w:r>
    </w:p>
    <w:p w14:paraId="692DEF1B"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sz w:val="22"/>
          <w:szCs w:val="22"/>
        </w:rPr>
        <w:t> </w:t>
      </w:r>
    </w:p>
    <w:p w14:paraId="223AC397" w14:textId="35CC4A5E" w:rsidR="00CF355A" w:rsidRPr="00CF355A" w:rsidRDefault="00CF355A" w:rsidP="007D6CB9">
      <w:pPr>
        <w:spacing w:line="360" w:lineRule="auto"/>
        <w:jc w:val="both"/>
        <w:textAlignment w:val="baseline"/>
        <w:rPr>
          <w:rFonts w:cs="Arial"/>
          <w:sz w:val="22"/>
          <w:szCs w:val="22"/>
        </w:rPr>
      </w:pPr>
      <w:r w:rsidRPr="00CF355A">
        <w:rPr>
          <w:rFonts w:cs="Arial"/>
          <w:b/>
          <w:bCs/>
          <w:sz w:val="22"/>
          <w:szCs w:val="22"/>
        </w:rPr>
        <w:t>2-)</w:t>
      </w:r>
      <w:r w:rsidRPr="00CF355A">
        <w:rPr>
          <w:rFonts w:cs="Arial"/>
          <w:sz w:val="22"/>
          <w:szCs w:val="22"/>
        </w:rPr>
        <w:t xml:space="preserve"> </w:t>
      </w:r>
      <w:proofErr w:type="gramStart"/>
      <w:r w:rsidRPr="00CF355A">
        <w:rPr>
          <w:rFonts w:cs="Arial"/>
          <w:sz w:val="22"/>
          <w:szCs w:val="22"/>
        </w:rPr>
        <w:t>Que</w:t>
      </w:r>
      <w:proofErr w:type="gramEnd"/>
      <w:r w:rsidRPr="00CF355A">
        <w:rPr>
          <w:rFonts w:cs="Arial"/>
          <w:sz w:val="22"/>
          <w:szCs w:val="22"/>
        </w:rPr>
        <w:t xml:space="preserve"> por los argumentos señalados, los fundamentos de hecho y de derecho indicados, esta Junta Directiva concuerda con la Dirección Administrativa y la Gerencia Ge</w:t>
      </w:r>
      <w:r w:rsidR="00C36F5A">
        <w:rPr>
          <w:rFonts w:cs="Arial"/>
          <w:sz w:val="22"/>
          <w:szCs w:val="22"/>
        </w:rPr>
        <w:t>neral</w:t>
      </w:r>
      <w:r w:rsidRPr="00CF355A">
        <w:rPr>
          <w:rFonts w:cs="Arial"/>
          <w:sz w:val="22"/>
          <w:szCs w:val="22"/>
        </w:rPr>
        <w:t xml:space="preserve">, en cuanto a que el recurso de apelación debe ser declarado con lugar.  </w:t>
      </w:r>
    </w:p>
    <w:p w14:paraId="436E3718" w14:textId="77777777" w:rsidR="00CF355A" w:rsidRPr="00CF355A" w:rsidRDefault="00CF355A" w:rsidP="007D6CB9">
      <w:pPr>
        <w:spacing w:line="360" w:lineRule="auto"/>
        <w:jc w:val="both"/>
        <w:textAlignment w:val="baseline"/>
        <w:rPr>
          <w:rFonts w:ascii="Segoe UI" w:hAnsi="Segoe UI" w:cs="Segoe UI"/>
          <w:sz w:val="18"/>
          <w:szCs w:val="18"/>
        </w:rPr>
      </w:pPr>
    </w:p>
    <w:p w14:paraId="7644793E"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t xml:space="preserve">POR TANTO, </w:t>
      </w:r>
      <w:r w:rsidRPr="00CF355A">
        <w:rPr>
          <w:rFonts w:cs="Arial"/>
          <w:sz w:val="22"/>
          <w:szCs w:val="22"/>
        </w:rPr>
        <w:t>por las razones expuestas, fundamentos de hecho y de derecho indicados, se resuelve: </w:t>
      </w:r>
    </w:p>
    <w:p w14:paraId="3BEC4472" w14:textId="42F223B4" w:rsidR="00CF355A" w:rsidRDefault="00CF355A" w:rsidP="007D6CB9">
      <w:pPr>
        <w:spacing w:line="360" w:lineRule="auto"/>
        <w:jc w:val="both"/>
        <w:textAlignment w:val="baseline"/>
        <w:rPr>
          <w:rFonts w:cs="Arial"/>
          <w:sz w:val="22"/>
          <w:szCs w:val="22"/>
        </w:rPr>
      </w:pPr>
      <w:r w:rsidRPr="00CF355A">
        <w:rPr>
          <w:rFonts w:cs="Arial"/>
          <w:b/>
          <w:bCs/>
          <w:sz w:val="22"/>
          <w:szCs w:val="22"/>
        </w:rPr>
        <w:t>A.-</w:t>
      </w:r>
      <w:r w:rsidRPr="00CF355A">
        <w:rPr>
          <w:rFonts w:cs="Arial"/>
          <w:sz w:val="22"/>
          <w:szCs w:val="22"/>
        </w:rPr>
        <w:t xml:space="preserve"> Declarar con lugar el recurso de apelación presentado por la empresa </w:t>
      </w:r>
      <w:proofErr w:type="spellStart"/>
      <w:r w:rsidRPr="00CF355A">
        <w:rPr>
          <w:rFonts w:cs="Arial"/>
          <w:sz w:val="22"/>
          <w:szCs w:val="22"/>
        </w:rPr>
        <w:t>Bemúdez</w:t>
      </w:r>
      <w:proofErr w:type="spellEnd"/>
      <w:r w:rsidRPr="00CF355A">
        <w:rPr>
          <w:rFonts w:cs="Arial"/>
          <w:sz w:val="22"/>
          <w:szCs w:val="22"/>
        </w:rPr>
        <w:t xml:space="preserve"> Méndez </w:t>
      </w:r>
      <w:r w:rsidR="00305E61">
        <w:rPr>
          <w:rFonts w:cs="Arial"/>
          <w:sz w:val="22"/>
          <w:szCs w:val="22"/>
        </w:rPr>
        <w:t>&amp;</w:t>
      </w:r>
      <w:r w:rsidRPr="00CF355A">
        <w:rPr>
          <w:rFonts w:cs="Arial"/>
          <w:sz w:val="22"/>
          <w:szCs w:val="22"/>
        </w:rPr>
        <w:t xml:space="preserve"> Asociados, contra la resolución final de la adjudicación dictada por la Gerencia General el 31 de marzo de 2022,  a favor de la empresa Van </w:t>
      </w:r>
      <w:proofErr w:type="spellStart"/>
      <w:r w:rsidRPr="00CF355A">
        <w:rPr>
          <w:rFonts w:cs="Arial"/>
          <w:sz w:val="22"/>
          <w:szCs w:val="22"/>
        </w:rPr>
        <w:t>der</w:t>
      </w:r>
      <w:proofErr w:type="spellEnd"/>
      <w:r w:rsidRPr="00CF355A">
        <w:rPr>
          <w:rFonts w:cs="Arial"/>
          <w:sz w:val="22"/>
          <w:szCs w:val="22"/>
        </w:rPr>
        <w:t xml:space="preserve"> Leer S.A</w:t>
      </w:r>
      <w:r w:rsidR="00C36F5A">
        <w:rPr>
          <w:rFonts w:cs="Arial"/>
          <w:sz w:val="22"/>
          <w:szCs w:val="22"/>
        </w:rPr>
        <w:t>.</w:t>
      </w:r>
    </w:p>
    <w:p w14:paraId="1365E6AE" w14:textId="77777777" w:rsidR="00C36F5A" w:rsidRPr="00CF355A" w:rsidRDefault="00C36F5A" w:rsidP="007D6CB9">
      <w:pPr>
        <w:spacing w:line="360" w:lineRule="auto"/>
        <w:jc w:val="both"/>
        <w:textAlignment w:val="baseline"/>
        <w:rPr>
          <w:rFonts w:ascii="Segoe UI" w:hAnsi="Segoe UI" w:cs="Segoe UI"/>
          <w:sz w:val="18"/>
          <w:szCs w:val="18"/>
        </w:rPr>
      </w:pPr>
    </w:p>
    <w:p w14:paraId="720AAC3E" w14:textId="474F6FE3" w:rsidR="00CF355A" w:rsidRDefault="00CF355A" w:rsidP="007D6CB9">
      <w:pPr>
        <w:spacing w:line="360" w:lineRule="auto"/>
        <w:jc w:val="both"/>
        <w:textAlignment w:val="baseline"/>
        <w:rPr>
          <w:rFonts w:cs="Arial"/>
          <w:sz w:val="22"/>
          <w:szCs w:val="22"/>
        </w:rPr>
      </w:pPr>
      <w:r w:rsidRPr="00CF355A">
        <w:rPr>
          <w:rFonts w:cs="Arial"/>
          <w:b/>
          <w:bCs/>
          <w:sz w:val="22"/>
          <w:szCs w:val="22"/>
        </w:rPr>
        <w:t>B.</w:t>
      </w:r>
      <w:r w:rsidRPr="00CF355A">
        <w:rPr>
          <w:rFonts w:cs="Arial"/>
          <w:sz w:val="22"/>
          <w:szCs w:val="22"/>
        </w:rPr>
        <w:t xml:space="preserve">- </w:t>
      </w:r>
      <w:proofErr w:type="spellStart"/>
      <w:r w:rsidRPr="00CF355A">
        <w:rPr>
          <w:rFonts w:cs="Arial"/>
          <w:sz w:val="22"/>
          <w:szCs w:val="22"/>
        </w:rPr>
        <w:t>Readjudicar</w:t>
      </w:r>
      <w:proofErr w:type="spellEnd"/>
      <w:r w:rsidRPr="00CF355A">
        <w:rPr>
          <w:rFonts w:cs="Arial"/>
          <w:sz w:val="22"/>
          <w:szCs w:val="22"/>
        </w:rPr>
        <w:t xml:space="preserve"> a favor de la empresa Bermúdez Méndez &amp; Asociados.</w:t>
      </w:r>
    </w:p>
    <w:p w14:paraId="4D8426AA" w14:textId="77777777" w:rsidR="00C36F5A" w:rsidRPr="00CF355A" w:rsidRDefault="00C36F5A" w:rsidP="007D6CB9">
      <w:pPr>
        <w:spacing w:line="360" w:lineRule="auto"/>
        <w:jc w:val="both"/>
        <w:textAlignment w:val="baseline"/>
        <w:rPr>
          <w:rFonts w:ascii="Segoe UI" w:hAnsi="Segoe UI" w:cs="Segoe UI"/>
          <w:sz w:val="18"/>
          <w:szCs w:val="18"/>
        </w:rPr>
      </w:pPr>
    </w:p>
    <w:p w14:paraId="1E7EB6C5"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t>C.-</w:t>
      </w:r>
      <w:r w:rsidRPr="00CF355A">
        <w:rPr>
          <w:rFonts w:cs="Arial"/>
          <w:sz w:val="22"/>
          <w:szCs w:val="22"/>
        </w:rPr>
        <w:t xml:space="preserve"> Se da por agotada la vía administrativa. </w:t>
      </w:r>
    </w:p>
    <w:p w14:paraId="7E365AEF"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i/>
          <w:iCs/>
          <w:sz w:val="22"/>
          <w:szCs w:val="22"/>
          <w:u w:val="single"/>
        </w:rPr>
        <w:t>Acuerdo Unánime y Firme.- Notifíquese</w:t>
      </w:r>
      <w:r w:rsidRPr="00CF355A">
        <w:rPr>
          <w:rFonts w:cs="Arial"/>
          <w:sz w:val="22"/>
          <w:szCs w:val="22"/>
        </w:rPr>
        <w:t> </w:t>
      </w:r>
    </w:p>
    <w:p w14:paraId="064B8BF2" w14:textId="77777777" w:rsidR="00CF355A" w:rsidRPr="00CF355A" w:rsidRDefault="00CF355A" w:rsidP="007D6CB9">
      <w:pPr>
        <w:spacing w:line="360" w:lineRule="auto"/>
        <w:jc w:val="both"/>
        <w:textAlignment w:val="baseline"/>
        <w:rPr>
          <w:rFonts w:ascii="Segoe UI" w:hAnsi="Segoe UI" w:cs="Segoe UI"/>
          <w:sz w:val="18"/>
          <w:szCs w:val="18"/>
        </w:rPr>
      </w:pPr>
      <w:r w:rsidRPr="00CF355A">
        <w:rPr>
          <w:rFonts w:cs="Arial"/>
          <w:b/>
          <w:bCs/>
          <w:sz w:val="22"/>
          <w:szCs w:val="22"/>
        </w:rPr>
        <w:lastRenderedPageBreak/>
        <w:t>************</w:t>
      </w:r>
      <w:r w:rsidRPr="00CF355A">
        <w:rPr>
          <w:rFonts w:cs="Arial"/>
          <w:sz w:val="22"/>
          <w:szCs w:val="22"/>
        </w:rPr>
        <w:t> </w:t>
      </w:r>
    </w:p>
    <w:p w14:paraId="39B3E312" w14:textId="77777777" w:rsidR="00721AD6" w:rsidRDefault="00721AD6" w:rsidP="007D6CB9">
      <w:pPr>
        <w:spacing w:line="360" w:lineRule="auto"/>
        <w:jc w:val="both"/>
        <w:rPr>
          <w:rFonts w:cs="Arial"/>
          <w:sz w:val="22"/>
          <w:szCs w:val="22"/>
        </w:rPr>
      </w:pPr>
    </w:p>
    <w:p w14:paraId="49828223" w14:textId="390CDC1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721AD6">
        <w:rPr>
          <w:rFonts w:cs="Arial"/>
          <w:szCs w:val="22"/>
        </w:rPr>
        <w:t xml:space="preserve"> 9</w:t>
      </w:r>
      <w:r w:rsidRPr="00AB2826">
        <w:rPr>
          <w:rFonts w:cs="Arial"/>
          <w:szCs w:val="22"/>
        </w:rPr>
        <w:t>:</w:t>
      </w:r>
    </w:p>
    <w:p w14:paraId="61CB7418" w14:textId="5440D99F" w:rsidR="002B71CC" w:rsidRDefault="001C31A3" w:rsidP="002B71CC">
      <w:pPr>
        <w:spacing w:line="360" w:lineRule="auto"/>
        <w:jc w:val="both"/>
        <w:rPr>
          <w:rFonts w:cs="Arial"/>
          <w:sz w:val="22"/>
          <w:szCs w:val="22"/>
        </w:rPr>
      </w:pPr>
      <w:r>
        <w:rPr>
          <w:rFonts w:cs="Arial"/>
          <w:sz w:val="22"/>
          <w:szCs w:val="22"/>
        </w:rPr>
        <w:t>Comunicar a la</w:t>
      </w:r>
      <w:r w:rsidR="00A94723" w:rsidRPr="00A94723">
        <w:rPr>
          <w:rFonts w:cs="Arial"/>
          <w:sz w:val="22"/>
          <w:szCs w:val="22"/>
          <w:lang w:val="es-ES_tradnl"/>
        </w:rPr>
        <w:t xml:space="preserve"> Comisión Permanente </w:t>
      </w:r>
      <w:r w:rsidR="00535FCA">
        <w:rPr>
          <w:rFonts w:cs="Arial"/>
          <w:sz w:val="22"/>
          <w:szCs w:val="22"/>
          <w:lang w:val="es-ES_tradnl"/>
        </w:rPr>
        <w:t xml:space="preserve">Ordinaria de Asuntos Jurídicos de </w:t>
      </w:r>
      <w:r w:rsidR="00A94723" w:rsidRPr="00A94723">
        <w:rPr>
          <w:rFonts w:cs="Arial"/>
          <w:sz w:val="22"/>
          <w:szCs w:val="22"/>
          <w:lang w:val="es-ES_tradnl"/>
        </w:rPr>
        <w:t xml:space="preserve">la Asamblea Legislativa, el </w:t>
      </w:r>
      <w:r w:rsidR="00535FCA">
        <w:rPr>
          <w:rFonts w:cs="Arial"/>
          <w:sz w:val="22"/>
          <w:szCs w:val="22"/>
          <w:lang w:val="es-ES_tradnl"/>
        </w:rPr>
        <w:t xml:space="preserve">apoyo del </w:t>
      </w:r>
      <w:r w:rsidR="00535FCA" w:rsidRPr="00535FCA">
        <w:rPr>
          <w:rFonts w:cs="Arial"/>
          <w:sz w:val="22"/>
          <w:szCs w:val="22"/>
          <w:lang w:val="es-ES_tradnl"/>
        </w:rPr>
        <w:t>Banco Hipotecario de la Vivienda</w:t>
      </w:r>
      <w:r w:rsidR="00535FCA">
        <w:rPr>
          <w:rFonts w:cs="Arial"/>
          <w:sz w:val="22"/>
          <w:szCs w:val="22"/>
          <w:lang w:val="es-ES_tradnl"/>
        </w:rPr>
        <w:t xml:space="preserve">, sin que se tengan observaciones, al </w:t>
      </w:r>
      <w:r w:rsidR="00A94723" w:rsidRPr="00A94723">
        <w:rPr>
          <w:rFonts w:cs="Arial"/>
          <w:sz w:val="22"/>
          <w:szCs w:val="22"/>
          <w:lang w:val="es-ES_tradnl"/>
        </w:rPr>
        <w:t xml:space="preserve">proyecto de </w:t>
      </w:r>
      <w:r w:rsidR="00535FCA">
        <w:rPr>
          <w:rFonts w:cs="Arial"/>
          <w:sz w:val="22"/>
          <w:szCs w:val="22"/>
          <w:lang w:val="es-ES_tradnl"/>
        </w:rPr>
        <w:t xml:space="preserve">ley </w:t>
      </w:r>
      <w:r w:rsidR="00A94723" w:rsidRPr="00A94723">
        <w:rPr>
          <w:rFonts w:cs="Arial"/>
          <w:sz w:val="22"/>
          <w:szCs w:val="22"/>
          <w:lang w:val="es-CR"/>
        </w:rPr>
        <w:t>denominado</w:t>
      </w:r>
      <w:r w:rsidR="00535FCA">
        <w:rPr>
          <w:rFonts w:cs="Arial"/>
          <w:sz w:val="22"/>
          <w:szCs w:val="22"/>
          <w:lang w:val="es-CR"/>
        </w:rPr>
        <w:t xml:space="preserve"> </w:t>
      </w:r>
      <w:r w:rsidR="00535FCA" w:rsidRPr="00535FCA">
        <w:rPr>
          <w:rFonts w:cs="Arial"/>
          <w:sz w:val="22"/>
          <w:lang w:val="es-ES_tradnl"/>
        </w:rPr>
        <w:t>“</w:t>
      </w:r>
      <w:r w:rsidR="00535FCA" w:rsidRPr="00535FCA">
        <w:rPr>
          <w:rFonts w:cs="Arial"/>
          <w:i/>
          <w:iCs/>
          <w:sz w:val="22"/>
          <w:lang w:val="es-ES_tradnl"/>
        </w:rPr>
        <w:t>Adición de un inciso f) al artículo 72 de la Ley No. 7052 Ley del Sistema Financiero Nacional para la Vivienda del 13 de noviembre de 1986. Ley para adicionar a la Caja de Ahorro y Préstamos de la Asociación Nacional de Educadores (Caja de Ande) como Entidad Autorizada del Sistema Financiero Nacional para la Vivienda</w:t>
      </w:r>
      <w:r w:rsidR="00535FCA" w:rsidRPr="00535FCA">
        <w:rPr>
          <w:rFonts w:cs="Arial"/>
          <w:sz w:val="22"/>
          <w:lang w:val="es-ES_tradnl"/>
        </w:rPr>
        <w:t xml:space="preserve">”, </w:t>
      </w:r>
      <w:r w:rsidR="00535FCA" w:rsidRPr="00A94723">
        <w:rPr>
          <w:rFonts w:cs="Arial"/>
          <w:sz w:val="22"/>
          <w:szCs w:val="22"/>
          <w:lang w:val="es-CR"/>
        </w:rPr>
        <w:t>tramitado mediante el expediente legislativo No. 2</w:t>
      </w:r>
      <w:r w:rsidR="00535FCA">
        <w:rPr>
          <w:rFonts w:cs="Arial"/>
          <w:sz w:val="22"/>
          <w:szCs w:val="22"/>
          <w:lang w:val="es-CR"/>
        </w:rPr>
        <w:t>2</w:t>
      </w:r>
      <w:r w:rsidR="00535FCA" w:rsidRPr="00A94723">
        <w:rPr>
          <w:rFonts w:cs="Arial"/>
          <w:sz w:val="22"/>
          <w:szCs w:val="22"/>
          <w:lang w:val="es-CR"/>
        </w:rPr>
        <w:t>.</w:t>
      </w:r>
      <w:r w:rsidR="00535FCA">
        <w:rPr>
          <w:rFonts w:cs="Arial"/>
          <w:sz w:val="22"/>
          <w:szCs w:val="22"/>
          <w:lang w:val="es-CR"/>
        </w:rPr>
        <w:t>638.</w:t>
      </w:r>
    </w:p>
    <w:p w14:paraId="5531B5B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159ED2" w14:textId="77777777" w:rsidR="002B71CC" w:rsidRPr="00D14EAF" w:rsidRDefault="002B71CC" w:rsidP="002B71CC">
      <w:pPr>
        <w:spacing w:line="360" w:lineRule="auto"/>
        <w:jc w:val="both"/>
        <w:rPr>
          <w:rFonts w:cs="Arial"/>
          <w:b/>
          <w:sz w:val="22"/>
        </w:rPr>
      </w:pPr>
      <w:r w:rsidRPr="00D14EAF">
        <w:rPr>
          <w:rFonts w:cs="Arial"/>
          <w:b/>
          <w:sz w:val="22"/>
        </w:rPr>
        <w:t>************</w:t>
      </w:r>
    </w:p>
    <w:p w14:paraId="2B7AE0F7" w14:textId="77777777" w:rsidR="002B71CC" w:rsidRDefault="002B71CC" w:rsidP="002B71CC">
      <w:pPr>
        <w:spacing w:line="360" w:lineRule="auto"/>
        <w:jc w:val="both"/>
        <w:rPr>
          <w:rFonts w:cs="Arial"/>
          <w:sz w:val="22"/>
          <w:lang w:val="es-ES_tradnl"/>
        </w:rPr>
      </w:pPr>
    </w:p>
    <w:p w14:paraId="2415352E" w14:textId="06AF5A8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46E7D">
        <w:rPr>
          <w:rFonts w:cs="Arial"/>
          <w:szCs w:val="22"/>
        </w:rPr>
        <w:t xml:space="preserve"> 10</w:t>
      </w:r>
      <w:r w:rsidRPr="00AB2826">
        <w:rPr>
          <w:rFonts w:cs="Arial"/>
          <w:szCs w:val="22"/>
        </w:rPr>
        <w:t>:</w:t>
      </w:r>
    </w:p>
    <w:p w14:paraId="66531790" w14:textId="317DB609" w:rsidR="002B71CC" w:rsidRDefault="00721AD6" w:rsidP="002B71CC">
      <w:pPr>
        <w:spacing w:line="360" w:lineRule="auto"/>
        <w:jc w:val="both"/>
        <w:rPr>
          <w:rFonts w:cs="Arial"/>
          <w:sz w:val="22"/>
          <w:szCs w:val="22"/>
        </w:rPr>
      </w:pPr>
      <w:r>
        <w:rPr>
          <w:rFonts w:cs="Arial"/>
          <w:sz w:val="22"/>
          <w:szCs w:val="22"/>
        </w:rPr>
        <w:t>Comunicar a la</w:t>
      </w:r>
      <w:r w:rsidRPr="00A94723">
        <w:rPr>
          <w:rFonts w:cs="Arial"/>
          <w:sz w:val="22"/>
          <w:szCs w:val="22"/>
          <w:lang w:val="es-ES_tradnl"/>
        </w:rPr>
        <w:t xml:space="preserve"> Comisión Permanente </w:t>
      </w:r>
      <w:r>
        <w:rPr>
          <w:rFonts w:cs="Arial"/>
          <w:sz w:val="22"/>
          <w:szCs w:val="22"/>
          <w:lang w:val="es-ES_tradnl"/>
        </w:rPr>
        <w:t xml:space="preserve">Especial de Relaciones Internacionales y Comercio Exterior, de la </w:t>
      </w:r>
      <w:r w:rsidRPr="00A94723">
        <w:rPr>
          <w:rFonts w:cs="Arial"/>
          <w:sz w:val="22"/>
          <w:szCs w:val="22"/>
          <w:lang w:val="es-ES_tradnl"/>
        </w:rPr>
        <w:t xml:space="preserve">Asamblea Legislativa, </w:t>
      </w:r>
      <w:r>
        <w:rPr>
          <w:rFonts w:cs="Arial"/>
          <w:sz w:val="22"/>
          <w:szCs w:val="22"/>
          <w:lang w:val="es-ES_tradnl"/>
        </w:rPr>
        <w:t xml:space="preserve">que el </w:t>
      </w:r>
      <w:r w:rsidRPr="00535FCA">
        <w:rPr>
          <w:rFonts w:cs="Arial"/>
          <w:sz w:val="22"/>
          <w:szCs w:val="22"/>
          <w:lang w:val="es-ES_tradnl"/>
        </w:rPr>
        <w:t>Banco Hipotecario de la Vivienda</w:t>
      </w:r>
      <w:r>
        <w:rPr>
          <w:rFonts w:cs="Arial"/>
          <w:sz w:val="22"/>
          <w:szCs w:val="22"/>
          <w:lang w:val="es-ES_tradnl"/>
        </w:rPr>
        <w:t xml:space="preserve"> no tiene observaciones al </w:t>
      </w:r>
      <w:r w:rsidRPr="00A94723">
        <w:rPr>
          <w:rFonts w:cs="Arial"/>
          <w:sz w:val="22"/>
          <w:szCs w:val="22"/>
          <w:lang w:val="es-ES_tradnl"/>
        </w:rPr>
        <w:t xml:space="preserve">proyecto </w:t>
      </w:r>
      <w:r>
        <w:rPr>
          <w:rFonts w:cs="Arial"/>
          <w:sz w:val="22"/>
          <w:szCs w:val="22"/>
          <w:lang w:val="es-ES_tradnl"/>
        </w:rPr>
        <w:t xml:space="preserve">denominado </w:t>
      </w:r>
      <w:r w:rsidRPr="00721AD6">
        <w:rPr>
          <w:rFonts w:cs="Arial"/>
          <w:sz w:val="22"/>
          <w:lang w:val="es-ES_tradnl"/>
        </w:rPr>
        <w:t>“</w:t>
      </w:r>
      <w:r w:rsidRPr="00721AD6">
        <w:rPr>
          <w:rFonts w:cs="Arial"/>
          <w:i/>
          <w:iCs/>
          <w:sz w:val="22"/>
          <w:lang w:val="es-ES_tradnl"/>
        </w:rPr>
        <w:t>Ley de aprobación de la “Enmienda al Tratado de Libre Comercio entre los Estados Unidos Mexicanos y las repúblicas de Costa Rica, El Salvador, Guatemala, Honduras y Nicaragua”, Ley de aprobación N° 9122 del 06 de marzo de 2013, para incorporar el anexo de cobertura al Capítulo Décimo sobre contratación pública</w:t>
      </w:r>
      <w:r w:rsidRPr="00721AD6">
        <w:rPr>
          <w:rFonts w:cs="Arial"/>
          <w:sz w:val="22"/>
          <w:lang w:val="es-ES_tradnl"/>
        </w:rPr>
        <w:t xml:space="preserve">”, </w:t>
      </w:r>
      <w:r w:rsidRPr="00A94723">
        <w:rPr>
          <w:rFonts w:cs="Arial"/>
          <w:sz w:val="22"/>
          <w:szCs w:val="22"/>
          <w:lang w:val="es-CR"/>
        </w:rPr>
        <w:t xml:space="preserve">tramitado mediante el </w:t>
      </w:r>
      <w:r>
        <w:rPr>
          <w:rFonts w:cs="Arial"/>
          <w:sz w:val="22"/>
          <w:lang w:val="es-ES_tradnl"/>
        </w:rPr>
        <w:t>e</w:t>
      </w:r>
      <w:r w:rsidRPr="00721AD6">
        <w:rPr>
          <w:rFonts w:cs="Arial"/>
          <w:sz w:val="22"/>
          <w:lang w:val="es-ES_tradnl"/>
        </w:rPr>
        <w:t xml:space="preserve">xpediente </w:t>
      </w:r>
      <w:r>
        <w:rPr>
          <w:rFonts w:cs="Arial"/>
          <w:sz w:val="22"/>
          <w:lang w:val="es-ES_tradnl"/>
        </w:rPr>
        <w:t>l</w:t>
      </w:r>
      <w:r w:rsidRPr="00721AD6">
        <w:rPr>
          <w:rFonts w:cs="Arial"/>
          <w:sz w:val="22"/>
          <w:lang w:val="es-ES_tradnl"/>
        </w:rPr>
        <w:t>egislativo No. 23.226</w:t>
      </w:r>
      <w:r>
        <w:rPr>
          <w:rFonts w:cs="Arial"/>
          <w:sz w:val="22"/>
          <w:szCs w:val="22"/>
          <w:lang w:val="es-ES_tradnl"/>
        </w:rPr>
        <w:t>.</w:t>
      </w:r>
    </w:p>
    <w:p w14:paraId="1CBBE7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B29A34" w14:textId="77777777" w:rsidR="002B71CC" w:rsidRPr="00D14EAF" w:rsidRDefault="002B71CC" w:rsidP="002B71CC">
      <w:pPr>
        <w:spacing w:line="360" w:lineRule="auto"/>
        <w:jc w:val="both"/>
        <w:rPr>
          <w:rFonts w:cs="Arial"/>
          <w:b/>
          <w:sz w:val="22"/>
        </w:rPr>
      </w:pPr>
      <w:r w:rsidRPr="00D14EAF">
        <w:rPr>
          <w:rFonts w:cs="Arial"/>
          <w:b/>
          <w:sz w:val="22"/>
        </w:rPr>
        <w:t>************</w:t>
      </w:r>
    </w:p>
    <w:p w14:paraId="192FD826" w14:textId="77777777" w:rsidR="002B71CC" w:rsidRDefault="002B71CC" w:rsidP="002B71CC">
      <w:pPr>
        <w:spacing w:line="360" w:lineRule="auto"/>
        <w:jc w:val="both"/>
        <w:rPr>
          <w:rFonts w:cs="Arial"/>
          <w:sz w:val="22"/>
          <w:lang w:val="es-ES_tradnl"/>
        </w:rPr>
      </w:pPr>
    </w:p>
    <w:p w14:paraId="60D02138" w14:textId="77777777" w:rsidR="002B71CC" w:rsidRDefault="002B71CC" w:rsidP="002B71CC">
      <w:pPr>
        <w:spacing w:line="360" w:lineRule="auto"/>
        <w:jc w:val="both"/>
        <w:rPr>
          <w:rFonts w:cs="Arial"/>
          <w:sz w:val="22"/>
          <w:lang w:val="es-ES_tradnl"/>
        </w:rPr>
      </w:pPr>
    </w:p>
    <w:p w14:paraId="7A0A19E9" w14:textId="77777777" w:rsidR="002B71CC" w:rsidRPr="00AB2826" w:rsidRDefault="002B71CC" w:rsidP="00AB2826">
      <w:pPr>
        <w:spacing w:line="360" w:lineRule="auto"/>
        <w:jc w:val="both"/>
        <w:rPr>
          <w:rFonts w:cs="Arial"/>
          <w:sz w:val="22"/>
          <w:szCs w:val="22"/>
        </w:rPr>
      </w:pPr>
    </w:p>
    <w:sectPr w:rsidR="002B71CC" w:rsidRPr="00AB2826">
      <w:headerReference w:type="default" r:id="rId10"/>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99AA" w14:textId="77777777" w:rsidR="005D299A" w:rsidRDefault="005D299A">
      <w:r>
        <w:separator/>
      </w:r>
    </w:p>
  </w:endnote>
  <w:endnote w:type="continuationSeparator" w:id="0">
    <w:p w14:paraId="34847621" w14:textId="77777777" w:rsidR="005D299A" w:rsidRDefault="005D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0371" w14:textId="77777777" w:rsidR="005D299A" w:rsidRDefault="005D299A">
      <w:r>
        <w:separator/>
      </w:r>
    </w:p>
  </w:footnote>
  <w:footnote w:type="continuationSeparator" w:id="0">
    <w:p w14:paraId="11AE5DF4" w14:textId="77777777" w:rsidR="005D299A" w:rsidRDefault="005D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4746" w14:textId="77777777" w:rsidR="009D03FE" w:rsidRDefault="009D03FE">
    <w:pPr>
      <w:pStyle w:val="Encabezado"/>
      <w:rPr>
        <w:lang w:val="es-ES"/>
      </w:rPr>
    </w:pPr>
  </w:p>
  <w:p w14:paraId="0B8A032D" w14:textId="2573F6A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D299A">
      <w:rPr>
        <w:sz w:val="18"/>
        <w:lang w:val="es-ES"/>
      </w:rPr>
      <w:t>44</w:t>
    </w:r>
    <w:r>
      <w:rPr>
        <w:sz w:val="18"/>
        <w:lang w:val="es-ES"/>
      </w:rPr>
      <w:t>-</w:t>
    </w:r>
    <w:r w:rsidR="005F2BC7">
      <w:rPr>
        <w:sz w:val="18"/>
        <w:lang w:val="es-ES"/>
      </w:rPr>
      <w:t>2022</w:t>
    </w:r>
    <w:r>
      <w:rPr>
        <w:sz w:val="18"/>
        <w:lang w:val="es-ES"/>
      </w:rPr>
      <w:t xml:space="preserve">                   2</w:t>
    </w:r>
    <w:r w:rsidR="005D299A">
      <w:rPr>
        <w:sz w:val="18"/>
        <w:lang w:val="es-ES"/>
      </w:rPr>
      <w:t>9 de agosto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8A8986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D1602"/>
    <w:multiLevelType w:val="hybridMultilevel"/>
    <w:tmpl w:val="8F80B0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4716EF"/>
    <w:multiLevelType w:val="hybridMultilevel"/>
    <w:tmpl w:val="F4F61D7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B56C70"/>
    <w:multiLevelType w:val="hybridMultilevel"/>
    <w:tmpl w:val="B2840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712491D"/>
    <w:multiLevelType w:val="hybridMultilevel"/>
    <w:tmpl w:val="451ED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015CF2"/>
    <w:multiLevelType w:val="hybridMultilevel"/>
    <w:tmpl w:val="D21AA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7E4685"/>
    <w:multiLevelType w:val="hybridMultilevel"/>
    <w:tmpl w:val="370A0B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81E7812"/>
    <w:multiLevelType w:val="hybridMultilevel"/>
    <w:tmpl w:val="DB969B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F3033A7"/>
    <w:multiLevelType w:val="hybridMultilevel"/>
    <w:tmpl w:val="AA4E05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2925433">
    <w:abstractNumId w:val="9"/>
  </w:num>
  <w:num w:numId="2" w16cid:durableId="1901086754">
    <w:abstractNumId w:val="2"/>
  </w:num>
  <w:num w:numId="3" w16cid:durableId="400521089">
    <w:abstractNumId w:val="12"/>
  </w:num>
  <w:num w:numId="4" w16cid:durableId="104548240">
    <w:abstractNumId w:val="1"/>
  </w:num>
  <w:num w:numId="5" w16cid:durableId="220287507">
    <w:abstractNumId w:val="0"/>
  </w:num>
  <w:num w:numId="6" w16cid:durableId="1057584767">
    <w:abstractNumId w:val="15"/>
  </w:num>
  <w:num w:numId="7" w16cid:durableId="327633760">
    <w:abstractNumId w:val="21"/>
  </w:num>
  <w:num w:numId="8" w16cid:durableId="135953664">
    <w:abstractNumId w:val="10"/>
  </w:num>
  <w:num w:numId="9" w16cid:durableId="2053187038">
    <w:abstractNumId w:val="8"/>
  </w:num>
  <w:num w:numId="10" w16cid:durableId="1892838673">
    <w:abstractNumId w:val="4"/>
  </w:num>
  <w:num w:numId="11" w16cid:durableId="1907916542">
    <w:abstractNumId w:val="7"/>
  </w:num>
  <w:num w:numId="12" w16cid:durableId="1455296353">
    <w:abstractNumId w:val="22"/>
  </w:num>
  <w:num w:numId="13" w16cid:durableId="1952323686">
    <w:abstractNumId w:val="19"/>
  </w:num>
  <w:num w:numId="14" w16cid:durableId="1908952865">
    <w:abstractNumId w:val="18"/>
  </w:num>
  <w:num w:numId="15" w16cid:durableId="118687630">
    <w:abstractNumId w:val="11"/>
  </w:num>
  <w:num w:numId="16" w16cid:durableId="413015124">
    <w:abstractNumId w:val="17"/>
  </w:num>
  <w:num w:numId="17" w16cid:durableId="1737049903">
    <w:abstractNumId w:val="16"/>
  </w:num>
  <w:num w:numId="18" w16cid:durableId="715736859">
    <w:abstractNumId w:val="5"/>
  </w:num>
  <w:num w:numId="19" w16cid:durableId="1383598669">
    <w:abstractNumId w:val="3"/>
  </w:num>
  <w:num w:numId="20" w16cid:durableId="1854563191">
    <w:abstractNumId w:val="23"/>
  </w:num>
  <w:num w:numId="21" w16cid:durableId="268662161">
    <w:abstractNumId w:val="20"/>
  </w:num>
  <w:num w:numId="22" w16cid:durableId="340859978">
    <w:abstractNumId w:val="13"/>
  </w:num>
  <w:num w:numId="23" w16cid:durableId="1854957571">
    <w:abstractNumId w:val="6"/>
  </w:num>
  <w:num w:numId="24" w16cid:durableId="2041852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OqOtPr4HmO1vDnOXhXMgFsqBmlcPhaW+f3A1ZxGHJtjgoahdpI8lrKmLox3kE8XT4PutNoCRzVa0cZRoMOriA==" w:salt="VdUBeqIqCC6finS4YZ8SG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9A"/>
    <w:rsid w:val="0000085A"/>
    <w:rsid w:val="00004C23"/>
    <w:rsid w:val="00011DC1"/>
    <w:rsid w:val="0001401F"/>
    <w:rsid w:val="000256F8"/>
    <w:rsid w:val="00026DCA"/>
    <w:rsid w:val="00027E78"/>
    <w:rsid w:val="0003318B"/>
    <w:rsid w:val="00035BB4"/>
    <w:rsid w:val="00036A8B"/>
    <w:rsid w:val="00037ED4"/>
    <w:rsid w:val="00047191"/>
    <w:rsid w:val="00053A32"/>
    <w:rsid w:val="000547A2"/>
    <w:rsid w:val="000639ED"/>
    <w:rsid w:val="00067B32"/>
    <w:rsid w:val="00076A47"/>
    <w:rsid w:val="00081BB0"/>
    <w:rsid w:val="00085DF1"/>
    <w:rsid w:val="0009389D"/>
    <w:rsid w:val="000974D2"/>
    <w:rsid w:val="000A1BEE"/>
    <w:rsid w:val="000A314F"/>
    <w:rsid w:val="000A6259"/>
    <w:rsid w:val="000A6422"/>
    <w:rsid w:val="000B0F7B"/>
    <w:rsid w:val="000C31E4"/>
    <w:rsid w:val="000C4E35"/>
    <w:rsid w:val="000C5661"/>
    <w:rsid w:val="000D3F91"/>
    <w:rsid w:val="000D4306"/>
    <w:rsid w:val="000D4720"/>
    <w:rsid w:val="000F2A40"/>
    <w:rsid w:val="000F5F31"/>
    <w:rsid w:val="000F6DBD"/>
    <w:rsid w:val="000F7693"/>
    <w:rsid w:val="0010234D"/>
    <w:rsid w:val="00105CCE"/>
    <w:rsid w:val="00110550"/>
    <w:rsid w:val="0011401E"/>
    <w:rsid w:val="001147C3"/>
    <w:rsid w:val="00117E78"/>
    <w:rsid w:val="001227FE"/>
    <w:rsid w:val="00123B46"/>
    <w:rsid w:val="0012456C"/>
    <w:rsid w:val="0012469D"/>
    <w:rsid w:val="00154536"/>
    <w:rsid w:val="00154E36"/>
    <w:rsid w:val="001624E3"/>
    <w:rsid w:val="00183234"/>
    <w:rsid w:val="00183DF1"/>
    <w:rsid w:val="0018634C"/>
    <w:rsid w:val="001909BE"/>
    <w:rsid w:val="00193B2D"/>
    <w:rsid w:val="00196DD0"/>
    <w:rsid w:val="001B32E8"/>
    <w:rsid w:val="001B6D7C"/>
    <w:rsid w:val="001B703A"/>
    <w:rsid w:val="001C31A3"/>
    <w:rsid w:val="001C3F1B"/>
    <w:rsid w:val="001D7E23"/>
    <w:rsid w:val="001F277B"/>
    <w:rsid w:val="001F29A5"/>
    <w:rsid w:val="001F7D2C"/>
    <w:rsid w:val="002026DC"/>
    <w:rsid w:val="00204086"/>
    <w:rsid w:val="00210B7F"/>
    <w:rsid w:val="00211031"/>
    <w:rsid w:val="00213FA6"/>
    <w:rsid w:val="00214849"/>
    <w:rsid w:val="002163C7"/>
    <w:rsid w:val="00236CA9"/>
    <w:rsid w:val="00237191"/>
    <w:rsid w:val="002378B2"/>
    <w:rsid w:val="00240946"/>
    <w:rsid w:val="00243275"/>
    <w:rsid w:val="00243461"/>
    <w:rsid w:val="002434FC"/>
    <w:rsid w:val="00253CA2"/>
    <w:rsid w:val="00253CB9"/>
    <w:rsid w:val="00253D8D"/>
    <w:rsid w:val="00254962"/>
    <w:rsid w:val="00257E05"/>
    <w:rsid w:val="00260325"/>
    <w:rsid w:val="00261C88"/>
    <w:rsid w:val="00270B9C"/>
    <w:rsid w:val="00270E8F"/>
    <w:rsid w:val="00273438"/>
    <w:rsid w:val="002735F2"/>
    <w:rsid w:val="002736F3"/>
    <w:rsid w:val="00273AB5"/>
    <w:rsid w:val="00274EFD"/>
    <w:rsid w:val="00274FAF"/>
    <w:rsid w:val="002751C8"/>
    <w:rsid w:val="0027520C"/>
    <w:rsid w:val="00277DD3"/>
    <w:rsid w:val="00282C93"/>
    <w:rsid w:val="0028301A"/>
    <w:rsid w:val="0028757E"/>
    <w:rsid w:val="002A51F3"/>
    <w:rsid w:val="002A6A4B"/>
    <w:rsid w:val="002B2B51"/>
    <w:rsid w:val="002B54F2"/>
    <w:rsid w:val="002B71CC"/>
    <w:rsid w:val="002C2F2B"/>
    <w:rsid w:val="002D0146"/>
    <w:rsid w:val="002D158A"/>
    <w:rsid w:val="002D591F"/>
    <w:rsid w:val="002E1847"/>
    <w:rsid w:val="002E1BAC"/>
    <w:rsid w:val="002F3D41"/>
    <w:rsid w:val="002F7D56"/>
    <w:rsid w:val="003004E7"/>
    <w:rsid w:val="0030131C"/>
    <w:rsid w:val="00305E61"/>
    <w:rsid w:val="003156CD"/>
    <w:rsid w:val="00315762"/>
    <w:rsid w:val="00317B31"/>
    <w:rsid w:val="00320F35"/>
    <w:rsid w:val="00320F9C"/>
    <w:rsid w:val="00324061"/>
    <w:rsid w:val="00335993"/>
    <w:rsid w:val="00337D5B"/>
    <w:rsid w:val="00343CAA"/>
    <w:rsid w:val="00345E78"/>
    <w:rsid w:val="00345F5F"/>
    <w:rsid w:val="00346C2F"/>
    <w:rsid w:val="003473D2"/>
    <w:rsid w:val="00352AFB"/>
    <w:rsid w:val="00353979"/>
    <w:rsid w:val="0036150B"/>
    <w:rsid w:val="00363C89"/>
    <w:rsid w:val="003657B1"/>
    <w:rsid w:val="00367B23"/>
    <w:rsid w:val="00373725"/>
    <w:rsid w:val="00373B50"/>
    <w:rsid w:val="00374710"/>
    <w:rsid w:val="003803AB"/>
    <w:rsid w:val="00380645"/>
    <w:rsid w:val="00384212"/>
    <w:rsid w:val="003853CD"/>
    <w:rsid w:val="00386AA9"/>
    <w:rsid w:val="0039200B"/>
    <w:rsid w:val="00393278"/>
    <w:rsid w:val="003A4E5A"/>
    <w:rsid w:val="003A5204"/>
    <w:rsid w:val="003A6F25"/>
    <w:rsid w:val="003A70CE"/>
    <w:rsid w:val="003B04A9"/>
    <w:rsid w:val="003B0676"/>
    <w:rsid w:val="003B1738"/>
    <w:rsid w:val="003B20EA"/>
    <w:rsid w:val="003C0C9F"/>
    <w:rsid w:val="003C1026"/>
    <w:rsid w:val="003C3832"/>
    <w:rsid w:val="003C4553"/>
    <w:rsid w:val="003C6FEB"/>
    <w:rsid w:val="003C7A6E"/>
    <w:rsid w:val="003D6191"/>
    <w:rsid w:val="003E4685"/>
    <w:rsid w:val="003E5645"/>
    <w:rsid w:val="003F14D2"/>
    <w:rsid w:val="00400794"/>
    <w:rsid w:val="00407CC4"/>
    <w:rsid w:val="0041320F"/>
    <w:rsid w:val="00421209"/>
    <w:rsid w:val="00421BEA"/>
    <w:rsid w:val="00432126"/>
    <w:rsid w:val="00444133"/>
    <w:rsid w:val="00445673"/>
    <w:rsid w:val="0046493B"/>
    <w:rsid w:val="00465359"/>
    <w:rsid w:val="004755F8"/>
    <w:rsid w:val="0047593B"/>
    <w:rsid w:val="0047756E"/>
    <w:rsid w:val="0048086A"/>
    <w:rsid w:val="0048746C"/>
    <w:rsid w:val="004930AA"/>
    <w:rsid w:val="00496B93"/>
    <w:rsid w:val="00497711"/>
    <w:rsid w:val="004B373F"/>
    <w:rsid w:val="004B7456"/>
    <w:rsid w:val="004C5183"/>
    <w:rsid w:val="004C5B22"/>
    <w:rsid w:val="004C724E"/>
    <w:rsid w:val="004D5194"/>
    <w:rsid w:val="004E10F9"/>
    <w:rsid w:val="004E16E6"/>
    <w:rsid w:val="004E1777"/>
    <w:rsid w:val="004E5D21"/>
    <w:rsid w:val="005011AD"/>
    <w:rsid w:val="00507B33"/>
    <w:rsid w:val="00510904"/>
    <w:rsid w:val="00513B4F"/>
    <w:rsid w:val="005234C2"/>
    <w:rsid w:val="005257E4"/>
    <w:rsid w:val="00531B93"/>
    <w:rsid w:val="00532D33"/>
    <w:rsid w:val="00535FCA"/>
    <w:rsid w:val="005459D0"/>
    <w:rsid w:val="005504E6"/>
    <w:rsid w:val="00554142"/>
    <w:rsid w:val="00561408"/>
    <w:rsid w:val="0057519A"/>
    <w:rsid w:val="00583845"/>
    <w:rsid w:val="005847E7"/>
    <w:rsid w:val="00585347"/>
    <w:rsid w:val="00595395"/>
    <w:rsid w:val="0059625B"/>
    <w:rsid w:val="00596AB4"/>
    <w:rsid w:val="005A32C2"/>
    <w:rsid w:val="005B45E6"/>
    <w:rsid w:val="005B5E6D"/>
    <w:rsid w:val="005B67A2"/>
    <w:rsid w:val="005C18D2"/>
    <w:rsid w:val="005C6147"/>
    <w:rsid w:val="005D299A"/>
    <w:rsid w:val="005E1B1E"/>
    <w:rsid w:val="005E71B1"/>
    <w:rsid w:val="005E7559"/>
    <w:rsid w:val="005F2BC7"/>
    <w:rsid w:val="00605FAE"/>
    <w:rsid w:val="006060BC"/>
    <w:rsid w:val="00611F7D"/>
    <w:rsid w:val="0061583C"/>
    <w:rsid w:val="00615FBF"/>
    <w:rsid w:val="0061613C"/>
    <w:rsid w:val="006177B1"/>
    <w:rsid w:val="00623D36"/>
    <w:rsid w:val="006321F4"/>
    <w:rsid w:val="00646C5C"/>
    <w:rsid w:val="006473B7"/>
    <w:rsid w:val="0066494B"/>
    <w:rsid w:val="0066620F"/>
    <w:rsid w:val="0066756A"/>
    <w:rsid w:val="00674AF5"/>
    <w:rsid w:val="00681878"/>
    <w:rsid w:val="00683504"/>
    <w:rsid w:val="006908EA"/>
    <w:rsid w:val="00692A55"/>
    <w:rsid w:val="006979B4"/>
    <w:rsid w:val="006A474B"/>
    <w:rsid w:val="006A779D"/>
    <w:rsid w:val="006B53F1"/>
    <w:rsid w:val="006B7846"/>
    <w:rsid w:val="006C0086"/>
    <w:rsid w:val="006C1542"/>
    <w:rsid w:val="006C1D3B"/>
    <w:rsid w:val="006C1F07"/>
    <w:rsid w:val="006C43AE"/>
    <w:rsid w:val="006C4FA0"/>
    <w:rsid w:val="006C772C"/>
    <w:rsid w:val="006D5482"/>
    <w:rsid w:val="006E31FB"/>
    <w:rsid w:val="006E7C0F"/>
    <w:rsid w:val="006F50C5"/>
    <w:rsid w:val="006F6345"/>
    <w:rsid w:val="006F7DB3"/>
    <w:rsid w:val="00706047"/>
    <w:rsid w:val="007062BD"/>
    <w:rsid w:val="00711E6C"/>
    <w:rsid w:val="00721AD6"/>
    <w:rsid w:val="00723211"/>
    <w:rsid w:val="00735384"/>
    <w:rsid w:val="00735953"/>
    <w:rsid w:val="00737234"/>
    <w:rsid w:val="00751002"/>
    <w:rsid w:val="007605D2"/>
    <w:rsid w:val="00762DFC"/>
    <w:rsid w:val="00765327"/>
    <w:rsid w:val="007749FC"/>
    <w:rsid w:val="00780AB2"/>
    <w:rsid w:val="0078161F"/>
    <w:rsid w:val="0079522E"/>
    <w:rsid w:val="00797660"/>
    <w:rsid w:val="00797D20"/>
    <w:rsid w:val="007A0BDA"/>
    <w:rsid w:val="007B2EB9"/>
    <w:rsid w:val="007B5EDF"/>
    <w:rsid w:val="007C2929"/>
    <w:rsid w:val="007C3229"/>
    <w:rsid w:val="007C39B9"/>
    <w:rsid w:val="007D1D86"/>
    <w:rsid w:val="007D6CB9"/>
    <w:rsid w:val="007D6EF8"/>
    <w:rsid w:val="007E31DD"/>
    <w:rsid w:val="007E49A4"/>
    <w:rsid w:val="007E4B3E"/>
    <w:rsid w:val="007F0E5D"/>
    <w:rsid w:val="007F614F"/>
    <w:rsid w:val="007F66D6"/>
    <w:rsid w:val="008006FA"/>
    <w:rsid w:val="0080160E"/>
    <w:rsid w:val="008110AA"/>
    <w:rsid w:val="00811427"/>
    <w:rsid w:val="00825856"/>
    <w:rsid w:val="008343A2"/>
    <w:rsid w:val="00834957"/>
    <w:rsid w:val="00834A2F"/>
    <w:rsid w:val="00835EFB"/>
    <w:rsid w:val="00846281"/>
    <w:rsid w:val="00851373"/>
    <w:rsid w:val="00854DE9"/>
    <w:rsid w:val="00861680"/>
    <w:rsid w:val="0086393E"/>
    <w:rsid w:val="00870163"/>
    <w:rsid w:val="00875497"/>
    <w:rsid w:val="008908ED"/>
    <w:rsid w:val="00894244"/>
    <w:rsid w:val="00895A5D"/>
    <w:rsid w:val="00896BC6"/>
    <w:rsid w:val="008B6E52"/>
    <w:rsid w:val="008C4D8C"/>
    <w:rsid w:val="008C77D8"/>
    <w:rsid w:val="008D0318"/>
    <w:rsid w:val="008D35D8"/>
    <w:rsid w:val="008D48F9"/>
    <w:rsid w:val="008D6E0F"/>
    <w:rsid w:val="008F203F"/>
    <w:rsid w:val="008F38A8"/>
    <w:rsid w:val="008F6C96"/>
    <w:rsid w:val="00911F06"/>
    <w:rsid w:val="00934B93"/>
    <w:rsid w:val="00940420"/>
    <w:rsid w:val="009449EE"/>
    <w:rsid w:val="009473BB"/>
    <w:rsid w:val="009541DF"/>
    <w:rsid w:val="00961404"/>
    <w:rsid w:val="009669CF"/>
    <w:rsid w:val="00986348"/>
    <w:rsid w:val="00992FE8"/>
    <w:rsid w:val="0099609E"/>
    <w:rsid w:val="009A05AA"/>
    <w:rsid w:val="009A4386"/>
    <w:rsid w:val="009C11C0"/>
    <w:rsid w:val="009C37FD"/>
    <w:rsid w:val="009C71D5"/>
    <w:rsid w:val="009D03FE"/>
    <w:rsid w:val="009D1F46"/>
    <w:rsid w:val="009D6330"/>
    <w:rsid w:val="009D70A8"/>
    <w:rsid w:val="009D78B0"/>
    <w:rsid w:val="009E1B07"/>
    <w:rsid w:val="009E1B1B"/>
    <w:rsid w:val="009E25A5"/>
    <w:rsid w:val="009E43C8"/>
    <w:rsid w:val="009F2788"/>
    <w:rsid w:val="009F62A9"/>
    <w:rsid w:val="009F6CFA"/>
    <w:rsid w:val="00A03EFB"/>
    <w:rsid w:val="00A23F12"/>
    <w:rsid w:val="00A26D72"/>
    <w:rsid w:val="00A27F5C"/>
    <w:rsid w:val="00A3046D"/>
    <w:rsid w:val="00A3146D"/>
    <w:rsid w:val="00A31EE1"/>
    <w:rsid w:val="00A330FA"/>
    <w:rsid w:val="00A43EC5"/>
    <w:rsid w:val="00A4437B"/>
    <w:rsid w:val="00A536DE"/>
    <w:rsid w:val="00A554A3"/>
    <w:rsid w:val="00A57ECD"/>
    <w:rsid w:val="00A57F73"/>
    <w:rsid w:val="00A60F46"/>
    <w:rsid w:val="00A6347E"/>
    <w:rsid w:val="00A640E2"/>
    <w:rsid w:val="00A70A82"/>
    <w:rsid w:val="00A73DC5"/>
    <w:rsid w:val="00A775DD"/>
    <w:rsid w:val="00A80DA4"/>
    <w:rsid w:val="00A837EB"/>
    <w:rsid w:val="00A94723"/>
    <w:rsid w:val="00AA3D35"/>
    <w:rsid w:val="00AA4E2A"/>
    <w:rsid w:val="00AB15C1"/>
    <w:rsid w:val="00AB1AF2"/>
    <w:rsid w:val="00AB1E41"/>
    <w:rsid w:val="00AB2826"/>
    <w:rsid w:val="00AB3F6F"/>
    <w:rsid w:val="00AB4B39"/>
    <w:rsid w:val="00AC39FA"/>
    <w:rsid w:val="00AD4F06"/>
    <w:rsid w:val="00AE7AB3"/>
    <w:rsid w:val="00AF2F60"/>
    <w:rsid w:val="00AF2F82"/>
    <w:rsid w:val="00AF4C49"/>
    <w:rsid w:val="00B00832"/>
    <w:rsid w:val="00B019A0"/>
    <w:rsid w:val="00B02664"/>
    <w:rsid w:val="00B2152C"/>
    <w:rsid w:val="00B26F5A"/>
    <w:rsid w:val="00B34414"/>
    <w:rsid w:val="00B3640B"/>
    <w:rsid w:val="00B36CE6"/>
    <w:rsid w:val="00B403DB"/>
    <w:rsid w:val="00B43B1F"/>
    <w:rsid w:val="00B5583C"/>
    <w:rsid w:val="00B56F87"/>
    <w:rsid w:val="00B57697"/>
    <w:rsid w:val="00B64449"/>
    <w:rsid w:val="00B66D8C"/>
    <w:rsid w:val="00BA3517"/>
    <w:rsid w:val="00BA3C35"/>
    <w:rsid w:val="00BA58F6"/>
    <w:rsid w:val="00BA7805"/>
    <w:rsid w:val="00BB034D"/>
    <w:rsid w:val="00BB0BFB"/>
    <w:rsid w:val="00BB6563"/>
    <w:rsid w:val="00BC098B"/>
    <w:rsid w:val="00BC1E08"/>
    <w:rsid w:val="00BD11AC"/>
    <w:rsid w:val="00BE0F52"/>
    <w:rsid w:val="00BE271E"/>
    <w:rsid w:val="00BE452A"/>
    <w:rsid w:val="00BE45FB"/>
    <w:rsid w:val="00BF0C80"/>
    <w:rsid w:val="00BF124E"/>
    <w:rsid w:val="00C0084E"/>
    <w:rsid w:val="00C01425"/>
    <w:rsid w:val="00C031E8"/>
    <w:rsid w:val="00C12152"/>
    <w:rsid w:val="00C308C3"/>
    <w:rsid w:val="00C36F5A"/>
    <w:rsid w:val="00C36F84"/>
    <w:rsid w:val="00C42332"/>
    <w:rsid w:val="00C45EC4"/>
    <w:rsid w:val="00C4730D"/>
    <w:rsid w:val="00C47FF6"/>
    <w:rsid w:val="00C50AAF"/>
    <w:rsid w:val="00C55267"/>
    <w:rsid w:val="00C676D8"/>
    <w:rsid w:val="00C70C4F"/>
    <w:rsid w:val="00C7144F"/>
    <w:rsid w:val="00C75618"/>
    <w:rsid w:val="00C80B39"/>
    <w:rsid w:val="00C87360"/>
    <w:rsid w:val="00C87B8D"/>
    <w:rsid w:val="00CA3661"/>
    <w:rsid w:val="00CA42F6"/>
    <w:rsid w:val="00CA5471"/>
    <w:rsid w:val="00CB5266"/>
    <w:rsid w:val="00CC0A79"/>
    <w:rsid w:val="00CC20A5"/>
    <w:rsid w:val="00CC60FC"/>
    <w:rsid w:val="00CC7940"/>
    <w:rsid w:val="00CD7A02"/>
    <w:rsid w:val="00CE1757"/>
    <w:rsid w:val="00CE5FD3"/>
    <w:rsid w:val="00CF0BE7"/>
    <w:rsid w:val="00CF0E50"/>
    <w:rsid w:val="00CF355A"/>
    <w:rsid w:val="00CF4BE9"/>
    <w:rsid w:val="00D01AE5"/>
    <w:rsid w:val="00D034AB"/>
    <w:rsid w:val="00D10E1D"/>
    <w:rsid w:val="00D13B6B"/>
    <w:rsid w:val="00D14058"/>
    <w:rsid w:val="00D15472"/>
    <w:rsid w:val="00D17D76"/>
    <w:rsid w:val="00D22B80"/>
    <w:rsid w:val="00D25FD0"/>
    <w:rsid w:val="00D330C4"/>
    <w:rsid w:val="00D35784"/>
    <w:rsid w:val="00D36556"/>
    <w:rsid w:val="00D37188"/>
    <w:rsid w:val="00D37592"/>
    <w:rsid w:val="00D41B8B"/>
    <w:rsid w:val="00D509A7"/>
    <w:rsid w:val="00D51D44"/>
    <w:rsid w:val="00D54758"/>
    <w:rsid w:val="00D55DF8"/>
    <w:rsid w:val="00D60482"/>
    <w:rsid w:val="00D61F89"/>
    <w:rsid w:val="00D72C3B"/>
    <w:rsid w:val="00D74FC8"/>
    <w:rsid w:val="00D7617E"/>
    <w:rsid w:val="00D972AB"/>
    <w:rsid w:val="00DA156E"/>
    <w:rsid w:val="00DA4904"/>
    <w:rsid w:val="00DA4C56"/>
    <w:rsid w:val="00DB02CE"/>
    <w:rsid w:val="00DB38FB"/>
    <w:rsid w:val="00DB4D7D"/>
    <w:rsid w:val="00DC32CD"/>
    <w:rsid w:val="00DC78F0"/>
    <w:rsid w:val="00DD4F32"/>
    <w:rsid w:val="00DD5237"/>
    <w:rsid w:val="00DE0BBA"/>
    <w:rsid w:val="00DE2F5A"/>
    <w:rsid w:val="00DE7715"/>
    <w:rsid w:val="00DF6F84"/>
    <w:rsid w:val="00DF7F99"/>
    <w:rsid w:val="00E0071B"/>
    <w:rsid w:val="00E152C7"/>
    <w:rsid w:val="00E202B4"/>
    <w:rsid w:val="00E2143B"/>
    <w:rsid w:val="00E31F79"/>
    <w:rsid w:val="00E46E7D"/>
    <w:rsid w:val="00E47DB7"/>
    <w:rsid w:val="00E52C98"/>
    <w:rsid w:val="00E5579F"/>
    <w:rsid w:val="00E6222D"/>
    <w:rsid w:val="00E63068"/>
    <w:rsid w:val="00E63BC8"/>
    <w:rsid w:val="00E646C7"/>
    <w:rsid w:val="00E76C46"/>
    <w:rsid w:val="00E8788A"/>
    <w:rsid w:val="00E90B35"/>
    <w:rsid w:val="00E977CA"/>
    <w:rsid w:val="00E97960"/>
    <w:rsid w:val="00E979D2"/>
    <w:rsid w:val="00EA53B9"/>
    <w:rsid w:val="00EA65EB"/>
    <w:rsid w:val="00EC02B6"/>
    <w:rsid w:val="00EC6324"/>
    <w:rsid w:val="00EC632D"/>
    <w:rsid w:val="00EC79F0"/>
    <w:rsid w:val="00EC7CDA"/>
    <w:rsid w:val="00EC7E01"/>
    <w:rsid w:val="00ED42FF"/>
    <w:rsid w:val="00EE139E"/>
    <w:rsid w:val="00EE228C"/>
    <w:rsid w:val="00EE4383"/>
    <w:rsid w:val="00EE491C"/>
    <w:rsid w:val="00EF7D85"/>
    <w:rsid w:val="00F00FF1"/>
    <w:rsid w:val="00F02058"/>
    <w:rsid w:val="00F0447B"/>
    <w:rsid w:val="00F11C17"/>
    <w:rsid w:val="00F1305E"/>
    <w:rsid w:val="00F16E81"/>
    <w:rsid w:val="00F30531"/>
    <w:rsid w:val="00F31891"/>
    <w:rsid w:val="00F343EA"/>
    <w:rsid w:val="00F357CB"/>
    <w:rsid w:val="00F36ACC"/>
    <w:rsid w:val="00F42278"/>
    <w:rsid w:val="00F45505"/>
    <w:rsid w:val="00F53341"/>
    <w:rsid w:val="00F541D9"/>
    <w:rsid w:val="00F76553"/>
    <w:rsid w:val="00F819EC"/>
    <w:rsid w:val="00F83C00"/>
    <w:rsid w:val="00F9130B"/>
    <w:rsid w:val="00F95D17"/>
    <w:rsid w:val="00F97718"/>
    <w:rsid w:val="00FA1809"/>
    <w:rsid w:val="00FA2104"/>
    <w:rsid w:val="00FA4BFA"/>
    <w:rsid w:val="00FA4CCB"/>
    <w:rsid w:val="00FB63D6"/>
    <w:rsid w:val="00FB69F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D6301"/>
  <w15:docId w15:val="{1D5D3D4F-C964-4833-BC38-A49849C7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D14058"/>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F355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4342">
      <w:bodyDiv w:val="1"/>
      <w:marLeft w:val="0"/>
      <w:marRight w:val="0"/>
      <w:marTop w:val="0"/>
      <w:marBottom w:val="0"/>
      <w:divBdr>
        <w:top w:val="none" w:sz="0" w:space="0" w:color="auto"/>
        <w:left w:val="none" w:sz="0" w:space="0" w:color="auto"/>
        <w:bottom w:val="none" w:sz="0" w:space="0" w:color="auto"/>
        <w:right w:val="none" w:sz="0" w:space="0" w:color="auto"/>
      </w:divBdr>
    </w:div>
    <w:div w:id="10403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2210</TotalTime>
  <Pages>30</Pages>
  <Words>9196</Words>
  <Characters>49559</Characters>
  <Application>Microsoft Office Word</Application>
  <DocSecurity>8</DocSecurity>
  <Lines>412</Lines>
  <Paragraphs>117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156</cp:revision>
  <cp:lastPrinted>2011-09-07T16:03:00Z</cp:lastPrinted>
  <dcterms:created xsi:type="dcterms:W3CDTF">2022-08-30T17:54:00Z</dcterms:created>
  <dcterms:modified xsi:type="dcterms:W3CDTF">2022-09-13T14:32:00Z</dcterms:modified>
</cp:coreProperties>
</file>