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76DE" w14:textId="77777777" w:rsidR="00FA4CCB" w:rsidRDefault="00FA4CCB">
      <w:pPr>
        <w:pStyle w:val="Ttulo"/>
        <w:ind w:right="51"/>
        <w:rPr>
          <w:rFonts w:cs="Arial"/>
        </w:rPr>
      </w:pPr>
      <w:r>
        <w:rPr>
          <w:rFonts w:cs="Arial"/>
        </w:rPr>
        <w:t>BANCO HIPOTECARIO DE LA VIVIENDA</w:t>
      </w:r>
    </w:p>
    <w:p w14:paraId="0B1A1238" w14:textId="77777777" w:rsidR="00FA4CCB" w:rsidRDefault="00FA4CCB">
      <w:pPr>
        <w:spacing w:line="360" w:lineRule="auto"/>
        <w:ind w:right="51"/>
        <w:jc w:val="center"/>
        <w:rPr>
          <w:rFonts w:cs="Arial"/>
          <w:b/>
          <w:sz w:val="22"/>
          <w:u w:val="single"/>
        </w:rPr>
      </w:pPr>
      <w:r>
        <w:rPr>
          <w:rFonts w:cs="Arial"/>
          <w:b/>
          <w:sz w:val="22"/>
          <w:u w:val="single"/>
        </w:rPr>
        <w:t>JUNTA DIRECTIVA</w:t>
      </w:r>
    </w:p>
    <w:p w14:paraId="0239B395" w14:textId="77777777" w:rsidR="00FA4CCB" w:rsidRDefault="00FA4CCB">
      <w:pPr>
        <w:spacing w:line="360" w:lineRule="auto"/>
        <w:ind w:right="51"/>
        <w:jc w:val="center"/>
        <w:rPr>
          <w:rFonts w:cs="Arial"/>
          <w:b/>
          <w:sz w:val="22"/>
          <w:u w:val="single"/>
        </w:rPr>
      </w:pPr>
    </w:p>
    <w:p w14:paraId="7AAB084F" w14:textId="25071AC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F2DC5">
        <w:rPr>
          <w:rFonts w:cs="Arial"/>
          <w:b/>
          <w:sz w:val="22"/>
          <w:u w:val="single"/>
        </w:rPr>
        <w:t>EXTRA</w:t>
      </w:r>
      <w:r w:rsidR="00FA4CCB">
        <w:rPr>
          <w:rFonts w:cs="Arial"/>
          <w:b/>
          <w:sz w:val="22"/>
          <w:u w:val="single"/>
        </w:rPr>
        <w:t xml:space="preserve">ORDINARIA </w:t>
      </w:r>
      <w:r>
        <w:rPr>
          <w:rFonts w:cs="Arial"/>
          <w:b/>
          <w:sz w:val="22"/>
          <w:u w:val="single"/>
        </w:rPr>
        <w:t xml:space="preserve">N° </w:t>
      </w:r>
      <w:r w:rsidR="00DF2DC5">
        <w:rPr>
          <w:rFonts w:cs="Arial"/>
          <w:b/>
          <w:sz w:val="22"/>
          <w:u w:val="single"/>
        </w:rPr>
        <w:t>27</w:t>
      </w:r>
      <w:r>
        <w:rPr>
          <w:rFonts w:cs="Arial"/>
          <w:b/>
          <w:sz w:val="22"/>
          <w:u w:val="single"/>
        </w:rPr>
        <w:t>-</w:t>
      </w:r>
      <w:r w:rsidR="005F2BC7">
        <w:rPr>
          <w:rFonts w:cs="Arial"/>
          <w:b/>
          <w:sz w:val="22"/>
          <w:u w:val="single"/>
        </w:rPr>
        <w:t>2022</w:t>
      </w:r>
    </w:p>
    <w:p w14:paraId="0E6AACD9" w14:textId="3C00367C" w:rsidR="00FA4CCB" w:rsidRDefault="00FA4CCB">
      <w:pPr>
        <w:spacing w:line="360" w:lineRule="auto"/>
        <w:ind w:right="51"/>
        <w:jc w:val="center"/>
        <w:rPr>
          <w:rFonts w:cs="Arial"/>
          <w:b/>
          <w:sz w:val="22"/>
          <w:u w:val="single"/>
        </w:rPr>
      </w:pPr>
      <w:r>
        <w:rPr>
          <w:rFonts w:cs="Arial"/>
          <w:b/>
          <w:sz w:val="22"/>
          <w:u w:val="single"/>
        </w:rPr>
        <w:t xml:space="preserve">DEL </w:t>
      </w:r>
      <w:r w:rsidR="00DF2DC5">
        <w:rPr>
          <w:rFonts w:cs="Arial"/>
          <w:b/>
          <w:sz w:val="22"/>
          <w:u w:val="single"/>
        </w:rPr>
        <w:t>07</w:t>
      </w:r>
      <w:r>
        <w:rPr>
          <w:rFonts w:cs="Arial"/>
          <w:b/>
          <w:sz w:val="22"/>
          <w:u w:val="single"/>
        </w:rPr>
        <w:t xml:space="preserve"> DE </w:t>
      </w:r>
      <w:r w:rsidR="00DF2DC5">
        <w:rPr>
          <w:rFonts w:cs="Arial"/>
          <w:b/>
          <w:sz w:val="22"/>
          <w:u w:val="single"/>
        </w:rPr>
        <w:t>ABRIL</w:t>
      </w:r>
      <w:r>
        <w:rPr>
          <w:rFonts w:cs="Arial"/>
          <w:b/>
          <w:sz w:val="22"/>
          <w:u w:val="single"/>
        </w:rPr>
        <w:t xml:space="preserve"> DE </w:t>
      </w:r>
      <w:r w:rsidR="005F2BC7">
        <w:rPr>
          <w:rFonts w:cs="Arial"/>
          <w:b/>
          <w:sz w:val="22"/>
          <w:u w:val="single"/>
        </w:rPr>
        <w:t>2022</w:t>
      </w:r>
    </w:p>
    <w:p w14:paraId="2D75CBD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B19A3C4" w14:textId="77777777" w:rsidR="00FA4CCB" w:rsidRDefault="00FA4CCB">
      <w:pPr>
        <w:spacing w:line="360" w:lineRule="auto"/>
        <w:ind w:right="51"/>
        <w:jc w:val="center"/>
        <w:rPr>
          <w:rFonts w:cs="Arial"/>
          <w:b/>
          <w:sz w:val="22"/>
          <w:u w:val="single"/>
        </w:rPr>
      </w:pPr>
    </w:p>
    <w:p w14:paraId="41AC5392" w14:textId="74C3D831"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y Eloísa Ulibarri Pernús</w:t>
      </w:r>
      <w:r w:rsidR="00373B50">
        <w:rPr>
          <w:rFonts w:cs="Arial"/>
          <w:sz w:val="22"/>
        </w:rPr>
        <w:t>.</w:t>
      </w:r>
      <w:r w:rsidR="00E14957" w:rsidRPr="00E14957">
        <w:rPr>
          <w:rFonts w:cs="Arial"/>
          <w:sz w:val="22"/>
        </w:rPr>
        <w:t xml:space="preserve"> </w:t>
      </w:r>
      <w:r w:rsidR="00E14957">
        <w:rPr>
          <w:rFonts w:cs="Arial"/>
          <w:sz w:val="22"/>
        </w:rPr>
        <w:t>Los Directores Dania Chavarría Núñez, Vicepresidenta;</w:t>
      </w:r>
      <w:r w:rsidR="00E14957" w:rsidRPr="00E14957">
        <w:rPr>
          <w:rFonts w:cs="Arial"/>
          <w:sz w:val="22"/>
        </w:rPr>
        <w:t xml:space="preserve"> </w:t>
      </w:r>
      <w:r w:rsidR="00237A17">
        <w:rPr>
          <w:rFonts w:cs="Arial"/>
          <w:sz w:val="22"/>
        </w:rPr>
        <w:t>Kenneth Pérez Venegas,</w:t>
      </w:r>
      <w:r w:rsidR="00237A17" w:rsidRPr="00E14957">
        <w:rPr>
          <w:rFonts w:cs="Arial"/>
          <w:sz w:val="22"/>
        </w:rPr>
        <w:t xml:space="preserve"> </w:t>
      </w:r>
      <w:r w:rsidR="00E14957">
        <w:rPr>
          <w:rFonts w:cs="Arial"/>
          <w:sz w:val="22"/>
        </w:rPr>
        <w:t xml:space="preserve">y Jorge Carranza González, se incorporan a la sesión a partir de los minutos </w:t>
      </w:r>
      <w:r w:rsidR="00237A17">
        <w:rPr>
          <w:rFonts w:cs="Arial"/>
          <w:sz w:val="22"/>
        </w:rPr>
        <w:t>13</w:t>
      </w:r>
      <w:r w:rsidR="00E14957">
        <w:rPr>
          <w:rFonts w:cs="Arial"/>
          <w:sz w:val="22"/>
        </w:rPr>
        <w:t>:</w:t>
      </w:r>
      <w:r w:rsidR="00237A17">
        <w:rPr>
          <w:rFonts w:cs="Arial"/>
          <w:sz w:val="22"/>
        </w:rPr>
        <w:t>06</w:t>
      </w:r>
      <w:r w:rsidR="00E14957">
        <w:rPr>
          <w:rFonts w:cs="Arial"/>
          <w:sz w:val="22"/>
        </w:rPr>
        <w:t xml:space="preserve">, </w:t>
      </w:r>
      <w:r w:rsidR="00237A17">
        <w:rPr>
          <w:rFonts w:cs="Arial"/>
          <w:sz w:val="22"/>
        </w:rPr>
        <w:t>20</w:t>
      </w:r>
      <w:r w:rsidR="00E14957">
        <w:rPr>
          <w:rFonts w:cs="Arial"/>
          <w:sz w:val="22"/>
        </w:rPr>
        <w:t>:</w:t>
      </w:r>
      <w:r w:rsidR="00237A17">
        <w:rPr>
          <w:rFonts w:cs="Arial"/>
          <w:sz w:val="22"/>
        </w:rPr>
        <w:t>23</w:t>
      </w:r>
      <w:r w:rsidR="00E14957">
        <w:rPr>
          <w:rFonts w:cs="Arial"/>
          <w:sz w:val="22"/>
        </w:rPr>
        <w:t xml:space="preserve"> y </w:t>
      </w:r>
      <w:r w:rsidR="00A82BCB">
        <w:rPr>
          <w:rFonts w:cs="Arial"/>
          <w:sz w:val="22"/>
        </w:rPr>
        <w:t>69</w:t>
      </w:r>
      <w:r w:rsidR="00E14957">
        <w:rPr>
          <w:rFonts w:cs="Arial"/>
          <w:sz w:val="22"/>
        </w:rPr>
        <w:t>:</w:t>
      </w:r>
      <w:r w:rsidR="00A82BCB">
        <w:rPr>
          <w:rFonts w:cs="Arial"/>
          <w:sz w:val="22"/>
        </w:rPr>
        <w:t>15</w:t>
      </w:r>
      <w:r w:rsidR="00E14957">
        <w:rPr>
          <w:rFonts w:cs="Arial"/>
          <w:sz w:val="22"/>
        </w:rPr>
        <w:t xml:space="preserve"> respectivamente.</w:t>
      </w:r>
    </w:p>
    <w:p w14:paraId="0B0ED8D1" w14:textId="77777777" w:rsidR="00AD4F06" w:rsidRDefault="00AD4F06" w:rsidP="0066494B">
      <w:pPr>
        <w:spacing w:line="360" w:lineRule="auto"/>
        <w:jc w:val="both"/>
        <w:rPr>
          <w:rFonts w:cs="Arial"/>
          <w:sz w:val="22"/>
        </w:rPr>
      </w:pPr>
    </w:p>
    <w:p w14:paraId="53A0760F" w14:textId="0C58E4DE"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E14957">
        <w:rPr>
          <w:rFonts w:cs="Arial"/>
          <w:sz w:val="22"/>
        </w:rPr>
        <w:t xml:space="preserve">Mauricio González Zumbado, funcionario de la Auditoría Interna;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DDDF6C3" w14:textId="77777777" w:rsidR="007749FC" w:rsidRDefault="007749FC" w:rsidP="0066494B">
      <w:pPr>
        <w:spacing w:line="360" w:lineRule="auto"/>
        <w:jc w:val="both"/>
        <w:rPr>
          <w:rFonts w:cs="Arial"/>
          <w:sz w:val="22"/>
        </w:rPr>
      </w:pPr>
    </w:p>
    <w:p w14:paraId="57508475" w14:textId="306A8371" w:rsidR="007749FC" w:rsidRDefault="007749FC" w:rsidP="0066494B">
      <w:pPr>
        <w:spacing w:line="360" w:lineRule="auto"/>
        <w:jc w:val="both"/>
        <w:rPr>
          <w:rFonts w:cs="Arial"/>
          <w:sz w:val="22"/>
        </w:rPr>
      </w:pPr>
      <w:r>
        <w:rPr>
          <w:rFonts w:cs="Arial"/>
          <w:sz w:val="22"/>
        </w:rPr>
        <w:t>Ausente con justificación:</w:t>
      </w:r>
      <w:r w:rsidR="00E14957" w:rsidRPr="00E14957">
        <w:rPr>
          <w:rFonts w:cs="Arial"/>
          <w:sz w:val="22"/>
        </w:rPr>
        <w:t xml:space="preserve"> </w:t>
      </w:r>
      <w:r w:rsidR="00E14957">
        <w:rPr>
          <w:rFonts w:cs="Arial"/>
          <w:sz w:val="22"/>
        </w:rPr>
        <w:t xml:space="preserve">Gustavo Flores Oviedo, </w:t>
      </w:r>
      <w:r w:rsidR="00E14957">
        <w:rPr>
          <w:rFonts w:cs="Arial"/>
          <w:sz w:val="22"/>
          <w:szCs w:val="22"/>
        </w:rPr>
        <w:t>Auditor Interno</w:t>
      </w:r>
      <w:r w:rsidR="00E14957">
        <w:rPr>
          <w:rFonts w:cs="Arial"/>
          <w:sz w:val="22"/>
        </w:rPr>
        <w:t>.</w:t>
      </w:r>
    </w:p>
    <w:p w14:paraId="46F672BE" w14:textId="77777777" w:rsidR="006321F4" w:rsidRPr="00D14EAF" w:rsidRDefault="006321F4" w:rsidP="006321F4">
      <w:pPr>
        <w:spacing w:line="360" w:lineRule="auto"/>
        <w:jc w:val="both"/>
        <w:rPr>
          <w:rFonts w:cs="Arial"/>
          <w:b/>
          <w:sz w:val="22"/>
        </w:rPr>
      </w:pPr>
      <w:r w:rsidRPr="00D14EAF">
        <w:rPr>
          <w:rFonts w:cs="Arial"/>
          <w:b/>
          <w:sz w:val="22"/>
        </w:rPr>
        <w:t>************</w:t>
      </w:r>
    </w:p>
    <w:p w14:paraId="779CAE9F" w14:textId="77777777" w:rsidR="00FA4CCB" w:rsidRDefault="00FA4CCB" w:rsidP="0066494B">
      <w:pPr>
        <w:spacing w:line="360" w:lineRule="auto"/>
        <w:jc w:val="both"/>
        <w:rPr>
          <w:rFonts w:cs="Arial"/>
          <w:sz w:val="22"/>
        </w:rPr>
      </w:pPr>
    </w:p>
    <w:p w14:paraId="50E41487" w14:textId="77777777" w:rsidR="00FA4CCB" w:rsidRDefault="00FA4CCB" w:rsidP="0066494B">
      <w:pPr>
        <w:pStyle w:val="Ttulo4"/>
        <w:spacing w:line="360" w:lineRule="auto"/>
        <w:jc w:val="both"/>
        <w:rPr>
          <w:rFonts w:cs="Arial"/>
        </w:rPr>
      </w:pPr>
      <w:r>
        <w:rPr>
          <w:rFonts w:cs="Arial"/>
        </w:rPr>
        <w:t>Asuntos conocidos en la presente sesión</w:t>
      </w:r>
    </w:p>
    <w:p w14:paraId="58F4682B" w14:textId="77777777" w:rsidR="00FA4CCB" w:rsidRDefault="00FA4CCB" w:rsidP="0066494B">
      <w:pPr>
        <w:spacing w:line="360" w:lineRule="auto"/>
        <w:jc w:val="both"/>
        <w:rPr>
          <w:rFonts w:cs="Arial"/>
          <w:b/>
          <w:sz w:val="22"/>
        </w:rPr>
      </w:pPr>
    </w:p>
    <w:p w14:paraId="334D0D6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E124E9E" w14:textId="77777777" w:rsidR="00DF2DC5" w:rsidRPr="00BC5623" w:rsidRDefault="00DF2DC5" w:rsidP="00BC5623">
      <w:pPr>
        <w:pStyle w:val="Prrafodelista"/>
        <w:numPr>
          <w:ilvl w:val="0"/>
          <w:numId w:val="18"/>
        </w:numPr>
        <w:spacing w:line="360" w:lineRule="auto"/>
        <w:ind w:left="426" w:hanging="426"/>
        <w:jc w:val="both"/>
        <w:rPr>
          <w:rFonts w:cs="Arial"/>
          <w:sz w:val="22"/>
          <w:lang w:val="es-ES_tradnl"/>
        </w:rPr>
      </w:pPr>
      <w:r w:rsidRPr="00BC5623">
        <w:rPr>
          <w:rFonts w:cs="Arial"/>
          <w:sz w:val="22"/>
          <w:lang w:val="es-ES_tradnl"/>
        </w:rPr>
        <w:t>Presentación sobre el avance del proyecto “</w:t>
      </w:r>
      <w:r w:rsidRPr="00BC5623">
        <w:rPr>
          <w:rFonts w:cs="Arial"/>
          <w:i/>
          <w:iCs/>
          <w:sz w:val="22"/>
          <w:lang w:val="es-ES_tradnl"/>
        </w:rPr>
        <w:t>Optimización de procesos y tecnologías de información medulares para los usuarios BANHVI</w:t>
      </w:r>
      <w:r w:rsidRPr="00BC5623">
        <w:rPr>
          <w:rFonts w:cs="Arial"/>
          <w:sz w:val="22"/>
          <w:lang w:val="es-ES_tradnl"/>
        </w:rPr>
        <w:t>” (OPTIMUS).</w:t>
      </w:r>
    </w:p>
    <w:p w14:paraId="3A409B88" w14:textId="2DE23A3E" w:rsidR="00DF2DC5" w:rsidRPr="00BC5623" w:rsidRDefault="00DF2DC5" w:rsidP="00BC5623">
      <w:pPr>
        <w:pStyle w:val="Prrafodelista"/>
        <w:numPr>
          <w:ilvl w:val="0"/>
          <w:numId w:val="18"/>
        </w:numPr>
        <w:spacing w:line="360" w:lineRule="auto"/>
        <w:ind w:left="426" w:hanging="426"/>
        <w:jc w:val="both"/>
        <w:rPr>
          <w:rFonts w:cs="Arial"/>
          <w:sz w:val="22"/>
        </w:rPr>
      </w:pPr>
      <w:r w:rsidRPr="00BC5623">
        <w:rPr>
          <w:rFonts w:cs="Arial"/>
          <w:sz w:val="22"/>
          <w:lang w:val="es-ES_tradnl"/>
        </w:rPr>
        <w:t xml:space="preserve">Solicitud de financiamiento adicional por incremento de precios del </w:t>
      </w:r>
      <w:r w:rsidR="00E07191">
        <w:rPr>
          <w:rFonts w:cs="Arial"/>
          <w:sz w:val="22"/>
          <w:lang w:val="es-ES_tradnl"/>
        </w:rPr>
        <w:t>p</w:t>
      </w:r>
      <w:r w:rsidRPr="00BC5623">
        <w:rPr>
          <w:rFonts w:cs="Arial"/>
          <w:sz w:val="22"/>
          <w:lang w:val="es-ES_tradnl"/>
        </w:rPr>
        <w:t>royecto Hojancha.</w:t>
      </w:r>
    </w:p>
    <w:p w14:paraId="5B9B7B1C" w14:textId="77777777" w:rsidR="00DF2DC5" w:rsidRPr="00BC5623" w:rsidRDefault="00DF2DC5" w:rsidP="00BC5623">
      <w:pPr>
        <w:pStyle w:val="Prrafodelista"/>
        <w:numPr>
          <w:ilvl w:val="0"/>
          <w:numId w:val="18"/>
        </w:numPr>
        <w:spacing w:line="360" w:lineRule="auto"/>
        <w:ind w:left="426" w:hanging="426"/>
        <w:jc w:val="both"/>
        <w:rPr>
          <w:rFonts w:cs="Arial"/>
          <w:sz w:val="22"/>
          <w:lang w:val="es-ES_tradnl"/>
        </w:rPr>
      </w:pPr>
      <w:r w:rsidRPr="00BC5623">
        <w:rPr>
          <w:rFonts w:cs="Arial"/>
          <w:sz w:val="22"/>
          <w:lang w:val="es-ES_tradnl"/>
        </w:rPr>
        <w:t>Presentación sobre acuerdos vigentes respecto a las tipologías constructivas para viviendas en los territorios indígenas, con el propósito de comprobar su correcta comunicación y la adecuada aplicación por parte de las instancias correspondientes.</w:t>
      </w:r>
    </w:p>
    <w:p w14:paraId="6FEDDDF2" w14:textId="680B24EA" w:rsidR="00DF2DC5" w:rsidRPr="00BC5623" w:rsidRDefault="00DF2DC5" w:rsidP="00BC5623">
      <w:pPr>
        <w:pStyle w:val="Prrafodelista"/>
        <w:numPr>
          <w:ilvl w:val="0"/>
          <w:numId w:val="18"/>
        </w:numPr>
        <w:spacing w:line="360" w:lineRule="auto"/>
        <w:ind w:left="426" w:hanging="426"/>
        <w:jc w:val="both"/>
        <w:rPr>
          <w:rFonts w:cs="Arial"/>
          <w:sz w:val="22"/>
        </w:rPr>
      </w:pPr>
      <w:r w:rsidRPr="00BC5623">
        <w:rPr>
          <w:rFonts w:cs="Arial"/>
          <w:sz w:val="22"/>
          <w:lang w:val="es-ES_tradnl"/>
        </w:rPr>
        <w:lastRenderedPageBreak/>
        <w:t>Solicitud de Grupo Mutual Alajuela La Vivienda de Ahorro y Préstamo de autorización para la implementación del producto Tarjeta de Crédito.</w:t>
      </w:r>
    </w:p>
    <w:p w14:paraId="294BB411" w14:textId="06F10461" w:rsidR="00DF2DC5" w:rsidRPr="00BC5623" w:rsidRDefault="00DF2DC5" w:rsidP="00BC5623">
      <w:pPr>
        <w:pStyle w:val="Prrafodelista"/>
        <w:numPr>
          <w:ilvl w:val="0"/>
          <w:numId w:val="18"/>
        </w:numPr>
        <w:spacing w:line="360" w:lineRule="auto"/>
        <w:ind w:left="426" w:hanging="426"/>
        <w:jc w:val="both"/>
        <w:rPr>
          <w:rFonts w:cs="Arial"/>
          <w:sz w:val="22"/>
          <w:lang w:val="es-ES_tradnl"/>
        </w:rPr>
      </w:pPr>
      <w:r w:rsidRPr="00BC5623">
        <w:rPr>
          <w:rFonts w:cs="Arial"/>
          <w:sz w:val="22"/>
          <w:lang w:val="es-ES_tradnl"/>
        </w:rPr>
        <w:t>Presentación del texto aprobado de la Ley de vivienda municipal.</w:t>
      </w:r>
    </w:p>
    <w:p w14:paraId="3C9AC984" w14:textId="7EDDB250" w:rsidR="007749FC" w:rsidRPr="00BC5623" w:rsidRDefault="00DF2DC5" w:rsidP="00BC5623">
      <w:pPr>
        <w:pStyle w:val="Prrafodelista"/>
        <w:numPr>
          <w:ilvl w:val="0"/>
          <w:numId w:val="18"/>
        </w:numPr>
        <w:spacing w:line="360" w:lineRule="auto"/>
        <w:ind w:left="426" w:hanging="426"/>
        <w:jc w:val="both"/>
        <w:rPr>
          <w:rFonts w:cs="Arial"/>
          <w:sz w:val="22"/>
        </w:rPr>
      </w:pPr>
      <w:r w:rsidRPr="00BC5623">
        <w:rPr>
          <w:rFonts w:cs="Arial"/>
          <w:sz w:val="22"/>
          <w:lang w:val="es-ES_tradnl"/>
        </w:rPr>
        <w:t>Tema confidencial de Junta Directiva.</w:t>
      </w:r>
    </w:p>
    <w:p w14:paraId="1931B362" w14:textId="77777777" w:rsidR="006321F4" w:rsidRPr="00D14EAF" w:rsidRDefault="006321F4" w:rsidP="006321F4">
      <w:pPr>
        <w:spacing w:line="360" w:lineRule="auto"/>
        <w:jc w:val="both"/>
        <w:rPr>
          <w:rFonts w:cs="Arial"/>
          <w:b/>
          <w:sz w:val="22"/>
        </w:rPr>
      </w:pPr>
      <w:r w:rsidRPr="00D14EAF">
        <w:rPr>
          <w:rFonts w:cs="Arial"/>
          <w:b/>
          <w:sz w:val="22"/>
        </w:rPr>
        <w:t>************</w:t>
      </w:r>
    </w:p>
    <w:p w14:paraId="22BB75B1" w14:textId="77777777" w:rsidR="007F614F" w:rsidRPr="00AB2826" w:rsidRDefault="007F614F" w:rsidP="002D0146">
      <w:pPr>
        <w:spacing w:line="360" w:lineRule="auto"/>
        <w:jc w:val="both"/>
        <w:rPr>
          <w:rFonts w:cs="Arial"/>
          <w:b/>
          <w:sz w:val="22"/>
          <w:szCs w:val="22"/>
          <w:u w:val="single"/>
          <w:lang w:val="es-ES_tradnl"/>
        </w:rPr>
      </w:pPr>
    </w:p>
    <w:p w14:paraId="0C9EDEE5" w14:textId="0FCBDA9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C5623" w:rsidRPr="00DF2DC5">
        <w:rPr>
          <w:rFonts w:cs="Arial"/>
          <w:b/>
          <w:bCs/>
          <w:sz w:val="22"/>
          <w:u w:val="single"/>
          <w:lang w:val="es-ES_tradnl"/>
        </w:rPr>
        <w:t>Presentación sobre el avance del proyecto “</w:t>
      </w:r>
      <w:r w:rsidR="00BC5623" w:rsidRPr="00DF2DC5">
        <w:rPr>
          <w:rFonts w:cs="Arial"/>
          <w:b/>
          <w:bCs/>
          <w:i/>
          <w:iCs/>
          <w:sz w:val="22"/>
          <w:u w:val="single"/>
          <w:lang w:val="es-ES_tradnl"/>
        </w:rPr>
        <w:t>Optimización de procesos y tecnologías de información medulares para los usuarios BANHVI</w:t>
      </w:r>
      <w:r w:rsidR="00BC5623" w:rsidRPr="00DF2DC5">
        <w:rPr>
          <w:rFonts w:cs="Arial"/>
          <w:b/>
          <w:bCs/>
          <w:sz w:val="22"/>
          <w:u w:val="single"/>
          <w:lang w:val="es-ES_tradnl"/>
        </w:rPr>
        <w:t>” (OPTIMUS)</w:t>
      </w:r>
    </w:p>
    <w:p w14:paraId="1CAB4528" w14:textId="77777777" w:rsidR="00E07191" w:rsidRDefault="00E07191" w:rsidP="00E07191">
      <w:pPr>
        <w:spacing w:line="360" w:lineRule="auto"/>
        <w:jc w:val="both"/>
        <w:rPr>
          <w:rFonts w:cs="Arial"/>
          <w:sz w:val="22"/>
          <w:szCs w:val="22"/>
        </w:rPr>
      </w:pPr>
    </w:p>
    <w:p w14:paraId="4B436458" w14:textId="4CD4958D" w:rsidR="00633397" w:rsidRPr="00633397" w:rsidRDefault="00633397" w:rsidP="00633397">
      <w:pPr>
        <w:spacing w:line="360" w:lineRule="auto"/>
        <w:jc w:val="both"/>
        <w:rPr>
          <w:rFonts w:cs="Arial"/>
          <w:sz w:val="22"/>
          <w:szCs w:val="22"/>
        </w:rPr>
      </w:pPr>
      <w:r w:rsidRPr="00166C02">
        <w:rPr>
          <w:rFonts w:cs="Arial"/>
          <w:sz w:val="22"/>
          <w:szCs w:val="22"/>
          <w:u w:val="single"/>
        </w:rPr>
        <w:t>Minuto 0</w:t>
      </w:r>
      <w:r w:rsidR="00F87240">
        <w:rPr>
          <w:rFonts w:cs="Arial"/>
          <w:sz w:val="22"/>
          <w:szCs w:val="22"/>
          <w:u w:val="single"/>
        </w:rPr>
        <w:t>1</w:t>
      </w:r>
      <w:r w:rsidRPr="00166C02">
        <w:rPr>
          <w:rFonts w:cs="Arial"/>
          <w:sz w:val="22"/>
          <w:szCs w:val="22"/>
          <w:u w:val="single"/>
        </w:rPr>
        <w:t>:</w:t>
      </w:r>
      <w:r w:rsidR="00F87240">
        <w:rPr>
          <w:rFonts w:cs="Arial"/>
          <w:sz w:val="22"/>
          <w:szCs w:val="22"/>
          <w:u w:val="single"/>
        </w:rPr>
        <w:t>20</w:t>
      </w:r>
      <w:r w:rsidRPr="00633397">
        <w:rPr>
          <w:rFonts w:cs="Arial"/>
          <w:sz w:val="22"/>
          <w:szCs w:val="22"/>
        </w:rPr>
        <w:t xml:space="preserve"> Se </w:t>
      </w:r>
      <w:r w:rsidR="00F87240">
        <w:rPr>
          <w:rFonts w:cs="Arial"/>
          <w:sz w:val="22"/>
          <w:szCs w:val="22"/>
        </w:rPr>
        <w:t>procede a presentar un informe de</w:t>
      </w:r>
      <w:r w:rsidRPr="00633397">
        <w:rPr>
          <w:rFonts w:cs="Arial"/>
          <w:sz w:val="22"/>
          <w:szCs w:val="22"/>
        </w:rPr>
        <w:t xml:space="preserve"> avance, con corte a</w:t>
      </w:r>
      <w:r w:rsidR="00F87240">
        <w:rPr>
          <w:rFonts w:cs="Arial"/>
          <w:sz w:val="22"/>
          <w:szCs w:val="22"/>
        </w:rPr>
        <w:t xml:space="preserve"> hoy</w:t>
      </w:r>
      <w:r w:rsidRPr="00633397">
        <w:rPr>
          <w:rFonts w:cs="Arial"/>
          <w:sz w:val="22"/>
          <w:szCs w:val="22"/>
        </w:rPr>
        <w:t>, sobre la implementación del proyecto</w:t>
      </w:r>
      <w:r w:rsidR="00F87240">
        <w:rPr>
          <w:rFonts w:cs="Arial"/>
          <w:sz w:val="22"/>
          <w:szCs w:val="22"/>
        </w:rPr>
        <w:t xml:space="preserve"> </w:t>
      </w:r>
      <w:r w:rsidRPr="00633397">
        <w:rPr>
          <w:rFonts w:cs="Arial"/>
          <w:sz w:val="22"/>
          <w:szCs w:val="22"/>
        </w:rPr>
        <w:t>“Optimización de procesos y tecnologías de información medulares para los usuarios BANHVI” (OPTIMUS)</w:t>
      </w:r>
      <w:r w:rsidR="00F87240">
        <w:rPr>
          <w:rFonts w:cs="Arial"/>
          <w:sz w:val="22"/>
          <w:szCs w:val="22"/>
        </w:rPr>
        <w:t>”.</w:t>
      </w:r>
    </w:p>
    <w:p w14:paraId="736D7183" w14:textId="77777777" w:rsidR="00633397" w:rsidRPr="00633397" w:rsidRDefault="00633397" w:rsidP="00633397">
      <w:pPr>
        <w:spacing w:line="360" w:lineRule="auto"/>
        <w:jc w:val="both"/>
        <w:rPr>
          <w:rFonts w:cs="Arial"/>
          <w:sz w:val="22"/>
          <w:szCs w:val="22"/>
        </w:rPr>
      </w:pPr>
    </w:p>
    <w:p w14:paraId="005453BB" w14:textId="110A6BDF" w:rsidR="00F87240" w:rsidRDefault="00633397" w:rsidP="00633397">
      <w:pPr>
        <w:spacing w:line="360" w:lineRule="auto"/>
        <w:jc w:val="both"/>
        <w:rPr>
          <w:rFonts w:cs="Arial"/>
          <w:sz w:val="22"/>
          <w:szCs w:val="22"/>
        </w:rPr>
      </w:pPr>
      <w:r w:rsidRPr="00633397">
        <w:rPr>
          <w:rFonts w:cs="Arial"/>
          <w:sz w:val="22"/>
          <w:szCs w:val="22"/>
        </w:rPr>
        <w:t>Para estos efectos, se incorpora a la sesión el licenciado Gilbert Marín Jiménez</w:t>
      </w:r>
      <w:r w:rsidR="00F87240">
        <w:rPr>
          <w:rFonts w:cs="Arial"/>
          <w:sz w:val="22"/>
          <w:szCs w:val="22"/>
        </w:rPr>
        <w:t xml:space="preserve">, </w:t>
      </w:r>
      <w:r w:rsidR="0045049E">
        <w:rPr>
          <w:rFonts w:cs="Arial"/>
          <w:sz w:val="22"/>
          <w:szCs w:val="22"/>
        </w:rPr>
        <w:t>d</w:t>
      </w:r>
      <w:r w:rsidR="00F87240">
        <w:rPr>
          <w:rFonts w:cs="Arial"/>
          <w:sz w:val="22"/>
          <w:szCs w:val="22"/>
        </w:rPr>
        <w:t>irector del referido proyecto</w:t>
      </w:r>
      <w:r w:rsidR="0045049E">
        <w:rPr>
          <w:rFonts w:cs="Arial"/>
          <w:sz w:val="22"/>
          <w:szCs w:val="22"/>
        </w:rPr>
        <w:t xml:space="preserve"> institucional</w:t>
      </w:r>
      <w:r w:rsidR="00F87240">
        <w:rPr>
          <w:rFonts w:cs="Arial"/>
          <w:sz w:val="22"/>
          <w:szCs w:val="22"/>
        </w:rPr>
        <w:t>, quien procede a presentar el detalle de las actividades ejecutadas, el proceso de contratación posterior a la publicación</w:t>
      </w:r>
      <w:r w:rsidR="0045049E">
        <w:rPr>
          <w:rFonts w:cs="Arial"/>
          <w:sz w:val="22"/>
          <w:szCs w:val="22"/>
        </w:rPr>
        <w:t xml:space="preserve"> del cartel</w:t>
      </w:r>
      <w:r w:rsidR="00F87240">
        <w:rPr>
          <w:rFonts w:cs="Arial"/>
          <w:sz w:val="22"/>
          <w:szCs w:val="22"/>
        </w:rPr>
        <w:t>, los montos del estudio de mercado y presupuesto, el consorcio participante y las</w:t>
      </w:r>
      <w:r w:rsidR="0045049E">
        <w:rPr>
          <w:rFonts w:cs="Arial"/>
          <w:sz w:val="22"/>
          <w:szCs w:val="22"/>
        </w:rPr>
        <w:t xml:space="preserve"> razones que generaron un cambio de precio, exponiendo luego las alternativas de acción con base en los estudios legales y técnicos realizados.</w:t>
      </w:r>
    </w:p>
    <w:p w14:paraId="48A89DDC" w14:textId="3E1CDBEA" w:rsidR="00633397" w:rsidRDefault="00633397" w:rsidP="00633397">
      <w:pPr>
        <w:spacing w:line="360" w:lineRule="auto"/>
        <w:jc w:val="both"/>
        <w:rPr>
          <w:rFonts w:cs="Arial"/>
          <w:sz w:val="22"/>
          <w:szCs w:val="22"/>
        </w:rPr>
      </w:pPr>
    </w:p>
    <w:p w14:paraId="30E3D37C" w14:textId="4B5CA821" w:rsidR="009A3461" w:rsidRDefault="0045049E" w:rsidP="0045049E">
      <w:pPr>
        <w:spacing w:line="360" w:lineRule="auto"/>
        <w:jc w:val="both"/>
        <w:rPr>
          <w:rFonts w:cs="Arial"/>
          <w:sz w:val="22"/>
          <w:szCs w:val="22"/>
          <w:lang w:val="es-ES_tradnl"/>
        </w:rPr>
      </w:pPr>
      <w:r w:rsidRPr="00166C02">
        <w:rPr>
          <w:rFonts w:cs="Arial"/>
          <w:sz w:val="22"/>
          <w:szCs w:val="22"/>
          <w:u w:val="single"/>
        </w:rPr>
        <w:t xml:space="preserve">Minuto </w:t>
      </w:r>
      <w:r>
        <w:rPr>
          <w:rFonts w:cs="Arial"/>
          <w:sz w:val="22"/>
          <w:szCs w:val="22"/>
          <w:u w:val="single"/>
        </w:rPr>
        <w:t>29</w:t>
      </w:r>
      <w:r w:rsidRPr="00166C02">
        <w:rPr>
          <w:rFonts w:cs="Arial"/>
          <w:sz w:val="22"/>
          <w:szCs w:val="22"/>
          <w:u w:val="single"/>
        </w:rPr>
        <w:t>:</w:t>
      </w:r>
      <w:r>
        <w:rPr>
          <w:rFonts w:cs="Arial"/>
          <w:sz w:val="22"/>
          <w:szCs w:val="22"/>
          <w:u w:val="single"/>
        </w:rPr>
        <w:t>56</w:t>
      </w:r>
      <w:r w:rsidRPr="00633397">
        <w:rPr>
          <w:rFonts w:cs="Arial"/>
          <w:sz w:val="22"/>
          <w:szCs w:val="22"/>
        </w:rPr>
        <w:t xml:space="preserve"> </w:t>
      </w:r>
      <w:r w:rsidR="009A3461">
        <w:rPr>
          <w:rFonts w:cs="Arial"/>
          <w:sz w:val="22"/>
          <w:szCs w:val="22"/>
        </w:rPr>
        <w:t xml:space="preserve">El licenciado Marín Jiménez atiende varias consultas y observaciones de los señores Directores, relacionadas con el proceso de contratación realizado por la </w:t>
      </w:r>
      <w:r w:rsidR="009A3461" w:rsidRPr="009A3461">
        <w:rPr>
          <w:rFonts w:cs="Arial"/>
          <w:sz w:val="22"/>
          <w:szCs w:val="22"/>
          <w:lang w:val="es-ES_tradnl"/>
        </w:rPr>
        <w:t>Administración</w:t>
      </w:r>
      <w:r w:rsidR="009A3461">
        <w:rPr>
          <w:rFonts w:cs="Arial"/>
          <w:sz w:val="22"/>
          <w:szCs w:val="22"/>
          <w:lang w:val="es-ES_tradnl"/>
        </w:rPr>
        <w:t>, los efectos que se prevén ante la reducción de las horas de</w:t>
      </w:r>
      <w:r w:rsidR="009F2602">
        <w:rPr>
          <w:rFonts w:cs="Arial"/>
          <w:sz w:val="22"/>
          <w:szCs w:val="22"/>
          <w:lang w:val="es-ES_tradnl"/>
        </w:rPr>
        <w:t>l proyecto, el financiamiento de los costos indirectos</w:t>
      </w:r>
      <w:r w:rsidR="001D673D">
        <w:rPr>
          <w:rFonts w:cs="Arial"/>
          <w:sz w:val="22"/>
          <w:szCs w:val="22"/>
          <w:lang w:val="es-ES_tradnl"/>
        </w:rPr>
        <w:t xml:space="preserve"> y</w:t>
      </w:r>
      <w:r w:rsidR="009F2602">
        <w:rPr>
          <w:rFonts w:cs="Arial"/>
          <w:sz w:val="22"/>
          <w:szCs w:val="22"/>
          <w:lang w:val="es-ES_tradnl"/>
        </w:rPr>
        <w:t xml:space="preserve"> los requerimientos en materia de recursos humanos</w:t>
      </w:r>
      <w:r w:rsidR="009A3461">
        <w:rPr>
          <w:rFonts w:cs="Arial"/>
          <w:sz w:val="22"/>
          <w:szCs w:val="22"/>
          <w:lang w:val="es-ES_tradnl"/>
        </w:rPr>
        <w:t xml:space="preserve"> </w:t>
      </w:r>
      <w:r w:rsidR="009F2602">
        <w:rPr>
          <w:rFonts w:cs="Arial"/>
          <w:sz w:val="22"/>
          <w:szCs w:val="22"/>
          <w:lang w:val="es-ES_tradnl"/>
        </w:rPr>
        <w:t>para el desarrollo del proyecto</w:t>
      </w:r>
      <w:r w:rsidR="001D673D">
        <w:rPr>
          <w:rFonts w:cs="Arial"/>
          <w:sz w:val="22"/>
          <w:szCs w:val="22"/>
          <w:lang w:val="es-ES_tradnl"/>
        </w:rPr>
        <w:t>.</w:t>
      </w:r>
    </w:p>
    <w:p w14:paraId="13E5576F" w14:textId="6057FD03" w:rsidR="009F2602" w:rsidRDefault="009F2602" w:rsidP="0045049E">
      <w:pPr>
        <w:spacing w:line="360" w:lineRule="auto"/>
        <w:jc w:val="both"/>
        <w:rPr>
          <w:rFonts w:cs="Arial"/>
          <w:sz w:val="22"/>
          <w:szCs w:val="22"/>
          <w:lang w:val="es-ES_tradnl"/>
        </w:rPr>
      </w:pPr>
    </w:p>
    <w:p w14:paraId="742313F5" w14:textId="008AEBC0" w:rsidR="00633397" w:rsidRPr="00633397" w:rsidRDefault="001D673D" w:rsidP="00633397">
      <w:pPr>
        <w:spacing w:line="360" w:lineRule="auto"/>
        <w:jc w:val="both"/>
        <w:rPr>
          <w:rFonts w:cs="Arial"/>
          <w:sz w:val="22"/>
          <w:szCs w:val="22"/>
        </w:rPr>
      </w:pPr>
      <w:r w:rsidRPr="00166C02">
        <w:rPr>
          <w:rFonts w:cs="Arial"/>
          <w:sz w:val="22"/>
          <w:szCs w:val="22"/>
          <w:u w:val="single"/>
        </w:rPr>
        <w:t xml:space="preserve">Minuto </w:t>
      </w:r>
      <w:r>
        <w:rPr>
          <w:rFonts w:cs="Arial"/>
          <w:sz w:val="22"/>
          <w:szCs w:val="22"/>
          <w:u w:val="single"/>
        </w:rPr>
        <w:t>52</w:t>
      </w:r>
      <w:r w:rsidRPr="00166C02">
        <w:rPr>
          <w:rFonts w:cs="Arial"/>
          <w:sz w:val="22"/>
          <w:szCs w:val="22"/>
          <w:u w:val="single"/>
        </w:rPr>
        <w:t>:</w:t>
      </w:r>
      <w:r>
        <w:rPr>
          <w:rFonts w:cs="Arial"/>
          <w:sz w:val="22"/>
          <w:szCs w:val="22"/>
          <w:u w:val="single"/>
        </w:rPr>
        <w:t>57</w:t>
      </w:r>
      <w:r w:rsidRPr="00633397">
        <w:rPr>
          <w:rFonts w:cs="Arial"/>
          <w:sz w:val="22"/>
          <w:szCs w:val="22"/>
        </w:rPr>
        <w:t xml:space="preserve"> </w:t>
      </w:r>
      <w:r>
        <w:rPr>
          <w:rFonts w:cs="Arial"/>
          <w:sz w:val="22"/>
          <w:szCs w:val="22"/>
        </w:rPr>
        <w:t xml:space="preserve">La </w:t>
      </w:r>
      <w:r w:rsidRPr="001D673D">
        <w:rPr>
          <w:rFonts w:cs="Arial"/>
          <w:sz w:val="22"/>
          <w:szCs w:val="22"/>
          <w:lang w:val="es-ES_tradnl"/>
        </w:rPr>
        <w:t>Junta Directiva</w:t>
      </w:r>
      <w:r>
        <w:rPr>
          <w:rFonts w:cs="Arial"/>
          <w:sz w:val="22"/>
          <w:szCs w:val="22"/>
          <w:lang w:val="es-ES_tradnl"/>
        </w:rPr>
        <w:t xml:space="preserve"> da por conocida la </w:t>
      </w:r>
      <w:r w:rsidR="00633397" w:rsidRPr="00633397">
        <w:rPr>
          <w:rFonts w:cs="Arial"/>
          <w:sz w:val="22"/>
          <w:szCs w:val="22"/>
        </w:rPr>
        <w:t>información suministrada</w:t>
      </w:r>
      <w:r>
        <w:rPr>
          <w:rFonts w:cs="Arial"/>
          <w:sz w:val="22"/>
          <w:szCs w:val="22"/>
        </w:rPr>
        <w:t xml:space="preserve"> por la </w:t>
      </w:r>
      <w:r w:rsidRPr="001D673D">
        <w:rPr>
          <w:rFonts w:cs="Arial"/>
          <w:sz w:val="22"/>
          <w:szCs w:val="22"/>
          <w:lang w:val="es-ES_tradnl"/>
        </w:rPr>
        <w:t>Administración</w:t>
      </w:r>
      <w:r>
        <w:rPr>
          <w:rFonts w:cs="Arial"/>
          <w:sz w:val="22"/>
          <w:szCs w:val="22"/>
          <w:lang w:val="es-ES_tradnl"/>
        </w:rPr>
        <w:t xml:space="preserve"> y se retira de la sesión el licenciado</w:t>
      </w:r>
      <w:r w:rsidR="00633397" w:rsidRPr="00633397">
        <w:rPr>
          <w:rFonts w:cs="Arial"/>
          <w:sz w:val="22"/>
          <w:szCs w:val="22"/>
        </w:rPr>
        <w:t xml:space="preserve"> Marín Jiménez.</w:t>
      </w:r>
    </w:p>
    <w:p w14:paraId="0529AD12" w14:textId="77777777" w:rsidR="007749FC" w:rsidRPr="00D14EAF" w:rsidRDefault="007749FC" w:rsidP="007749FC">
      <w:pPr>
        <w:spacing w:line="360" w:lineRule="auto"/>
        <w:jc w:val="both"/>
        <w:rPr>
          <w:rFonts w:cs="Arial"/>
          <w:b/>
          <w:sz w:val="22"/>
        </w:rPr>
      </w:pPr>
      <w:r w:rsidRPr="00D14EAF">
        <w:rPr>
          <w:rFonts w:cs="Arial"/>
          <w:b/>
          <w:sz w:val="22"/>
        </w:rPr>
        <w:t>************</w:t>
      </w:r>
    </w:p>
    <w:p w14:paraId="2AE1404A" w14:textId="77777777" w:rsidR="00FA4CCB" w:rsidRDefault="00FA4CCB" w:rsidP="002D0146">
      <w:pPr>
        <w:spacing w:line="360" w:lineRule="auto"/>
        <w:jc w:val="both"/>
        <w:rPr>
          <w:rFonts w:cs="Arial"/>
          <w:b/>
          <w:sz w:val="22"/>
          <w:szCs w:val="22"/>
          <w:u w:val="single"/>
          <w:lang w:val="es-ES_tradnl"/>
        </w:rPr>
      </w:pPr>
    </w:p>
    <w:p w14:paraId="1E6C2BEE" w14:textId="108F374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C5623" w:rsidRPr="00DF2DC5">
        <w:rPr>
          <w:rFonts w:cs="Arial"/>
          <w:b/>
          <w:bCs/>
          <w:sz w:val="22"/>
          <w:u w:val="single"/>
          <w:lang w:val="es-ES_tradnl"/>
        </w:rPr>
        <w:t xml:space="preserve">Solicitud de financiamiento adicional por incremento de precios del </w:t>
      </w:r>
      <w:r w:rsidR="00E07191">
        <w:rPr>
          <w:rFonts w:cs="Arial"/>
          <w:b/>
          <w:bCs/>
          <w:sz w:val="22"/>
          <w:u w:val="single"/>
          <w:lang w:val="es-ES_tradnl"/>
        </w:rPr>
        <w:t>p</w:t>
      </w:r>
      <w:r w:rsidR="00BC5623" w:rsidRPr="00DF2DC5">
        <w:rPr>
          <w:rFonts w:cs="Arial"/>
          <w:b/>
          <w:bCs/>
          <w:sz w:val="22"/>
          <w:u w:val="single"/>
          <w:lang w:val="es-ES_tradnl"/>
        </w:rPr>
        <w:t>royecto Hojancha</w:t>
      </w:r>
    </w:p>
    <w:p w14:paraId="36DE0328" w14:textId="77777777" w:rsidR="009D03FE" w:rsidRDefault="009D03FE" w:rsidP="009D03FE">
      <w:pPr>
        <w:spacing w:line="360" w:lineRule="auto"/>
        <w:jc w:val="both"/>
        <w:rPr>
          <w:rFonts w:cs="Arial"/>
          <w:sz w:val="22"/>
          <w:szCs w:val="22"/>
        </w:rPr>
      </w:pPr>
    </w:p>
    <w:p w14:paraId="11B43ABB" w14:textId="5DB9C858" w:rsidR="000C1E79" w:rsidRPr="000C1E79" w:rsidRDefault="000C1E79" w:rsidP="000C1E79">
      <w:pPr>
        <w:spacing w:line="360" w:lineRule="auto"/>
        <w:jc w:val="both"/>
        <w:rPr>
          <w:rFonts w:cs="Arial"/>
          <w:sz w:val="22"/>
          <w:szCs w:val="22"/>
        </w:rPr>
      </w:pPr>
      <w:r w:rsidRPr="00166C02">
        <w:rPr>
          <w:rFonts w:cs="Arial"/>
          <w:sz w:val="22"/>
          <w:szCs w:val="22"/>
          <w:u w:val="single"/>
        </w:rPr>
        <w:lastRenderedPageBreak/>
        <w:t xml:space="preserve">Minuto </w:t>
      </w:r>
      <w:r w:rsidR="001D673D">
        <w:rPr>
          <w:rFonts w:cs="Arial"/>
          <w:sz w:val="22"/>
          <w:szCs w:val="22"/>
          <w:u w:val="single"/>
        </w:rPr>
        <w:t>53</w:t>
      </w:r>
      <w:r w:rsidRPr="00166C02">
        <w:rPr>
          <w:rFonts w:cs="Arial"/>
          <w:sz w:val="22"/>
          <w:szCs w:val="22"/>
          <w:u w:val="single"/>
        </w:rPr>
        <w:t>:</w:t>
      </w:r>
      <w:r w:rsidR="001D673D">
        <w:rPr>
          <w:rFonts w:cs="Arial"/>
          <w:sz w:val="22"/>
          <w:szCs w:val="22"/>
          <w:u w:val="single"/>
        </w:rPr>
        <w:t>06</w:t>
      </w:r>
      <w:r w:rsidRPr="000C1E79">
        <w:rPr>
          <w:rFonts w:cs="Arial"/>
          <w:sz w:val="22"/>
          <w:szCs w:val="22"/>
        </w:rPr>
        <w:t xml:space="preserve"> Se retira temporalmente de la sesión la Directora Ulibarri Pernús, quien se excusa de participar en la discusión y resolución de éste y el siguiente asunto, por tratarse de</w:t>
      </w:r>
      <w:r w:rsidR="001D673D">
        <w:rPr>
          <w:rFonts w:cs="Arial"/>
          <w:sz w:val="22"/>
          <w:szCs w:val="22"/>
        </w:rPr>
        <w:t xml:space="preserve"> un</w:t>
      </w:r>
      <w:r w:rsidRPr="000C1E79">
        <w:rPr>
          <w:rFonts w:cs="Arial"/>
          <w:sz w:val="22"/>
          <w:szCs w:val="22"/>
        </w:rPr>
        <w:t xml:space="preserve"> proyecto relacionado con FUPROVI; y se conoce el oficio GG-ME-0</w:t>
      </w:r>
      <w:r w:rsidR="003857C9">
        <w:rPr>
          <w:rFonts w:cs="Arial"/>
          <w:sz w:val="22"/>
          <w:szCs w:val="22"/>
        </w:rPr>
        <w:t>435</w:t>
      </w:r>
      <w:r w:rsidRPr="000C1E79">
        <w:rPr>
          <w:rFonts w:cs="Arial"/>
          <w:sz w:val="22"/>
          <w:szCs w:val="22"/>
        </w:rPr>
        <w:t xml:space="preserve">-2022 del </w:t>
      </w:r>
      <w:r w:rsidR="003857C9">
        <w:rPr>
          <w:rFonts w:cs="Arial"/>
          <w:sz w:val="22"/>
          <w:szCs w:val="22"/>
        </w:rPr>
        <w:t xml:space="preserve">06 de abril de 2022, </w:t>
      </w:r>
      <w:r w:rsidRPr="000C1E79">
        <w:rPr>
          <w:rFonts w:cs="Arial"/>
          <w:sz w:val="22"/>
          <w:szCs w:val="22"/>
        </w:rPr>
        <w:t>mediante el cual, la Gerencia General y avala el informe DF-OF-03</w:t>
      </w:r>
      <w:r w:rsidR="003857C9">
        <w:rPr>
          <w:rFonts w:cs="Arial"/>
          <w:sz w:val="22"/>
          <w:szCs w:val="22"/>
        </w:rPr>
        <w:t>7</w:t>
      </w:r>
      <w:r w:rsidRPr="000C1E79">
        <w:rPr>
          <w:rFonts w:cs="Arial"/>
          <w:sz w:val="22"/>
          <w:szCs w:val="22"/>
        </w:rPr>
        <w:t>4-2022/SGO-OF-01</w:t>
      </w:r>
      <w:r w:rsidR="003857C9">
        <w:rPr>
          <w:rFonts w:cs="Arial"/>
          <w:sz w:val="22"/>
          <w:szCs w:val="22"/>
        </w:rPr>
        <w:t>45</w:t>
      </w:r>
      <w:r w:rsidRPr="000C1E79">
        <w:rPr>
          <w:rFonts w:cs="Arial"/>
          <w:sz w:val="22"/>
          <w:szCs w:val="22"/>
        </w:rPr>
        <w:t>-2022 de la Dirección FOSUVI y la Subgerencia de Operaciones, que contiene los resultados del estudio efectuado a la solicitud de</w:t>
      </w:r>
      <w:r w:rsidR="00176A10">
        <w:rPr>
          <w:rFonts w:cs="Arial"/>
          <w:sz w:val="22"/>
          <w:szCs w:val="22"/>
        </w:rPr>
        <w:t xml:space="preserve">l </w:t>
      </w:r>
      <w:r w:rsidR="00176A10" w:rsidRPr="00176A10">
        <w:rPr>
          <w:rFonts w:cs="Arial"/>
          <w:sz w:val="22"/>
          <w:szCs w:val="22"/>
        </w:rPr>
        <w:t>Instituto Nacional de Vivienda y Urbanismo (INVU)</w:t>
      </w:r>
      <w:r w:rsidR="00176A10">
        <w:rPr>
          <w:rFonts w:cs="Arial"/>
          <w:sz w:val="22"/>
          <w:szCs w:val="22"/>
        </w:rPr>
        <w:t>,</w:t>
      </w:r>
      <w:r w:rsidRPr="000C1E79">
        <w:rPr>
          <w:rFonts w:cs="Arial"/>
          <w:sz w:val="22"/>
          <w:szCs w:val="22"/>
        </w:rPr>
        <w:t xml:space="preserve"> para financiar, al amparo del artículo 59 de la Ley del Sistema Financiero Nacional para la Vivienda, actividades adicionales no contempladas originalmente en el proyecto habitacional </w:t>
      </w:r>
      <w:r w:rsidR="00176A10" w:rsidRPr="00176A10">
        <w:rPr>
          <w:rFonts w:cs="Arial"/>
          <w:sz w:val="22"/>
          <w:szCs w:val="22"/>
        </w:rPr>
        <w:t>Hojancha, ubicado en el distrito y cantón de Hojancha, provincia de Guanacaste, y aprobado con el acuerdo N° 1 de la sesión 80-2015 del 17 de diciembre de 2015</w:t>
      </w:r>
      <w:r w:rsidRPr="000C1E79">
        <w:rPr>
          <w:rFonts w:cs="Arial"/>
          <w:sz w:val="22"/>
          <w:szCs w:val="22"/>
        </w:rPr>
        <w:t>.  Dichos documentos se adjuntan al expediente del acta.</w:t>
      </w:r>
    </w:p>
    <w:p w14:paraId="4A3DC5B7" w14:textId="77777777" w:rsidR="000C1E79" w:rsidRPr="000C1E79" w:rsidRDefault="000C1E79" w:rsidP="000C1E79">
      <w:pPr>
        <w:spacing w:line="360" w:lineRule="auto"/>
        <w:jc w:val="both"/>
        <w:rPr>
          <w:rFonts w:cs="Arial"/>
          <w:sz w:val="22"/>
          <w:szCs w:val="22"/>
        </w:rPr>
      </w:pPr>
    </w:p>
    <w:p w14:paraId="3ED6D6A5" w14:textId="40BF9999" w:rsidR="000C1E79" w:rsidRPr="000C1E79" w:rsidRDefault="005F2AD2" w:rsidP="000C1E79">
      <w:pPr>
        <w:spacing w:line="360" w:lineRule="auto"/>
        <w:jc w:val="both"/>
        <w:rPr>
          <w:rFonts w:cs="Arial"/>
          <w:sz w:val="22"/>
          <w:szCs w:val="22"/>
        </w:rPr>
      </w:pPr>
      <w:r>
        <w:rPr>
          <w:rFonts w:cs="Arial"/>
          <w:sz w:val="22"/>
          <w:szCs w:val="22"/>
        </w:rPr>
        <w:t>Para exponer el contenido de dicho informe y atender eventuales consultas sobre éste y el siguiente tema, se incorpora a la sesión l</w:t>
      </w:r>
      <w:r w:rsidR="000C1E79" w:rsidRPr="000C1E79">
        <w:rPr>
          <w:rFonts w:cs="Arial"/>
          <w:sz w:val="22"/>
          <w:szCs w:val="22"/>
        </w:rPr>
        <w:t xml:space="preserve">a arquitecta </w:t>
      </w:r>
      <w:r>
        <w:rPr>
          <w:rFonts w:cs="Arial"/>
          <w:sz w:val="22"/>
          <w:szCs w:val="22"/>
        </w:rPr>
        <w:t xml:space="preserve">Mariella </w:t>
      </w:r>
      <w:r w:rsidR="000C1E79" w:rsidRPr="000C1E79">
        <w:rPr>
          <w:rFonts w:cs="Arial"/>
          <w:sz w:val="22"/>
          <w:szCs w:val="22"/>
        </w:rPr>
        <w:t>Salas Rodríguez</w:t>
      </w:r>
      <w:r>
        <w:rPr>
          <w:rFonts w:cs="Arial"/>
          <w:sz w:val="22"/>
          <w:szCs w:val="22"/>
        </w:rPr>
        <w:t xml:space="preserve">, quien presenta los alcances de la solicitud del INVU y los resultados de la revisión efectuada por la </w:t>
      </w:r>
      <w:r w:rsidRPr="005F2AD2">
        <w:rPr>
          <w:rFonts w:cs="Arial"/>
          <w:sz w:val="22"/>
          <w:szCs w:val="22"/>
          <w:lang w:val="es-ES_tradnl"/>
        </w:rPr>
        <w:t>Administración</w:t>
      </w:r>
      <w:r>
        <w:rPr>
          <w:rFonts w:cs="Arial"/>
          <w:sz w:val="22"/>
          <w:szCs w:val="22"/>
        </w:rPr>
        <w:t>, destacando que</w:t>
      </w:r>
      <w:r w:rsidR="000C1E79" w:rsidRPr="000C1E79">
        <w:rPr>
          <w:rFonts w:cs="Arial"/>
          <w:sz w:val="22"/>
          <w:szCs w:val="22"/>
        </w:rPr>
        <w:t xml:space="preserve"> una vez valorados técnica y financieramente los documentos que sustentan la solicitud de la entidad autorizada, se recomienda autorizar un financiamiento adicional por la suma de </w:t>
      </w:r>
      <w:r w:rsidRPr="000C1E79">
        <w:rPr>
          <w:rFonts w:cs="Arial"/>
          <w:sz w:val="22"/>
          <w:szCs w:val="22"/>
          <w:lang w:val="es-ES_tradnl"/>
        </w:rPr>
        <w:t>¢</w:t>
      </w:r>
      <w:r>
        <w:rPr>
          <w:rFonts w:cs="Arial"/>
          <w:sz w:val="22"/>
          <w:szCs w:val="22"/>
          <w:lang w:val="es-ES_tradnl"/>
        </w:rPr>
        <w:t>56</w:t>
      </w:r>
      <w:r w:rsidRPr="000C1E79">
        <w:rPr>
          <w:rFonts w:cs="Arial"/>
          <w:sz w:val="22"/>
          <w:szCs w:val="22"/>
          <w:lang w:val="es-ES_tradnl"/>
        </w:rPr>
        <w:t>.9</w:t>
      </w:r>
      <w:r>
        <w:rPr>
          <w:rFonts w:cs="Arial"/>
          <w:sz w:val="22"/>
          <w:szCs w:val="22"/>
          <w:lang w:val="es-ES_tradnl"/>
        </w:rPr>
        <w:t>46</w:t>
      </w:r>
      <w:r w:rsidRPr="000C1E79">
        <w:rPr>
          <w:rFonts w:cs="Arial"/>
          <w:sz w:val="22"/>
          <w:szCs w:val="22"/>
          <w:lang w:val="es-ES_tradnl"/>
        </w:rPr>
        <w:t>.</w:t>
      </w:r>
      <w:r>
        <w:rPr>
          <w:rFonts w:cs="Arial"/>
          <w:sz w:val="22"/>
          <w:szCs w:val="22"/>
          <w:lang w:val="es-ES_tradnl"/>
        </w:rPr>
        <w:t>322</w:t>
      </w:r>
      <w:r w:rsidRPr="000C1E79">
        <w:rPr>
          <w:rFonts w:cs="Arial"/>
          <w:sz w:val="22"/>
          <w:szCs w:val="22"/>
          <w:lang w:val="es-ES_tradnl"/>
        </w:rPr>
        <w:t>,</w:t>
      </w:r>
      <w:r>
        <w:rPr>
          <w:rFonts w:cs="Arial"/>
          <w:sz w:val="22"/>
          <w:szCs w:val="22"/>
          <w:lang w:val="es-ES_tradnl"/>
        </w:rPr>
        <w:t>98</w:t>
      </w:r>
      <w:r w:rsidRPr="000C1E79">
        <w:rPr>
          <w:rFonts w:cs="Arial"/>
          <w:sz w:val="22"/>
          <w:szCs w:val="22"/>
          <w:lang w:val="es-ES_tradnl"/>
        </w:rPr>
        <w:t>, debido al aumento de precios de las obras constructivas. Lo</w:t>
      </w:r>
      <w:r w:rsidRPr="000C1E79">
        <w:rPr>
          <w:rFonts w:cs="Arial"/>
          <w:sz w:val="22"/>
          <w:szCs w:val="22"/>
          <w:lang w:val="es-CR"/>
        </w:rPr>
        <w:t xml:space="preserve"> </w:t>
      </w:r>
      <w:r w:rsidRPr="000C1E79">
        <w:rPr>
          <w:rFonts w:cs="Arial"/>
          <w:sz w:val="22"/>
          <w:szCs w:val="22"/>
          <w:lang w:val="es-ES_tradnl"/>
        </w:rPr>
        <w:t>anterior, según lo dictaminado por el Departamento Técnico</w:t>
      </w:r>
      <w:r w:rsidR="000C1E79" w:rsidRPr="000C1E79">
        <w:rPr>
          <w:rFonts w:cs="Arial"/>
          <w:sz w:val="22"/>
          <w:szCs w:val="22"/>
        </w:rPr>
        <w:t>.</w:t>
      </w:r>
    </w:p>
    <w:p w14:paraId="52F557A0" w14:textId="77777777" w:rsidR="000C1E79" w:rsidRPr="000C1E79" w:rsidRDefault="000C1E79" w:rsidP="000C1E79">
      <w:pPr>
        <w:spacing w:line="360" w:lineRule="auto"/>
        <w:jc w:val="both"/>
        <w:rPr>
          <w:rFonts w:cs="Arial"/>
          <w:sz w:val="22"/>
          <w:szCs w:val="22"/>
        </w:rPr>
      </w:pPr>
    </w:p>
    <w:p w14:paraId="21ACAD1F" w14:textId="1D778D90" w:rsidR="009D03FE" w:rsidRPr="000C1E79" w:rsidRDefault="000C1E79" w:rsidP="009D03FE">
      <w:pPr>
        <w:spacing w:line="360" w:lineRule="auto"/>
        <w:jc w:val="both"/>
        <w:rPr>
          <w:rFonts w:cs="Arial"/>
          <w:sz w:val="22"/>
          <w:szCs w:val="22"/>
        </w:rPr>
      </w:pPr>
      <w:r w:rsidRPr="005F2AD2">
        <w:rPr>
          <w:rFonts w:cs="Arial"/>
          <w:sz w:val="22"/>
          <w:szCs w:val="22"/>
          <w:u w:val="single"/>
        </w:rPr>
        <w:t xml:space="preserve">Minuto </w:t>
      </w:r>
      <w:r w:rsidR="00A41CCA" w:rsidRPr="005F2AD2">
        <w:rPr>
          <w:rFonts w:cs="Arial"/>
          <w:sz w:val="22"/>
          <w:szCs w:val="22"/>
          <w:u w:val="single"/>
        </w:rPr>
        <w:t>64</w:t>
      </w:r>
      <w:r w:rsidRPr="005F2AD2">
        <w:rPr>
          <w:rFonts w:cs="Arial"/>
          <w:sz w:val="22"/>
          <w:szCs w:val="22"/>
          <w:u w:val="single"/>
        </w:rPr>
        <w:t>:</w:t>
      </w:r>
      <w:r w:rsidR="00A41CCA" w:rsidRPr="005F2AD2">
        <w:rPr>
          <w:rFonts w:cs="Arial"/>
          <w:sz w:val="22"/>
          <w:szCs w:val="22"/>
          <w:u w:val="single"/>
        </w:rPr>
        <w:t>23</w:t>
      </w:r>
      <w:r w:rsidRPr="000C1E79">
        <w:rPr>
          <w:rFonts w:cs="Arial"/>
          <w:sz w:val="22"/>
          <w:szCs w:val="22"/>
        </w:rPr>
        <w:t xml:space="preserve"> Conocida la propuesta de la Dirección FOSUVI y la Subgerencia de Operaciones, y no habiendo objeciones de los señores Directores ni por parte de los funcionarios presentes, la Junta Directiva resuelve acoger la recomendación de la Administración, según consta en el </w:t>
      </w:r>
      <w:r w:rsidRPr="000C1E79">
        <w:rPr>
          <w:rFonts w:cs="Arial"/>
          <w:b/>
          <w:bCs/>
          <w:sz w:val="22"/>
          <w:szCs w:val="22"/>
        </w:rPr>
        <w:t xml:space="preserve">Acuerdo N° </w:t>
      </w:r>
      <w:r>
        <w:rPr>
          <w:rFonts w:cs="Arial"/>
          <w:b/>
          <w:bCs/>
          <w:sz w:val="22"/>
          <w:szCs w:val="22"/>
        </w:rPr>
        <w:t>1</w:t>
      </w:r>
      <w:r w:rsidRPr="000C1E79">
        <w:rPr>
          <w:rFonts w:cs="Arial"/>
          <w:sz w:val="22"/>
          <w:szCs w:val="22"/>
        </w:rPr>
        <w:t xml:space="preserve"> que se anexa a esta minuta.</w:t>
      </w:r>
    </w:p>
    <w:p w14:paraId="05CD9ABD" w14:textId="77777777" w:rsidR="009D03FE" w:rsidRPr="00D14EAF" w:rsidRDefault="009D03FE" w:rsidP="009D03FE">
      <w:pPr>
        <w:spacing w:line="360" w:lineRule="auto"/>
        <w:jc w:val="both"/>
        <w:rPr>
          <w:rFonts w:cs="Arial"/>
          <w:b/>
          <w:sz w:val="22"/>
        </w:rPr>
      </w:pPr>
      <w:r w:rsidRPr="00D14EAF">
        <w:rPr>
          <w:rFonts w:cs="Arial"/>
          <w:b/>
          <w:sz w:val="22"/>
        </w:rPr>
        <w:t>************</w:t>
      </w:r>
    </w:p>
    <w:p w14:paraId="3BB5FCEF" w14:textId="77777777" w:rsidR="00D13B6B" w:rsidRDefault="00D13B6B" w:rsidP="002D0146">
      <w:pPr>
        <w:spacing w:line="360" w:lineRule="auto"/>
        <w:jc w:val="both"/>
        <w:rPr>
          <w:rFonts w:cs="Arial"/>
          <w:b/>
          <w:bCs/>
          <w:sz w:val="22"/>
          <w:szCs w:val="22"/>
          <w:u w:val="single"/>
          <w:lang w:val="es-ES_tradnl"/>
        </w:rPr>
      </w:pPr>
    </w:p>
    <w:p w14:paraId="4FB5201C" w14:textId="74555C8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C5623" w:rsidRPr="00DF2DC5">
        <w:rPr>
          <w:rFonts w:cs="Arial"/>
          <w:b/>
          <w:bCs/>
          <w:sz w:val="22"/>
          <w:u w:val="single"/>
          <w:lang w:val="es-ES_tradnl"/>
        </w:rPr>
        <w:t>Presentación sobre acuerdos vigentes respecto a las tipologías constructivas para viviendas en los territorios indígenas, con el propósito de comprobar su correcta comunicación y la adecuada aplicación por parte de las instancias correspondientes</w:t>
      </w:r>
    </w:p>
    <w:p w14:paraId="729DB05B" w14:textId="77777777" w:rsidR="009D03FE" w:rsidRDefault="009D03FE" w:rsidP="009D03FE">
      <w:pPr>
        <w:spacing w:line="360" w:lineRule="auto"/>
        <w:jc w:val="both"/>
        <w:rPr>
          <w:rFonts w:cs="Arial"/>
          <w:sz w:val="22"/>
          <w:szCs w:val="22"/>
        </w:rPr>
      </w:pPr>
    </w:p>
    <w:p w14:paraId="60A3E164" w14:textId="42B80124" w:rsidR="0031480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F2AD2">
        <w:rPr>
          <w:rFonts w:cs="Arial"/>
          <w:sz w:val="22"/>
          <w:u w:val="single"/>
          <w:lang w:val="es-ES_tradnl"/>
        </w:rPr>
        <w:t>65</w:t>
      </w:r>
      <w:r w:rsidRPr="0039311E">
        <w:rPr>
          <w:rFonts w:cs="Arial"/>
          <w:sz w:val="22"/>
          <w:u w:val="single"/>
          <w:lang w:val="es-ES_tradnl"/>
        </w:rPr>
        <w:t>:</w:t>
      </w:r>
      <w:r w:rsidR="005F2AD2">
        <w:rPr>
          <w:rFonts w:cs="Arial"/>
          <w:sz w:val="22"/>
          <w:u w:val="single"/>
          <w:lang w:val="es-ES_tradnl"/>
        </w:rPr>
        <w:t>23</w:t>
      </w:r>
      <w:r>
        <w:rPr>
          <w:rFonts w:cs="Arial"/>
          <w:sz w:val="22"/>
          <w:lang w:val="es-ES_tradnl"/>
        </w:rPr>
        <w:t xml:space="preserve"> Se </w:t>
      </w:r>
      <w:r w:rsidR="00166C02">
        <w:rPr>
          <w:rFonts w:cs="Arial"/>
          <w:sz w:val="22"/>
          <w:lang w:val="es-ES_tradnl"/>
        </w:rPr>
        <w:t>reincorpora a la sesión la Directora Ulibarri Pernús y</w:t>
      </w:r>
      <w:r w:rsidR="00314808">
        <w:rPr>
          <w:rFonts w:cs="Arial"/>
          <w:sz w:val="22"/>
          <w:lang w:val="es-ES_tradnl"/>
        </w:rPr>
        <w:t xml:space="preserve">, atendiendo lo requerido en el acuerdo N° 2 de la sesión 85-2021 del 15 de noviembre de 2021, </w:t>
      </w:r>
      <w:r w:rsidR="006D39DD">
        <w:rPr>
          <w:rFonts w:cs="Arial"/>
          <w:sz w:val="22"/>
          <w:lang w:val="es-ES_tradnl"/>
        </w:rPr>
        <w:t xml:space="preserve">se procede a conocer un resumen de las disposiciones </w:t>
      </w:r>
      <w:r w:rsidR="00314808" w:rsidRPr="00314808">
        <w:rPr>
          <w:rFonts w:cs="Arial"/>
          <w:sz w:val="22"/>
          <w:lang w:val="es-ES_tradnl"/>
        </w:rPr>
        <w:t>vigentes sobre tipologías constructivas para viviendas en los territorios indígenas</w:t>
      </w:r>
      <w:r w:rsidR="00314808">
        <w:rPr>
          <w:rFonts w:cs="Arial"/>
          <w:sz w:val="22"/>
          <w:lang w:val="es-ES_tradnl"/>
        </w:rPr>
        <w:t>.</w:t>
      </w:r>
    </w:p>
    <w:p w14:paraId="58069B3E" w14:textId="77777777" w:rsidR="00314808" w:rsidRDefault="00314808" w:rsidP="009D03FE">
      <w:pPr>
        <w:spacing w:line="360" w:lineRule="auto"/>
        <w:jc w:val="both"/>
        <w:rPr>
          <w:rFonts w:cs="Arial"/>
          <w:sz w:val="22"/>
          <w:lang w:val="es-ES_tradnl"/>
        </w:rPr>
      </w:pPr>
    </w:p>
    <w:p w14:paraId="4E5BD54F" w14:textId="29770B56" w:rsidR="006D39DD" w:rsidRDefault="00314808" w:rsidP="009D03FE">
      <w:pPr>
        <w:spacing w:line="360" w:lineRule="auto"/>
        <w:jc w:val="both"/>
        <w:rPr>
          <w:rFonts w:cs="Arial"/>
          <w:sz w:val="22"/>
          <w:lang w:val="es-ES_tradnl"/>
        </w:rPr>
      </w:pPr>
      <w:r>
        <w:rPr>
          <w:rFonts w:cs="Arial"/>
          <w:sz w:val="22"/>
          <w:lang w:val="es-ES_tradnl"/>
        </w:rPr>
        <w:t xml:space="preserve">Para </w:t>
      </w:r>
      <w:r w:rsidR="006D39DD">
        <w:rPr>
          <w:rFonts w:cs="Arial"/>
          <w:sz w:val="22"/>
          <w:lang w:val="es-ES_tradnl"/>
        </w:rPr>
        <w:t xml:space="preserve">presentar dicho informe y </w:t>
      </w:r>
      <w:r>
        <w:rPr>
          <w:rFonts w:cs="Arial"/>
          <w:sz w:val="22"/>
          <w:lang w:val="es-ES_tradnl"/>
        </w:rPr>
        <w:t>atender eventuales consultas de carácter técnico sobre el tema, se incorpora a la sesión la ingeniera María Segura Fernández</w:t>
      </w:r>
      <w:r w:rsidRPr="00314808">
        <w:rPr>
          <w:rFonts w:cs="Arial"/>
          <w:sz w:val="22"/>
          <w:lang w:val="es-ES_tradnl"/>
        </w:rPr>
        <w:t>,</w:t>
      </w:r>
      <w:r>
        <w:rPr>
          <w:rFonts w:cs="Arial"/>
          <w:sz w:val="22"/>
          <w:lang w:val="es-ES_tradnl"/>
        </w:rPr>
        <w:t xml:space="preserve"> funcionaria del Departamento Técnico</w:t>
      </w:r>
      <w:r w:rsidR="006D39DD">
        <w:rPr>
          <w:rFonts w:cs="Arial"/>
          <w:sz w:val="22"/>
          <w:lang w:val="es-ES_tradnl"/>
        </w:rPr>
        <w:t xml:space="preserve">, quien se refiere a los requisitos establecidos desde el año 2004 para el trámite de bonos al amparo del programa de vivienda indígena, incluyendo las disposiciones tomadas en el 2016 </w:t>
      </w:r>
      <w:r w:rsidR="009E0D49">
        <w:rPr>
          <w:rFonts w:cs="Arial"/>
          <w:sz w:val="22"/>
          <w:lang w:val="es-ES_tradnl"/>
        </w:rPr>
        <w:t xml:space="preserve">con respecto a las </w:t>
      </w:r>
      <w:r w:rsidR="006D39DD">
        <w:rPr>
          <w:rFonts w:cs="Arial"/>
          <w:sz w:val="22"/>
          <w:lang w:val="es-ES_tradnl"/>
        </w:rPr>
        <w:t xml:space="preserve">tipologías </w:t>
      </w:r>
      <w:r w:rsidR="009E0D49">
        <w:rPr>
          <w:rFonts w:cs="Arial"/>
          <w:sz w:val="22"/>
          <w:lang w:val="es-ES_tradnl"/>
        </w:rPr>
        <w:t xml:space="preserve">constructivas para viviendas a familias </w:t>
      </w:r>
      <w:r w:rsidR="006D39DD">
        <w:rPr>
          <w:rFonts w:cs="Arial"/>
          <w:sz w:val="22"/>
          <w:lang w:val="es-ES_tradnl"/>
        </w:rPr>
        <w:t>indígena</w:t>
      </w:r>
      <w:r w:rsidR="009E0D49">
        <w:rPr>
          <w:rFonts w:cs="Arial"/>
          <w:sz w:val="22"/>
          <w:lang w:val="es-ES_tradnl"/>
        </w:rPr>
        <w:t>s, y las situaciones que llevaron a la anulación, por parte de la Sala Constitucional, de los requisitos establecidos en el año 2017, lo cual ha llevado a aplicar los requisitos anteriormente establecidos y a gestionar un proceso de consulta pública</w:t>
      </w:r>
      <w:r w:rsidR="00751D01">
        <w:rPr>
          <w:rFonts w:cs="Arial"/>
          <w:sz w:val="22"/>
          <w:lang w:val="es-ES_tradnl"/>
        </w:rPr>
        <w:t xml:space="preserve"> en los 24 territorios indígenas</w:t>
      </w:r>
      <w:r w:rsidR="009E0D49">
        <w:rPr>
          <w:rFonts w:cs="Arial"/>
          <w:sz w:val="22"/>
          <w:lang w:val="es-ES_tradnl"/>
        </w:rPr>
        <w:t xml:space="preserve">, según la estrategia que ha venido implementando la </w:t>
      </w:r>
      <w:r w:rsidR="009E0D49" w:rsidRPr="009E0D49">
        <w:rPr>
          <w:rFonts w:cs="Arial"/>
          <w:sz w:val="22"/>
          <w:szCs w:val="22"/>
          <w:lang w:val="es-ES_tradnl"/>
        </w:rPr>
        <w:t>Administración</w:t>
      </w:r>
      <w:r w:rsidR="009E0D49">
        <w:rPr>
          <w:rFonts w:cs="Arial"/>
          <w:sz w:val="22"/>
          <w:szCs w:val="22"/>
          <w:lang w:val="es-ES_tradnl"/>
        </w:rPr>
        <w:t>.</w:t>
      </w:r>
    </w:p>
    <w:p w14:paraId="42A5FCC6" w14:textId="77A98D61" w:rsidR="009E0D49" w:rsidRDefault="009E0D49" w:rsidP="009D03FE">
      <w:pPr>
        <w:spacing w:line="360" w:lineRule="auto"/>
        <w:jc w:val="both"/>
        <w:rPr>
          <w:rFonts w:cs="Arial"/>
          <w:sz w:val="22"/>
          <w:lang w:val="es-ES_tradnl"/>
        </w:rPr>
      </w:pPr>
    </w:p>
    <w:p w14:paraId="3EA1B4BB" w14:textId="36C776AD" w:rsidR="00751D01" w:rsidRDefault="00751D01" w:rsidP="009D03FE">
      <w:pPr>
        <w:spacing w:line="360" w:lineRule="auto"/>
        <w:jc w:val="both"/>
        <w:rPr>
          <w:rFonts w:cs="Arial"/>
          <w:sz w:val="22"/>
          <w:lang w:val="es-ES_tradnl"/>
        </w:rPr>
      </w:pPr>
      <w:r>
        <w:rPr>
          <w:rFonts w:cs="Arial"/>
          <w:sz w:val="22"/>
          <w:lang w:val="es-ES_tradnl"/>
        </w:rPr>
        <w:t>Concluye, según lo expuesto, lo siguiente:</w:t>
      </w:r>
    </w:p>
    <w:p w14:paraId="16617F3A" w14:textId="649754E6" w:rsidR="00751D01" w:rsidRPr="00751D01" w:rsidRDefault="00751D01" w:rsidP="00751D01">
      <w:pPr>
        <w:spacing w:line="360" w:lineRule="auto"/>
        <w:jc w:val="both"/>
        <w:rPr>
          <w:rFonts w:cs="Arial"/>
          <w:sz w:val="22"/>
          <w:lang w:val="es-CR"/>
        </w:rPr>
      </w:pPr>
      <w:r>
        <w:rPr>
          <w:rFonts w:cs="Arial"/>
          <w:sz w:val="22"/>
        </w:rPr>
        <w:t xml:space="preserve">a) </w:t>
      </w:r>
      <w:r w:rsidRPr="00751D01">
        <w:rPr>
          <w:rFonts w:cs="Arial"/>
          <w:sz w:val="22"/>
        </w:rPr>
        <w:t>No se tiene tipología especifica que esté normada para su uso en todos los territorios indígenas.</w:t>
      </w:r>
    </w:p>
    <w:p w14:paraId="355A957C" w14:textId="3A803494" w:rsidR="00751D01" w:rsidRPr="00751D01" w:rsidRDefault="00751D01" w:rsidP="00751D01">
      <w:pPr>
        <w:spacing w:line="360" w:lineRule="auto"/>
        <w:jc w:val="both"/>
        <w:rPr>
          <w:rFonts w:cs="Arial"/>
          <w:sz w:val="22"/>
          <w:lang w:val="es-CR"/>
        </w:rPr>
      </w:pPr>
      <w:r>
        <w:rPr>
          <w:rFonts w:cs="Arial"/>
          <w:sz w:val="22"/>
        </w:rPr>
        <w:t xml:space="preserve">b) </w:t>
      </w:r>
      <w:r w:rsidRPr="00751D01">
        <w:rPr>
          <w:rFonts w:cs="Arial"/>
          <w:sz w:val="22"/>
        </w:rPr>
        <w:t>La tramitación de grupos de casos individuales se ha realizado según la normativa vigente que no restringe la tipología constructiva.</w:t>
      </w:r>
    </w:p>
    <w:p w14:paraId="6F257F79" w14:textId="75F827E8" w:rsidR="00751D01" w:rsidRPr="00751D01" w:rsidRDefault="00751D01" w:rsidP="00751D01">
      <w:pPr>
        <w:spacing w:line="360" w:lineRule="auto"/>
        <w:jc w:val="both"/>
        <w:rPr>
          <w:rFonts w:cs="Arial"/>
          <w:sz w:val="22"/>
          <w:lang w:val="es-CR"/>
        </w:rPr>
      </w:pPr>
      <w:r>
        <w:rPr>
          <w:rFonts w:cs="Arial"/>
          <w:sz w:val="22"/>
        </w:rPr>
        <w:t xml:space="preserve">c) </w:t>
      </w:r>
      <w:r w:rsidRPr="00751D01">
        <w:rPr>
          <w:rFonts w:cs="Arial"/>
          <w:sz w:val="22"/>
        </w:rPr>
        <w:t xml:space="preserve">En el transcurso del tiempo se han construido viviendas de madera, mampostería y en sistemas prefabricados ya sea bajo bono ordinario o </w:t>
      </w:r>
      <w:r>
        <w:rPr>
          <w:rFonts w:cs="Arial"/>
          <w:sz w:val="22"/>
        </w:rPr>
        <w:t>al amparo del a</w:t>
      </w:r>
      <w:r w:rsidRPr="00751D01">
        <w:rPr>
          <w:rFonts w:cs="Arial"/>
          <w:sz w:val="22"/>
        </w:rPr>
        <w:t>rt</w:t>
      </w:r>
      <w:r>
        <w:rPr>
          <w:rFonts w:cs="Arial"/>
          <w:sz w:val="22"/>
        </w:rPr>
        <w:t>í</w:t>
      </w:r>
      <w:r w:rsidRPr="00751D01">
        <w:rPr>
          <w:rFonts w:cs="Arial"/>
          <w:sz w:val="22"/>
        </w:rPr>
        <w:t>culo 59.</w:t>
      </w:r>
    </w:p>
    <w:p w14:paraId="0C984576" w14:textId="49D297DA" w:rsidR="00751D01" w:rsidRPr="00751D01" w:rsidRDefault="00751D01" w:rsidP="00751D01">
      <w:pPr>
        <w:spacing w:line="360" w:lineRule="auto"/>
        <w:jc w:val="both"/>
        <w:rPr>
          <w:rFonts w:cs="Arial"/>
          <w:sz w:val="22"/>
          <w:lang w:val="es-CR"/>
        </w:rPr>
      </w:pPr>
      <w:r>
        <w:rPr>
          <w:rFonts w:cs="Arial"/>
          <w:sz w:val="22"/>
        </w:rPr>
        <w:t xml:space="preserve">d) </w:t>
      </w:r>
      <w:r w:rsidRPr="00751D01">
        <w:rPr>
          <w:rFonts w:cs="Arial"/>
          <w:sz w:val="22"/>
        </w:rPr>
        <w:t xml:space="preserve">Se han realizado varias propuestas de tipología, </w:t>
      </w:r>
      <w:r>
        <w:rPr>
          <w:rFonts w:cs="Arial"/>
          <w:sz w:val="22"/>
        </w:rPr>
        <w:t xml:space="preserve">pero </w:t>
      </w:r>
      <w:r w:rsidRPr="00751D01">
        <w:rPr>
          <w:rFonts w:cs="Arial"/>
          <w:sz w:val="22"/>
        </w:rPr>
        <w:t>no se ha indicado su obligatoriedad de uso, ya que esto conlleva un proceso de consulta específico para territorios indígenas</w:t>
      </w:r>
      <w:r>
        <w:rPr>
          <w:rFonts w:cs="Arial"/>
          <w:sz w:val="22"/>
        </w:rPr>
        <w:t>,</w:t>
      </w:r>
      <w:r w:rsidRPr="00751D01">
        <w:rPr>
          <w:rFonts w:cs="Arial"/>
          <w:sz w:val="22"/>
        </w:rPr>
        <w:t xml:space="preserve"> según lo indicado por el Ministerio de Justicia y Paz.</w:t>
      </w:r>
    </w:p>
    <w:p w14:paraId="48AD8720" w14:textId="4CF7A18E" w:rsidR="00751D01" w:rsidRPr="00751D01" w:rsidRDefault="00751D01" w:rsidP="00751D01">
      <w:pPr>
        <w:spacing w:line="360" w:lineRule="auto"/>
        <w:jc w:val="both"/>
        <w:rPr>
          <w:rFonts w:cs="Arial"/>
          <w:sz w:val="22"/>
          <w:lang w:val="es-CR"/>
        </w:rPr>
      </w:pPr>
      <w:r>
        <w:rPr>
          <w:rFonts w:cs="Arial"/>
          <w:sz w:val="22"/>
        </w:rPr>
        <w:t xml:space="preserve">e) </w:t>
      </w:r>
      <w:r w:rsidRPr="00751D01">
        <w:rPr>
          <w:rFonts w:cs="Arial"/>
          <w:sz w:val="22"/>
        </w:rPr>
        <w:t xml:space="preserve">Las comunidades indígenas han expresado su deseo </w:t>
      </w:r>
      <w:r>
        <w:rPr>
          <w:rFonts w:cs="Arial"/>
          <w:sz w:val="22"/>
        </w:rPr>
        <w:t xml:space="preserve">a escoger libremente el </w:t>
      </w:r>
      <w:r w:rsidRPr="00751D01">
        <w:rPr>
          <w:rFonts w:cs="Arial"/>
          <w:sz w:val="22"/>
        </w:rPr>
        <w:t>sistema constructivo a utilizar.</w:t>
      </w:r>
    </w:p>
    <w:p w14:paraId="4425A680" w14:textId="764CA1A1" w:rsidR="00751D01" w:rsidRPr="00751D01" w:rsidRDefault="00751D01" w:rsidP="00751D01">
      <w:pPr>
        <w:spacing w:line="360" w:lineRule="auto"/>
        <w:jc w:val="both"/>
        <w:rPr>
          <w:rFonts w:cs="Arial"/>
          <w:sz w:val="22"/>
          <w:lang w:val="es-CR"/>
        </w:rPr>
      </w:pPr>
      <w:r>
        <w:rPr>
          <w:rFonts w:cs="Arial"/>
          <w:sz w:val="22"/>
        </w:rPr>
        <w:t xml:space="preserve">f) </w:t>
      </w:r>
      <w:r w:rsidRPr="00751D01">
        <w:rPr>
          <w:rFonts w:cs="Arial"/>
          <w:sz w:val="22"/>
        </w:rPr>
        <w:t>El avance sociocultural de cada territorio indígena es variable, inclusive dentro de una misma comunidad, ya que el acceso a los servicios públicos (internet y electricidad) e infraestructura vial</w:t>
      </w:r>
      <w:r>
        <w:rPr>
          <w:rFonts w:cs="Arial"/>
          <w:sz w:val="22"/>
        </w:rPr>
        <w:t>,</w:t>
      </w:r>
      <w:r w:rsidRPr="00751D01">
        <w:rPr>
          <w:rFonts w:cs="Arial"/>
          <w:sz w:val="22"/>
        </w:rPr>
        <w:t xml:space="preserve"> ha facilitado la interacción de las comunidades indígenas con el resto del país.</w:t>
      </w:r>
    </w:p>
    <w:p w14:paraId="3ADC10E0" w14:textId="77777777" w:rsidR="00751D01" w:rsidRDefault="00751D01" w:rsidP="009D03FE">
      <w:pPr>
        <w:spacing w:line="360" w:lineRule="auto"/>
        <w:jc w:val="both"/>
        <w:rPr>
          <w:rFonts w:cs="Arial"/>
          <w:sz w:val="22"/>
          <w:lang w:val="es-ES_tradnl"/>
        </w:rPr>
      </w:pPr>
    </w:p>
    <w:p w14:paraId="60D788ED" w14:textId="000E8853" w:rsidR="00C51914" w:rsidRDefault="00C51914" w:rsidP="00C5191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94</w:t>
      </w:r>
      <w:r w:rsidRPr="00A25DB7">
        <w:rPr>
          <w:rFonts w:cs="Arial"/>
          <w:sz w:val="22"/>
          <w:u w:val="single"/>
          <w:lang w:val="es-ES_tradnl"/>
        </w:rPr>
        <w:t>:</w:t>
      </w:r>
      <w:r>
        <w:rPr>
          <w:rFonts w:cs="Arial"/>
          <w:sz w:val="22"/>
          <w:u w:val="single"/>
          <w:lang w:val="es-ES_tradnl"/>
        </w:rPr>
        <w:t>39</w:t>
      </w:r>
      <w:r>
        <w:rPr>
          <w:rFonts w:cs="Arial"/>
          <w:sz w:val="22"/>
          <w:lang w:val="es-ES_tradnl"/>
        </w:rPr>
        <w:t xml:space="preserve"> El señor Gerente General se refiere a los objetivos de la recopilación de disposiciones que se ha realizado</w:t>
      </w:r>
      <w:r w:rsidR="009443ED">
        <w:rPr>
          <w:rFonts w:cs="Arial"/>
          <w:sz w:val="22"/>
          <w:lang w:val="es-ES_tradnl"/>
        </w:rPr>
        <w:t>, haciendo énfasis en las acciones que</w:t>
      </w:r>
      <w:r w:rsidR="00AB679E">
        <w:rPr>
          <w:rFonts w:cs="Arial"/>
          <w:sz w:val="22"/>
          <w:lang w:val="es-ES_tradnl"/>
        </w:rPr>
        <w:t>,</w:t>
      </w:r>
      <w:r w:rsidR="009443ED">
        <w:rPr>
          <w:rFonts w:cs="Arial"/>
          <w:sz w:val="22"/>
          <w:lang w:val="es-ES_tradnl"/>
        </w:rPr>
        <w:t xml:space="preserve"> a partir de esta información, se estarán desarrollando para concluir el proceso de consulta pública a las comunidades indígenas, con respecto a los requisitos para el trámite de subsidios de vivienda para familias que habitan en los territorios indígenas.</w:t>
      </w:r>
    </w:p>
    <w:p w14:paraId="2AF9186A" w14:textId="77777777" w:rsidR="009E0D49" w:rsidRDefault="009E0D49" w:rsidP="009D03FE">
      <w:pPr>
        <w:spacing w:line="360" w:lineRule="auto"/>
        <w:jc w:val="both"/>
        <w:rPr>
          <w:rFonts w:cs="Arial"/>
          <w:sz w:val="22"/>
          <w:lang w:val="es-ES_tradnl"/>
        </w:rPr>
      </w:pPr>
    </w:p>
    <w:p w14:paraId="5D26EF30" w14:textId="30BAA19B" w:rsidR="006D39DD" w:rsidRDefault="009443ED"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100</w:t>
      </w:r>
      <w:r w:rsidRPr="00A25DB7">
        <w:rPr>
          <w:rFonts w:cs="Arial"/>
          <w:sz w:val="22"/>
          <w:u w:val="single"/>
          <w:lang w:val="es-ES_tradnl"/>
        </w:rPr>
        <w:t>:</w:t>
      </w:r>
      <w:r>
        <w:rPr>
          <w:rFonts w:cs="Arial"/>
          <w:sz w:val="22"/>
          <w:u w:val="single"/>
          <w:lang w:val="es-ES_tradnl"/>
        </w:rPr>
        <w:t>29</w:t>
      </w:r>
      <w:r>
        <w:rPr>
          <w:rFonts w:cs="Arial"/>
          <w:sz w:val="22"/>
          <w:lang w:val="es-ES_tradnl"/>
        </w:rPr>
        <w:t xml:space="preserve"> El Director Alvarado Herrera hace ver que la información presentada por la </w:t>
      </w:r>
      <w:r w:rsidRPr="009443ED">
        <w:rPr>
          <w:rFonts w:cs="Arial"/>
          <w:sz w:val="22"/>
          <w:szCs w:val="22"/>
          <w:lang w:val="es-ES_tradnl"/>
        </w:rPr>
        <w:t>Administración</w:t>
      </w:r>
      <w:r>
        <w:rPr>
          <w:rFonts w:cs="Arial"/>
          <w:sz w:val="22"/>
          <w:szCs w:val="22"/>
          <w:lang w:val="es-ES_tradnl"/>
        </w:rPr>
        <w:t xml:space="preserve"> omite mencionar lo</w:t>
      </w:r>
      <w:r w:rsidR="009A41E5">
        <w:rPr>
          <w:rFonts w:cs="Arial"/>
          <w:sz w:val="22"/>
          <w:szCs w:val="22"/>
          <w:lang w:val="es-ES_tradnl"/>
        </w:rPr>
        <w:t xml:space="preserve"> dispuesto en la Directriz N° 27 del Poder Ejecutivo, emitida en </w:t>
      </w:r>
      <w:r>
        <w:rPr>
          <w:rFonts w:cs="Arial"/>
          <w:sz w:val="22"/>
          <w:lang w:val="es-ES_tradnl"/>
        </w:rPr>
        <w:t>setiembre de 2003</w:t>
      </w:r>
      <w:r w:rsidR="009A41E5">
        <w:rPr>
          <w:rFonts w:cs="Arial"/>
          <w:sz w:val="22"/>
          <w:lang w:val="es-ES_tradnl"/>
        </w:rPr>
        <w:t>, con respecto a las tipologías constructivas para viviendas en territorios indígenas</w:t>
      </w:r>
      <w:r w:rsidR="006B7F2B">
        <w:rPr>
          <w:rFonts w:cs="Arial"/>
          <w:sz w:val="22"/>
          <w:lang w:val="es-ES_tradnl"/>
        </w:rPr>
        <w:t>.  En este sentido, considera necesario que se contemple esta Directriz como parte de las disposiciones que deben aplicarse para la implementación del Programa de Vivienda Indígenas.</w:t>
      </w:r>
    </w:p>
    <w:p w14:paraId="02D68098" w14:textId="7A10040F" w:rsidR="006B7F2B" w:rsidRDefault="006B7F2B" w:rsidP="009D03FE">
      <w:pPr>
        <w:spacing w:line="360" w:lineRule="auto"/>
        <w:jc w:val="both"/>
        <w:rPr>
          <w:rFonts w:cs="Arial"/>
          <w:sz w:val="22"/>
          <w:lang w:val="es-ES_tradnl"/>
        </w:rPr>
      </w:pPr>
    </w:p>
    <w:p w14:paraId="5378A02C" w14:textId="44DC60DB" w:rsidR="006B7F2B" w:rsidRDefault="00AB679E"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106</w:t>
      </w:r>
      <w:r w:rsidRPr="00A25DB7">
        <w:rPr>
          <w:rFonts w:cs="Arial"/>
          <w:sz w:val="22"/>
          <w:u w:val="single"/>
          <w:lang w:val="es-ES_tradnl"/>
        </w:rPr>
        <w:t>:</w:t>
      </w:r>
      <w:r>
        <w:rPr>
          <w:rFonts w:cs="Arial"/>
          <w:sz w:val="22"/>
          <w:u w:val="single"/>
          <w:lang w:val="es-ES_tradnl"/>
        </w:rPr>
        <w:t>32</w:t>
      </w:r>
      <w:r>
        <w:rPr>
          <w:rFonts w:cs="Arial"/>
          <w:sz w:val="22"/>
          <w:lang w:val="es-ES_tradnl"/>
        </w:rPr>
        <w:t xml:space="preserve"> Varios señores Directores </w:t>
      </w:r>
      <w:r w:rsidR="006978D4">
        <w:rPr>
          <w:rFonts w:cs="Arial"/>
          <w:sz w:val="22"/>
          <w:lang w:val="es-ES_tradnl"/>
        </w:rPr>
        <w:t xml:space="preserve">se refieren </w:t>
      </w:r>
      <w:r>
        <w:rPr>
          <w:rFonts w:cs="Arial"/>
          <w:sz w:val="22"/>
          <w:lang w:val="es-ES_tradnl"/>
        </w:rPr>
        <w:t>a la importancia de hacer un mayor esfuerzo para desarrollar el proceso de consulta pública, ordenado desde el año 2017, con respecto a los requisitos del programa indígena</w:t>
      </w:r>
      <w:r w:rsidR="006978D4">
        <w:rPr>
          <w:rFonts w:cs="Arial"/>
          <w:sz w:val="22"/>
          <w:lang w:val="es-ES_tradnl"/>
        </w:rPr>
        <w:t>, y además comentan las características de las viviendas que se han venido financiando con recursos del FOSUVI</w:t>
      </w:r>
      <w:r w:rsidR="003C329E">
        <w:rPr>
          <w:rFonts w:cs="Arial"/>
          <w:sz w:val="22"/>
          <w:lang w:val="es-ES_tradnl"/>
        </w:rPr>
        <w:t>, así como a la necesidad de considerar la información suministrada, para resolver los casos indígenas que están pendientes</w:t>
      </w:r>
      <w:r w:rsidR="00E71100">
        <w:rPr>
          <w:rFonts w:cs="Arial"/>
          <w:sz w:val="22"/>
          <w:lang w:val="es-ES_tradnl"/>
        </w:rPr>
        <w:t xml:space="preserve"> de aprobar</w:t>
      </w:r>
      <w:r w:rsidR="003C329E">
        <w:rPr>
          <w:rFonts w:cs="Arial"/>
          <w:sz w:val="22"/>
          <w:lang w:val="es-ES_tradnl"/>
        </w:rPr>
        <w:t>.</w:t>
      </w:r>
      <w:r w:rsidR="006978D4">
        <w:rPr>
          <w:rFonts w:cs="Arial"/>
          <w:sz w:val="22"/>
          <w:lang w:val="es-ES_tradnl"/>
        </w:rPr>
        <w:t xml:space="preserve"> </w:t>
      </w:r>
    </w:p>
    <w:p w14:paraId="4CC3D2B8" w14:textId="77777777" w:rsidR="006B7F2B" w:rsidRDefault="006B7F2B" w:rsidP="009D03FE">
      <w:pPr>
        <w:spacing w:line="360" w:lineRule="auto"/>
        <w:jc w:val="both"/>
        <w:rPr>
          <w:rFonts w:cs="Arial"/>
          <w:sz w:val="22"/>
          <w:lang w:val="es-ES_tradnl"/>
        </w:rPr>
      </w:pPr>
    </w:p>
    <w:p w14:paraId="554AADF4" w14:textId="20761379"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E71100">
        <w:rPr>
          <w:rFonts w:cs="Arial"/>
          <w:sz w:val="22"/>
          <w:u w:val="single"/>
          <w:lang w:val="es-ES_tradnl"/>
        </w:rPr>
        <w:t>138</w:t>
      </w:r>
      <w:r w:rsidRPr="0039311E">
        <w:rPr>
          <w:rFonts w:cs="Arial"/>
          <w:sz w:val="22"/>
          <w:u w:val="single"/>
          <w:lang w:val="es-ES_tradnl"/>
        </w:rPr>
        <w:t>:</w:t>
      </w:r>
      <w:r w:rsidR="00E71100">
        <w:rPr>
          <w:rFonts w:cs="Arial"/>
          <w:sz w:val="22"/>
          <w:u w:val="single"/>
          <w:lang w:val="es-ES_tradnl"/>
        </w:rPr>
        <w:t>57</w:t>
      </w:r>
      <w:r>
        <w:rPr>
          <w:rFonts w:cs="Arial"/>
          <w:sz w:val="22"/>
          <w:lang w:val="es-ES_tradnl"/>
        </w:rPr>
        <w:t xml:space="preserve"> L</w:t>
      </w:r>
      <w:r w:rsidR="00E71100">
        <w:rPr>
          <w:rFonts w:cs="Arial"/>
          <w:sz w:val="22"/>
          <w:lang w:val="es-ES_tradnl"/>
        </w:rPr>
        <w:t xml:space="preserve">a </w:t>
      </w:r>
      <w:r w:rsidR="00E71100" w:rsidRPr="00E71100">
        <w:rPr>
          <w:rFonts w:cs="Arial"/>
          <w:sz w:val="22"/>
          <w:lang w:val="es-ES_tradnl"/>
        </w:rPr>
        <w:t>Junta Directiva</w:t>
      </w:r>
      <w:r w:rsidR="00E71100">
        <w:rPr>
          <w:rFonts w:cs="Arial"/>
          <w:sz w:val="22"/>
          <w:lang w:val="es-ES_tradnl"/>
        </w:rPr>
        <w:t xml:space="preserve"> da por conocida la información suministrada y se retiran de la sesión las funcionarias Salas Rodríguez y Segura Fernández.</w:t>
      </w:r>
    </w:p>
    <w:p w14:paraId="2D0044AE" w14:textId="77777777" w:rsidR="009D03FE" w:rsidRPr="00D14EAF" w:rsidRDefault="009D03FE" w:rsidP="009D03FE">
      <w:pPr>
        <w:spacing w:line="360" w:lineRule="auto"/>
        <w:jc w:val="both"/>
        <w:rPr>
          <w:rFonts w:cs="Arial"/>
          <w:b/>
          <w:sz w:val="22"/>
        </w:rPr>
      </w:pPr>
      <w:r w:rsidRPr="00D14EAF">
        <w:rPr>
          <w:rFonts w:cs="Arial"/>
          <w:b/>
          <w:sz w:val="22"/>
        </w:rPr>
        <w:t>************</w:t>
      </w:r>
    </w:p>
    <w:p w14:paraId="7E579548" w14:textId="77777777" w:rsidR="009D03FE" w:rsidRDefault="009D03FE" w:rsidP="009D03FE">
      <w:pPr>
        <w:spacing w:line="360" w:lineRule="auto"/>
        <w:jc w:val="both"/>
        <w:rPr>
          <w:rFonts w:cs="Arial"/>
          <w:b/>
          <w:bCs/>
          <w:sz w:val="22"/>
          <w:szCs w:val="22"/>
          <w:u w:val="single"/>
          <w:lang w:val="es-ES_tradnl"/>
        </w:rPr>
      </w:pPr>
    </w:p>
    <w:p w14:paraId="0106F5B4" w14:textId="61611E2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C5623" w:rsidRPr="00DF2DC5">
        <w:rPr>
          <w:rFonts w:cs="Arial"/>
          <w:b/>
          <w:bCs/>
          <w:sz w:val="22"/>
          <w:u w:val="single"/>
          <w:lang w:val="es-ES_tradnl"/>
        </w:rPr>
        <w:t>Solicitud de Grupo Mutual Alajuela La Vivienda de Ahorro y Préstamo de autorización para la implementación del producto Tarjeta de Crédito</w:t>
      </w:r>
    </w:p>
    <w:p w14:paraId="030CA853" w14:textId="77777777" w:rsidR="009D03FE" w:rsidRDefault="009D03FE" w:rsidP="009D03FE">
      <w:pPr>
        <w:spacing w:line="360" w:lineRule="auto"/>
        <w:jc w:val="both"/>
        <w:rPr>
          <w:rFonts w:cs="Arial"/>
          <w:sz w:val="22"/>
          <w:szCs w:val="22"/>
        </w:rPr>
      </w:pPr>
    </w:p>
    <w:p w14:paraId="5C8BACCC" w14:textId="77777777" w:rsidR="007D48F7" w:rsidRDefault="009D03FE" w:rsidP="00166C02">
      <w:pPr>
        <w:spacing w:line="360" w:lineRule="auto"/>
        <w:jc w:val="both"/>
        <w:rPr>
          <w:rFonts w:cs="Arial"/>
          <w:sz w:val="22"/>
          <w:szCs w:val="22"/>
          <w:lang w:val="es-ES_tradnl"/>
        </w:rPr>
      </w:pPr>
      <w:r w:rsidRPr="0039311E">
        <w:rPr>
          <w:rFonts w:cs="Arial"/>
          <w:sz w:val="22"/>
          <w:u w:val="single"/>
          <w:lang w:val="es-ES_tradnl"/>
        </w:rPr>
        <w:t xml:space="preserve">Minuto </w:t>
      </w:r>
      <w:r w:rsidR="00E71100">
        <w:rPr>
          <w:rFonts w:cs="Arial"/>
          <w:sz w:val="22"/>
          <w:u w:val="single"/>
          <w:lang w:val="es-ES_tradnl"/>
        </w:rPr>
        <w:t>154</w:t>
      </w:r>
      <w:r w:rsidRPr="0039311E">
        <w:rPr>
          <w:rFonts w:cs="Arial"/>
          <w:sz w:val="22"/>
          <w:u w:val="single"/>
          <w:lang w:val="es-ES_tradnl"/>
        </w:rPr>
        <w:t>:</w:t>
      </w:r>
      <w:r w:rsidR="00E71100">
        <w:rPr>
          <w:rFonts w:cs="Arial"/>
          <w:sz w:val="22"/>
          <w:u w:val="single"/>
          <w:lang w:val="es-ES_tradnl"/>
        </w:rPr>
        <w:t>11</w:t>
      </w:r>
      <w:r>
        <w:rPr>
          <w:rFonts w:cs="Arial"/>
          <w:sz w:val="22"/>
          <w:lang w:val="es-ES_tradnl"/>
        </w:rPr>
        <w:t xml:space="preserve"> </w:t>
      </w:r>
      <w:r w:rsidR="00E71100">
        <w:rPr>
          <w:rFonts w:cs="Arial"/>
          <w:sz w:val="22"/>
          <w:lang w:val="es-ES_tradnl"/>
        </w:rPr>
        <w:t xml:space="preserve">Luego de un receso, se procede a conocer el oficio </w:t>
      </w:r>
      <w:r w:rsidR="00166C02" w:rsidRPr="00166C02">
        <w:rPr>
          <w:rFonts w:cs="Arial"/>
          <w:sz w:val="22"/>
          <w:szCs w:val="22"/>
        </w:rPr>
        <w:t>oficio GG-ME-04</w:t>
      </w:r>
      <w:r w:rsidR="00692138">
        <w:rPr>
          <w:rFonts w:cs="Arial"/>
          <w:sz w:val="22"/>
          <w:szCs w:val="22"/>
        </w:rPr>
        <w:t>34</w:t>
      </w:r>
      <w:r w:rsidR="00166C02" w:rsidRPr="00166C02">
        <w:rPr>
          <w:rFonts w:cs="Arial"/>
          <w:sz w:val="22"/>
          <w:szCs w:val="22"/>
        </w:rPr>
        <w:t>-20</w:t>
      </w:r>
      <w:r w:rsidR="00692138">
        <w:rPr>
          <w:rFonts w:cs="Arial"/>
          <w:sz w:val="22"/>
          <w:szCs w:val="22"/>
        </w:rPr>
        <w:t>22</w:t>
      </w:r>
      <w:r w:rsidR="00166C02" w:rsidRPr="00166C02">
        <w:rPr>
          <w:rFonts w:cs="Arial"/>
          <w:sz w:val="22"/>
          <w:szCs w:val="22"/>
        </w:rPr>
        <w:t xml:space="preserve"> del </w:t>
      </w:r>
      <w:r w:rsidR="00692138">
        <w:rPr>
          <w:rFonts w:cs="Arial"/>
          <w:sz w:val="22"/>
          <w:szCs w:val="22"/>
        </w:rPr>
        <w:t>06</w:t>
      </w:r>
      <w:r w:rsidR="00166C02" w:rsidRPr="00166C02">
        <w:rPr>
          <w:rFonts w:cs="Arial"/>
          <w:sz w:val="22"/>
          <w:szCs w:val="22"/>
        </w:rPr>
        <w:t xml:space="preserve"> de </w:t>
      </w:r>
      <w:r w:rsidR="00692138">
        <w:rPr>
          <w:rFonts w:cs="Arial"/>
          <w:sz w:val="22"/>
          <w:szCs w:val="22"/>
        </w:rPr>
        <w:t>abril</w:t>
      </w:r>
      <w:r w:rsidR="00166C02" w:rsidRPr="00166C02">
        <w:rPr>
          <w:rFonts w:cs="Arial"/>
          <w:sz w:val="22"/>
          <w:szCs w:val="22"/>
        </w:rPr>
        <w:t xml:space="preserve"> de 20</w:t>
      </w:r>
      <w:r w:rsidR="00692138">
        <w:rPr>
          <w:rFonts w:cs="Arial"/>
          <w:sz w:val="22"/>
          <w:szCs w:val="22"/>
        </w:rPr>
        <w:t>22</w:t>
      </w:r>
      <w:r w:rsidR="00166C02" w:rsidRPr="00166C02">
        <w:rPr>
          <w:rFonts w:cs="Arial"/>
          <w:sz w:val="22"/>
          <w:szCs w:val="22"/>
        </w:rPr>
        <w:t>, mediante el cual, la Gerencia General remite y avala el informe D</w:t>
      </w:r>
      <w:r w:rsidR="00692138">
        <w:rPr>
          <w:rFonts w:cs="Arial"/>
          <w:sz w:val="22"/>
          <w:szCs w:val="22"/>
        </w:rPr>
        <w:t>FNV</w:t>
      </w:r>
      <w:r w:rsidR="00166C02" w:rsidRPr="00166C02">
        <w:rPr>
          <w:rFonts w:cs="Arial"/>
          <w:sz w:val="22"/>
          <w:szCs w:val="22"/>
        </w:rPr>
        <w:t>-ME-</w:t>
      </w:r>
      <w:r w:rsidR="00692138">
        <w:rPr>
          <w:rFonts w:cs="Arial"/>
          <w:sz w:val="22"/>
          <w:szCs w:val="22"/>
        </w:rPr>
        <w:t>153</w:t>
      </w:r>
      <w:r w:rsidR="00166C02" w:rsidRPr="00166C02">
        <w:rPr>
          <w:rFonts w:cs="Arial"/>
          <w:sz w:val="22"/>
          <w:szCs w:val="22"/>
        </w:rPr>
        <w:t>-20</w:t>
      </w:r>
      <w:r w:rsidR="00692138">
        <w:rPr>
          <w:rFonts w:cs="Arial"/>
          <w:sz w:val="22"/>
          <w:szCs w:val="22"/>
        </w:rPr>
        <w:t>22</w:t>
      </w:r>
      <w:r w:rsidR="00166C02" w:rsidRPr="00166C02">
        <w:rPr>
          <w:rFonts w:cs="Arial"/>
          <w:sz w:val="22"/>
          <w:szCs w:val="22"/>
        </w:rPr>
        <w:t xml:space="preserve"> de la Dirección </w:t>
      </w:r>
      <w:r w:rsidR="00692138">
        <w:rPr>
          <w:rFonts w:cs="Arial"/>
          <w:sz w:val="22"/>
          <w:szCs w:val="22"/>
        </w:rPr>
        <w:t>FONAVI</w:t>
      </w:r>
      <w:r w:rsidR="00166C02" w:rsidRPr="00166C02">
        <w:rPr>
          <w:rFonts w:cs="Arial"/>
          <w:sz w:val="22"/>
          <w:szCs w:val="22"/>
        </w:rPr>
        <w:t xml:space="preserve">, </w:t>
      </w:r>
      <w:r w:rsidR="00692138">
        <w:rPr>
          <w:rFonts w:cs="Arial"/>
          <w:sz w:val="22"/>
          <w:szCs w:val="22"/>
        </w:rPr>
        <w:t xml:space="preserve">que contiene los resultados del </w:t>
      </w:r>
      <w:r w:rsidR="00166C02" w:rsidRPr="00166C02">
        <w:rPr>
          <w:rFonts w:cs="Arial"/>
          <w:sz w:val="22"/>
          <w:szCs w:val="22"/>
        </w:rPr>
        <w:t xml:space="preserve">estudio realizado a la solicitud del Grupo Mutual Alajuela – La Vivienda de Ahorro y Préstamo, </w:t>
      </w:r>
      <w:r w:rsidR="007D48F7">
        <w:rPr>
          <w:rFonts w:cs="Arial"/>
          <w:sz w:val="22"/>
          <w:szCs w:val="22"/>
        </w:rPr>
        <w:t xml:space="preserve">para que se autorice </w:t>
      </w:r>
      <w:r w:rsidR="007D48F7" w:rsidRPr="00166C02">
        <w:rPr>
          <w:rFonts w:cs="Arial"/>
          <w:sz w:val="22"/>
          <w:szCs w:val="22"/>
        </w:rPr>
        <w:t xml:space="preserve">el lanzamiento al mercado del producto denominado </w:t>
      </w:r>
      <w:r w:rsidR="007D48F7" w:rsidRPr="0059293C">
        <w:rPr>
          <w:rFonts w:cs="Arial"/>
          <w:bCs/>
          <w:i/>
          <w:iCs/>
          <w:sz w:val="22"/>
          <w:szCs w:val="22"/>
        </w:rPr>
        <w:t>Tarjeta de Crédito</w:t>
      </w:r>
      <w:r w:rsidR="007D48F7" w:rsidRPr="00226F09">
        <w:rPr>
          <w:rFonts w:cs="Arial"/>
          <w:bCs/>
          <w:sz w:val="22"/>
          <w:szCs w:val="22"/>
        </w:rPr>
        <w:t>,</w:t>
      </w:r>
      <w:r w:rsidR="007D48F7" w:rsidRPr="00166C02">
        <w:rPr>
          <w:rFonts w:cs="Arial"/>
          <w:sz w:val="22"/>
          <w:szCs w:val="22"/>
        </w:rPr>
        <w:t xml:space="preserve"> </w:t>
      </w:r>
      <w:r w:rsidR="007D48F7">
        <w:rPr>
          <w:rFonts w:cs="Arial"/>
          <w:sz w:val="22"/>
          <w:szCs w:val="22"/>
        </w:rPr>
        <w:t xml:space="preserve">aprobado por su </w:t>
      </w:r>
      <w:r w:rsidR="007D48F7" w:rsidRPr="0059293C">
        <w:rPr>
          <w:rFonts w:cs="Arial"/>
          <w:sz w:val="22"/>
          <w:szCs w:val="22"/>
          <w:lang w:val="es-ES_tradnl"/>
        </w:rPr>
        <w:t>Junta Directiva</w:t>
      </w:r>
      <w:r w:rsidR="007D48F7">
        <w:rPr>
          <w:rFonts w:cs="Arial"/>
          <w:sz w:val="22"/>
          <w:szCs w:val="22"/>
          <w:lang w:val="es-ES_tradnl"/>
        </w:rPr>
        <w:t xml:space="preserve"> en su sesión N° 54-21 del 15 de noviembre de 2021.  Dichos documentos se adjuntan al expediente del acta.</w:t>
      </w:r>
    </w:p>
    <w:p w14:paraId="0A56663C" w14:textId="77777777" w:rsidR="007D48F7" w:rsidRDefault="007D48F7" w:rsidP="00166C02">
      <w:pPr>
        <w:spacing w:line="360" w:lineRule="auto"/>
        <w:jc w:val="both"/>
        <w:rPr>
          <w:rFonts w:cs="Arial"/>
          <w:sz w:val="22"/>
          <w:szCs w:val="22"/>
          <w:lang w:val="es-ES_tradnl"/>
        </w:rPr>
      </w:pPr>
    </w:p>
    <w:p w14:paraId="3B7AD8E9" w14:textId="3413EE35" w:rsidR="00166C02" w:rsidRPr="00166C02" w:rsidRDefault="00166C02" w:rsidP="00166C02">
      <w:pPr>
        <w:spacing w:line="360" w:lineRule="auto"/>
        <w:jc w:val="both"/>
        <w:rPr>
          <w:rFonts w:cs="Arial"/>
          <w:sz w:val="22"/>
          <w:szCs w:val="22"/>
        </w:rPr>
      </w:pPr>
      <w:r w:rsidRPr="00166C02">
        <w:rPr>
          <w:rFonts w:cs="Arial"/>
          <w:sz w:val="22"/>
          <w:szCs w:val="22"/>
        </w:rPr>
        <w:t xml:space="preserve">Para exponer los alcances del citado informe y atender eventuales consultas de carácter técnico sobre el tema, se incorpora a la sesión </w:t>
      </w:r>
      <w:r w:rsidR="009A0429">
        <w:rPr>
          <w:rFonts w:cs="Arial"/>
          <w:sz w:val="22"/>
          <w:szCs w:val="22"/>
        </w:rPr>
        <w:t xml:space="preserve">la licenciada </w:t>
      </w:r>
      <w:r w:rsidR="003F7EDB">
        <w:rPr>
          <w:rFonts w:cs="Arial"/>
          <w:sz w:val="22"/>
          <w:szCs w:val="22"/>
        </w:rPr>
        <w:t xml:space="preserve">Tricia Hernández Brenes, Directora del FONAVI, </w:t>
      </w:r>
      <w:r w:rsidRPr="00166C02">
        <w:rPr>
          <w:rFonts w:cs="Arial"/>
          <w:sz w:val="22"/>
          <w:szCs w:val="22"/>
        </w:rPr>
        <w:t xml:space="preserve">quien </w:t>
      </w:r>
      <w:r w:rsidR="00C03A8F">
        <w:rPr>
          <w:rFonts w:cs="Arial"/>
          <w:sz w:val="22"/>
          <w:szCs w:val="22"/>
        </w:rPr>
        <w:t xml:space="preserve">presenta el detalle de la propuesta y las valoraciones técnicas y financieras efectuadas al respecto, concluyendo </w:t>
      </w:r>
      <w:r w:rsidRPr="00166C02">
        <w:rPr>
          <w:rFonts w:cs="Arial"/>
          <w:sz w:val="22"/>
          <w:szCs w:val="22"/>
        </w:rPr>
        <w:t xml:space="preserve">que una vez revisada toda la información </w:t>
      </w:r>
      <w:r w:rsidRPr="00166C02">
        <w:rPr>
          <w:rFonts w:cs="Arial"/>
          <w:sz w:val="22"/>
          <w:szCs w:val="22"/>
        </w:rPr>
        <w:lastRenderedPageBreak/>
        <w:t xml:space="preserve">remitida por la Mutual, no </w:t>
      </w:r>
      <w:r w:rsidR="00C03A8F">
        <w:rPr>
          <w:rFonts w:cs="Arial"/>
          <w:sz w:val="22"/>
          <w:szCs w:val="22"/>
        </w:rPr>
        <w:t xml:space="preserve">se </w:t>
      </w:r>
      <w:r w:rsidRPr="00166C02">
        <w:rPr>
          <w:rFonts w:cs="Arial"/>
          <w:sz w:val="22"/>
          <w:szCs w:val="22"/>
        </w:rPr>
        <w:t xml:space="preserve">encuentra objeción en recomendar que se acoja en todos sus extremos la petición de </w:t>
      </w:r>
      <w:r w:rsidR="003F7EDB">
        <w:rPr>
          <w:rFonts w:cs="Arial"/>
          <w:sz w:val="22"/>
          <w:szCs w:val="22"/>
        </w:rPr>
        <w:t>dicha e</w:t>
      </w:r>
      <w:r w:rsidRPr="00166C02">
        <w:rPr>
          <w:rFonts w:cs="Arial"/>
          <w:sz w:val="22"/>
          <w:szCs w:val="22"/>
        </w:rPr>
        <w:t>ntidad</w:t>
      </w:r>
      <w:r w:rsidR="003F7EDB">
        <w:rPr>
          <w:rFonts w:cs="Arial"/>
          <w:sz w:val="22"/>
          <w:szCs w:val="22"/>
        </w:rPr>
        <w:t>, bajo los términos indicados en el informe presentado</w:t>
      </w:r>
      <w:r w:rsidRPr="00166C02">
        <w:rPr>
          <w:rFonts w:cs="Arial"/>
          <w:sz w:val="22"/>
          <w:szCs w:val="22"/>
        </w:rPr>
        <w:t>.</w:t>
      </w:r>
    </w:p>
    <w:p w14:paraId="72E02EB2" w14:textId="77777777" w:rsidR="00166C02" w:rsidRPr="00166C02" w:rsidRDefault="00166C02" w:rsidP="00166C02">
      <w:pPr>
        <w:spacing w:line="360" w:lineRule="auto"/>
        <w:jc w:val="both"/>
        <w:rPr>
          <w:rFonts w:cs="Arial"/>
          <w:sz w:val="22"/>
          <w:szCs w:val="22"/>
        </w:rPr>
      </w:pPr>
    </w:p>
    <w:p w14:paraId="5B5264D3" w14:textId="5C6C2469" w:rsidR="00FD0E84" w:rsidRDefault="00FD0E84" w:rsidP="00FD0E84">
      <w:pPr>
        <w:spacing w:line="360" w:lineRule="auto"/>
        <w:jc w:val="both"/>
        <w:rPr>
          <w:rFonts w:cs="Arial"/>
          <w:sz w:val="22"/>
          <w:lang w:val="es-ES_tradnl"/>
        </w:rPr>
      </w:pPr>
      <w:r>
        <w:rPr>
          <w:rFonts w:cs="Arial"/>
          <w:sz w:val="22"/>
          <w:u w:val="single"/>
          <w:lang w:val="es-ES_tradnl"/>
        </w:rPr>
        <w:t>Minuto 181</w:t>
      </w:r>
      <w:r w:rsidRPr="0039311E">
        <w:rPr>
          <w:rFonts w:cs="Arial"/>
          <w:sz w:val="22"/>
          <w:u w:val="single"/>
          <w:lang w:val="es-ES_tradnl"/>
        </w:rPr>
        <w:t>:</w:t>
      </w:r>
      <w:r>
        <w:rPr>
          <w:rFonts w:cs="Arial"/>
          <w:sz w:val="22"/>
          <w:u w:val="single"/>
          <w:lang w:val="es-ES_tradnl"/>
        </w:rPr>
        <w:t>45</w:t>
      </w:r>
      <w:r>
        <w:rPr>
          <w:rFonts w:cs="Arial"/>
          <w:sz w:val="22"/>
          <w:lang w:val="es-ES_tradnl"/>
        </w:rPr>
        <w:t xml:space="preserve"> </w:t>
      </w:r>
      <w:r w:rsidR="00EA1604">
        <w:rPr>
          <w:rFonts w:cs="Arial"/>
          <w:sz w:val="22"/>
          <w:lang w:val="es-ES_tradnl"/>
        </w:rPr>
        <w:t xml:space="preserve">Conocido el informe de la Dirección FONAVI y no habiendo objeciones de los señores Directores ni por parte de los funcionarios presentes, la </w:t>
      </w:r>
      <w:r w:rsidR="00EA1604" w:rsidRPr="00EA1604">
        <w:rPr>
          <w:rFonts w:cs="Arial"/>
          <w:sz w:val="22"/>
          <w:lang w:val="es-ES_tradnl"/>
        </w:rPr>
        <w:t>Junta Directiva</w:t>
      </w:r>
      <w:r w:rsidR="00EA1604">
        <w:rPr>
          <w:rFonts w:cs="Arial"/>
          <w:sz w:val="22"/>
          <w:lang w:val="es-ES_tradnl"/>
        </w:rPr>
        <w:t xml:space="preserve"> resuelve actuar de la forma que recomienda la </w:t>
      </w:r>
      <w:r w:rsidR="00EA1604" w:rsidRPr="00EA1604">
        <w:rPr>
          <w:rFonts w:cs="Arial"/>
          <w:sz w:val="22"/>
          <w:szCs w:val="22"/>
          <w:lang w:val="es-ES_tradnl"/>
        </w:rPr>
        <w:t>Administración</w:t>
      </w:r>
      <w:r w:rsidR="00EA1604">
        <w:rPr>
          <w:rFonts w:cs="Arial"/>
          <w:sz w:val="22"/>
          <w:szCs w:val="22"/>
          <w:lang w:val="es-ES_tradnl"/>
        </w:rPr>
        <w:t xml:space="preserve">, según se consigna en el </w:t>
      </w:r>
      <w:r w:rsidR="00EA1604" w:rsidRPr="00EA1604">
        <w:rPr>
          <w:rFonts w:cs="Arial"/>
          <w:b/>
          <w:bCs/>
          <w:sz w:val="22"/>
          <w:szCs w:val="22"/>
          <w:lang w:val="es-ES_tradnl"/>
        </w:rPr>
        <w:t>Acuerdo N° 2</w:t>
      </w:r>
      <w:r w:rsidR="00EA1604">
        <w:rPr>
          <w:rFonts w:cs="Arial"/>
          <w:sz w:val="22"/>
          <w:szCs w:val="22"/>
          <w:lang w:val="es-ES_tradnl"/>
        </w:rPr>
        <w:t xml:space="preserve"> que se anexa a esta minuta.  Acto seguido, se retira de la sesión la licenciada Hernández Brenes.</w:t>
      </w:r>
    </w:p>
    <w:p w14:paraId="52AA671E" w14:textId="77777777" w:rsidR="009D03FE" w:rsidRPr="00D14EAF" w:rsidRDefault="009D03FE" w:rsidP="009D03FE">
      <w:pPr>
        <w:spacing w:line="360" w:lineRule="auto"/>
        <w:jc w:val="both"/>
        <w:rPr>
          <w:rFonts w:cs="Arial"/>
          <w:b/>
          <w:sz w:val="22"/>
        </w:rPr>
      </w:pPr>
      <w:r w:rsidRPr="00D14EAF">
        <w:rPr>
          <w:rFonts w:cs="Arial"/>
          <w:b/>
          <w:sz w:val="22"/>
        </w:rPr>
        <w:t>************</w:t>
      </w:r>
    </w:p>
    <w:p w14:paraId="6E42D09F" w14:textId="77777777" w:rsidR="009D03FE" w:rsidRDefault="009D03FE" w:rsidP="009D03FE">
      <w:pPr>
        <w:spacing w:line="360" w:lineRule="auto"/>
        <w:jc w:val="both"/>
        <w:rPr>
          <w:rFonts w:cs="Arial"/>
          <w:b/>
          <w:sz w:val="22"/>
          <w:szCs w:val="22"/>
          <w:u w:val="single"/>
          <w:lang w:val="es-ES_tradnl"/>
        </w:rPr>
      </w:pPr>
    </w:p>
    <w:p w14:paraId="144A6517" w14:textId="43C212A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C5623" w:rsidRPr="00DF2DC5">
        <w:rPr>
          <w:rFonts w:cs="Arial"/>
          <w:b/>
          <w:bCs/>
          <w:sz w:val="22"/>
          <w:u w:val="single"/>
          <w:lang w:val="es-ES_tradnl"/>
        </w:rPr>
        <w:t>Presentación del texto aprobado de la Ley de vivienda municipal</w:t>
      </w:r>
    </w:p>
    <w:p w14:paraId="0514EA9E" w14:textId="77777777" w:rsidR="009D03FE" w:rsidRDefault="009D03FE" w:rsidP="009D03FE">
      <w:pPr>
        <w:spacing w:line="360" w:lineRule="auto"/>
        <w:jc w:val="both"/>
        <w:rPr>
          <w:rFonts w:cs="Arial"/>
          <w:sz w:val="22"/>
          <w:szCs w:val="22"/>
        </w:rPr>
      </w:pPr>
    </w:p>
    <w:p w14:paraId="0E7958E9" w14:textId="318225D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351DC">
        <w:rPr>
          <w:rFonts w:cs="Arial"/>
          <w:sz w:val="22"/>
          <w:u w:val="single"/>
          <w:lang w:val="es-ES_tradnl"/>
        </w:rPr>
        <w:t>183</w:t>
      </w:r>
      <w:r w:rsidRPr="0039311E">
        <w:rPr>
          <w:rFonts w:cs="Arial"/>
          <w:sz w:val="22"/>
          <w:u w:val="single"/>
          <w:lang w:val="es-ES_tradnl"/>
        </w:rPr>
        <w:t>:</w:t>
      </w:r>
      <w:r w:rsidR="00C351DC">
        <w:rPr>
          <w:rFonts w:cs="Arial"/>
          <w:sz w:val="22"/>
          <w:u w:val="single"/>
          <w:lang w:val="es-ES_tradnl"/>
        </w:rPr>
        <w:t>20</w:t>
      </w:r>
      <w:r>
        <w:rPr>
          <w:rFonts w:cs="Arial"/>
          <w:sz w:val="22"/>
          <w:lang w:val="es-ES_tradnl"/>
        </w:rPr>
        <w:t xml:space="preserve"> </w:t>
      </w:r>
      <w:r w:rsidR="008A4B12">
        <w:rPr>
          <w:rFonts w:cs="Arial"/>
          <w:sz w:val="22"/>
          <w:lang w:val="es-ES_tradnl"/>
        </w:rPr>
        <w:t xml:space="preserve">De conformidad con lo requerido en la sesión </w:t>
      </w:r>
      <w:r w:rsidR="00896123">
        <w:rPr>
          <w:rFonts w:cs="Arial"/>
          <w:sz w:val="22"/>
          <w:lang w:val="es-ES_tradnl"/>
        </w:rPr>
        <w:t>N” 26-2022</w:t>
      </w:r>
      <w:r w:rsidR="008A4B12">
        <w:rPr>
          <w:rFonts w:cs="Arial"/>
          <w:sz w:val="22"/>
          <w:lang w:val="es-ES_tradnl"/>
        </w:rPr>
        <w:t>,</w:t>
      </w:r>
      <w:r w:rsidR="00896123">
        <w:rPr>
          <w:rFonts w:cs="Arial"/>
          <w:sz w:val="22"/>
          <w:lang w:val="es-ES_tradnl"/>
        </w:rPr>
        <w:t xml:space="preserve"> del pasado 04 de abril, </w:t>
      </w:r>
      <w:r w:rsidR="008A4B12">
        <w:rPr>
          <w:rFonts w:cs="Arial"/>
          <w:sz w:val="22"/>
          <w:lang w:val="es-ES_tradnl"/>
        </w:rPr>
        <w:t xml:space="preserve">se procede a conocer el texto aprobado recientemente por la Asamblea Legislativa, del proyecto de Ley de Vivienda Municipal, tramitado con el expediente </w:t>
      </w:r>
      <w:r w:rsidR="00C351DC">
        <w:rPr>
          <w:rFonts w:cs="Arial"/>
          <w:sz w:val="22"/>
          <w:lang w:val="es-ES_tradnl"/>
        </w:rPr>
        <w:t xml:space="preserve">legislativo </w:t>
      </w:r>
      <w:r w:rsidR="008A4B12">
        <w:rPr>
          <w:rFonts w:cs="Arial"/>
          <w:sz w:val="22"/>
          <w:lang w:val="es-ES_tradnl"/>
        </w:rPr>
        <w:t>N° 22.487</w:t>
      </w:r>
      <w:r w:rsidR="00C351DC">
        <w:rPr>
          <w:rFonts w:cs="Arial"/>
          <w:sz w:val="22"/>
          <w:lang w:val="es-ES_tradnl"/>
        </w:rPr>
        <w:t>.  Dicho documento se adjunta al expediente del acta.</w:t>
      </w:r>
    </w:p>
    <w:p w14:paraId="2071FA0C" w14:textId="4F92617F" w:rsidR="008A4B12" w:rsidRDefault="008A4B12" w:rsidP="009D03FE">
      <w:pPr>
        <w:spacing w:line="360" w:lineRule="auto"/>
        <w:jc w:val="both"/>
        <w:rPr>
          <w:rFonts w:cs="Arial"/>
          <w:sz w:val="22"/>
          <w:lang w:val="es-ES_tradnl"/>
        </w:rPr>
      </w:pPr>
    </w:p>
    <w:p w14:paraId="161E5806" w14:textId="7B6C197E" w:rsidR="00C351DC" w:rsidRDefault="00E4351E" w:rsidP="00E4351E">
      <w:pPr>
        <w:spacing w:line="360" w:lineRule="auto"/>
        <w:jc w:val="both"/>
        <w:rPr>
          <w:rFonts w:cs="Arial"/>
          <w:sz w:val="22"/>
          <w:szCs w:val="22"/>
        </w:rPr>
      </w:pPr>
      <w:r w:rsidRPr="00E4351E">
        <w:rPr>
          <w:rFonts w:cs="Arial"/>
          <w:sz w:val="22"/>
          <w:szCs w:val="22"/>
        </w:rPr>
        <w:t xml:space="preserve">Para exponer el contenido del citado </w:t>
      </w:r>
      <w:r w:rsidR="00C351DC">
        <w:rPr>
          <w:rFonts w:cs="Arial"/>
          <w:sz w:val="22"/>
          <w:szCs w:val="22"/>
        </w:rPr>
        <w:t xml:space="preserve">documento </w:t>
      </w:r>
      <w:r w:rsidRPr="00E4351E">
        <w:rPr>
          <w:rFonts w:cs="Arial"/>
          <w:sz w:val="22"/>
          <w:szCs w:val="22"/>
        </w:rPr>
        <w:t xml:space="preserve">y atender eventuales consultas sobre el tema, se incorpora a la sesión el licenciado Carlos Castro Miranda, asistente de la Gerencia General, quien </w:t>
      </w:r>
      <w:r w:rsidR="00C351DC">
        <w:rPr>
          <w:rFonts w:cs="Arial"/>
          <w:sz w:val="22"/>
          <w:szCs w:val="22"/>
        </w:rPr>
        <w:t>luego de repasar los fines de la Ley, se refiere a sus principales alcances</w:t>
      </w:r>
      <w:r w:rsidR="005C2215">
        <w:rPr>
          <w:rFonts w:cs="Arial"/>
          <w:sz w:val="22"/>
          <w:szCs w:val="22"/>
        </w:rPr>
        <w:t xml:space="preserve">, así como al </w:t>
      </w:r>
      <w:r w:rsidR="00C351DC">
        <w:rPr>
          <w:rFonts w:cs="Arial"/>
          <w:sz w:val="22"/>
          <w:szCs w:val="22"/>
        </w:rPr>
        <w:t>resultado de las observaciones que al respecto presentó el BANHVI en su oportunidad.</w:t>
      </w:r>
    </w:p>
    <w:p w14:paraId="62359914" w14:textId="7F574C25" w:rsidR="00C351DC" w:rsidRDefault="00C351DC" w:rsidP="00E4351E">
      <w:pPr>
        <w:spacing w:line="360" w:lineRule="auto"/>
        <w:jc w:val="both"/>
        <w:rPr>
          <w:rFonts w:cs="Arial"/>
          <w:sz w:val="22"/>
          <w:szCs w:val="22"/>
        </w:rPr>
      </w:pPr>
    </w:p>
    <w:p w14:paraId="531133B5" w14:textId="1073569A" w:rsidR="005C2215" w:rsidRDefault="005C2215" w:rsidP="00E4351E">
      <w:pPr>
        <w:spacing w:line="360" w:lineRule="auto"/>
        <w:jc w:val="both"/>
        <w:rPr>
          <w:rFonts w:cs="Arial"/>
          <w:sz w:val="22"/>
          <w:szCs w:val="22"/>
        </w:rPr>
      </w:pPr>
      <w:r>
        <w:rPr>
          <w:rFonts w:cs="Arial"/>
          <w:sz w:val="22"/>
          <w:szCs w:val="22"/>
        </w:rPr>
        <w:t>Además, atiende varias consultas de los señores Directores, sobre las responsabilidades asignadas al BANHVI en el texto finalmente aprobado.</w:t>
      </w:r>
    </w:p>
    <w:p w14:paraId="220F7115" w14:textId="77777777" w:rsidR="00C351DC" w:rsidRDefault="00C351DC" w:rsidP="00E4351E">
      <w:pPr>
        <w:spacing w:line="360" w:lineRule="auto"/>
        <w:jc w:val="both"/>
        <w:rPr>
          <w:rFonts w:cs="Arial"/>
          <w:sz w:val="22"/>
          <w:szCs w:val="22"/>
        </w:rPr>
      </w:pPr>
    </w:p>
    <w:p w14:paraId="2F126999" w14:textId="68F1647D" w:rsidR="005C2215" w:rsidRDefault="005C2215" w:rsidP="005C2215">
      <w:pPr>
        <w:spacing w:line="360" w:lineRule="auto"/>
        <w:jc w:val="both"/>
        <w:rPr>
          <w:rFonts w:cs="Arial"/>
          <w:sz w:val="22"/>
          <w:lang w:val="es-ES_tradnl"/>
        </w:rPr>
      </w:pPr>
      <w:r>
        <w:rPr>
          <w:rFonts w:cs="Arial"/>
          <w:sz w:val="22"/>
          <w:u w:val="single"/>
          <w:lang w:val="es-ES_tradnl"/>
        </w:rPr>
        <w:t>Minuto 197</w:t>
      </w:r>
      <w:r w:rsidRPr="0039311E">
        <w:rPr>
          <w:rFonts w:cs="Arial"/>
          <w:sz w:val="22"/>
          <w:u w:val="single"/>
          <w:lang w:val="es-ES_tradnl"/>
        </w:rPr>
        <w:t>:</w:t>
      </w:r>
      <w:r>
        <w:rPr>
          <w:rFonts w:cs="Arial"/>
          <w:sz w:val="22"/>
          <w:u w:val="single"/>
          <w:lang w:val="es-ES_tradnl"/>
        </w:rPr>
        <w:t>50</w:t>
      </w:r>
      <w:r>
        <w:rPr>
          <w:rFonts w:cs="Arial"/>
          <w:sz w:val="22"/>
          <w:lang w:val="es-ES_tradnl"/>
        </w:rPr>
        <w:t xml:space="preserve"> La </w:t>
      </w:r>
      <w:r w:rsidRPr="005C2215">
        <w:rPr>
          <w:rFonts w:cs="Arial"/>
          <w:sz w:val="22"/>
          <w:lang w:val="es-ES_tradnl"/>
        </w:rPr>
        <w:t>Junta Directiva</w:t>
      </w:r>
      <w:r>
        <w:rPr>
          <w:rFonts w:cs="Arial"/>
          <w:sz w:val="22"/>
          <w:lang w:val="es-ES_tradnl"/>
        </w:rPr>
        <w:t xml:space="preserve"> da por conocida la información suministrada y se retira de la sesión el licenciado Castro Miranda.</w:t>
      </w:r>
    </w:p>
    <w:p w14:paraId="50439302" w14:textId="77777777" w:rsidR="009D03FE" w:rsidRPr="00D14EAF" w:rsidRDefault="009D03FE" w:rsidP="009D03FE">
      <w:pPr>
        <w:spacing w:line="360" w:lineRule="auto"/>
        <w:jc w:val="both"/>
        <w:rPr>
          <w:rFonts w:cs="Arial"/>
          <w:b/>
          <w:sz w:val="22"/>
        </w:rPr>
      </w:pPr>
      <w:r w:rsidRPr="00D14EAF">
        <w:rPr>
          <w:rFonts w:cs="Arial"/>
          <w:b/>
          <w:sz w:val="22"/>
        </w:rPr>
        <w:t>************</w:t>
      </w:r>
    </w:p>
    <w:p w14:paraId="4B6B9030" w14:textId="77777777" w:rsidR="009D03FE" w:rsidRDefault="009D03FE" w:rsidP="009D03FE">
      <w:pPr>
        <w:spacing w:line="360" w:lineRule="auto"/>
        <w:jc w:val="both"/>
        <w:rPr>
          <w:rFonts w:cs="Arial"/>
          <w:b/>
          <w:bCs/>
          <w:sz w:val="22"/>
          <w:szCs w:val="22"/>
          <w:u w:val="single"/>
          <w:lang w:val="es-ES_tradnl"/>
        </w:rPr>
      </w:pPr>
    </w:p>
    <w:p w14:paraId="788760D1" w14:textId="091CC7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C5623" w:rsidRPr="00DF2DC5">
        <w:rPr>
          <w:rFonts w:cs="Arial"/>
          <w:b/>
          <w:bCs/>
          <w:sz w:val="22"/>
          <w:u w:val="single"/>
          <w:lang w:val="es-ES_tradnl"/>
        </w:rPr>
        <w:t>Tema confidencial de Junta Directiva</w:t>
      </w:r>
    </w:p>
    <w:p w14:paraId="7C9A3AE4" w14:textId="77777777" w:rsidR="009D03FE" w:rsidRDefault="009D03FE" w:rsidP="009D03FE">
      <w:pPr>
        <w:spacing w:line="360" w:lineRule="auto"/>
        <w:jc w:val="both"/>
        <w:rPr>
          <w:rFonts w:cs="Arial"/>
          <w:sz w:val="22"/>
          <w:szCs w:val="22"/>
        </w:rPr>
      </w:pPr>
    </w:p>
    <w:p w14:paraId="3B6101A1" w14:textId="3BC78263" w:rsidR="005C2215" w:rsidRDefault="005C2215" w:rsidP="005C221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581D1D">
        <w:rPr>
          <w:rFonts w:cs="Arial"/>
          <w:sz w:val="22"/>
          <w:u w:val="single"/>
          <w:lang w:val="es-ES_tradnl"/>
        </w:rPr>
        <w:t>98</w:t>
      </w:r>
      <w:r w:rsidRPr="0039311E">
        <w:rPr>
          <w:rFonts w:cs="Arial"/>
          <w:sz w:val="22"/>
          <w:u w:val="single"/>
          <w:lang w:val="es-ES_tradnl"/>
        </w:rPr>
        <w:t>:</w:t>
      </w:r>
      <w:r w:rsidR="00581D1D">
        <w:rPr>
          <w:rFonts w:cs="Arial"/>
          <w:sz w:val="22"/>
          <w:u w:val="single"/>
          <w:lang w:val="es-ES_tradnl"/>
        </w:rPr>
        <w:t>02</w:t>
      </w:r>
      <w:r>
        <w:rPr>
          <w:rFonts w:cs="Arial"/>
          <w:sz w:val="22"/>
          <w:lang w:val="es-ES_tradnl"/>
        </w:rPr>
        <w:t xml:space="preserve"> </w:t>
      </w:r>
      <w:bookmarkStart w:id="0" w:name="_Hlk102397328"/>
      <w:r>
        <w:rPr>
          <w:rFonts w:cs="Arial"/>
          <w:sz w:val="22"/>
          <w:lang w:val="es-ES_tradnl"/>
        </w:rPr>
        <w:t>A partir de</w:t>
      </w:r>
      <w:r>
        <w:rPr>
          <w:rFonts w:cs="Arial"/>
          <w:sz w:val="22"/>
          <w:szCs w:val="22"/>
        </w:rPr>
        <w:t xml:space="preserv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del </w:t>
      </w:r>
      <w:r>
        <w:rPr>
          <w:rFonts w:cs="Arial"/>
          <w:sz w:val="22"/>
          <w:szCs w:val="22"/>
        </w:rPr>
        <w:t xml:space="preserve">artículo 6° de la Ley General de Control Interno, </w:t>
      </w:r>
      <w:r>
        <w:rPr>
          <w:rFonts w:cs="Arial"/>
          <w:color w:val="000000"/>
          <w:sz w:val="22"/>
          <w:szCs w:val="22"/>
        </w:rPr>
        <w:lastRenderedPageBreak/>
        <w:t>la Junta Directiva sesiona únicamente con sus miembro</w:t>
      </w:r>
      <w:r w:rsidR="003E00E5">
        <w:rPr>
          <w:rFonts w:cs="Arial"/>
          <w:color w:val="000000"/>
          <w:sz w:val="22"/>
          <w:szCs w:val="22"/>
        </w:rPr>
        <w:t>s</w:t>
      </w:r>
      <w:r>
        <w:rPr>
          <w:rFonts w:cs="Arial"/>
          <w:color w:val="000000"/>
          <w:sz w:val="22"/>
          <w:szCs w:val="22"/>
        </w:rPr>
        <w:t>,</w:t>
      </w:r>
      <w:r w:rsidRPr="00354E8F">
        <w:rPr>
          <w:rFonts w:cs="Arial"/>
          <w:color w:val="000000"/>
          <w:sz w:val="22"/>
          <w:szCs w:val="22"/>
        </w:rPr>
        <w:t xml:space="preserve"> </w:t>
      </w:r>
      <w:r>
        <w:rPr>
          <w:rFonts w:cs="Arial"/>
          <w:color w:val="000000"/>
          <w:sz w:val="22"/>
          <w:szCs w:val="22"/>
        </w:rPr>
        <w:t>con el propósito de conocer un informe confidencial</w:t>
      </w:r>
      <w:r w:rsidR="00581D1D">
        <w:rPr>
          <w:rFonts w:cs="Arial"/>
          <w:color w:val="000000"/>
          <w:sz w:val="22"/>
          <w:szCs w:val="22"/>
        </w:rPr>
        <w:t xml:space="preserve"> de la Auditoría Interna</w:t>
      </w:r>
      <w:r>
        <w:rPr>
          <w:rFonts w:cs="Arial"/>
          <w:color w:val="000000"/>
          <w:sz w:val="22"/>
          <w:szCs w:val="22"/>
        </w:rPr>
        <w:t>.  Por consiguiente, se retiran de la sesión los funcionarios</w:t>
      </w:r>
      <w:r>
        <w:rPr>
          <w:rFonts w:cs="Arial"/>
          <w:sz w:val="22"/>
        </w:rPr>
        <w:t xml:space="preserve"> Hidalgo Cortés, Barrantes Villarevia, </w:t>
      </w:r>
      <w:r w:rsidR="00581D1D">
        <w:rPr>
          <w:rFonts w:cs="Arial"/>
          <w:sz w:val="22"/>
        </w:rPr>
        <w:t xml:space="preserve">González Zumbado, </w:t>
      </w:r>
      <w:r>
        <w:rPr>
          <w:rFonts w:cs="Arial"/>
          <w:sz w:val="22"/>
        </w:rPr>
        <w:t>Masís Calderón y López Pacheco,</w:t>
      </w:r>
      <w:r>
        <w:rPr>
          <w:sz w:val="22"/>
          <w:szCs w:val="22"/>
        </w:rPr>
        <w:t xml:space="preserve"> suspendiéndose por consiguiente la grabación de la sesión.</w:t>
      </w:r>
    </w:p>
    <w:bookmarkEnd w:id="0"/>
    <w:p w14:paraId="138854EF" w14:textId="77777777" w:rsidR="005C2215" w:rsidRDefault="005C2215" w:rsidP="005C2215">
      <w:pPr>
        <w:spacing w:line="360" w:lineRule="auto"/>
        <w:jc w:val="both"/>
        <w:rPr>
          <w:rFonts w:cs="Arial"/>
          <w:sz w:val="22"/>
          <w:szCs w:val="22"/>
        </w:rPr>
      </w:pPr>
    </w:p>
    <w:p w14:paraId="702F0753" w14:textId="48777A12" w:rsidR="005C2215" w:rsidRDefault="005C2215" w:rsidP="005C2215">
      <w:pPr>
        <w:spacing w:line="360" w:lineRule="auto"/>
        <w:jc w:val="both"/>
        <w:rPr>
          <w:rFonts w:cs="Arial"/>
          <w:sz w:val="22"/>
          <w:szCs w:val="22"/>
        </w:rPr>
      </w:pPr>
      <w:r>
        <w:rPr>
          <w:rFonts w:cs="Arial"/>
          <w:sz w:val="22"/>
          <w:lang w:val="es-ES_tradnl"/>
        </w:rPr>
        <w:t xml:space="preserve">Se procede a conocer el informe confidencial de la Auditoría Interna, denominado </w:t>
      </w:r>
      <w:r w:rsidR="00581D1D" w:rsidRPr="00A82BCB">
        <w:rPr>
          <w:rFonts w:eastAsia="Calibri" w:cs="Arial"/>
          <w:sz w:val="22"/>
          <w:szCs w:val="22"/>
          <w:lang w:val="es-CR" w:eastAsia="en-US"/>
        </w:rPr>
        <w:t>Relación de Hechos RH-ESP-006 Proyecto Loma Linda S001</w:t>
      </w:r>
      <w:r w:rsidR="00581D1D" w:rsidRPr="001001FF">
        <w:rPr>
          <w:rFonts w:eastAsia="Calibri" w:cs="Arial"/>
          <w:sz w:val="22"/>
          <w:szCs w:val="22"/>
          <w:lang w:val="es-CR" w:eastAsia="en-US"/>
        </w:rPr>
        <w:t>, adjunt</w:t>
      </w:r>
      <w:r w:rsidR="00581D1D">
        <w:rPr>
          <w:rFonts w:eastAsia="Calibri" w:cs="Arial"/>
          <w:sz w:val="22"/>
          <w:szCs w:val="22"/>
          <w:lang w:val="es-CR" w:eastAsia="en-US"/>
        </w:rPr>
        <w:t>o</w:t>
      </w:r>
      <w:r w:rsidR="00581D1D" w:rsidRPr="001001FF">
        <w:rPr>
          <w:rFonts w:eastAsia="Calibri" w:cs="Arial"/>
          <w:sz w:val="22"/>
          <w:szCs w:val="22"/>
          <w:lang w:val="es-CR" w:eastAsia="en-US"/>
        </w:rPr>
        <w:t xml:space="preserve"> al </w:t>
      </w:r>
      <w:r w:rsidR="00581D1D" w:rsidRPr="00A82BCB">
        <w:rPr>
          <w:rFonts w:eastAsia="Calibri" w:cs="Arial"/>
          <w:sz w:val="22"/>
          <w:szCs w:val="22"/>
          <w:lang w:val="es-CR" w:eastAsia="en-US"/>
        </w:rPr>
        <w:t>oficio AI-OF-0015-2022</w:t>
      </w:r>
      <w:r w:rsidR="00581D1D" w:rsidRPr="001001FF">
        <w:rPr>
          <w:rFonts w:eastAsia="Calibri" w:cs="Arial"/>
          <w:sz w:val="22"/>
          <w:szCs w:val="22"/>
          <w:lang w:val="es-CR" w:eastAsia="en-US"/>
        </w:rPr>
        <w:t>,</w:t>
      </w:r>
      <w:r w:rsidR="00581D1D">
        <w:rPr>
          <w:rFonts w:eastAsia="Calibri" w:cs="Arial"/>
          <w:sz w:val="22"/>
          <w:szCs w:val="22"/>
          <w:lang w:val="es-CR" w:eastAsia="en-US"/>
        </w:rPr>
        <w:t xml:space="preserve"> </w:t>
      </w:r>
      <w:r>
        <w:rPr>
          <w:rFonts w:cs="Arial"/>
          <w:sz w:val="22"/>
          <w:szCs w:val="22"/>
        </w:rPr>
        <w:t>el cual contiene los hallazgos, conclusiones y recomendaciones derivadas de la evaluación efectuada por esa Auditoría.</w:t>
      </w:r>
    </w:p>
    <w:p w14:paraId="5738E553" w14:textId="77777777" w:rsidR="005C2215" w:rsidRDefault="005C2215" w:rsidP="005C2215">
      <w:pPr>
        <w:spacing w:line="360" w:lineRule="auto"/>
        <w:jc w:val="both"/>
        <w:rPr>
          <w:rFonts w:cs="Arial"/>
          <w:sz w:val="22"/>
          <w:szCs w:val="22"/>
        </w:rPr>
      </w:pPr>
    </w:p>
    <w:p w14:paraId="3CC289D4" w14:textId="1370F6FD" w:rsidR="005C2215" w:rsidRDefault="005C2215" w:rsidP="005C2215">
      <w:pPr>
        <w:spacing w:line="360" w:lineRule="auto"/>
        <w:jc w:val="both"/>
        <w:rPr>
          <w:rFonts w:cs="Arial"/>
          <w:sz w:val="22"/>
          <w:szCs w:val="22"/>
        </w:rPr>
      </w:pPr>
      <w:bookmarkStart w:id="1" w:name="_Hlk102397590"/>
      <w:r>
        <w:rPr>
          <w:rFonts w:cs="Arial"/>
          <w:sz w:val="22"/>
          <w:lang w:val="es-ES_tradnl"/>
        </w:rPr>
        <w:t>Una vez conocido el referido informe</w:t>
      </w:r>
      <w:r w:rsidR="00581D1D">
        <w:rPr>
          <w:rFonts w:cs="Arial"/>
          <w:sz w:val="22"/>
          <w:lang w:val="es-ES_tradnl"/>
        </w:rPr>
        <w:t xml:space="preserve">, </w:t>
      </w:r>
      <w:r>
        <w:rPr>
          <w:rFonts w:cs="Arial"/>
          <w:sz w:val="22"/>
          <w:lang w:val="es-ES_tradnl"/>
        </w:rPr>
        <w:t xml:space="preserve">la </w:t>
      </w:r>
      <w:r w:rsidRPr="006C446E">
        <w:rPr>
          <w:rFonts w:cs="Arial"/>
          <w:sz w:val="22"/>
          <w:szCs w:val="22"/>
          <w:lang w:val="es-ES_tradnl"/>
        </w:rPr>
        <w:t xml:space="preserve">Junta Directiva </w:t>
      </w:r>
      <w:r>
        <w:rPr>
          <w:rFonts w:cs="Arial"/>
          <w:sz w:val="22"/>
          <w:szCs w:val="22"/>
          <w:lang w:val="es-ES_tradnl"/>
        </w:rPr>
        <w:t>toma el</w:t>
      </w:r>
      <w:r>
        <w:rPr>
          <w:rFonts w:cs="Arial"/>
          <w:sz w:val="22"/>
          <w:szCs w:val="22"/>
        </w:rPr>
        <w:t xml:space="preserve"> </w:t>
      </w:r>
      <w:r w:rsidRPr="005237DA">
        <w:rPr>
          <w:rFonts w:cs="Arial"/>
          <w:b/>
          <w:sz w:val="22"/>
          <w:szCs w:val="22"/>
        </w:rPr>
        <w:t xml:space="preserve">Acuerdo N° </w:t>
      </w:r>
      <w:r>
        <w:rPr>
          <w:rFonts w:cs="Arial"/>
          <w:b/>
          <w:sz w:val="22"/>
          <w:szCs w:val="22"/>
        </w:rPr>
        <w:t>3</w:t>
      </w:r>
      <w:r>
        <w:rPr>
          <w:rFonts w:cs="Arial"/>
          <w:sz w:val="22"/>
          <w:szCs w:val="22"/>
        </w:rPr>
        <w:t xml:space="preserve"> que se anexa a esta minuta</w:t>
      </w:r>
      <w:r w:rsidR="00581D1D">
        <w:rPr>
          <w:rFonts w:cs="Arial"/>
          <w:sz w:val="22"/>
          <w:szCs w:val="22"/>
        </w:rPr>
        <w:t xml:space="preserve"> y cuyas consideraciones se declaran confidenciales</w:t>
      </w:r>
      <w:r>
        <w:rPr>
          <w:rFonts w:cs="Arial"/>
          <w:sz w:val="22"/>
          <w:szCs w:val="22"/>
        </w:rPr>
        <w:t xml:space="preserve">.  </w:t>
      </w:r>
    </w:p>
    <w:bookmarkEnd w:id="1"/>
    <w:p w14:paraId="7C94AF6B" w14:textId="77777777" w:rsidR="009D03FE" w:rsidRPr="00D14EAF" w:rsidRDefault="009D03FE" w:rsidP="009D03FE">
      <w:pPr>
        <w:spacing w:line="360" w:lineRule="auto"/>
        <w:jc w:val="both"/>
        <w:rPr>
          <w:rFonts w:cs="Arial"/>
          <w:b/>
          <w:sz w:val="22"/>
        </w:rPr>
      </w:pPr>
      <w:r w:rsidRPr="00D14EAF">
        <w:rPr>
          <w:rFonts w:cs="Arial"/>
          <w:b/>
          <w:sz w:val="22"/>
        </w:rPr>
        <w:t>************</w:t>
      </w:r>
    </w:p>
    <w:p w14:paraId="3B327EF7" w14:textId="77777777" w:rsidR="00E97960" w:rsidRDefault="00E97960" w:rsidP="00E97960">
      <w:pPr>
        <w:spacing w:line="360" w:lineRule="auto"/>
        <w:jc w:val="both"/>
        <w:rPr>
          <w:rFonts w:cs="Arial"/>
          <w:sz w:val="22"/>
          <w:szCs w:val="22"/>
        </w:rPr>
      </w:pPr>
    </w:p>
    <w:p w14:paraId="1B3D99AE" w14:textId="55CE6B09" w:rsidR="00FA4CCB" w:rsidRPr="00AB2826" w:rsidRDefault="00FA4CCB" w:rsidP="002D0146">
      <w:pPr>
        <w:pStyle w:val="Textoindependiente"/>
        <w:ind w:right="0"/>
        <w:rPr>
          <w:rFonts w:cs="Arial"/>
          <w:szCs w:val="22"/>
        </w:rPr>
      </w:pPr>
      <w:r w:rsidRPr="00AB2826">
        <w:rPr>
          <w:rFonts w:cs="Arial"/>
          <w:szCs w:val="22"/>
        </w:rPr>
        <w:t xml:space="preserve">Siendo las </w:t>
      </w:r>
      <w:r w:rsidR="00E07191">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E07191">
        <w:rPr>
          <w:rFonts w:cs="Arial"/>
          <w:szCs w:val="22"/>
        </w:rPr>
        <w:t xml:space="preserve">cuarenta y cinco </w:t>
      </w:r>
      <w:r w:rsidR="00EC7E01">
        <w:rPr>
          <w:rFonts w:cs="Arial"/>
          <w:szCs w:val="22"/>
        </w:rPr>
        <w:t>minutos</w:t>
      </w:r>
      <w:r w:rsidRPr="00AB2826">
        <w:rPr>
          <w:rFonts w:cs="Arial"/>
          <w:szCs w:val="22"/>
        </w:rPr>
        <w:t>, se levanta la sesión.</w:t>
      </w:r>
    </w:p>
    <w:p w14:paraId="253D7AC9" w14:textId="77777777" w:rsidR="006321F4" w:rsidRPr="00D14EAF" w:rsidRDefault="006321F4" w:rsidP="002D0146">
      <w:pPr>
        <w:spacing w:line="360" w:lineRule="auto"/>
        <w:jc w:val="both"/>
        <w:rPr>
          <w:rFonts w:cs="Arial"/>
          <w:b/>
          <w:sz w:val="22"/>
        </w:rPr>
      </w:pPr>
      <w:r w:rsidRPr="00D14EAF">
        <w:rPr>
          <w:rFonts w:cs="Arial"/>
          <w:b/>
          <w:sz w:val="22"/>
        </w:rPr>
        <w:t>************</w:t>
      </w:r>
    </w:p>
    <w:p w14:paraId="429C2AF0" w14:textId="77777777" w:rsidR="002B71CC" w:rsidRDefault="002B71CC">
      <w:pPr>
        <w:rPr>
          <w:rFonts w:cs="Arial"/>
          <w:sz w:val="22"/>
          <w:szCs w:val="22"/>
        </w:rPr>
      </w:pPr>
      <w:r>
        <w:rPr>
          <w:rFonts w:cs="Arial"/>
          <w:sz w:val="22"/>
          <w:szCs w:val="22"/>
        </w:rPr>
        <w:br w:type="page"/>
      </w:r>
    </w:p>
    <w:p w14:paraId="7C2822AF" w14:textId="77777777" w:rsidR="00FA4CCB" w:rsidRDefault="00FA4CCB" w:rsidP="00AB2826">
      <w:pPr>
        <w:spacing w:line="360" w:lineRule="auto"/>
        <w:jc w:val="both"/>
        <w:rPr>
          <w:rFonts w:cs="Arial"/>
          <w:sz w:val="22"/>
          <w:szCs w:val="22"/>
        </w:rPr>
      </w:pPr>
    </w:p>
    <w:p w14:paraId="2AC78A30" w14:textId="77777777" w:rsidR="002B71CC" w:rsidRDefault="002B71CC" w:rsidP="00AB2826">
      <w:pPr>
        <w:spacing w:line="360" w:lineRule="auto"/>
        <w:jc w:val="both"/>
        <w:rPr>
          <w:rFonts w:cs="Arial"/>
          <w:sz w:val="22"/>
          <w:szCs w:val="22"/>
        </w:rPr>
      </w:pPr>
    </w:p>
    <w:p w14:paraId="440D1B98" w14:textId="77777777" w:rsidR="002B71CC" w:rsidRDefault="002B71CC" w:rsidP="002B71CC">
      <w:pPr>
        <w:pStyle w:val="Ttulo"/>
        <w:ind w:right="51"/>
        <w:rPr>
          <w:rFonts w:cs="Arial"/>
        </w:rPr>
      </w:pPr>
      <w:r>
        <w:rPr>
          <w:rFonts w:cs="Arial"/>
        </w:rPr>
        <w:t>BANCO HIPOTECARIO DE LA VIVIENDA</w:t>
      </w:r>
    </w:p>
    <w:p w14:paraId="45E86CF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0A9E66D" w14:textId="77777777" w:rsidR="002B71CC" w:rsidRDefault="002B71CC" w:rsidP="002B71CC">
      <w:pPr>
        <w:spacing w:line="360" w:lineRule="auto"/>
        <w:ind w:right="51"/>
        <w:jc w:val="center"/>
        <w:rPr>
          <w:rFonts w:cs="Arial"/>
          <w:b/>
          <w:sz w:val="22"/>
          <w:u w:val="single"/>
        </w:rPr>
      </w:pPr>
    </w:p>
    <w:p w14:paraId="10F9A623" w14:textId="0EA30025"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DF2DC5">
        <w:rPr>
          <w:rFonts w:cs="Arial"/>
          <w:b/>
          <w:sz w:val="22"/>
          <w:u w:val="single"/>
        </w:rPr>
        <w:t>EXTRA</w:t>
      </w:r>
      <w:r>
        <w:rPr>
          <w:rFonts w:cs="Arial"/>
          <w:b/>
          <w:sz w:val="22"/>
          <w:u w:val="single"/>
        </w:rPr>
        <w:t xml:space="preserve">ORDINARIA N° </w:t>
      </w:r>
      <w:r w:rsidR="00DF2DC5">
        <w:rPr>
          <w:rFonts w:cs="Arial"/>
          <w:b/>
          <w:sz w:val="22"/>
          <w:u w:val="single"/>
        </w:rPr>
        <w:t>27</w:t>
      </w:r>
      <w:r>
        <w:rPr>
          <w:rFonts w:cs="Arial"/>
          <w:b/>
          <w:sz w:val="22"/>
          <w:u w:val="single"/>
        </w:rPr>
        <w:t>-</w:t>
      </w:r>
      <w:r w:rsidR="005F2BC7">
        <w:rPr>
          <w:rFonts w:cs="Arial"/>
          <w:b/>
          <w:sz w:val="22"/>
          <w:u w:val="single"/>
        </w:rPr>
        <w:t>2022</w:t>
      </w:r>
    </w:p>
    <w:p w14:paraId="54674B94" w14:textId="215F6604" w:rsidR="002B71CC" w:rsidRDefault="002B71CC" w:rsidP="002B71CC">
      <w:pPr>
        <w:spacing w:line="360" w:lineRule="auto"/>
        <w:ind w:right="51"/>
        <w:jc w:val="center"/>
        <w:rPr>
          <w:rFonts w:cs="Arial"/>
          <w:b/>
          <w:sz w:val="22"/>
          <w:u w:val="single"/>
        </w:rPr>
      </w:pPr>
      <w:r>
        <w:rPr>
          <w:rFonts w:cs="Arial"/>
          <w:b/>
          <w:sz w:val="22"/>
          <w:u w:val="single"/>
        </w:rPr>
        <w:t xml:space="preserve">DEL </w:t>
      </w:r>
      <w:r w:rsidR="00DF2DC5">
        <w:rPr>
          <w:rFonts w:cs="Arial"/>
          <w:b/>
          <w:sz w:val="22"/>
          <w:u w:val="single"/>
        </w:rPr>
        <w:t>07</w:t>
      </w:r>
      <w:r>
        <w:rPr>
          <w:rFonts w:cs="Arial"/>
          <w:b/>
          <w:sz w:val="22"/>
          <w:u w:val="single"/>
        </w:rPr>
        <w:t xml:space="preserve"> DE </w:t>
      </w:r>
      <w:r w:rsidR="00DF2DC5">
        <w:rPr>
          <w:rFonts w:cs="Arial"/>
          <w:b/>
          <w:sz w:val="22"/>
          <w:u w:val="single"/>
        </w:rPr>
        <w:t>ABRIL</w:t>
      </w:r>
      <w:r>
        <w:rPr>
          <w:rFonts w:cs="Arial"/>
          <w:b/>
          <w:sz w:val="22"/>
          <w:u w:val="single"/>
        </w:rPr>
        <w:t xml:space="preserve"> DE </w:t>
      </w:r>
      <w:r w:rsidR="005F2BC7">
        <w:rPr>
          <w:rFonts w:cs="Arial"/>
          <w:b/>
          <w:sz w:val="22"/>
          <w:u w:val="single"/>
        </w:rPr>
        <w:t>2022</w:t>
      </w:r>
    </w:p>
    <w:p w14:paraId="19CB6152" w14:textId="77777777" w:rsidR="002B71CC" w:rsidRDefault="002B71CC" w:rsidP="00AB2826">
      <w:pPr>
        <w:spacing w:line="360" w:lineRule="auto"/>
        <w:jc w:val="both"/>
        <w:rPr>
          <w:rFonts w:cs="Arial"/>
          <w:sz w:val="22"/>
          <w:szCs w:val="22"/>
        </w:rPr>
      </w:pPr>
    </w:p>
    <w:p w14:paraId="2A613BD7" w14:textId="77777777" w:rsidR="002B71CC" w:rsidRDefault="002B71CC" w:rsidP="002B71CC">
      <w:pPr>
        <w:spacing w:line="360" w:lineRule="auto"/>
        <w:jc w:val="both"/>
        <w:rPr>
          <w:rFonts w:cs="Arial"/>
          <w:sz w:val="22"/>
          <w:lang w:val="es-ES_tradnl"/>
        </w:rPr>
      </w:pPr>
    </w:p>
    <w:p w14:paraId="6F4171A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AEFA0EC" w14:textId="77777777" w:rsidR="000C1E79" w:rsidRPr="000C1E79" w:rsidRDefault="000C1E79" w:rsidP="000C1E79">
      <w:pPr>
        <w:spacing w:line="360" w:lineRule="auto"/>
        <w:jc w:val="both"/>
        <w:rPr>
          <w:rFonts w:cs="Arial"/>
          <w:b/>
          <w:sz w:val="22"/>
          <w:szCs w:val="22"/>
        </w:rPr>
      </w:pPr>
      <w:r w:rsidRPr="000C1E79">
        <w:rPr>
          <w:rFonts w:cs="Arial"/>
          <w:b/>
          <w:sz w:val="22"/>
          <w:szCs w:val="22"/>
        </w:rPr>
        <w:t>Considerando:</w:t>
      </w:r>
    </w:p>
    <w:p w14:paraId="15FD4D89" w14:textId="62F32F56" w:rsidR="000C1E79" w:rsidRPr="000C1E79" w:rsidRDefault="000C1E79" w:rsidP="000C1E79">
      <w:pPr>
        <w:spacing w:line="360" w:lineRule="auto"/>
        <w:jc w:val="both"/>
        <w:rPr>
          <w:rFonts w:cs="Arial"/>
          <w:b/>
          <w:sz w:val="22"/>
          <w:szCs w:val="22"/>
        </w:rPr>
      </w:pPr>
      <w:r w:rsidRPr="000C1E79">
        <w:rPr>
          <w:rFonts w:cs="Arial"/>
          <w:b/>
          <w:sz w:val="22"/>
          <w:szCs w:val="22"/>
        </w:rPr>
        <w:t>Primero:</w:t>
      </w:r>
      <w:r w:rsidRPr="000C1E79">
        <w:rPr>
          <w:rFonts w:cs="Arial"/>
          <w:sz w:val="22"/>
          <w:szCs w:val="22"/>
        </w:rPr>
        <w:t xml:space="preserve"> Que por medio del oficio </w:t>
      </w:r>
      <w:r w:rsidRPr="000C1E79">
        <w:rPr>
          <w:rFonts w:cs="Arial"/>
          <w:sz w:val="22"/>
          <w:szCs w:val="22"/>
          <w:lang w:val="es-ES_tradnl"/>
        </w:rPr>
        <w:t>GG-</w:t>
      </w:r>
      <w:r w:rsidRPr="000C1E79">
        <w:rPr>
          <w:rFonts w:cs="Arial"/>
          <w:sz w:val="22"/>
          <w:szCs w:val="22"/>
        </w:rPr>
        <w:t>ME-0</w:t>
      </w:r>
      <w:r w:rsidR="00A92DC3">
        <w:rPr>
          <w:rFonts w:cs="Arial"/>
          <w:sz w:val="22"/>
          <w:szCs w:val="22"/>
        </w:rPr>
        <w:t>435</w:t>
      </w:r>
      <w:r w:rsidRPr="000C1E79">
        <w:rPr>
          <w:rFonts w:cs="Arial"/>
          <w:sz w:val="22"/>
          <w:szCs w:val="22"/>
        </w:rPr>
        <w:t xml:space="preserve">-2022 del </w:t>
      </w:r>
      <w:r w:rsidR="00A92DC3">
        <w:rPr>
          <w:rFonts w:cs="Arial"/>
          <w:sz w:val="22"/>
          <w:szCs w:val="22"/>
        </w:rPr>
        <w:t>06 de abril</w:t>
      </w:r>
      <w:r w:rsidRPr="000C1E79">
        <w:rPr>
          <w:rFonts w:cs="Arial"/>
          <w:sz w:val="22"/>
          <w:szCs w:val="22"/>
        </w:rPr>
        <w:t xml:space="preserve"> de 2022, la Gerencia General avala y somete a la consideración de esta Junta Directiva el informe DF-OF-03</w:t>
      </w:r>
      <w:r w:rsidR="00A92DC3">
        <w:rPr>
          <w:rFonts w:cs="Arial"/>
          <w:sz w:val="22"/>
          <w:szCs w:val="22"/>
        </w:rPr>
        <w:t>7</w:t>
      </w:r>
      <w:r w:rsidRPr="000C1E79">
        <w:rPr>
          <w:rFonts w:cs="Arial"/>
          <w:sz w:val="22"/>
          <w:szCs w:val="22"/>
        </w:rPr>
        <w:t>4-2022/SGO-OF-01</w:t>
      </w:r>
      <w:r w:rsidR="00A92DC3">
        <w:rPr>
          <w:rFonts w:cs="Arial"/>
          <w:sz w:val="22"/>
          <w:szCs w:val="22"/>
        </w:rPr>
        <w:t>45</w:t>
      </w:r>
      <w:r w:rsidRPr="000C1E79">
        <w:rPr>
          <w:rFonts w:cs="Arial"/>
          <w:sz w:val="22"/>
          <w:szCs w:val="22"/>
        </w:rPr>
        <w:t>-2022 de la Dirección FOSUVI y la Subgerencia de Operaciones, que contiene los resultados del estudio realizado a la solicitud de</w:t>
      </w:r>
      <w:r w:rsidR="00176A10">
        <w:rPr>
          <w:rFonts w:cs="Arial"/>
          <w:sz w:val="22"/>
          <w:szCs w:val="22"/>
        </w:rPr>
        <w:t xml:space="preserve">l </w:t>
      </w:r>
      <w:r w:rsidR="00176A10" w:rsidRPr="00176A10">
        <w:rPr>
          <w:rFonts w:cs="Arial"/>
          <w:sz w:val="22"/>
          <w:szCs w:val="22"/>
        </w:rPr>
        <w:t>Instituto Nacional de Vivienda y Urbanismo (INVU)</w:t>
      </w:r>
      <w:r w:rsidR="00176A10">
        <w:rPr>
          <w:rFonts w:cs="Arial"/>
          <w:sz w:val="22"/>
          <w:szCs w:val="22"/>
        </w:rPr>
        <w:t>,</w:t>
      </w:r>
      <w:r w:rsidRPr="000C1E79">
        <w:rPr>
          <w:rFonts w:cs="Arial"/>
          <w:sz w:val="22"/>
          <w:szCs w:val="22"/>
        </w:rPr>
        <w:t xml:space="preserve"> para</w:t>
      </w:r>
      <w:r w:rsidRPr="000C1E79">
        <w:rPr>
          <w:rFonts w:cs="Arial"/>
          <w:sz w:val="22"/>
          <w:szCs w:val="22"/>
          <w:lang w:val="es-ES_tradnl"/>
        </w:rPr>
        <w:t xml:space="preserve"> financiar</w:t>
      </w:r>
      <w:r w:rsidRPr="000C1E79">
        <w:rPr>
          <w:rFonts w:cs="Arial"/>
          <w:sz w:val="22"/>
          <w:szCs w:val="22"/>
        </w:rPr>
        <w:t xml:space="preserve">, al amparo del artículo 59 de la Ley del Sistema Financiero Nacional para la Vivienda, actividades adicionales no contempladas originalmente en el proyecto habitacional </w:t>
      </w:r>
      <w:r w:rsidR="00176A10" w:rsidRPr="00176A10">
        <w:rPr>
          <w:rFonts w:cs="Arial"/>
          <w:sz w:val="22"/>
          <w:szCs w:val="22"/>
        </w:rPr>
        <w:t>Hojancha, ubicado en el distrito y cantón de Hojancha, provincia de Guanacaste, y aprobado con el acuerdo N° 1 de la sesión 80-2015 del 17 de diciembre de 2015</w:t>
      </w:r>
      <w:r w:rsidRPr="000C1E79">
        <w:rPr>
          <w:rFonts w:cs="Arial"/>
          <w:sz w:val="22"/>
          <w:szCs w:val="22"/>
        </w:rPr>
        <w:t>.</w:t>
      </w:r>
    </w:p>
    <w:p w14:paraId="31944568" w14:textId="77777777" w:rsidR="000C1E79" w:rsidRPr="000C1E79" w:rsidRDefault="000C1E79" w:rsidP="000C1E79">
      <w:pPr>
        <w:spacing w:line="360" w:lineRule="auto"/>
        <w:jc w:val="both"/>
        <w:rPr>
          <w:rFonts w:cs="Arial"/>
          <w:b/>
          <w:sz w:val="22"/>
          <w:szCs w:val="22"/>
        </w:rPr>
      </w:pPr>
    </w:p>
    <w:p w14:paraId="203768F2" w14:textId="709CC142" w:rsidR="000C1E79" w:rsidRPr="000C1E79" w:rsidRDefault="000C1E79" w:rsidP="000C1E79">
      <w:pPr>
        <w:spacing w:line="360" w:lineRule="auto"/>
        <w:jc w:val="both"/>
        <w:rPr>
          <w:rFonts w:cs="Arial"/>
          <w:sz w:val="22"/>
          <w:szCs w:val="22"/>
          <w:lang w:val="es-ES_tradnl"/>
        </w:rPr>
      </w:pPr>
      <w:r w:rsidRPr="000C1E79">
        <w:rPr>
          <w:rFonts w:cs="Arial"/>
          <w:b/>
          <w:sz w:val="22"/>
          <w:szCs w:val="22"/>
          <w:lang w:val="es-ES_tradnl"/>
        </w:rPr>
        <w:t>Segundo:</w:t>
      </w:r>
      <w:r w:rsidRPr="000C1E79">
        <w:rPr>
          <w:rFonts w:cs="Arial"/>
          <w:sz w:val="22"/>
          <w:szCs w:val="22"/>
          <w:lang w:val="es-ES_tradnl"/>
        </w:rPr>
        <w:t xml:space="preserve"> </w:t>
      </w:r>
      <w:proofErr w:type="gramStart"/>
      <w:r w:rsidRPr="000C1E79">
        <w:rPr>
          <w:rFonts w:cs="Arial"/>
          <w:sz w:val="22"/>
          <w:szCs w:val="22"/>
          <w:lang w:val="es-ES_tradnl"/>
        </w:rPr>
        <w:t>Que</w:t>
      </w:r>
      <w:proofErr w:type="gramEnd"/>
      <w:r w:rsidRPr="000C1E79">
        <w:rPr>
          <w:rFonts w:cs="Arial"/>
          <w:sz w:val="22"/>
          <w:szCs w:val="22"/>
          <w:lang w:val="es-ES_tradnl"/>
        </w:rPr>
        <w:t xml:space="preserve"> en dicho informe, la Dirección FOSUVI analiza y finalmente se manifiesta a favor de acoger la solicitud de la entidad autorizada, en el sentido de aprobar un financiamiento adicional por la suma de ¢</w:t>
      </w:r>
      <w:r w:rsidR="00A92DC3">
        <w:rPr>
          <w:rFonts w:cs="Arial"/>
          <w:sz w:val="22"/>
          <w:szCs w:val="22"/>
          <w:lang w:val="es-ES_tradnl"/>
        </w:rPr>
        <w:t>56</w:t>
      </w:r>
      <w:r w:rsidRPr="000C1E79">
        <w:rPr>
          <w:rFonts w:cs="Arial"/>
          <w:sz w:val="22"/>
          <w:szCs w:val="22"/>
          <w:lang w:val="es-ES_tradnl"/>
        </w:rPr>
        <w:t>.9</w:t>
      </w:r>
      <w:r w:rsidR="00567C40">
        <w:rPr>
          <w:rFonts w:cs="Arial"/>
          <w:sz w:val="22"/>
          <w:szCs w:val="22"/>
          <w:lang w:val="es-ES_tradnl"/>
        </w:rPr>
        <w:t>4</w:t>
      </w:r>
      <w:r w:rsidR="00A92DC3">
        <w:rPr>
          <w:rFonts w:cs="Arial"/>
          <w:sz w:val="22"/>
          <w:szCs w:val="22"/>
          <w:lang w:val="es-ES_tradnl"/>
        </w:rPr>
        <w:t>6</w:t>
      </w:r>
      <w:r w:rsidRPr="000C1E79">
        <w:rPr>
          <w:rFonts w:cs="Arial"/>
          <w:sz w:val="22"/>
          <w:szCs w:val="22"/>
          <w:lang w:val="es-ES_tradnl"/>
        </w:rPr>
        <w:t>.</w:t>
      </w:r>
      <w:r w:rsidR="00A92DC3">
        <w:rPr>
          <w:rFonts w:cs="Arial"/>
          <w:sz w:val="22"/>
          <w:szCs w:val="22"/>
          <w:lang w:val="es-ES_tradnl"/>
        </w:rPr>
        <w:t>322</w:t>
      </w:r>
      <w:r w:rsidRPr="000C1E79">
        <w:rPr>
          <w:rFonts w:cs="Arial"/>
          <w:sz w:val="22"/>
          <w:szCs w:val="22"/>
          <w:lang w:val="es-ES_tradnl"/>
        </w:rPr>
        <w:t>,</w:t>
      </w:r>
      <w:r w:rsidR="00A92DC3">
        <w:rPr>
          <w:rFonts w:cs="Arial"/>
          <w:sz w:val="22"/>
          <w:szCs w:val="22"/>
          <w:lang w:val="es-ES_tradnl"/>
        </w:rPr>
        <w:t>98</w:t>
      </w:r>
      <w:r w:rsidRPr="000C1E79">
        <w:rPr>
          <w:rFonts w:cs="Arial"/>
          <w:sz w:val="22"/>
          <w:szCs w:val="22"/>
          <w:lang w:val="es-ES_tradnl"/>
        </w:rPr>
        <w:t>, debido al aumento de precios de las obras constructivas. Lo</w:t>
      </w:r>
      <w:r w:rsidRPr="000C1E79">
        <w:rPr>
          <w:rFonts w:cs="Arial"/>
          <w:sz w:val="22"/>
          <w:szCs w:val="22"/>
          <w:lang w:val="es-CR"/>
        </w:rPr>
        <w:t xml:space="preserve"> </w:t>
      </w:r>
      <w:r w:rsidRPr="000C1E79">
        <w:rPr>
          <w:rFonts w:cs="Arial"/>
          <w:sz w:val="22"/>
          <w:szCs w:val="22"/>
          <w:lang w:val="es-ES_tradnl"/>
        </w:rPr>
        <w:t>anterior, según lo dictaminado por el Departamento Técnico.</w:t>
      </w:r>
    </w:p>
    <w:p w14:paraId="08C1CE4E" w14:textId="77777777" w:rsidR="000C1E79" w:rsidRPr="000C1E79" w:rsidRDefault="000C1E79" w:rsidP="000C1E79">
      <w:pPr>
        <w:spacing w:line="360" w:lineRule="auto"/>
        <w:jc w:val="both"/>
        <w:rPr>
          <w:rFonts w:cs="Arial"/>
          <w:sz w:val="22"/>
          <w:szCs w:val="22"/>
          <w:lang w:val="es-ES_tradnl"/>
        </w:rPr>
      </w:pPr>
    </w:p>
    <w:p w14:paraId="0E143744" w14:textId="78E0F14E" w:rsidR="000C1E79" w:rsidRPr="000C1E79" w:rsidRDefault="000C1E79" w:rsidP="000C1E79">
      <w:pPr>
        <w:spacing w:line="360" w:lineRule="auto"/>
        <w:jc w:val="both"/>
        <w:rPr>
          <w:rFonts w:cs="Arial"/>
          <w:sz w:val="22"/>
          <w:szCs w:val="22"/>
          <w:lang w:val="es-ES_tradnl"/>
        </w:rPr>
      </w:pPr>
      <w:r w:rsidRPr="000C1E79">
        <w:rPr>
          <w:rFonts w:cs="Arial"/>
          <w:b/>
          <w:sz w:val="22"/>
          <w:szCs w:val="22"/>
        </w:rPr>
        <w:t>Tercero:</w:t>
      </w:r>
      <w:r w:rsidRPr="000C1E79">
        <w:rPr>
          <w:rFonts w:cs="Arial"/>
          <w:sz w:val="22"/>
          <w:szCs w:val="22"/>
        </w:rPr>
        <w:t xml:space="preserve"> Que con base en las justificaciones expuestas por la Dirección FOSUVI y la Subgerencia de Operaciones, esta Junta Directiva estima pertinente actuar de la forma que recomienda la Administración y, en consecuencia, lo que procede es modificar los parámetros del financiamiento otorgado a</w:t>
      </w:r>
      <w:r w:rsidR="00930C86">
        <w:rPr>
          <w:rFonts w:cs="Arial"/>
          <w:sz w:val="22"/>
          <w:szCs w:val="22"/>
        </w:rPr>
        <w:t>l INVU</w:t>
      </w:r>
      <w:r w:rsidRPr="000C1E79">
        <w:rPr>
          <w:rFonts w:cs="Arial"/>
          <w:sz w:val="22"/>
          <w:szCs w:val="22"/>
        </w:rPr>
        <w:t xml:space="preserve"> para el referido proyecto de vivienda, en los mismos términos propuestos por la Dirección FOSUVI y la Subgerencia de Operaciones en el informe DF-OF-03</w:t>
      </w:r>
      <w:r w:rsidR="00A92DC3">
        <w:rPr>
          <w:rFonts w:cs="Arial"/>
          <w:sz w:val="22"/>
          <w:szCs w:val="22"/>
        </w:rPr>
        <w:t>74</w:t>
      </w:r>
      <w:r w:rsidRPr="000C1E79">
        <w:rPr>
          <w:rFonts w:cs="Arial"/>
          <w:sz w:val="22"/>
          <w:szCs w:val="22"/>
        </w:rPr>
        <w:t>-2022/SGO-OF-01</w:t>
      </w:r>
      <w:r w:rsidR="00A92DC3">
        <w:rPr>
          <w:rFonts w:cs="Arial"/>
          <w:sz w:val="22"/>
          <w:szCs w:val="22"/>
        </w:rPr>
        <w:t>45</w:t>
      </w:r>
      <w:r w:rsidRPr="000C1E79">
        <w:rPr>
          <w:rFonts w:cs="Arial"/>
          <w:sz w:val="22"/>
          <w:szCs w:val="22"/>
        </w:rPr>
        <w:t>-2022</w:t>
      </w:r>
      <w:r w:rsidRPr="000C1E79">
        <w:rPr>
          <w:rFonts w:cs="Arial"/>
          <w:sz w:val="22"/>
          <w:szCs w:val="22"/>
          <w:lang w:val="es-ES_tradnl"/>
        </w:rPr>
        <w:t>.</w:t>
      </w:r>
    </w:p>
    <w:p w14:paraId="3898F6A2" w14:textId="77777777" w:rsidR="000C1E79" w:rsidRPr="000C1E79" w:rsidRDefault="000C1E79" w:rsidP="000C1E79">
      <w:pPr>
        <w:spacing w:line="360" w:lineRule="auto"/>
        <w:jc w:val="both"/>
        <w:rPr>
          <w:rFonts w:cs="Arial"/>
          <w:sz w:val="22"/>
          <w:szCs w:val="22"/>
          <w:lang w:val="es-ES_tradnl"/>
        </w:rPr>
      </w:pPr>
    </w:p>
    <w:p w14:paraId="5F3A70E7" w14:textId="77777777" w:rsidR="000C1E79" w:rsidRPr="000C1E79" w:rsidRDefault="000C1E79" w:rsidP="000C1E79">
      <w:pPr>
        <w:spacing w:line="360" w:lineRule="auto"/>
        <w:jc w:val="both"/>
        <w:rPr>
          <w:rFonts w:cs="Arial"/>
          <w:b/>
          <w:sz w:val="22"/>
          <w:szCs w:val="22"/>
        </w:rPr>
      </w:pPr>
      <w:r w:rsidRPr="000C1E79">
        <w:rPr>
          <w:rFonts w:cs="Arial"/>
          <w:b/>
          <w:sz w:val="22"/>
          <w:szCs w:val="22"/>
        </w:rPr>
        <w:t>Por tanto, se acuerda:</w:t>
      </w:r>
    </w:p>
    <w:p w14:paraId="600A35C4" w14:textId="774BAFE9" w:rsidR="000C1E79" w:rsidRDefault="0029712F" w:rsidP="000C1E79">
      <w:pPr>
        <w:spacing w:line="360" w:lineRule="auto"/>
        <w:jc w:val="both"/>
        <w:rPr>
          <w:rFonts w:cs="Arial"/>
          <w:sz w:val="22"/>
          <w:szCs w:val="22"/>
          <w:lang w:val="es-ES_tradnl"/>
        </w:rPr>
      </w:pPr>
      <w:r w:rsidRPr="0029712F">
        <w:rPr>
          <w:rFonts w:cs="Arial"/>
          <w:b/>
          <w:bCs/>
          <w:sz w:val="22"/>
          <w:szCs w:val="22"/>
          <w:lang w:val="es-ES_tradnl"/>
        </w:rPr>
        <w:lastRenderedPageBreak/>
        <w:t>1)</w:t>
      </w:r>
      <w:r>
        <w:rPr>
          <w:rFonts w:cs="Arial"/>
          <w:sz w:val="22"/>
          <w:szCs w:val="22"/>
          <w:lang w:val="es-ES_tradnl"/>
        </w:rPr>
        <w:t xml:space="preserve"> </w:t>
      </w:r>
      <w:r w:rsidR="000C1E79" w:rsidRPr="000C1E79">
        <w:rPr>
          <w:rFonts w:cs="Arial"/>
          <w:sz w:val="22"/>
          <w:szCs w:val="22"/>
          <w:lang w:val="es-ES_tradnl"/>
        </w:rPr>
        <w:t xml:space="preserve">Autorizar al </w:t>
      </w:r>
      <w:r w:rsidR="00930C86" w:rsidRPr="00930C86">
        <w:rPr>
          <w:rFonts w:cs="Arial"/>
          <w:sz w:val="22"/>
          <w:szCs w:val="22"/>
          <w:lang w:val="es-ES_tradnl"/>
        </w:rPr>
        <w:t>Instituto Nacional de Vivienda y Urbanismo</w:t>
      </w:r>
      <w:r w:rsidR="000C1E79" w:rsidRPr="000C1E79">
        <w:rPr>
          <w:rFonts w:cs="Arial"/>
          <w:sz w:val="22"/>
          <w:szCs w:val="22"/>
          <w:lang w:val="es-ES_tradnl"/>
        </w:rPr>
        <w:t xml:space="preserve">, para el proyecto </w:t>
      </w:r>
      <w:r w:rsidR="0085672A">
        <w:rPr>
          <w:rFonts w:cs="Arial"/>
          <w:sz w:val="22"/>
          <w:szCs w:val="22"/>
          <w:lang w:val="es-ES_tradnl"/>
        </w:rPr>
        <w:t xml:space="preserve">de vivienda </w:t>
      </w:r>
      <w:r w:rsidR="00930C86">
        <w:rPr>
          <w:rFonts w:cs="Arial"/>
          <w:sz w:val="22"/>
          <w:szCs w:val="22"/>
          <w:lang w:val="es-ES_tradnl"/>
        </w:rPr>
        <w:t>Hojancha</w:t>
      </w:r>
      <w:r w:rsidR="000C1E79" w:rsidRPr="000C1E79">
        <w:rPr>
          <w:rFonts w:cs="Arial"/>
          <w:sz w:val="22"/>
          <w:szCs w:val="22"/>
          <w:lang w:val="es-ES_tradnl"/>
        </w:rPr>
        <w:t xml:space="preserve">, </w:t>
      </w:r>
      <w:r w:rsidR="000C1E79" w:rsidRPr="000C1E79">
        <w:rPr>
          <w:rFonts w:cs="Arial"/>
          <w:sz w:val="22"/>
          <w:szCs w:val="22"/>
          <w:lang w:val="es-CR"/>
        </w:rPr>
        <w:t xml:space="preserve">un financiamiento adicional de </w:t>
      </w:r>
      <w:r w:rsidR="000C1E79" w:rsidRPr="000C1E79">
        <w:rPr>
          <w:rFonts w:cs="Arial"/>
          <w:b/>
          <w:bCs/>
          <w:sz w:val="22"/>
          <w:szCs w:val="22"/>
          <w:lang w:val="es-ES_tradnl"/>
        </w:rPr>
        <w:t>¢</w:t>
      </w:r>
      <w:r w:rsidR="00A92DC3">
        <w:rPr>
          <w:rFonts w:cs="Arial"/>
          <w:b/>
          <w:bCs/>
          <w:sz w:val="22"/>
          <w:szCs w:val="22"/>
          <w:lang w:val="es-ES_tradnl"/>
        </w:rPr>
        <w:t>56</w:t>
      </w:r>
      <w:r w:rsidR="000C1E79" w:rsidRPr="000C1E79">
        <w:rPr>
          <w:rFonts w:cs="Arial"/>
          <w:b/>
          <w:bCs/>
          <w:sz w:val="22"/>
          <w:szCs w:val="22"/>
          <w:lang w:val="es-ES_tradnl"/>
        </w:rPr>
        <w:t>.9</w:t>
      </w:r>
      <w:r w:rsidR="00A41CCA">
        <w:rPr>
          <w:rFonts w:cs="Arial"/>
          <w:b/>
          <w:bCs/>
          <w:sz w:val="22"/>
          <w:szCs w:val="22"/>
          <w:lang w:val="es-ES_tradnl"/>
        </w:rPr>
        <w:t>4</w:t>
      </w:r>
      <w:r w:rsidR="00A92DC3">
        <w:rPr>
          <w:rFonts w:cs="Arial"/>
          <w:b/>
          <w:bCs/>
          <w:sz w:val="22"/>
          <w:szCs w:val="22"/>
          <w:lang w:val="es-ES_tradnl"/>
        </w:rPr>
        <w:t>6</w:t>
      </w:r>
      <w:r w:rsidR="000C1E79" w:rsidRPr="000C1E79">
        <w:rPr>
          <w:rFonts w:cs="Arial"/>
          <w:b/>
          <w:bCs/>
          <w:sz w:val="22"/>
          <w:szCs w:val="22"/>
          <w:lang w:val="es-ES_tradnl"/>
        </w:rPr>
        <w:t>.</w:t>
      </w:r>
      <w:r w:rsidR="00A92DC3">
        <w:rPr>
          <w:rFonts w:cs="Arial"/>
          <w:b/>
          <w:bCs/>
          <w:sz w:val="22"/>
          <w:szCs w:val="22"/>
          <w:lang w:val="es-ES_tradnl"/>
        </w:rPr>
        <w:t>322,98</w:t>
      </w:r>
      <w:r w:rsidR="000C1E79" w:rsidRPr="000C1E79">
        <w:rPr>
          <w:rFonts w:cs="Arial"/>
          <w:sz w:val="22"/>
          <w:szCs w:val="22"/>
          <w:lang w:val="es-ES_tradnl"/>
        </w:rPr>
        <w:t xml:space="preserve"> (c</w:t>
      </w:r>
      <w:r w:rsidR="00A92DC3">
        <w:rPr>
          <w:rFonts w:cs="Arial"/>
          <w:sz w:val="22"/>
          <w:szCs w:val="22"/>
          <w:lang w:val="es-ES_tradnl"/>
        </w:rPr>
        <w:t xml:space="preserve">incuenta y seis </w:t>
      </w:r>
      <w:r w:rsidR="000C1E79" w:rsidRPr="000C1E79">
        <w:rPr>
          <w:rFonts w:cs="Arial"/>
          <w:sz w:val="22"/>
          <w:szCs w:val="22"/>
          <w:lang w:val="es-ES_tradnl"/>
        </w:rPr>
        <w:t xml:space="preserve">millones novecientos </w:t>
      </w:r>
      <w:r w:rsidR="00A41CCA">
        <w:rPr>
          <w:rFonts w:cs="Arial"/>
          <w:sz w:val="22"/>
          <w:szCs w:val="22"/>
          <w:lang w:val="es-ES_tradnl"/>
        </w:rPr>
        <w:t>cuarenta y seis</w:t>
      </w:r>
      <w:r w:rsidR="00A92DC3">
        <w:rPr>
          <w:rFonts w:cs="Arial"/>
          <w:sz w:val="22"/>
          <w:szCs w:val="22"/>
          <w:lang w:val="es-ES_tradnl"/>
        </w:rPr>
        <w:t xml:space="preserve"> mil trescientos veintidós </w:t>
      </w:r>
      <w:r w:rsidR="000C1E79" w:rsidRPr="000C1E79">
        <w:rPr>
          <w:rFonts w:cs="Arial"/>
          <w:sz w:val="22"/>
          <w:szCs w:val="22"/>
          <w:lang w:val="es-ES_tradnl"/>
        </w:rPr>
        <w:t xml:space="preserve">colones con </w:t>
      </w:r>
      <w:r w:rsidR="00A92DC3">
        <w:rPr>
          <w:rFonts w:cs="Arial"/>
          <w:sz w:val="22"/>
          <w:szCs w:val="22"/>
          <w:lang w:val="es-ES_tradnl"/>
        </w:rPr>
        <w:t>98</w:t>
      </w:r>
      <w:r w:rsidR="000C1E79" w:rsidRPr="000C1E79">
        <w:rPr>
          <w:rFonts w:cs="Arial"/>
          <w:sz w:val="22"/>
          <w:szCs w:val="22"/>
          <w:lang w:val="es-ES_tradnl"/>
        </w:rPr>
        <w:t>/100)</w:t>
      </w:r>
      <w:r w:rsidR="000C1E79" w:rsidRPr="000C1E79">
        <w:rPr>
          <w:rFonts w:cs="Arial"/>
          <w:sz w:val="22"/>
          <w:szCs w:val="22"/>
          <w:lang w:val="es-CR"/>
        </w:rPr>
        <w:t>, para cubrir los costos asociados al aumento de precios de</w:t>
      </w:r>
      <w:r w:rsidR="0085672A">
        <w:rPr>
          <w:rFonts w:cs="Arial"/>
          <w:sz w:val="22"/>
          <w:szCs w:val="22"/>
          <w:lang w:val="es-CR"/>
        </w:rPr>
        <w:t>l proyecto</w:t>
      </w:r>
      <w:r w:rsidR="000C1E79" w:rsidRPr="000C1E79">
        <w:rPr>
          <w:rFonts w:cs="Arial"/>
          <w:sz w:val="22"/>
          <w:szCs w:val="22"/>
          <w:lang w:val="es-ES_tradnl"/>
        </w:rPr>
        <w:t>.</w:t>
      </w:r>
    </w:p>
    <w:p w14:paraId="3E6F49FF" w14:textId="4E76A2F6" w:rsidR="0029712F" w:rsidRDefault="0029712F" w:rsidP="000C1E79">
      <w:pPr>
        <w:spacing w:line="360" w:lineRule="auto"/>
        <w:jc w:val="both"/>
        <w:rPr>
          <w:rFonts w:cs="Arial"/>
          <w:sz w:val="22"/>
          <w:szCs w:val="22"/>
          <w:lang w:val="es-ES_tradnl"/>
        </w:rPr>
      </w:pPr>
    </w:p>
    <w:p w14:paraId="407BDB7B" w14:textId="28171D8B" w:rsidR="0029712F" w:rsidRPr="000C1E79" w:rsidRDefault="0029712F" w:rsidP="000C1E79">
      <w:pPr>
        <w:spacing w:line="360" w:lineRule="auto"/>
        <w:jc w:val="both"/>
        <w:rPr>
          <w:rFonts w:cs="Arial"/>
          <w:sz w:val="22"/>
          <w:szCs w:val="22"/>
          <w:lang w:val="es-CR"/>
        </w:rPr>
      </w:pPr>
      <w:r w:rsidRPr="0029712F">
        <w:rPr>
          <w:rFonts w:cs="Arial"/>
          <w:b/>
          <w:bCs/>
          <w:sz w:val="22"/>
          <w:szCs w:val="22"/>
          <w:lang w:val="es-ES_tradnl"/>
        </w:rPr>
        <w:t>2)</w:t>
      </w:r>
      <w:r>
        <w:rPr>
          <w:rFonts w:cs="Arial"/>
          <w:sz w:val="22"/>
          <w:szCs w:val="22"/>
          <w:lang w:val="es-ES_tradnl"/>
        </w:rPr>
        <w:t xml:space="preserve"> Dicho monto deberá incorporarse al respectivo contrato de administración de recursos.</w:t>
      </w:r>
    </w:p>
    <w:p w14:paraId="63495C8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6FCF1C" w14:textId="77777777" w:rsidR="002B71CC" w:rsidRPr="00D14EAF" w:rsidRDefault="002B71CC" w:rsidP="002B71CC">
      <w:pPr>
        <w:spacing w:line="360" w:lineRule="auto"/>
        <w:jc w:val="both"/>
        <w:rPr>
          <w:rFonts w:cs="Arial"/>
          <w:b/>
          <w:sz w:val="22"/>
        </w:rPr>
      </w:pPr>
      <w:r w:rsidRPr="00D14EAF">
        <w:rPr>
          <w:rFonts w:cs="Arial"/>
          <w:b/>
          <w:sz w:val="22"/>
        </w:rPr>
        <w:t>************</w:t>
      </w:r>
    </w:p>
    <w:p w14:paraId="2C6928C2" w14:textId="77777777" w:rsidR="002B71CC" w:rsidRDefault="002B71CC" w:rsidP="002B71CC">
      <w:pPr>
        <w:spacing w:line="360" w:lineRule="auto"/>
        <w:jc w:val="both"/>
        <w:rPr>
          <w:rFonts w:cs="Arial"/>
          <w:sz w:val="22"/>
          <w:lang w:val="es-ES_tradnl"/>
        </w:rPr>
      </w:pPr>
    </w:p>
    <w:p w14:paraId="594D6E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32E1056" w14:textId="77777777" w:rsidR="00166C02" w:rsidRPr="00166C02" w:rsidRDefault="00166C02" w:rsidP="00166C02">
      <w:pPr>
        <w:spacing w:line="360" w:lineRule="auto"/>
        <w:jc w:val="both"/>
        <w:rPr>
          <w:rFonts w:cs="Arial"/>
          <w:b/>
          <w:bCs/>
          <w:sz w:val="22"/>
          <w:szCs w:val="22"/>
        </w:rPr>
      </w:pPr>
      <w:r w:rsidRPr="00166C02">
        <w:rPr>
          <w:rFonts w:cs="Arial"/>
          <w:b/>
          <w:bCs/>
          <w:sz w:val="22"/>
          <w:szCs w:val="22"/>
        </w:rPr>
        <w:t>Considerando:</w:t>
      </w:r>
    </w:p>
    <w:p w14:paraId="7B34858E" w14:textId="04542116" w:rsidR="0059293C" w:rsidRDefault="00166C02" w:rsidP="0059293C">
      <w:pPr>
        <w:spacing w:line="360" w:lineRule="auto"/>
        <w:jc w:val="both"/>
        <w:rPr>
          <w:rFonts w:cs="Arial"/>
          <w:sz w:val="22"/>
          <w:szCs w:val="22"/>
        </w:rPr>
      </w:pPr>
      <w:r w:rsidRPr="00166C02">
        <w:rPr>
          <w:rFonts w:cs="Arial"/>
          <w:b/>
          <w:sz w:val="22"/>
          <w:szCs w:val="22"/>
        </w:rPr>
        <w:t>Primero:</w:t>
      </w:r>
      <w:r w:rsidRPr="00166C02">
        <w:rPr>
          <w:rFonts w:cs="Arial"/>
          <w:sz w:val="22"/>
          <w:szCs w:val="22"/>
        </w:rPr>
        <w:t xml:space="preserve"> Que de conformidad con lo establecido en el artículo 75, inciso f), de la Ley del Sistema Financiero Nacional para la Vivienda y por medio del oficio C-0</w:t>
      </w:r>
      <w:r w:rsidR="00226F09">
        <w:rPr>
          <w:rFonts w:cs="Arial"/>
          <w:sz w:val="22"/>
          <w:szCs w:val="22"/>
        </w:rPr>
        <w:t>1</w:t>
      </w:r>
      <w:r w:rsidRPr="00166C02">
        <w:rPr>
          <w:rFonts w:cs="Arial"/>
          <w:sz w:val="22"/>
          <w:szCs w:val="22"/>
        </w:rPr>
        <w:t>5-</w:t>
      </w:r>
      <w:r w:rsidR="00226F09">
        <w:rPr>
          <w:rFonts w:cs="Arial"/>
          <w:sz w:val="22"/>
          <w:szCs w:val="22"/>
        </w:rPr>
        <w:t>DE</w:t>
      </w:r>
      <w:r w:rsidRPr="00166C02">
        <w:rPr>
          <w:rFonts w:cs="Arial"/>
          <w:sz w:val="22"/>
          <w:szCs w:val="22"/>
        </w:rPr>
        <w:t>-</w:t>
      </w:r>
      <w:r w:rsidR="00226F09">
        <w:rPr>
          <w:rFonts w:cs="Arial"/>
          <w:sz w:val="22"/>
          <w:szCs w:val="22"/>
        </w:rPr>
        <w:t>21</w:t>
      </w:r>
      <w:r w:rsidRPr="00166C02">
        <w:rPr>
          <w:rFonts w:cs="Arial"/>
          <w:sz w:val="22"/>
          <w:szCs w:val="22"/>
        </w:rPr>
        <w:t xml:space="preserve"> del </w:t>
      </w:r>
      <w:r w:rsidR="00226F09">
        <w:rPr>
          <w:rFonts w:cs="Arial"/>
          <w:sz w:val="22"/>
          <w:szCs w:val="22"/>
        </w:rPr>
        <w:t>17 de diciembre de 2021</w:t>
      </w:r>
      <w:r w:rsidRPr="00166C02">
        <w:rPr>
          <w:rFonts w:cs="Arial"/>
          <w:sz w:val="22"/>
          <w:szCs w:val="22"/>
        </w:rPr>
        <w:t xml:space="preserve">, el Grupo Mutual Alajuela – La Vivienda de Ahorro y Préstamo </w:t>
      </w:r>
      <w:r w:rsidR="0059293C">
        <w:rPr>
          <w:rFonts w:cs="Arial"/>
          <w:sz w:val="22"/>
          <w:szCs w:val="22"/>
        </w:rPr>
        <w:t xml:space="preserve">(Grupo Mutual) </w:t>
      </w:r>
      <w:r w:rsidRPr="00166C02">
        <w:rPr>
          <w:rFonts w:cs="Arial"/>
          <w:sz w:val="22"/>
          <w:szCs w:val="22"/>
        </w:rPr>
        <w:t xml:space="preserve">solicita la autorización de este Banco para el lanzamiento al mercado del producto denominado </w:t>
      </w:r>
      <w:r w:rsidRPr="0059293C">
        <w:rPr>
          <w:rFonts w:cs="Arial"/>
          <w:bCs/>
          <w:i/>
          <w:iCs/>
          <w:sz w:val="22"/>
          <w:szCs w:val="22"/>
        </w:rPr>
        <w:t>Tarjeta de Crédito</w:t>
      </w:r>
      <w:r w:rsidRPr="00226F09">
        <w:rPr>
          <w:rFonts w:cs="Arial"/>
          <w:bCs/>
          <w:sz w:val="22"/>
          <w:szCs w:val="22"/>
        </w:rPr>
        <w:t>,</w:t>
      </w:r>
      <w:r w:rsidRPr="00166C02">
        <w:rPr>
          <w:rFonts w:cs="Arial"/>
          <w:sz w:val="22"/>
          <w:szCs w:val="22"/>
        </w:rPr>
        <w:t xml:space="preserve"> </w:t>
      </w:r>
      <w:r w:rsidR="0059293C">
        <w:rPr>
          <w:rFonts w:cs="Arial"/>
          <w:sz w:val="22"/>
          <w:szCs w:val="22"/>
        </w:rPr>
        <w:t xml:space="preserve">aprobado por su </w:t>
      </w:r>
      <w:r w:rsidR="0059293C" w:rsidRPr="0059293C">
        <w:rPr>
          <w:rFonts w:cs="Arial"/>
          <w:sz w:val="22"/>
          <w:szCs w:val="22"/>
          <w:lang w:val="es-ES_tradnl"/>
        </w:rPr>
        <w:t>Junta Directiva</w:t>
      </w:r>
      <w:r w:rsidR="0059293C">
        <w:rPr>
          <w:rFonts w:cs="Arial"/>
          <w:sz w:val="22"/>
          <w:szCs w:val="22"/>
          <w:lang w:val="es-ES_tradnl"/>
        </w:rPr>
        <w:t xml:space="preserve"> en su sesión N° 54-21 del 15 de noviembre de 2021, y </w:t>
      </w:r>
      <w:r w:rsidRPr="00166C02">
        <w:rPr>
          <w:rFonts w:cs="Arial"/>
          <w:sz w:val="22"/>
          <w:szCs w:val="22"/>
        </w:rPr>
        <w:t xml:space="preserve">para estos efectos remite </w:t>
      </w:r>
      <w:r w:rsidR="0059293C">
        <w:rPr>
          <w:rFonts w:cs="Arial"/>
          <w:sz w:val="22"/>
          <w:szCs w:val="22"/>
        </w:rPr>
        <w:t xml:space="preserve">la </w:t>
      </w:r>
      <w:r w:rsidRPr="00166C02">
        <w:rPr>
          <w:rFonts w:cs="Arial"/>
          <w:sz w:val="22"/>
          <w:szCs w:val="22"/>
        </w:rPr>
        <w:t xml:space="preserve">información </w:t>
      </w:r>
      <w:r w:rsidR="00226F09">
        <w:rPr>
          <w:rFonts w:cs="Arial"/>
          <w:sz w:val="22"/>
          <w:szCs w:val="22"/>
        </w:rPr>
        <w:t>técnica y financiera correspondiente</w:t>
      </w:r>
      <w:r w:rsidR="0059293C">
        <w:rPr>
          <w:rFonts w:cs="Arial"/>
          <w:sz w:val="22"/>
          <w:szCs w:val="22"/>
        </w:rPr>
        <w:t>.</w:t>
      </w:r>
    </w:p>
    <w:p w14:paraId="7D912F76" w14:textId="77777777" w:rsidR="0059293C" w:rsidRDefault="0059293C" w:rsidP="0059293C">
      <w:pPr>
        <w:spacing w:line="360" w:lineRule="auto"/>
        <w:jc w:val="both"/>
        <w:rPr>
          <w:rFonts w:cs="Arial"/>
          <w:sz w:val="22"/>
          <w:szCs w:val="22"/>
        </w:rPr>
      </w:pPr>
    </w:p>
    <w:p w14:paraId="73C9BE72" w14:textId="694CA0FA" w:rsidR="00166C02" w:rsidRDefault="00166C02" w:rsidP="00166C02">
      <w:pPr>
        <w:spacing w:line="360" w:lineRule="auto"/>
        <w:jc w:val="both"/>
        <w:rPr>
          <w:rFonts w:cs="Arial"/>
          <w:sz w:val="22"/>
          <w:szCs w:val="22"/>
        </w:rPr>
      </w:pPr>
      <w:r w:rsidRPr="00166C02">
        <w:rPr>
          <w:rFonts w:cs="Arial"/>
          <w:b/>
          <w:sz w:val="22"/>
          <w:szCs w:val="22"/>
        </w:rPr>
        <w:t>Segundo:</w:t>
      </w:r>
      <w:r w:rsidRPr="00166C02">
        <w:rPr>
          <w:rFonts w:cs="Arial"/>
          <w:sz w:val="22"/>
          <w:szCs w:val="22"/>
        </w:rPr>
        <w:t xml:space="preserve"> Que mediante el oficio D</w:t>
      </w:r>
      <w:r w:rsidR="00674AC7">
        <w:rPr>
          <w:rFonts w:cs="Arial"/>
          <w:sz w:val="22"/>
          <w:szCs w:val="22"/>
        </w:rPr>
        <w:t>FNV</w:t>
      </w:r>
      <w:r w:rsidRPr="00166C02">
        <w:rPr>
          <w:rFonts w:cs="Arial"/>
          <w:sz w:val="22"/>
          <w:szCs w:val="22"/>
        </w:rPr>
        <w:t>-ME-</w:t>
      </w:r>
      <w:r w:rsidR="00674AC7">
        <w:rPr>
          <w:rFonts w:cs="Arial"/>
          <w:sz w:val="22"/>
          <w:szCs w:val="22"/>
        </w:rPr>
        <w:t>153</w:t>
      </w:r>
      <w:r w:rsidRPr="00166C02">
        <w:rPr>
          <w:rFonts w:cs="Arial"/>
          <w:sz w:val="22"/>
          <w:szCs w:val="22"/>
        </w:rPr>
        <w:t>-20</w:t>
      </w:r>
      <w:r w:rsidR="00674AC7">
        <w:rPr>
          <w:rFonts w:cs="Arial"/>
          <w:sz w:val="22"/>
          <w:szCs w:val="22"/>
        </w:rPr>
        <w:t>22</w:t>
      </w:r>
      <w:r w:rsidRPr="00166C02">
        <w:rPr>
          <w:rFonts w:cs="Arial"/>
          <w:sz w:val="22"/>
          <w:szCs w:val="22"/>
        </w:rPr>
        <w:t xml:space="preserve"> del </w:t>
      </w:r>
      <w:r w:rsidR="00674AC7">
        <w:rPr>
          <w:rFonts w:cs="Arial"/>
          <w:sz w:val="22"/>
          <w:szCs w:val="22"/>
        </w:rPr>
        <w:t>06</w:t>
      </w:r>
      <w:r w:rsidRPr="00166C02">
        <w:rPr>
          <w:rFonts w:cs="Arial"/>
          <w:sz w:val="22"/>
          <w:szCs w:val="22"/>
        </w:rPr>
        <w:t xml:space="preserve"> de </w:t>
      </w:r>
      <w:r w:rsidR="00674AC7">
        <w:rPr>
          <w:rFonts w:cs="Arial"/>
          <w:sz w:val="22"/>
          <w:szCs w:val="22"/>
        </w:rPr>
        <w:t>febrero (sic)</w:t>
      </w:r>
      <w:r w:rsidRPr="00166C02">
        <w:rPr>
          <w:rFonts w:cs="Arial"/>
          <w:sz w:val="22"/>
          <w:szCs w:val="22"/>
        </w:rPr>
        <w:t xml:space="preserve"> de 20</w:t>
      </w:r>
      <w:r w:rsidR="00674AC7">
        <w:rPr>
          <w:rFonts w:cs="Arial"/>
          <w:sz w:val="22"/>
          <w:szCs w:val="22"/>
        </w:rPr>
        <w:t>22</w:t>
      </w:r>
      <w:r w:rsidRPr="00166C02">
        <w:rPr>
          <w:rFonts w:cs="Arial"/>
          <w:sz w:val="22"/>
          <w:szCs w:val="22"/>
        </w:rPr>
        <w:t xml:space="preserve"> –avalado en todos sus extremos por la Gerencia General con la nota GG-ME-04</w:t>
      </w:r>
      <w:r w:rsidR="00674AC7">
        <w:rPr>
          <w:rFonts w:cs="Arial"/>
          <w:sz w:val="22"/>
          <w:szCs w:val="22"/>
        </w:rPr>
        <w:t>34</w:t>
      </w:r>
      <w:r w:rsidRPr="00166C02">
        <w:rPr>
          <w:rFonts w:cs="Arial"/>
          <w:sz w:val="22"/>
          <w:szCs w:val="22"/>
        </w:rPr>
        <w:t>-20</w:t>
      </w:r>
      <w:r w:rsidR="00674AC7">
        <w:rPr>
          <w:rFonts w:cs="Arial"/>
          <w:sz w:val="22"/>
          <w:szCs w:val="22"/>
        </w:rPr>
        <w:t>22</w:t>
      </w:r>
      <w:r w:rsidRPr="00166C02">
        <w:rPr>
          <w:rFonts w:cs="Arial"/>
          <w:sz w:val="22"/>
          <w:szCs w:val="22"/>
        </w:rPr>
        <w:t xml:space="preserve"> del </w:t>
      </w:r>
      <w:r w:rsidR="00674AC7">
        <w:rPr>
          <w:rFonts w:cs="Arial"/>
          <w:sz w:val="22"/>
          <w:szCs w:val="22"/>
        </w:rPr>
        <w:t xml:space="preserve">06 de abril </w:t>
      </w:r>
      <w:r w:rsidRPr="00166C02">
        <w:rPr>
          <w:rFonts w:cs="Arial"/>
          <w:sz w:val="22"/>
          <w:szCs w:val="22"/>
        </w:rPr>
        <w:t xml:space="preserve">del presente año– la Dirección </w:t>
      </w:r>
      <w:r w:rsidR="00674AC7">
        <w:rPr>
          <w:rFonts w:cs="Arial"/>
          <w:sz w:val="22"/>
          <w:szCs w:val="22"/>
        </w:rPr>
        <w:t xml:space="preserve">del Fondo Nacional de Vivienda </w:t>
      </w:r>
      <w:r w:rsidRPr="00166C02">
        <w:rPr>
          <w:rFonts w:cs="Arial"/>
          <w:sz w:val="22"/>
          <w:szCs w:val="22"/>
        </w:rPr>
        <w:t xml:space="preserve">presenta los resultados del estudio técnico realizado a la </w:t>
      </w:r>
      <w:r w:rsidR="0059293C">
        <w:rPr>
          <w:rFonts w:cs="Arial"/>
          <w:sz w:val="22"/>
          <w:szCs w:val="22"/>
        </w:rPr>
        <w:t xml:space="preserve">referida </w:t>
      </w:r>
      <w:r w:rsidRPr="00166C02">
        <w:rPr>
          <w:rFonts w:cs="Arial"/>
          <w:sz w:val="22"/>
          <w:szCs w:val="22"/>
        </w:rPr>
        <w:t>solicitud del Grupo Mutual, concluyendo y recomendando lo siguiente:</w:t>
      </w:r>
    </w:p>
    <w:p w14:paraId="01524499" w14:textId="77777777" w:rsidR="00674AC7" w:rsidRPr="00674AC7" w:rsidRDefault="00674AC7" w:rsidP="00674AC7">
      <w:pPr>
        <w:jc w:val="both"/>
        <w:rPr>
          <w:rFonts w:cs="Arial"/>
          <w:sz w:val="22"/>
          <w:szCs w:val="22"/>
          <w:lang w:val="es-CR"/>
        </w:rPr>
      </w:pPr>
    </w:p>
    <w:p w14:paraId="4C1E4F70" w14:textId="69800302" w:rsidR="00674AC7" w:rsidRPr="00674AC7" w:rsidRDefault="00674AC7" w:rsidP="00674AC7">
      <w:pPr>
        <w:jc w:val="both"/>
        <w:rPr>
          <w:rFonts w:cs="Arial"/>
          <w:sz w:val="22"/>
          <w:szCs w:val="22"/>
          <w:lang w:val="es-CR"/>
        </w:rPr>
      </w:pPr>
      <w:r>
        <w:rPr>
          <w:rFonts w:cs="Arial"/>
          <w:sz w:val="22"/>
          <w:szCs w:val="22"/>
          <w:lang w:val="es-CR"/>
        </w:rPr>
        <w:t xml:space="preserve">“1. </w:t>
      </w:r>
      <w:r w:rsidRPr="00674AC7">
        <w:rPr>
          <w:rFonts w:cs="Arial"/>
          <w:sz w:val="22"/>
          <w:szCs w:val="22"/>
          <w:lang w:val="es-CR"/>
        </w:rPr>
        <w:t xml:space="preserve">La introducción de este producto contribuye al logro de los objetivos estratégicos establecidos por Grupo Mutual para el periodo 2020 a 2024, en particular de aquellos relacionados con la transformación digital y el incremento en la rentabilidad de los activos productivos de la Entidad. </w:t>
      </w:r>
    </w:p>
    <w:p w14:paraId="41DA5BD2" w14:textId="77777777" w:rsidR="00674AC7" w:rsidRPr="00674AC7" w:rsidRDefault="00674AC7" w:rsidP="00674AC7">
      <w:pPr>
        <w:jc w:val="both"/>
        <w:rPr>
          <w:rFonts w:cs="Arial"/>
          <w:sz w:val="22"/>
          <w:szCs w:val="22"/>
          <w:lang w:val="es-CR"/>
        </w:rPr>
      </w:pPr>
    </w:p>
    <w:p w14:paraId="71016E50" w14:textId="77777777" w:rsidR="00674AC7" w:rsidRPr="00674AC7" w:rsidRDefault="00674AC7" w:rsidP="00674AC7">
      <w:pPr>
        <w:jc w:val="both"/>
        <w:rPr>
          <w:rFonts w:cs="Arial"/>
          <w:sz w:val="22"/>
          <w:szCs w:val="22"/>
          <w:lang w:val="es-CR"/>
        </w:rPr>
      </w:pPr>
      <w:r w:rsidRPr="00674AC7">
        <w:rPr>
          <w:rFonts w:cs="Arial"/>
          <w:sz w:val="22"/>
          <w:szCs w:val="22"/>
          <w:lang w:val="es-CR"/>
        </w:rPr>
        <w:t xml:space="preserve">2. Efectivamente, el no contar con este tipo de productos expone a la Mutual a una fuga de aquellos clientes que desean centralizar sus operaciones financieras en una única Entidad. </w:t>
      </w:r>
    </w:p>
    <w:p w14:paraId="5EF1E9E6" w14:textId="77777777" w:rsidR="00674AC7" w:rsidRPr="00674AC7" w:rsidRDefault="00674AC7" w:rsidP="00674AC7">
      <w:pPr>
        <w:jc w:val="both"/>
        <w:rPr>
          <w:rFonts w:cs="Arial"/>
          <w:sz w:val="22"/>
          <w:szCs w:val="22"/>
          <w:lang w:val="es-CR"/>
        </w:rPr>
      </w:pPr>
    </w:p>
    <w:p w14:paraId="01A6F9B2" w14:textId="77777777" w:rsidR="00674AC7" w:rsidRPr="00674AC7" w:rsidRDefault="00674AC7" w:rsidP="00674AC7">
      <w:pPr>
        <w:jc w:val="both"/>
        <w:rPr>
          <w:rFonts w:cs="Arial"/>
          <w:sz w:val="22"/>
          <w:szCs w:val="22"/>
          <w:lang w:val="es-CR"/>
        </w:rPr>
      </w:pPr>
      <w:r w:rsidRPr="00674AC7">
        <w:rPr>
          <w:rFonts w:cs="Arial"/>
          <w:sz w:val="22"/>
          <w:szCs w:val="22"/>
          <w:lang w:val="es-CR"/>
        </w:rPr>
        <w:t xml:space="preserve">3. La propuesta de valor de Grupo Mutual para el producto de Tarjeta de Crédito considera, además de los elementos tradicionales para este tipo de productos, algunos diferenciadores como son la APP de Autogestión digital completa por parte del cliente, la funcionalidad para pagos por medio de la tecnología Apple </w:t>
      </w:r>
      <w:proofErr w:type="spellStart"/>
      <w:r w:rsidRPr="00674AC7">
        <w:rPr>
          <w:rFonts w:cs="Arial"/>
          <w:sz w:val="22"/>
          <w:szCs w:val="22"/>
          <w:lang w:val="es-CR"/>
        </w:rPr>
        <w:t>Pay</w:t>
      </w:r>
      <w:proofErr w:type="spellEnd"/>
      <w:r w:rsidRPr="00674AC7">
        <w:rPr>
          <w:rFonts w:cs="Arial"/>
          <w:sz w:val="22"/>
          <w:szCs w:val="22"/>
          <w:lang w:val="es-CR"/>
        </w:rPr>
        <w:t xml:space="preserve"> y las opciones de pago mediante pulseras y </w:t>
      </w:r>
      <w:proofErr w:type="spellStart"/>
      <w:r w:rsidRPr="00674AC7">
        <w:rPr>
          <w:rFonts w:cs="Arial"/>
          <w:sz w:val="22"/>
          <w:szCs w:val="22"/>
          <w:lang w:val="es-CR"/>
        </w:rPr>
        <w:t>stickers</w:t>
      </w:r>
      <w:proofErr w:type="spellEnd"/>
      <w:r w:rsidRPr="00674AC7">
        <w:rPr>
          <w:rFonts w:cs="Arial"/>
          <w:sz w:val="22"/>
          <w:szCs w:val="22"/>
          <w:lang w:val="es-CR"/>
        </w:rPr>
        <w:t xml:space="preserve"> de proximidad; estos elementos podrán implicar una respuesta favorable en la colocación del producto a pesar de que se trata de un mercado muy competitivo. </w:t>
      </w:r>
    </w:p>
    <w:p w14:paraId="7DC5CCAB" w14:textId="77777777" w:rsidR="00674AC7" w:rsidRPr="00674AC7" w:rsidRDefault="00674AC7" w:rsidP="00674AC7">
      <w:pPr>
        <w:jc w:val="both"/>
        <w:rPr>
          <w:rFonts w:cs="Arial"/>
          <w:sz w:val="22"/>
          <w:szCs w:val="22"/>
          <w:lang w:val="es-CR"/>
        </w:rPr>
      </w:pPr>
    </w:p>
    <w:p w14:paraId="2849C65E" w14:textId="77777777" w:rsidR="00674AC7" w:rsidRPr="00674AC7" w:rsidRDefault="00674AC7" w:rsidP="00674AC7">
      <w:pPr>
        <w:jc w:val="both"/>
        <w:rPr>
          <w:rFonts w:cs="Arial"/>
          <w:sz w:val="22"/>
          <w:szCs w:val="22"/>
          <w:lang w:val="es-CR"/>
        </w:rPr>
      </w:pPr>
      <w:r w:rsidRPr="00674AC7">
        <w:rPr>
          <w:rFonts w:cs="Arial"/>
          <w:sz w:val="22"/>
          <w:szCs w:val="22"/>
          <w:lang w:val="es-CR"/>
        </w:rPr>
        <w:t xml:space="preserve">4. La Entidad ha presentado los resultados obtenidos en los estudios de viabilidad tecnológica, organizacional, legal y financiera, así como el análisis de identificación y valoración de riesgos del producto, determinando que el producto es viable y financieramente rentable, generando un aporte positivo a los resultados de la Entidad durante los próximos años. </w:t>
      </w:r>
    </w:p>
    <w:p w14:paraId="314BC81C" w14:textId="77777777" w:rsidR="00674AC7" w:rsidRPr="00674AC7" w:rsidRDefault="00674AC7" w:rsidP="00674AC7">
      <w:pPr>
        <w:jc w:val="both"/>
        <w:rPr>
          <w:rFonts w:cs="Arial"/>
          <w:sz w:val="22"/>
          <w:szCs w:val="22"/>
          <w:lang w:val="es-CR"/>
        </w:rPr>
      </w:pPr>
    </w:p>
    <w:p w14:paraId="4348AA58" w14:textId="77777777" w:rsidR="00674AC7" w:rsidRPr="00674AC7" w:rsidRDefault="00674AC7" w:rsidP="00674AC7">
      <w:pPr>
        <w:jc w:val="both"/>
        <w:rPr>
          <w:rFonts w:cs="Arial"/>
          <w:sz w:val="22"/>
          <w:szCs w:val="22"/>
          <w:lang w:val="es-CR"/>
        </w:rPr>
      </w:pPr>
      <w:r w:rsidRPr="00674AC7">
        <w:rPr>
          <w:rFonts w:cs="Arial"/>
          <w:sz w:val="22"/>
          <w:szCs w:val="22"/>
          <w:lang w:val="es-CR"/>
        </w:rPr>
        <w:t xml:space="preserve">5. El producto que se propone permite la diversificación de la oferta comercial de Grupo Mutual, pero la actividad prioritaria de la Entidad continúa siendo el financiamiento de vivienda; con la introducción de la Tarjeta de Crédito el porcentaje de Cartera de Crédito de Naturaleza no Habitacional se mantiene en niveles alrededor del 32%, por debajo del límite máximo establecido del 40%. </w:t>
      </w:r>
    </w:p>
    <w:p w14:paraId="55BBD972" w14:textId="77777777" w:rsidR="00674AC7" w:rsidRPr="00674AC7" w:rsidRDefault="00674AC7" w:rsidP="00674AC7">
      <w:pPr>
        <w:jc w:val="both"/>
        <w:rPr>
          <w:rFonts w:cs="Arial"/>
          <w:sz w:val="22"/>
          <w:szCs w:val="22"/>
          <w:lang w:val="es-CR"/>
        </w:rPr>
      </w:pPr>
    </w:p>
    <w:p w14:paraId="2291BE56" w14:textId="6203B250" w:rsidR="00674AC7" w:rsidRDefault="00674AC7" w:rsidP="00674AC7">
      <w:pPr>
        <w:jc w:val="both"/>
        <w:rPr>
          <w:rFonts w:cs="Arial"/>
          <w:sz w:val="22"/>
          <w:szCs w:val="22"/>
          <w:lang w:val="es-CR"/>
        </w:rPr>
      </w:pPr>
      <w:r w:rsidRPr="00674AC7">
        <w:rPr>
          <w:rFonts w:cs="Arial"/>
          <w:sz w:val="22"/>
          <w:szCs w:val="22"/>
          <w:lang w:val="es-CR"/>
        </w:rPr>
        <w:t>6. La propuesta presentada por Grupo Mutual para el producto de Tarjeta de Crédito se adapta a las condiciones establecidas en el Reglamento para el Otorgamiento de Créditos de Naturaleza no Habitacional en las Mutuales de Ahorro y Préstamo, en particular en los aspectos asociados a la garantía de las operaciones, el monto máximo de financiamiento por deudor y los sujetos beneficiarios.</w:t>
      </w:r>
    </w:p>
    <w:p w14:paraId="42DC9A3A" w14:textId="77777777" w:rsidR="00674AC7" w:rsidRPr="00674AC7" w:rsidRDefault="00674AC7" w:rsidP="00674AC7">
      <w:pPr>
        <w:jc w:val="both"/>
        <w:rPr>
          <w:rFonts w:cs="Arial"/>
          <w:sz w:val="22"/>
          <w:szCs w:val="22"/>
          <w:lang w:val="es-CR"/>
        </w:rPr>
      </w:pPr>
    </w:p>
    <w:p w14:paraId="41822A81" w14:textId="3EB3663C" w:rsidR="00674AC7" w:rsidRDefault="00674AC7" w:rsidP="00674AC7">
      <w:pPr>
        <w:jc w:val="both"/>
        <w:rPr>
          <w:rFonts w:cs="Arial"/>
          <w:sz w:val="22"/>
          <w:szCs w:val="22"/>
        </w:rPr>
      </w:pPr>
      <w:r w:rsidRPr="00674AC7">
        <w:rPr>
          <w:rFonts w:cs="Arial"/>
          <w:sz w:val="22"/>
          <w:szCs w:val="22"/>
          <w:lang w:val="es-CR"/>
        </w:rPr>
        <w:t>De conformidad con los elementos analizados, esta Dirección no encuentra objeción para la implementación del producto Tarjeta de Crédito por parte de Grupo Mutual y, por tanto, se recomienda brindar la autorización requerida por la Entidad para su introducción, reiterando a la Entidad su responsabilidad de velar por el cumplimiento de los aspectos señalados en el Reglamento para el Otorgamiento de Créditos de Naturaleza no Habitacional en las Mutuales de Ahorro y Préstamo, principalmente en lo relacionado con el monto máximo de financiamiento por deudor y los sujetos beneficiarios.</w:t>
      </w:r>
      <w:r>
        <w:rPr>
          <w:rFonts w:cs="Arial"/>
          <w:sz w:val="22"/>
          <w:szCs w:val="22"/>
          <w:lang w:val="es-CR"/>
        </w:rPr>
        <w:t>”</w:t>
      </w:r>
    </w:p>
    <w:p w14:paraId="4705113E" w14:textId="77777777" w:rsidR="00166C02" w:rsidRPr="00166C02" w:rsidRDefault="00166C02" w:rsidP="00166C02">
      <w:pPr>
        <w:spacing w:line="360" w:lineRule="auto"/>
        <w:jc w:val="both"/>
        <w:rPr>
          <w:rFonts w:cs="Arial"/>
          <w:sz w:val="22"/>
          <w:szCs w:val="22"/>
        </w:rPr>
      </w:pPr>
    </w:p>
    <w:p w14:paraId="0F36E37C" w14:textId="3C4DC3E7" w:rsidR="00166C02" w:rsidRPr="00166C02" w:rsidRDefault="00166C02" w:rsidP="00166C02">
      <w:pPr>
        <w:spacing w:line="360" w:lineRule="auto"/>
        <w:jc w:val="both"/>
        <w:rPr>
          <w:rFonts w:cs="Arial"/>
          <w:iCs/>
          <w:sz w:val="22"/>
          <w:szCs w:val="22"/>
          <w:lang w:val="es-MX"/>
        </w:rPr>
      </w:pPr>
      <w:r w:rsidRPr="00166C02">
        <w:rPr>
          <w:rFonts w:cs="Arial"/>
          <w:b/>
          <w:sz w:val="22"/>
          <w:szCs w:val="22"/>
        </w:rPr>
        <w:t>Tercero:</w:t>
      </w:r>
      <w:r w:rsidRPr="00166C02">
        <w:rPr>
          <w:rFonts w:cs="Arial"/>
          <w:sz w:val="22"/>
          <w:szCs w:val="22"/>
        </w:rPr>
        <w:t xml:space="preserve"> </w:t>
      </w:r>
      <w:proofErr w:type="gramStart"/>
      <w:r w:rsidRPr="00166C02">
        <w:rPr>
          <w:rFonts w:cs="Arial"/>
          <w:sz w:val="22"/>
          <w:szCs w:val="22"/>
        </w:rPr>
        <w:t>Que</w:t>
      </w:r>
      <w:proofErr w:type="gramEnd"/>
      <w:r w:rsidRPr="00166C02">
        <w:rPr>
          <w:rFonts w:cs="Arial"/>
          <w:sz w:val="22"/>
          <w:szCs w:val="22"/>
        </w:rPr>
        <w:t xml:space="preserve"> con vista de la información suministrada por la </w:t>
      </w:r>
      <w:r w:rsidR="00A841F9">
        <w:rPr>
          <w:rFonts w:cs="Arial"/>
          <w:sz w:val="22"/>
          <w:szCs w:val="22"/>
        </w:rPr>
        <w:t xml:space="preserve">Dirección FONAVI, </w:t>
      </w:r>
      <w:r w:rsidRPr="00166C02">
        <w:rPr>
          <w:rFonts w:cs="Arial"/>
          <w:sz w:val="22"/>
          <w:szCs w:val="22"/>
        </w:rPr>
        <w:t xml:space="preserve">esta Junta Directiva considera </w:t>
      </w:r>
      <w:r w:rsidR="00A841F9">
        <w:rPr>
          <w:rFonts w:cs="Arial"/>
          <w:sz w:val="22"/>
          <w:szCs w:val="22"/>
        </w:rPr>
        <w:t xml:space="preserve">pertinente actuar de la forma que recomienda la </w:t>
      </w:r>
      <w:r w:rsidR="00A841F9" w:rsidRPr="00A841F9">
        <w:rPr>
          <w:rFonts w:cs="Arial"/>
          <w:sz w:val="22"/>
          <w:szCs w:val="22"/>
          <w:lang w:val="es-ES_tradnl"/>
        </w:rPr>
        <w:t>Administración</w:t>
      </w:r>
      <w:r w:rsidR="00A841F9">
        <w:rPr>
          <w:rFonts w:cs="Arial"/>
          <w:sz w:val="22"/>
          <w:szCs w:val="22"/>
          <w:lang w:val="es-ES_tradnl"/>
        </w:rPr>
        <w:t>, por lo que de conformidad</w:t>
      </w:r>
      <w:r w:rsidRPr="00166C02">
        <w:rPr>
          <w:rFonts w:cs="Arial"/>
          <w:sz w:val="22"/>
          <w:szCs w:val="22"/>
          <w:lang w:val="es-MX"/>
        </w:rPr>
        <w:t xml:space="preserve"> con </w:t>
      </w:r>
      <w:r w:rsidR="00A841F9">
        <w:rPr>
          <w:rFonts w:cs="Arial"/>
          <w:sz w:val="22"/>
          <w:szCs w:val="22"/>
          <w:lang w:val="es-MX"/>
        </w:rPr>
        <w:t xml:space="preserve">el </w:t>
      </w:r>
      <w:r w:rsidRPr="00166C02">
        <w:rPr>
          <w:rFonts w:cs="Arial"/>
          <w:sz w:val="22"/>
          <w:szCs w:val="22"/>
          <w:lang w:val="es-MX"/>
        </w:rPr>
        <w:t>artículo 75</w:t>
      </w:r>
      <w:r w:rsidR="00A841F9">
        <w:rPr>
          <w:rFonts w:cs="Arial"/>
          <w:sz w:val="22"/>
          <w:szCs w:val="22"/>
          <w:lang w:val="es-MX"/>
        </w:rPr>
        <w:t>,</w:t>
      </w:r>
      <w:r w:rsidRPr="00166C02">
        <w:rPr>
          <w:rFonts w:cs="Arial"/>
          <w:sz w:val="22"/>
          <w:szCs w:val="22"/>
          <w:lang w:val="es-MX"/>
        </w:rPr>
        <w:t xml:space="preserve"> inciso f)</w:t>
      </w:r>
      <w:r w:rsidR="00A841F9">
        <w:rPr>
          <w:rFonts w:cs="Arial"/>
          <w:sz w:val="22"/>
          <w:szCs w:val="22"/>
          <w:lang w:val="es-MX"/>
        </w:rPr>
        <w:t>,</w:t>
      </w:r>
      <w:r w:rsidRPr="00166C02">
        <w:rPr>
          <w:rFonts w:cs="Arial"/>
          <w:sz w:val="22"/>
          <w:szCs w:val="22"/>
          <w:lang w:val="es-MX"/>
        </w:rPr>
        <w:t xml:space="preserve"> de la Ley del Sistema Financiero Nacional para Vivienda</w:t>
      </w:r>
      <w:r w:rsidR="00A841F9">
        <w:rPr>
          <w:rFonts w:cs="Arial"/>
          <w:sz w:val="22"/>
          <w:szCs w:val="22"/>
          <w:lang w:val="es-MX"/>
        </w:rPr>
        <w:t xml:space="preserve">, lo que procede es </w:t>
      </w:r>
      <w:r w:rsidRPr="00166C02">
        <w:rPr>
          <w:rFonts w:cs="Arial"/>
          <w:sz w:val="22"/>
          <w:szCs w:val="22"/>
          <w:lang w:val="es-MX"/>
        </w:rPr>
        <w:t xml:space="preserve">autorizar al Grupo Mutual a operar el referido producto financiero al amparo del </w:t>
      </w:r>
      <w:r w:rsidR="00A841F9" w:rsidRPr="00674AC7">
        <w:rPr>
          <w:rFonts w:cs="Arial"/>
          <w:sz w:val="22"/>
          <w:szCs w:val="22"/>
          <w:lang w:val="es-CR"/>
        </w:rPr>
        <w:t>Reglamento para el Otorgamiento de Créditos de Naturaleza no Habitacional en las Mutuales de Ahorro y Préstamo</w:t>
      </w:r>
      <w:r w:rsidRPr="00166C02">
        <w:rPr>
          <w:rFonts w:cs="Arial"/>
          <w:bCs/>
          <w:i/>
          <w:sz w:val="22"/>
          <w:szCs w:val="22"/>
        </w:rPr>
        <w:t>.</w:t>
      </w:r>
    </w:p>
    <w:p w14:paraId="47C1B422" w14:textId="77777777" w:rsidR="00166C02" w:rsidRPr="00166C02" w:rsidRDefault="00166C02" w:rsidP="00166C02">
      <w:pPr>
        <w:spacing w:line="360" w:lineRule="auto"/>
        <w:jc w:val="both"/>
        <w:rPr>
          <w:rFonts w:cs="Arial"/>
          <w:iCs/>
          <w:sz w:val="22"/>
          <w:szCs w:val="22"/>
          <w:lang w:val="es-MX"/>
        </w:rPr>
      </w:pPr>
    </w:p>
    <w:p w14:paraId="6D285D02" w14:textId="77777777" w:rsidR="00166C02" w:rsidRPr="00166C02" w:rsidRDefault="00166C02" w:rsidP="00166C02">
      <w:pPr>
        <w:spacing w:line="360" w:lineRule="auto"/>
        <w:jc w:val="both"/>
        <w:rPr>
          <w:rFonts w:cs="Arial"/>
          <w:sz w:val="22"/>
          <w:szCs w:val="22"/>
          <w:lang w:val="es-MX"/>
        </w:rPr>
      </w:pPr>
      <w:r w:rsidRPr="00166C02">
        <w:rPr>
          <w:rFonts w:cs="Arial"/>
          <w:b/>
          <w:bCs/>
          <w:sz w:val="22"/>
          <w:szCs w:val="22"/>
          <w:lang w:val="es-MX"/>
        </w:rPr>
        <w:t>Por tanto,</w:t>
      </w:r>
      <w:r w:rsidRPr="00166C02">
        <w:rPr>
          <w:rFonts w:cs="Arial"/>
          <w:sz w:val="22"/>
          <w:szCs w:val="22"/>
          <w:lang w:val="es-MX"/>
        </w:rPr>
        <w:t xml:space="preserve"> por las razones señaladas y según lo establecido en el artículo 75, inciso f), de la Ley del Sistema Financiero Nacional para la Vivienda, se acuerda:</w:t>
      </w:r>
    </w:p>
    <w:p w14:paraId="2730D5F1" w14:textId="792DF19D" w:rsidR="00F12D9E" w:rsidRDefault="00166C02" w:rsidP="00166C02">
      <w:pPr>
        <w:spacing w:line="360" w:lineRule="auto"/>
        <w:jc w:val="both"/>
        <w:rPr>
          <w:rFonts w:cs="Arial"/>
          <w:sz w:val="22"/>
          <w:szCs w:val="22"/>
          <w:lang w:val="es-CR"/>
        </w:rPr>
      </w:pPr>
      <w:r w:rsidRPr="00166C02">
        <w:rPr>
          <w:rFonts w:cs="Arial"/>
          <w:sz w:val="22"/>
          <w:szCs w:val="22"/>
          <w:lang w:val="es-MX"/>
        </w:rPr>
        <w:t>Autorizar al Grupo Mutual Alajuela – La Vivienda de Ahorro y Préstamo</w:t>
      </w:r>
      <w:r w:rsidR="00A841F9">
        <w:rPr>
          <w:rFonts w:cs="Arial"/>
          <w:sz w:val="22"/>
          <w:szCs w:val="22"/>
          <w:lang w:val="es-MX"/>
        </w:rPr>
        <w:t>,</w:t>
      </w:r>
      <w:r w:rsidRPr="00166C02">
        <w:rPr>
          <w:rFonts w:cs="Arial"/>
          <w:sz w:val="22"/>
          <w:szCs w:val="22"/>
          <w:lang w:val="es-MX"/>
        </w:rPr>
        <w:t xml:space="preserve"> la operación del producto </w:t>
      </w:r>
      <w:r w:rsidR="00F12D9E">
        <w:rPr>
          <w:rFonts w:cs="Arial"/>
          <w:sz w:val="22"/>
          <w:szCs w:val="22"/>
          <w:lang w:val="es-MX"/>
        </w:rPr>
        <w:t xml:space="preserve">financiero </w:t>
      </w:r>
      <w:r w:rsidRPr="00166C02">
        <w:rPr>
          <w:rFonts w:cs="Arial"/>
          <w:sz w:val="22"/>
          <w:szCs w:val="22"/>
          <w:lang w:val="es-MX"/>
        </w:rPr>
        <w:t xml:space="preserve">“Tarjeta de </w:t>
      </w:r>
      <w:r w:rsidR="00F12D9E">
        <w:rPr>
          <w:rFonts w:cs="Arial"/>
          <w:sz w:val="22"/>
          <w:szCs w:val="22"/>
          <w:lang w:val="es-MX"/>
        </w:rPr>
        <w:t>C</w:t>
      </w:r>
      <w:r w:rsidRPr="00166C02">
        <w:rPr>
          <w:rFonts w:cs="Arial"/>
          <w:sz w:val="22"/>
          <w:szCs w:val="22"/>
          <w:lang w:val="es-MX"/>
        </w:rPr>
        <w:t>rédito”,</w:t>
      </w:r>
      <w:r w:rsidR="00A841F9" w:rsidRPr="00166C02">
        <w:rPr>
          <w:rFonts w:cs="Arial"/>
          <w:sz w:val="22"/>
          <w:szCs w:val="22"/>
          <w:lang w:val="es-MX"/>
        </w:rPr>
        <w:t xml:space="preserve"> </w:t>
      </w:r>
      <w:r w:rsidR="00F12D9E">
        <w:rPr>
          <w:rFonts w:cs="Arial"/>
          <w:sz w:val="22"/>
          <w:szCs w:val="22"/>
          <w:lang w:val="es-MX"/>
        </w:rPr>
        <w:t xml:space="preserve">reiterando a esa mutual </w:t>
      </w:r>
      <w:r w:rsidR="00F12D9E">
        <w:rPr>
          <w:sz w:val="22"/>
          <w:szCs w:val="22"/>
        </w:rPr>
        <w:t xml:space="preserve">su responsabilidad de velar por el cumplimiento de los aspectos señalados en el </w:t>
      </w:r>
      <w:r w:rsidR="00F12D9E" w:rsidRPr="00F12D9E">
        <w:rPr>
          <w:i/>
          <w:iCs/>
          <w:sz w:val="22"/>
          <w:szCs w:val="22"/>
        </w:rPr>
        <w:t>Reglamento para el Otorgamiento de Créditos de Naturaleza no Habitacional en las Mutuales de Ahorro y Préstamo</w:t>
      </w:r>
      <w:r w:rsidR="00F12D9E">
        <w:rPr>
          <w:sz w:val="22"/>
          <w:szCs w:val="22"/>
        </w:rPr>
        <w:t>, principalmente lo relacionado con el monto máximo de financiamiento por deudor y los sujetos beneficiarios.</w:t>
      </w:r>
    </w:p>
    <w:p w14:paraId="5AC8B1AA"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054A77D" w14:textId="77777777" w:rsidR="002B71CC" w:rsidRPr="00D14EAF" w:rsidRDefault="002B71CC" w:rsidP="002B71CC">
      <w:pPr>
        <w:spacing w:line="360" w:lineRule="auto"/>
        <w:jc w:val="both"/>
        <w:rPr>
          <w:rFonts w:cs="Arial"/>
          <w:b/>
          <w:sz w:val="22"/>
        </w:rPr>
      </w:pPr>
      <w:r w:rsidRPr="00D14EAF">
        <w:rPr>
          <w:rFonts w:cs="Arial"/>
          <w:b/>
          <w:sz w:val="22"/>
        </w:rPr>
        <w:t>************</w:t>
      </w:r>
    </w:p>
    <w:p w14:paraId="2AAA535C" w14:textId="77777777" w:rsidR="002B71CC" w:rsidRPr="001001FF" w:rsidRDefault="002B71CC" w:rsidP="002B71CC">
      <w:pPr>
        <w:spacing w:line="360" w:lineRule="auto"/>
        <w:jc w:val="both"/>
        <w:rPr>
          <w:rFonts w:cs="Arial"/>
          <w:sz w:val="22"/>
          <w:szCs w:val="22"/>
          <w:lang w:val="es-ES_tradnl"/>
        </w:rPr>
      </w:pPr>
    </w:p>
    <w:p w14:paraId="634CA7F1" w14:textId="77777777" w:rsidR="002B71CC" w:rsidRPr="001001FF" w:rsidRDefault="002B71CC" w:rsidP="002B71CC">
      <w:pPr>
        <w:pStyle w:val="Ttulo2"/>
        <w:spacing w:line="360" w:lineRule="auto"/>
        <w:rPr>
          <w:rFonts w:cs="Arial"/>
          <w:szCs w:val="22"/>
        </w:rPr>
      </w:pPr>
      <w:r w:rsidRPr="001001FF">
        <w:rPr>
          <w:rFonts w:cs="Arial"/>
          <w:szCs w:val="22"/>
        </w:rPr>
        <w:t>ACUERDO N°</w:t>
      </w:r>
      <w:r w:rsidR="00FA2104" w:rsidRPr="001001FF">
        <w:rPr>
          <w:rFonts w:cs="Arial"/>
          <w:szCs w:val="22"/>
        </w:rPr>
        <w:t>3</w:t>
      </w:r>
      <w:r w:rsidRPr="001001FF">
        <w:rPr>
          <w:rFonts w:cs="Arial"/>
          <w:szCs w:val="22"/>
        </w:rPr>
        <w:t>:</w:t>
      </w:r>
    </w:p>
    <w:p w14:paraId="532BCC4B" w14:textId="7CFB12B5" w:rsidR="00A82BCB" w:rsidRPr="001001FF" w:rsidRDefault="00A82BCB" w:rsidP="00EA0C13">
      <w:pPr>
        <w:spacing w:line="360" w:lineRule="auto"/>
        <w:jc w:val="both"/>
        <w:rPr>
          <w:rFonts w:eastAsia="Calibri" w:cs="Arial"/>
          <w:b/>
          <w:bCs/>
          <w:sz w:val="22"/>
          <w:szCs w:val="22"/>
          <w:lang w:val="es-CR" w:eastAsia="en-US"/>
        </w:rPr>
      </w:pPr>
      <w:r w:rsidRPr="001001FF">
        <w:rPr>
          <w:rFonts w:eastAsia="Calibri" w:cs="Arial"/>
          <w:b/>
          <w:bCs/>
          <w:sz w:val="22"/>
          <w:szCs w:val="22"/>
          <w:lang w:val="es-CR" w:eastAsia="en-US"/>
        </w:rPr>
        <w:t>RESULTANDO:</w:t>
      </w:r>
    </w:p>
    <w:p w14:paraId="4FD95925" w14:textId="03BDC0A2" w:rsidR="00A82BCB" w:rsidRPr="00A82BCB" w:rsidRDefault="00A82BCB" w:rsidP="00EA0C13">
      <w:pPr>
        <w:spacing w:line="360" w:lineRule="auto"/>
        <w:jc w:val="both"/>
        <w:rPr>
          <w:rFonts w:eastAsia="Calibri" w:cs="Arial"/>
          <w:sz w:val="22"/>
          <w:szCs w:val="22"/>
          <w:lang w:val="es-CR" w:eastAsia="en-US"/>
        </w:rPr>
      </w:pPr>
      <w:r w:rsidRPr="00590C3E">
        <w:rPr>
          <w:rFonts w:eastAsia="Calibri" w:cs="Arial"/>
          <w:b/>
          <w:bCs/>
          <w:sz w:val="22"/>
          <w:szCs w:val="22"/>
          <w:lang w:val="es-CR" w:eastAsia="en-US"/>
        </w:rPr>
        <w:t>I.-</w:t>
      </w:r>
      <w:r w:rsidRPr="001001FF">
        <w:rPr>
          <w:rFonts w:eastAsia="Calibri" w:cs="Arial"/>
          <w:sz w:val="22"/>
          <w:szCs w:val="22"/>
          <w:lang w:val="es-CR" w:eastAsia="en-US"/>
        </w:rPr>
        <w:t xml:space="preserve"> Que esta </w:t>
      </w:r>
      <w:r w:rsidRPr="001001FF">
        <w:rPr>
          <w:rFonts w:eastAsia="Calibri" w:cs="Arial"/>
          <w:sz w:val="22"/>
          <w:szCs w:val="22"/>
          <w:lang w:val="es-ES_tradnl" w:eastAsia="en-US"/>
        </w:rPr>
        <w:t xml:space="preserve">Junta Directiva ha conocido el </w:t>
      </w:r>
      <w:r w:rsidRPr="00A82BCB">
        <w:rPr>
          <w:rFonts w:eastAsia="Calibri" w:cs="Arial"/>
          <w:sz w:val="22"/>
          <w:szCs w:val="22"/>
          <w:lang w:val="es-CR" w:eastAsia="en-US"/>
        </w:rPr>
        <w:t>Informe de Relación de Hechos RH-ESP-006 Proyecto Loma Linda S001</w:t>
      </w:r>
      <w:r w:rsidRPr="001001FF">
        <w:rPr>
          <w:rFonts w:eastAsia="Calibri" w:cs="Arial"/>
          <w:sz w:val="22"/>
          <w:szCs w:val="22"/>
          <w:lang w:val="es-CR" w:eastAsia="en-US"/>
        </w:rPr>
        <w:t xml:space="preserve">, el cual se adjunta al </w:t>
      </w:r>
      <w:r w:rsidRPr="00A82BCB">
        <w:rPr>
          <w:rFonts w:eastAsia="Calibri" w:cs="Arial"/>
          <w:sz w:val="22"/>
          <w:szCs w:val="22"/>
          <w:lang w:val="es-CR" w:eastAsia="en-US"/>
        </w:rPr>
        <w:t>oficio AI-OF-0015-2022</w:t>
      </w:r>
      <w:r w:rsidRPr="001001FF">
        <w:rPr>
          <w:rFonts w:eastAsia="Calibri" w:cs="Arial"/>
          <w:sz w:val="22"/>
          <w:szCs w:val="22"/>
          <w:lang w:val="es-CR" w:eastAsia="en-US"/>
        </w:rPr>
        <w:t>,</w:t>
      </w:r>
      <w:r w:rsidR="00385E30">
        <w:rPr>
          <w:rFonts w:eastAsia="Calibri" w:cs="Arial"/>
          <w:sz w:val="22"/>
          <w:szCs w:val="22"/>
          <w:lang w:val="es-CR" w:eastAsia="en-US"/>
        </w:rPr>
        <w:t xml:space="preserve"> de la Auditoría Interna,</w:t>
      </w:r>
      <w:r w:rsidRPr="001001FF">
        <w:rPr>
          <w:rFonts w:eastAsia="Calibri" w:cs="Arial"/>
          <w:sz w:val="22"/>
          <w:szCs w:val="22"/>
          <w:lang w:val="es-CR" w:eastAsia="en-US"/>
        </w:rPr>
        <w:t xml:space="preserve"> de fecha </w:t>
      </w:r>
      <w:r w:rsidRPr="00A82BCB">
        <w:rPr>
          <w:rFonts w:eastAsia="Calibri" w:cs="Arial"/>
          <w:sz w:val="22"/>
          <w:szCs w:val="22"/>
          <w:lang w:val="es-CR" w:eastAsia="en-US"/>
        </w:rPr>
        <w:t>20 de enero de 2022.</w:t>
      </w:r>
    </w:p>
    <w:p w14:paraId="603DD16E" w14:textId="77777777" w:rsidR="00A82BCB" w:rsidRPr="00A82BCB" w:rsidRDefault="00A82BCB" w:rsidP="00EA0C13">
      <w:pPr>
        <w:spacing w:line="360" w:lineRule="auto"/>
        <w:jc w:val="both"/>
        <w:rPr>
          <w:rFonts w:eastAsia="Calibri" w:cs="Arial"/>
          <w:sz w:val="22"/>
          <w:szCs w:val="22"/>
          <w:lang w:val="es-CR" w:eastAsia="en-US"/>
        </w:rPr>
      </w:pPr>
    </w:p>
    <w:p w14:paraId="3E9865DE" w14:textId="7AC4A604" w:rsidR="00A82BCB" w:rsidRPr="001001FF" w:rsidRDefault="00A82BCB" w:rsidP="00EA0C13">
      <w:pPr>
        <w:spacing w:line="360" w:lineRule="auto"/>
        <w:jc w:val="both"/>
        <w:rPr>
          <w:rFonts w:eastAsia="Calibri" w:cs="Arial"/>
          <w:b/>
          <w:bCs/>
          <w:sz w:val="22"/>
          <w:szCs w:val="22"/>
          <w:lang w:val="es-CR" w:eastAsia="en-US"/>
        </w:rPr>
      </w:pPr>
      <w:r w:rsidRPr="001001FF">
        <w:rPr>
          <w:rFonts w:eastAsia="Calibri" w:cs="Arial"/>
          <w:b/>
          <w:bCs/>
          <w:sz w:val="22"/>
          <w:szCs w:val="22"/>
          <w:lang w:val="es-CR" w:eastAsia="en-US"/>
        </w:rPr>
        <w:t>CONSIDERANDO:</w:t>
      </w:r>
    </w:p>
    <w:p w14:paraId="09D5A8AA" w14:textId="361CE2BF" w:rsidR="00A82BCB" w:rsidRDefault="00A82BCB" w:rsidP="00EA0C13">
      <w:pPr>
        <w:spacing w:line="360" w:lineRule="auto"/>
        <w:jc w:val="both"/>
        <w:rPr>
          <w:rFonts w:eastAsia="Calibri" w:cs="Arial"/>
          <w:sz w:val="22"/>
          <w:szCs w:val="22"/>
          <w:lang w:val="es-CR" w:eastAsia="en-US"/>
        </w:rPr>
      </w:pPr>
    </w:p>
    <w:p w14:paraId="0D3383A5" w14:textId="3465EF01" w:rsidR="00551364" w:rsidRDefault="00551364" w:rsidP="00EA0C13">
      <w:pPr>
        <w:spacing w:line="360" w:lineRule="auto"/>
        <w:jc w:val="both"/>
        <w:rPr>
          <w:rFonts w:eastAsia="Calibri" w:cs="Arial"/>
          <w:sz w:val="22"/>
          <w:szCs w:val="22"/>
          <w:lang w:val="es-CR" w:eastAsia="en-US"/>
        </w:rPr>
      </w:pPr>
      <w:r>
        <w:rPr>
          <w:rFonts w:eastAsia="Calibri" w:cs="Arial"/>
          <w:sz w:val="22"/>
          <w:szCs w:val="22"/>
          <w:lang w:val="es-CR" w:eastAsia="en-US"/>
        </w:rPr>
        <w:t>(…)</w:t>
      </w:r>
    </w:p>
    <w:p w14:paraId="2814EE28" w14:textId="77777777" w:rsidR="00551364" w:rsidRPr="001001FF" w:rsidRDefault="00551364" w:rsidP="00EA0C13">
      <w:pPr>
        <w:spacing w:line="360" w:lineRule="auto"/>
        <w:jc w:val="both"/>
        <w:rPr>
          <w:rFonts w:eastAsia="Calibri" w:cs="Arial"/>
          <w:sz w:val="22"/>
          <w:szCs w:val="22"/>
          <w:lang w:val="es-CR" w:eastAsia="en-US"/>
        </w:rPr>
      </w:pPr>
    </w:p>
    <w:p w14:paraId="05F2690F" w14:textId="1B3918AE" w:rsidR="00A82BCB" w:rsidRPr="00A82BCB" w:rsidRDefault="00A82BCB" w:rsidP="00EA0C13">
      <w:pPr>
        <w:spacing w:line="360" w:lineRule="auto"/>
        <w:jc w:val="both"/>
        <w:rPr>
          <w:rFonts w:eastAsia="Calibri" w:cs="Arial"/>
          <w:b/>
          <w:bCs/>
          <w:sz w:val="22"/>
          <w:szCs w:val="22"/>
          <w:lang w:val="es-CR" w:eastAsia="en-US"/>
        </w:rPr>
      </w:pPr>
      <w:r w:rsidRPr="00A82BCB">
        <w:rPr>
          <w:rFonts w:eastAsia="Calibri" w:cs="Arial"/>
          <w:b/>
          <w:bCs/>
          <w:sz w:val="22"/>
          <w:szCs w:val="22"/>
          <w:lang w:val="es-CR" w:eastAsia="en-US"/>
        </w:rPr>
        <w:t>P</w:t>
      </w:r>
      <w:r w:rsidR="005E59E8" w:rsidRPr="001001FF">
        <w:rPr>
          <w:rFonts w:eastAsia="Calibri" w:cs="Arial"/>
          <w:b/>
          <w:bCs/>
          <w:sz w:val="22"/>
          <w:szCs w:val="22"/>
          <w:lang w:val="es-CR" w:eastAsia="en-US"/>
        </w:rPr>
        <w:t>OR TANTO</w:t>
      </w:r>
      <w:r w:rsidRPr="00A82BCB">
        <w:rPr>
          <w:rFonts w:eastAsia="Calibri" w:cs="Arial"/>
          <w:b/>
          <w:bCs/>
          <w:sz w:val="22"/>
          <w:szCs w:val="22"/>
          <w:lang w:val="es-CR" w:eastAsia="en-US"/>
        </w:rPr>
        <w:t xml:space="preserve">, se acuerda: </w:t>
      </w:r>
    </w:p>
    <w:p w14:paraId="3FB51454" w14:textId="6749614D" w:rsidR="00A82BCB" w:rsidRPr="00A82BCB" w:rsidRDefault="00A82BCB" w:rsidP="00EA0C13">
      <w:pPr>
        <w:spacing w:line="360" w:lineRule="auto"/>
        <w:jc w:val="both"/>
        <w:rPr>
          <w:rFonts w:cs="Arial"/>
          <w:sz w:val="22"/>
          <w:szCs w:val="22"/>
        </w:rPr>
      </w:pPr>
      <w:r w:rsidRPr="00A82BCB">
        <w:rPr>
          <w:rFonts w:cs="Arial"/>
          <w:b/>
          <w:bCs/>
          <w:sz w:val="22"/>
          <w:szCs w:val="22"/>
        </w:rPr>
        <w:t>1</w:t>
      </w:r>
      <w:r w:rsidR="005E59E8" w:rsidRPr="001001FF">
        <w:rPr>
          <w:rFonts w:cs="Arial"/>
          <w:b/>
          <w:bCs/>
          <w:sz w:val="22"/>
          <w:szCs w:val="22"/>
        </w:rPr>
        <w:t>.-</w:t>
      </w:r>
      <w:r w:rsidR="005E59E8" w:rsidRPr="001001FF">
        <w:rPr>
          <w:rFonts w:cs="Arial"/>
          <w:sz w:val="22"/>
          <w:szCs w:val="22"/>
        </w:rPr>
        <w:t xml:space="preserve"> </w:t>
      </w:r>
      <w:r w:rsidRPr="00A82BCB">
        <w:rPr>
          <w:rFonts w:cs="Arial"/>
          <w:sz w:val="22"/>
          <w:szCs w:val="22"/>
        </w:rPr>
        <w:t>Acoger las recomendaciones planteadas por la Auditoría Interna, en el informe confidencial denominado “RH-ESP-006 Proyecto Loma Linda S001”  en cuanto a los hechos que corresponden a los apartados 2,3 y 4; consecuentemente, se instruye a la Gerencia General para que, mediante los procedimientos de contratación administrativa que correspondan, contrate los servicios de un profesional en Derecho, quien actuará como órgano director y, respetando el debido proceso, tramitará el procedimiento administrativo recomendado por la Auditoría Interna, a fin de determinar la verdad real de los hechos y presentar el respectivo dictamen.</w:t>
      </w:r>
    </w:p>
    <w:p w14:paraId="20D9B6FB" w14:textId="77777777" w:rsidR="00A82BCB" w:rsidRPr="00A82BCB" w:rsidRDefault="00A82BCB" w:rsidP="00EA0C13">
      <w:pPr>
        <w:spacing w:line="360" w:lineRule="auto"/>
        <w:jc w:val="both"/>
        <w:rPr>
          <w:rFonts w:cs="Arial"/>
          <w:sz w:val="22"/>
          <w:szCs w:val="22"/>
        </w:rPr>
      </w:pPr>
    </w:p>
    <w:p w14:paraId="5B4D7434" w14:textId="316A40AF" w:rsidR="00A82BCB" w:rsidRPr="00A82BCB" w:rsidRDefault="00A82BCB" w:rsidP="00EA0C13">
      <w:pPr>
        <w:spacing w:line="360" w:lineRule="auto"/>
        <w:jc w:val="both"/>
        <w:rPr>
          <w:rFonts w:eastAsia="Calibri" w:cs="Arial"/>
          <w:sz w:val="22"/>
          <w:szCs w:val="22"/>
          <w:lang w:val="es-CR" w:eastAsia="en-US"/>
        </w:rPr>
      </w:pPr>
      <w:r w:rsidRPr="00A82BCB">
        <w:rPr>
          <w:rFonts w:eastAsia="Calibri" w:cs="Arial"/>
          <w:b/>
          <w:bCs/>
          <w:sz w:val="22"/>
          <w:szCs w:val="22"/>
          <w:lang w:val="es-CR" w:eastAsia="en-US"/>
        </w:rPr>
        <w:t>2</w:t>
      </w:r>
      <w:r w:rsidR="005E59E8" w:rsidRPr="001001FF">
        <w:rPr>
          <w:rFonts w:eastAsia="Calibri" w:cs="Arial"/>
          <w:b/>
          <w:bCs/>
          <w:sz w:val="22"/>
          <w:szCs w:val="22"/>
          <w:lang w:val="es-CR" w:eastAsia="en-US"/>
        </w:rPr>
        <w:t>.-</w:t>
      </w:r>
      <w:r w:rsidRPr="00A82BCB">
        <w:rPr>
          <w:rFonts w:eastAsia="Calibri" w:cs="Arial"/>
          <w:sz w:val="22"/>
          <w:szCs w:val="22"/>
          <w:lang w:val="es-CR" w:eastAsia="en-US"/>
        </w:rPr>
        <w:t xml:space="preserve"> Para el trámite de contratación del abogado externo que actuará como órgano director, así como para el desarrollo del respectivo procedimiento administrativo, la Auditoría Interna deberá suministrarle a la Gerencia General el indicado informe “RH-ESP-006 Proyecto Loma Linda S001”.</w:t>
      </w:r>
    </w:p>
    <w:p w14:paraId="4311D813" w14:textId="77777777" w:rsidR="005E59E8" w:rsidRPr="001001FF" w:rsidRDefault="005E59E8" w:rsidP="00EA0C13">
      <w:pPr>
        <w:spacing w:line="360" w:lineRule="auto"/>
        <w:jc w:val="both"/>
        <w:rPr>
          <w:rFonts w:eastAsia="Calibri" w:cs="Arial"/>
          <w:sz w:val="22"/>
          <w:szCs w:val="22"/>
          <w:lang w:val="es-CR" w:eastAsia="en-US"/>
        </w:rPr>
      </w:pPr>
    </w:p>
    <w:p w14:paraId="456FD17F" w14:textId="7ED4F266" w:rsidR="00A82BCB" w:rsidRPr="00A82BCB" w:rsidRDefault="00A82BCB" w:rsidP="00EA0C13">
      <w:pPr>
        <w:spacing w:line="360" w:lineRule="auto"/>
        <w:jc w:val="both"/>
        <w:rPr>
          <w:rFonts w:eastAsia="Calibri" w:cs="Arial"/>
          <w:sz w:val="22"/>
          <w:szCs w:val="22"/>
          <w:lang w:val="es-CR" w:eastAsia="en-US"/>
        </w:rPr>
      </w:pPr>
      <w:r w:rsidRPr="00A82BCB">
        <w:rPr>
          <w:rFonts w:eastAsia="Calibri" w:cs="Arial"/>
          <w:b/>
          <w:bCs/>
          <w:sz w:val="22"/>
          <w:szCs w:val="22"/>
          <w:lang w:val="es-CR" w:eastAsia="en-US"/>
        </w:rPr>
        <w:t>3</w:t>
      </w:r>
      <w:r w:rsidR="005E59E8" w:rsidRPr="001001FF">
        <w:rPr>
          <w:rFonts w:eastAsia="Calibri" w:cs="Arial"/>
          <w:b/>
          <w:bCs/>
          <w:sz w:val="22"/>
          <w:szCs w:val="22"/>
          <w:lang w:val="es-CR" w:eastAsia="en-US"/>
        </w:rPr>
        <w:t>.-</w:t>
      </w:r>
      <w:r w:rsidRPr="00A82BCB">
        <w:rPr>
          <w:rFonts w:eastAsia="Calibri" w:cs="Arial"/>
          <w:sz w:val="22"/>
          <w:szCs w:val="22"/>
          <w:lang w:val="es-CR" w:eastAsia="en-US"/>
        </w:rPr>
        <w:t xml:space="preserve"> El órgano director procederá a confeccionar el expediente administrativo, intimar los cargos, conferir audiencia, evacuar la prueba que considere indispensable para la averiguación de la verdad real, dirigir la comparecencia oral y todas las diligencias que sean necesarias para su apropiada instrucción</w:t>
      </w:r>
      <w:r w:rsidR="00B14C92">
        <w:rPr>
          <w:rFonts w:eastAsia="Calibri" w:cs="Arial"/>
          <w:sz w:val="22"/>
          <w:szCs w:val="22"/>
          <w:lang w:val="es-CR" w:eastAsia="en-US"/>
        </w:rPr>
        <w:t>.</w:t>
      </w:r>
    </w:p>
    <w:p w14:paraId="01E55175" w14:textId="77777777" w:rsidR="005E59E8" w:rsidRPr="001001FF" w:rsidRDefault="005E59E8" w:rsidP="00EA0C13">
      <w:pPr>
        <w:spacing w:line="360" w:lineRule="auto"/>
        <w:jc w:val="both"/>
        <w:rPr>
          <w:rFonts w:eastAsia="Calibri" w:cs="Arial"/>
          <w:sz w:val="22"/>
          <w:szCs w:val="22"/>
          <w:lang w:val="es-CR" w:eastAsia="en-US"/>
        </w:rPr>
      </w:pPr>
    </w:p>
    <w:p w14:paraId="6DC4D079" w14:textId="13964C25" w:rsidR="00A82BCB" w:rsidRPr="00A82BCB" w:rsidRDefault="00A82BCB" w:rsidP="00EA0C13">
      <w:pPr>
        <w:spacing w:line="360" w:lineRule="auto"/>
        <w:jc w:val="both"/>
        <w:rPr>
          <w:rFonts w:eastAsia="Calibri" w:cs="Arial"/>
          <w:color w:val="000000"/>
          <w:sz w:val="22"/>
          <w:szCs w:val="22"/>
          <w:lang w:val="es-CR" w:eastAsia="en-US"/>
        </w:rPr>
      </w:pPr>
      <w:r w:rsidRPr="00A82BCB">
        <w:rPr>
          <w:rFonts w:eastAsia="Calibri" w:cs="Arial"/>
          <w:b/>
          <w:bCs/>
          <w:sz w:val="22"/>
          <w:szCs w:val="22"/>
          <w:lang w:val="es-CR" w:eastAsia="en-US"/>
        </w:rPr>
        <w:lastRenderedPageBreak/>
        <w:t>4</w:t>
      </w:r>
      <w:r w:rsidR="005E59E8" w:rsidRPr="001001FF">
        <w:rPr>
          <w:rFonts w:eastAsia="Calibri" w:cs="Arial"/>
          <w:b/>
          <w:bCs/>
          <w:sz w:val="22"/>
          <w:szCs w:val="22"/>
          <w:lang w:val="es-CR" w:eastAsia="en-US"/>
        </w:rPr>
        <w:t>.-</w:t>
      </w:r>
      <w:r w:rsidRPr="00A82BCB">
        <w:rPr>
          <w:rFonts w:eastAsia="Calibri" w:cs="Arial"/>
          <w:sz w:val="22"/>
          <w:szCs w:val="22"/>
          <w:lang w:val="es-CR" w:eastAsia="en-US"/>
        </w:rPr>
        <w:t xml:space="preserve"> El objetivo principal es la determinación de la verdad real, </w:t>
      </w:r>
      <w:r w:rsidRPr="00A82BCB">
        <w:rPr>
          <w:rFonts w:eastAsia="Calibri" w:cs="Arial"/>
          <w:color w:val="000000"/>
          <w:sz w:val="22"/>
          <w:szCs w:val="22"/>
          <w:lang w:val="es-CR" w:eastAsia="en-US"/>
        </w:rPr>
        <w:t>todo ello bajo la garantía constitucional de presunción de inocencia y del debido proceso.</w:t>
      </w:r>
    </w:p>
    <w:p w14:paraId="327E9BE8" w14:textId="77777777" w:rsidR="00A82BCB" w:rsidRPr="00A82BCB" w:rsidRDefault="00A82BCB" w:rsidP="00EA0C13">
      <w:pPr>
        <w:spacing w:line="360" w:lineRule="auto"/>
        <w:jc w:val="both"/>
        <w:rPr>
          <w:rFonts w:eastAsia="Calibri" w:cs="Arial"/>
          <w:sz w:val="22"/>
          <w:szCs w:val="22"/>
          <w:lang w:val="es-CR" w:eastAsia="en-US"/>
        </w:rPr>
      </w:pPr>
    </w:p>
    <w:p w14:paraId="6D85158B" w14:textId="08D8996F" w:rsidR="002B71CC" w:rsidRPr="001001FF" w:rsidRDefault="00A82BCB" w:rsidP="002B71CC">
      <w:pPr>
        <w:spacing w:line="360" w:lineRule="auto"/>
        <w:jc w:val="both"/>
        <w:rPr>
          <w:rFonts w:cs="Arial"/>
          <w:sz w:val="22"/>
          <w:szCs w:val="22"/>
        </w:rPr>
      </w:pPr>
      <w:r w:rsidRPr="00A82BCB">
        <w:rPr>
          <w:rFonts w:eastAsia="Calibri" w:cs="Arial"/>
          <w:b/>
          <w:bCs/>
          <w:sz w:val="22"/>
          <w:szCs w:val="22"/>
          <w:lang w:val="es-CR" w:eastAsia="en-US"/>
        </w:rPr>
        <w:t>5</w:t>
      </w:r>
      <w:r w:rsidR="005E59E8" w:rsidRPr="001001FF">
        <w:rPr>
          <w:rFonts w:eastAsia="Calibri" w:cs="Arial"/>
          <w:b/>
          <w:bCs/>
          <w:sz w:val="22"/>
          <w:szCs w:val="22"/>
          <w:lang w:val="es-CR" w:eastAsia="en-US"/>
        </w:rPr>
        <w:t>.-</w:t>
      </w:r>
      <w:r w:rsidRPr="00A82BCB">
        <w:rPr>
          <w:rFonts w:eastAsia="Calibri" w:cs="Arial"/>
          <w:sz w:val="22"/>
          <w:szCs w:val="22"/>
          <w:lang w:val="es-CR" w:eastAsia="en-US"/>
        </w:rPr>
        <w:t xml:space="preserve"> Declinar el inicio de un procedimiento administrativo por los hechos que corresponden a los apartados 1, 5 y 6.</w:t>
      </w:r>
    </w:p>
    <w:p w14:paraId="259875A0" w14:textId="32F77FE0" w:rsidR="002B71CC" w:rsidRPr="001001FF" w:rsidRDefault="002B71CC" w:rsidP="002B71CC">
      <w:pPr>
        <w:pStyle w:val="Ttulo2"/>
        <w:spacing w:line="360" w:lineRule="auto"/>
        <w:rPr>
          <w:rFonts w:cs="Arial"/>
          <w:szCs w:val="22"/>
          <w:lang w:val="es-ES_tradnl"/>
        </w:rPr>
      </w:pPr>
      <w:r w:rsidRPr="001001FF">
        <w:rPr>
          <w:rFonts w:cs="Arial"/>
          <w:szCs w:val="22"/>
        </w:rPr>
        <w:t>Acuerdo Unánime.-</w:t>
      </w:r>
    </w:p>
    <w:p w14:paraId="64E545FA" w14:textId="77777777" w:rsidR="002B71CC" w:rsidRPr="001001FF" w:rsidRDefault="002B71CC" w:rsidP="002B71CC">
      <w:pPr>
        <w:spacing w:line="360" w:lineRule="auto"/>
        <w:jc w:val="both"/>
        <w:rPr>
          <w:rFonts w:cs="Arial"/>
          <w:b/>
          <w:sz w:val="22"/>
          <w:szCs w:val="22"/>
        </w:rPr>
      </w:pPr>
      <w:r w:rsidRPr="001001FF">
        <w:rPr>
          <w:rFonts w:cs="Arial"/>
          <w:b/>
          <w:sz w:val="22"/>
          <w:szCs w:val="22"/>
        </w:rPr>
        <w:t>************</w:t>
      </w:r>
    </w:p>
    <w:p w14:paraId="4ABA7344" w14:textId="77777777" w:rsidR="002B71CC" w:rsidRDefault="002B71CC" w:rsidP="002B71CC">
      <w:pPr>
        <w:spacing w:line="360" w:lineRule="auto"/>
        <w:jc w:val="both"/>
        <w:rPr>
          <w:rFonts w:cs="Arial"/>
          <w:sz w:val="22"/>
          <w:lang w:val="es-ES_tradnl"/>
        </w:rPr>
      </w:pPr>
    </w:p>
    <w:p w14:paraId="1389DA0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7CD7" w14:textId="77777777" w:rsidR="00412B69" w:rsidRDefault="00412B69">
      <w:r>
        <w:separator/>
      </w:r>
    </w:p>
  </w:endnote>
  <w:endnote w:type="continuationSeparator" w:id="0">
    <w:p w14:paraId="27F8957C" w14:textId="77777777" w:rsidR="00412B69" w:rsidRDefault="004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3B0C" w14:textId="77777777" w:rsidR="00412B69" w:rsidRDefault="00412B69">
      <w:r>
        <w:separator/>
      </w:r>
    </w:p>
  </w:footnote>
  <w:footnote w:type="continuationSeparator" w:id="0">
    <w:p w14:paraId="6D722ACC" w14:textId="77777777" w:rsidR="00412B69" w:rsidRDefault="0041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A5CB" w14:textId="77777777" w:rsidR="009D03FE" w:rsidRDefault="009D03FE">
    <w:pPr>
      <w:pStyle w:val="Encabezado"/>
      <w:rPr>
        <w:lang w:val="es-ES"/>
      </w:rPr>
    </w:pPr>
  </w:p>
  <w:p w14:paraId="45001E62" w14:textId="3BF96166"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F2DC5">
      <w:rPr>
        <w:sz w:val="18"/>
        <w:lang w:val="es-ES"/>
      </w:rPr>
      <w:t>27</w:t>
    </w:r>
    <w:r>
      <w:rPr>
        <w:sz w:val="18"/>
        <w:lang w:val="es-ES"/>
      </w:rPr>
      <w:t>-</w:t>
    </w:r>
    <w:r w:rsidR="005F2BC7">
      <w:rPr>
        <w:sz w:val="18"/>
        <w:lang w:val="es-ES"/>
      </w:rPr>
      <w:t>2022</w:t>
    </w:r>
    <w:r>
      <w:rPr>
        <w:sz w:val="18"/>
        <w:lang w:val="es-ES"/>
      </w:rPr>
      <w:t xml:space="preserve">                   </w:t>
    </w:r>
    <w:r w:rsidR="00DF2DC5">
      <w:rPr>
        <w:sz w:val="18"/>
        <w:lang w:val="es-ES"/>
      </w:rPr>
      <w:t>07 de abril</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09A73F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54A51"/>
    <w:multiLevelType w:val="hybridMultilevel"/>
    <w:tmpl w:val="376A6D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FABA1A"/>
    <w:multiLevelType w:val="hybridMultilevel"/>
    <w:tmpl w:val="6D4C75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F463E5"/>
    <w:multiLevelType w:val="hybridMultilevel"/>
    <w:tmpl w:val="E3825C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421ECD"/>
    <w:multiLevelType w:val="hybridMultilevel"/>
    <w:tmpl w:val="809C8D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D1F1E"/>
    <w:multiLevelType w:val="hybridMultilevel"/>
    <w:tmpl w:val="EDBABC8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52276E0"/>
    <w:multiLevelType w:val="hybridMultilevel"/>
    <w:tmpl w:val="6B5C3F0A"/>
    <w:lvl w:ilvl="0" w:tplc="C860BB54">
      <w:start w:val="1"/>
      <w:numFmt w:val="bullet"/>
      <w:lvlText w:val="•"/>
      <w:lvlJc w:val="left"/>
      <w:pPr>
        <w:tabs>
          <w:tab w:val="num" w:pos="720"/>
        </w:tabs>
        <w:ind w:left="720" w:hanging="360"/>
      </w:pPr>
      <w:rPr>
        <w:rFonts w:ascii="Arial" w:hAnsi="Arial" w:hint="default"/>
      </w:rPr>
    </w:lvl>
    <w:lvl w:ilvl="1" w:tplc="246A3B64" w:tentative="1">
      <w:start w:val="1"/>
      <w:numFmt w:val="bullet"/>
      <w:lvlText w:val="•"/>
      <w:lvlJc w:val="left"/>
      <w:pPr>
        <w:tabs>
          <w:tab w:val="num" w:pos="1440"/>
        </w:tabs>
        <w:ind w:left="1440" w:hanging="360"/>
      </w:pPr>
      <w:rPr>
        <w:rFonts w:ascii="Arial" w:hAnsi="Arial" w:hint="default"/>
      </w:rPr>
    </w:lvl>
    <w:lvl w:ilvl="2" w:tplc="F9F6FE76" w:tentative="1">
      <w:start w:val="1"/>
      <w:numFmt w:val="bullet"/>
      <w:lvlText w:val="•"/>
      <w:lvlJc w:val="left"/>
      <w:pPr>
        <w:tabs>
          <w:tab w:val="num" w:pos="2160"/>
        </w:tabs>
        <w:ind w:left="2160" w:hanging="360"/>
      </w:pPr>
      <w:rPr>
        <w:rFonts w:ascii="Arial" w:hAnsi="Arial" w:hint="default"/>
      </w:rPr>
    </w:lvl>
    <w:lvl w:ilvl="3" w:tplc="7FB4B25C" w:tentative="1">
      <w:start w:val="1"/>
      <w:numFmt w:val="bullet"/>
      <w:lvlText w:val="•"/>
      <w:lvlJc w:val="left"/>
      <w:pPr>
        <w:tabs>
          <w:tab w:val="num" w:pos="2880"/>
        </w:tabs>
        <w:ind w:left="2880" w:hanging="360"/>
      </w:pPr>
      <w:rPr>
        <w:rFonts w:ascii="Arial" w:hAnsi="Arial" w:hint="default"/>
      </w:rPr>
    </w:lvl>
    <w:lvl w:ilvl="4" w:tplc="FAF0664E" w:tentative="1">
      <w:start w:val="1"/>
      <w:numFmt w:val="bullet"/>
      <w:lvlText w:val="•"/>
      <w:lvlJc w:val="left"/>
      <w:pPr>
        <w:tabs>
          <w:tab w:val="num" w:pos="3600"/>
        </w:tabs>
        <w:ind w:left="3600" w:hanging="360"/>
      </w:pPr>
      <w:rPr>
        <w:rFonts w:ascii="Arial" w:hAnsi="Arial" w:hint="default"/>
      </w:rPr>
    </w:lvl>
    <w:lvl w:ilvl="5" w:tplc="206AEA70" w:tentative="1">
      <w:start w:val="1"/>
      <w:numFmt w:val="bullet"/>
      <w:lvlText w:val="•"/>
      <w:lvlJc w:val="left"/>
      <w:pPr>
        <w:tabs>
          <w:tab w:val="num" w:pos="4320"/>
        </w:tabs>
        <w:ind w:left="4320" w:hanging="360"/>
      </w:pPr>
      <w:rPr>
        <w:rFonts w:ascii="Arial" w:hAnsi="Arial" w:hint="default"/>
      </w:rPr>
    </w:lvl>
    <w:lvl w:ilvl="6" w:tplc="6972BC1A" w:tentative="1">
      <w:start w:val="1"/>
      <w:numFmt w:val="bullet"/>
      <w:lvlText w:val="•"/>
      <w:lvlJc w:val="left"/>
      <w:pPr>
        <w:tabs>
          <w:tab w:val="num" w:pos="5040"/>
        </w:tabs>
        <w:ind w:left="5040" w:hanging="360"/>
      </w:pPr>
      <w:rPr>
        <w:rFonts w:ascii="Arial" w:hAnsi="Arial" w:hint="default"/>
      </w:rPr>
    </w:lvl>
    <w:lvl w:ilvl="7" w:tplc="EC38BFD2" w:tentative="1">
      <w:start w:val="1"/>
      <w:numFmt w:val="bullet"/>
      <w:lvlText w:val="•"/>
      <w:lvlJc w:val="left"/>
      <w:pPr>
        <w:tabs>
          <w:tab w:val="num" w:pos="5760"/>
        </w:tabs>
        <w:ind w:left="5760" w:hanging="360"/>
      </w:pPr>
      <w:rPr>
        <w:rFonts w:ascii="Arial" w:hAnsi="Arial" w:hint="default"/>
      </w:rPr>
    </w:lvl>
    <w:lvl w:ilvl="8" w:tplc="4C12B0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E74416B"/>
    <w:multiLevelType w:val="hybridMultilevel"/>
    <w:tmpl w:val="678BD7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9E7A09"/>
    <w:multiLevelType w:val="hybridMultilevel"/>
    <w:tmpl w:val="A22DFB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FC7B98"/>
    <w:multiLevelType w:val="hybridMultilevel"/>
    <w:tmpl w:val="AE081D3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406CB3"/>
    <w:multiLevelType w:val="hybridMultilevel"/>
    <w:tmpl w:val="C8FE57C0"/>
    <w:lvl w:ilvl="0" w:tplc="BBE02DC6">
      <w:start w:val="1"/>
      <w:numFmt w:val="bullet"/>
      <w:lvlText w:val="•"/>
      <w:lvlJc w:val="left"/>
      <w:pPr>
        <w:tabs>
          <w:tab w:val="num" w:pos="720"/>
        </w:tabs>
        <w:ind w:left="720" w:hanging="360"/>
      </w:pPr>
      <w:rPr>
        <w:rFonts w:ascii="Arial" w:hAnsi="Arial" w:hint="default"/>
      </w:rPr>
    </w:lvl>
    <w:lvl w:ilvl="1" w:tplc="8C88A012" w:tentative="1">
      <w:start w:val="1"/>
      <w:numFmt w:val="bullet"/>
      <w:lvlText w:val="•"/>
      <w:lvlJc w:val="left"/>
      <w:pPr>
        <w:tabs>
          <w:tab w:val="num" w:pos="1440"/>
        </w:tabs>
        <w:ind w:left="1440" w:hanging="360"/>
      </w:pPr>
      <w:rPr>
        <w:rFonts w:ascii="Arial" w:hAnsi="Arial" w:hint="default"/>
      </w:rPr>
    </w:lvl>
    <w:lvl w:ilvl="2" w:tplc="7436A0F2" w:tentative="1">
      <w:start w:val="1"/>
      <w:numFmt w:val="bullet"/>
      <w:lvlText w:val="•"/>
      <w:lvlJc w:val="left"/>
      <w:pPr>
        <w:tabs>
          <w:tab w:val="num" w:pos="2160"/>
        </w:tabs>
        <w:ind w:left="2160" w:hanging="360"/>
      </w:pPr>
      <w:rPr>
        <w:rFonts w:ascii="Arial" w:hAnsi="Arial" w:hint="default"/>
      </w:rPr>
    </w:lvl>
    <w:lvl w:ilvl="3" w:tplc="08F04CFA" w:tentative="1">
      <w:start w:val="1"/>
      <w:numFmt w:val="bullet"/>
      <w:lvlText w:val="•"/>
      <w:lvlJc w:val="left"/>
      <w:pPr>
        <w:tabs>
          <w:tab w:val="num" w:pos="2880"/>
        </w:tabs>
        <w:ind w:left="2880" w:hanging="360"/>
      </w:pPr>
      <w:rPr>
        <w:rFonts w:ascii="Arial" w:hAnsi="Arial" w:hint="default"/>
      </w:rPr>
    </w:lvl>
    <w:lvl w:ilvl="4" w:tplc="736433F4" w:tentative="1">
      <w:start w:val="1"/>
      <w:numFmt w:val="bullet"/>
      <w:lvlText w:val="•"/>
      <w:lvlJc w:val="left"/>
      <w:pPr>
        <w:tabs>
          <w:tab w:val="num" w:pos="3600"/>
        </w:tabs>
        <w:ind w:left="3600" w:hanging="360"/>
      </w:pPr>
      <w:rPr>
        <w:rFonts w:ascii="Arial" w:hAnsi="Arial" w:hint="default"/>
      </w:rPr>
    </w:lvl>
    <w:lvl w:ilvl="5" w:tplc="6D40C42E" w:tentative="1">
      <w:start w:val="1"/>
      <w:numFmt w:val="bullet"/>
      <w:lvlText w:val="•"/>
      <w:lvlJc w:val="left"/>
      <w:pPr>
        <w:tabs>
          <w:tab w:val="num" w:pos="4320"/>
        </w:tabs>
        <w:ind w:left="4320" w:hanging="360"/>
      </w:pPr>
      <w:rPr>
        <w:rFonts w:ascii="Arial" w:hAnsi="Arial" w:hint="default"/>
      </w:rPr>
    </w:lvl>
    <w:lvl w:ilvl="6" w:tplc="96C4764C" w:tentative="1">
      <w:start w:val="1"/>
      <w:numFmt w:val="bullet"/>
      <w:lvlText w:val="•"/>
      <w:lvlJc w:val="left"/>
      <w:pPr>
        <w:tabs>
          <w:tab w:val="num" w:pos="5040"/>
        </w:tabs>
        <w:ind w:left="5040" w:hanging="360"/>
      </w:pPr>
      <w:rPr>
        <w:rFonts w:ascii="Arial" w:hAnsi="Arial" w:hint="default"/>
      </w:rPr>
    </w:lvl>
    <w:lvl w:ilvl="7" w:tplc="CBA4CCCE" w:tentative="1">
      <w:start w:val="1"/>
      <w:numFmt w:val="bullet"/>
      <w:lvlText w:val="•"/>
      <w:lvlJc w:val="left"/>
      <w:pPr>
        <w:tabs>
          <w:tab w:val="num" w:pos="5760"/>
        </w:tabs>
        <w:ind w:left="5760" w:hanging="360"/>
      </w:pPr>
      <w:rPr>
        <w:rFonts w:ascii="Arial" w:hAnsi="Arial" w:hint="default"/>
      </w:rPr>
    </w:lvl>
    <w:lvl w:ilvl="8" w:tplc="AABA33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D096BBA"/>
    <w:multiLevelType w:val="hybridMultilevel"/>
    <w:tmpl w:val="D55486E0"/>
    <w:lvl w:ilvl="0" w:tplc="D2BC08D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DBE0D3C"/>
    <w:multiLevelType w:val="hybridMultilevel"/>
    <w:tmpl w:val="BB82EA4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3213FFC"/>
    <w:multiLevelType w:val="hybridMultilevel"/>
    <w:tmpl w:val="D52C7D4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8066259"/>
    <w:multiLevelType w:val="hybridMultilevel"/>
    <w:tmpl w:val="EF9E1DF2"/>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73315068">
    <w:abstractNumId w:val="16"/>
  </w:num>
  <w:num w:numId="2" w16cid:durableId="260072323">
    <w:abstractNumId w:val="6"/>
  </w:num>
  <w:num w:numId="3" w16cid:durableId="1392726005">
    <w:abstractNumId w:val="19"/>
  </w:num>
  <w:num w:numId="4" w16cid:durableId="1667826295">
    <w:abstractNumId w:val="5"/>
  </w:num>
  <w:num w:numId="5" w16cid:durableId="1185169236">
    <w:abstractNumId w:val="4"/>
  </w:num>
  <w:num w:numId="6" w16cid:durableId="1609316906">
    <w:abstractNumId w:val="20"/>
  </w:num>
  <w:num w:numId="7" w16cid:durableId="1327172335">
    <w:abstractNumId w:val="28"/>
  </w:num>
  <w:num w:numId="8" w16cid:durableId="18090570">
    <w:abstractNumId w:val="17"/>
  </w:num>
  <w:num w:numId="9" w16cid:durableId="696007546">
    <w:abstractNumId w:val="14"/>
  </w:num>
  <w:num w:numId="10" w16cid:durableId="599916889">
    <w:abstractNumId w:val="8"/>
  </w:num>
  <w:num w:numId="11" w16cid:durableId="599413871">
    <w:abstractNumId w:val="10"/>
  </w:num>
  <w:num w:numId="12" w16cid:durableId="202450719">
    <w:abstractNumId w:val="29"/>
  </w:num>
  <w:num w:numId="13" w16cid:durableId="543255845">
    <w:abstractNumId w:val="26"/>
  </w:num>
  <w:num w:numId="14" w16cid:durableId="219636961">
    <w:abstractNumId w:val="25"/>
  </w:num>
  <w:num w:numId="15" w16cid:durableId="972253045">
    <w:abstractNumId w:val="18"/>
  </w:num>
  <w:num w:numId="16" w16cid:durableId="1207916224">
    <w:abstractNumId w:val="21"/>
  </w:num>
  <w:num w:numId="17" w16cid:durableId="1209293291">
    <w:abstractNumId w:val="27"/>
  </w:num>
  <w:num w:numId="18" w16cid:durableId="339433762">
    <w:abstractNumId w:val="13"/>
  </w:num>
  <w:num w:numId="19" w16cid:durableId="109472624">
    <w:abstractNumId w:val="15"/>
  </w:num>
  <w:num w:numId="20" w16cid:durableId="1776174125">
    <w:abstractNumId w:val="7"/>
  </w:num>
  <w:num w:numId="21" w16cid:durableId="680085084">
    <w:abstractNumId w:val="23"/>
  </w:num>
  <w:num w:numId="22" w16cid:durableId="46612772">
    <w:abstractNumId w:val="24"/>
  </w:num>
  <w:num w:numId="23" w16cid:durableId="1080174970">
    <w:abstractNumId w:val="1"/>
  </w:num>
  <w:num w:numId="24" w16cid:durableId="1911190557">
    <w:abstractNumId w:val="3"/>
  </w:num>
  <w:num w:numId="25" w16cid:durableId="1519081064">
    <w:abstractNumId w:val="12"/>
  </w:num>
  <w:num w:numId="26" w16cid:durableId="644552219">
    <w:abstractNumId w:val="2"/>
  </w:num>
  <w:num w:numId="27" w16cid:durableId="1066612230">
    <w:abstractNumId w:val="0"/>
  </w:num>
  <w:num w:numId="28" w16cid:durableId="987707498">
    <w:abstractNumId w:val="11"/>
  </w:num>
  <w:num w:numId="29" w16cid:durableId="21246092">
    <w:abstractNumId w:val="22"/>
  </w:num>
  <w:num w:numId="30" w16cid:durableId="1886915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df73DqTk8ks4SfSMzsJUwkmsARnvoU09B7/1bSnlOCG5znyt5gS8luX4XfGkRMsvbX87uS9tELyOJAYWsmhog==" w:salt="PfXlFVBtOPnihgi8cVU5g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69"/>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1E79"/>
    <w:rsid w:val="000C4E35"/>
    <w:rsid w:val="000C5661"/>
    <w:rsid w:val="000F5F31"/>
    <w:rsid w:val="000F6DBD"/>
    <w:rsid w:val="001001FF"/>
    <w:rsid w:val="00105CCE"/>
    <w:rsid w:val="00113D2A"/>
    <w:rsid w:val="0011401E"/>
    <w:rsid w:val="001147C3"/>
    <w:rsid w:val="00117E78"/>
    <w:rsid w:val="001227FE"/>
    <w:rsid w:val="00152711"/>
    <w:rsid w:val="00154E36"/>
    <w:rsid w:val="00166C02"/>
    <w:rsid w:val="00173627"/>
    <w:rsid w:val="00176A10"/>
    <w:rsid w:val="00183234"/>
    <w:rsid w:val="0018634C"/>
    <w:rsid w:val="001909BE"/>
    <w:rsid w:val="00193B2D"/>
    <w:rsid w:val="00196DD0"/>
    <w:rsid w:val="001B6D7C"/>
    <w:rsid w:val="001B703A"/>
    <w:rsid w:val="001C3F1B"/>
    <w:rsid w:val="001D673D"/>
    <w:rsid w:val="001D7E23"/>
    <w:rsid w:val="001F277B"/>
    <w:rsid w:val="001F7D2C"/>
    <w:rsid w:val="002026DC"/>
    <w:rsid w:val="00204086"/>
    <w:rsid w:val="00210B7F"/>
    <w:rsid w:val="00213FA6"/>
    <w:rsid w:val="00214849"/>
    <w:rsid w:val="00216125"/>
    <w:rsid w:val="002163C7"/>
    <w:rsid w:val="00226F09"/>
    <w:rsid w:val="00234932"/>
    <w:rsid w:val="00236CA9"/>
    <w:rsid w:val="00237191"/>
    <w:rsid w:val="00237A17"/>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712F"/>
    <w:rsid w:val="002A51F3"/>
    <w:rsid w:val="002A6A4B"/>
    <w:rsid w:val="002B71CC"/>
    <w:rsid w:val="002D0146"/>
    <w:rsid w:val="002D158A"/>
    <w:rsid w:val="002E1BAC"/>
    <w:rsid w:val="002F3D41"/>
    <w:rsid w:val="003004E7"/>
    <w:rsid w:val="0030131C"/>
    <w:rsid w:val="00314808"/>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75746"/>
    <w:rsid w:val="003803AB"/>
    <w:rsid w:val="00380645"/>
    <w:rsid w:val="003853CD"/>
    <w:rsid w:val="003857C9"/>
    <w:rsid w:val="00385E30"/>
    <w:rsid w:val="00386AA9"/>
    <w:rsid w:val="003A4E5A"/>
    <w:rsid w:val="003A5204"/>
    <w:rsid w:val="003A70CE"/>
    <w:rsid w:val="003B0676"/>
    <w:rsid w:val="003B1738"/>
    <w:rsid w:val="003B20EA"/>
    <w:rsid w:val="003C329E"/>
    <w:rsid w:val="003C6FEB"/>
    <w:rsid w:val="003E00E5"/>
    <w:rsid w:val="003F3363"/>
    <w:rsid w:val="003F7EDB"/>
    <w:rsid w:val="00407CC4"/>
    <w:rsid w:val="00412B69"/>
    <w:rsid w:val="00421BEA"/>
    <w:rsid w:val="00432126"/>
    <w:rsid w:val="00445673"/>
    <w:rsid w:val="0045049E"/>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51364"/>
    <w:rsid w:val="00567C40"/>
    <w:rsid w:val="0057519A"/>
    <w:rsid w:val="00581D1D"/>
    <w:rsid w:val="00585347"/>
    <w:rsid w:val="00590C3E"/>
    <w:rsid w:val="0059293C"/>
    <w:rsid w:val="00595395"/>
    <w:rsid w:val="0059625B"/>
    <w:rsid w:val="00596AB4"/>
    <w:rsid w:val="005A32C2"/>
    <w:rsid w:val="005B45E6"/>
    <w:rsid w:val="005B67A2"/>
    <w:rsid w:val="005C18D2"/>
    <w:rsid w:val="005C2215"/>
    <w:rsid w:val="005C6147"/>
    <w:rsid w:val="005E59E8"/>
    <w:rsid w:val="005E7559"/>
    <w:rsid w:val="005F2AD2"/>
    <w:rsid w:val="005F2BC7"/>
    <w:rsid w:val="00615FBF"/>
    <w:rsid w:val="00623D36"/>
    <w:rsid w:val="006321F4"/>
    <w:rsid w:val="00633397"/>
    <w:rsid w:val="00646C5C"/>
    <w:rsid w:val="0066494B"/>
    <w:rsid w:val="0066756A"/>
    <w:rsid w:val="00674AC7"/>
    <w:rsid w:val="00681878"/>
    <w:rsid w:val="00683504"/>
    <w:rsid w:val="00692138"/>
    <w:rsid w:val="00692A55"/>
    <w:rsid w:val="006978D4"/>
    <w:rsid w:val="006979B4"/>
    <w:rsid w:val="006A474B"/>
    <w:rsid w:val="006A779D"/>
    <w:rsid w:val="006B7846"/>
    <w:rsid w:val="006B7F2B"/>
    <w:rsid w:val="006C0086"/>
    <w:rsid w:val="006C1542"/>
    <w:rsid w:val="006C1D3B"/>
    <w:rsid w:val="006C1F07"/>
    <w:rsid w:val="006C772C"/>
    <w:rsid w:val="006D39DD"/>
    <w:rsid w:val="006D5482"/>
    <w:rsid w:val="006E31FB"/>
    <w:rsid w:val="006E7C0F"/>
    <w:rsid w:val="006F7DB3"/>
    <w:rsid w:val="007062BD"/>
    <w:rsid w:val="00711E6C"/>
    <w:rsid w:val="00723211"/>
    <w:rsid w:val="00735384"/>
    <w:rsid w:val="00737234"/>
    <w:rsid w:val="00751002"/>
    <w:rsid w:val="00751D01"/>
    <w:rsid w:val="007605D2"/>
    <w:rsid w:val="00765327"/>
    <w:rsid w:val="007749FC"/>
    <w:rsid w:val="00780AB2"/>
    <w:rsid w:val="00784898"/>
    <w:rsid w:val="00797660"/>
    <w:rsid w:val="007B2EB9"/>
    <w:rsid w:val="007B5EDF"/>
    <w:rsid w:val="007C2929"/>
    <w:rsid w:val="007C3229"/>
    <w:rsid w:val="007C39B9"/>
    <w:rsid w:val="007D48F7"/>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5672A"/>
    <w:rsid w:val="00861680"/>
    <w:rsid w:val="00870163"/>
    <w:rsid w:val="00875497"/>
    <w:rsid w:val="00895A5D"/>
    <w:rsid w:val="00896123"/>
    <w:rsid w:val="00896BC6"/>
    <w:rsid w:val="008A4B12"/>
    <w:rsid w:val="008D35D8"/>
    <w:rsid w:val="008D6E0F"/>
    <w:rsid w:val="008E18BF"/>
    <w:rsid w:val="008E1F3A"/>
    <w:rsid w:val="008F38A8"/>
    <w:rsid w:val="008F6C96"/>
    <w:rsid w:val="00911F06"/>
    <w:rsid w:val="00930C86"/>
    <w:rsid w:val="00940420"/>
    <w:rsid w:val="009443ED"/>
    <w:rsid w:val="009449EE"/>
    <w:rsid w:val="009669CF"/>
    <w:rsid w:val="00986348"/>
    <w:rsid w:val="009A0429"/>
    <w:rsid w:val="009A3461"/>
    <w:rsid w:val="009A41E5"/>
    <w:rsid w:val="009C11C0"/>
    <w:rsid w:val="009D03FE"/>
    <w:rsid w:val="009D1F46"/>
    <w:rsid w:val="009D70A8"/>
    <w:rsid w:val="009D78B0"/>
    <w:rsid w:val="009E0D49"/>
    <w:rsid w:val="009E1B07"/>
    <w:rsid w:val="009E1B1B"/>
    <w:rsid w:val="009F2602"/>
    <w:rsid w:val="009F2788"/>
    <w:rsid w:val="009F62A9"/>
    <w:rsid w:val="00A3046D"/>
    <w:rsid w:val="00A3146D"/>
    <w:rsid w:val="00A330FA"/>
    <w:rsid w:val="00A41CCA"/>
    <w:rsid w:val="00A536DE"/>
    <w:rsid w:val="00A57ECD"/>
    <w:rsid w:val="00A70A82"/>
    <w:rsid w:val="00A71FF9"/>
    <w:rsid w:val="00A73DC5"/>
    <w:rsid w:val="00A775DD"/>
    <w:rsid w:val="00A82BCB"/>
    <w:rsid w:val="00A837EB"/>
    <w:rsid w:val="00A841F9"/>
    <w:rsid w:val="00A92DC3"/>
    <w:rsid w:val="00AA4E2A"/>
    <w:rsid w:val="00AB15C1"/>
    <w:rsid w:val="00AB1E41"/>
    <w:rsid w:val="00AB2826"/>
    <w:rsid w:val="00AB4B39"/>
    <w:rsid w:val="00AB679E"/>
    <w:rsid w:val="00AC6023"/>
    <w:rsid w:val="00AD4F06"/>
    <w:rsid w:val="00AE7AB3"/>
    <w:rsid w:val="00AF4C49"/>
    <w:rsid w:val="00B00832"/>
    <w:rsid w:val="00B019A0"/>
    <w:rsid w:val="00B14C92"/>
    <w:rsid w:val="00B2152C"/>
    <w:rsid w:val="00B34414"/>
    <w:rsid w:val="00B3640B"/>
    <w:rsid w:val="00B36CE6"/>
    <w:rsid w:val="00B43B1F"/>
    <w:rsid w:val="00B5583C"/>
    <w:rsid w:val="00B56F87"/>
    <w:rsid w:val="00B64449"/>
    <w:rsid w:val="00B66D8C"/>
    <w:rsid w:val="00BA3517"/>
    <w:rsid w:val="00BA3C35"/>
    <w:rsid w:val="00BA58F6"/>
    <w:rsid w:val="00BA7805"/>
    <w:rsid w:val="00BB034D"/>
    <w:rsid w:val="00BC1E08"/>
    <w:rsid w:val="00BC5623"/>
    <w:rsid w:val="00BD11AC"/>
    <w:rsid w:val="00BE0F52"/>
    <w:rsid w:val="00BE452A"/>
    <w:rsid w:val="00BF0C80"/>
    <w:rsid w:val="00BF124E"/>
    <w:rsid w:val="00C0084E"/>
    <w:rsid w:val="00C01425"/>
    <w:rsid w:val="00C03A8F"/>
    <w:rsid w:val="00C12152"/>
    <w:rsid w:val="00C308C3"/>
    <w:rsid w:val="00C351DC"/>
    <w:rsid w:val="00C36F84"/>
    <w:rsid w:val="00C42332"/>
    <w:rsid w:val="00C4730D"/>
    <w:rsid w:val="00C50AAF"/>
    <w:rsid w:val="00C51914"/>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2F5A"/>
    <w:rsid w:val="00DE7715"/>
    <w:rsid w:val="00DF2DC5"/>
    <w:rsid w:val="00E0071B"/>
    <w:rsid w:val="00E07191"/>
    <w:rsid w:val="00E14957"/>
    <w:rsid w:val="00E2143B"/>
    <w:rsid w:val="00E31F79"/>
    <w:rsid w:val="00E4351E"/>
    <w:rsid w:val="00E6222D"/>
    <w:rsid w:val="00E63068"/>
    <w:rsid w:val="00E63BC8"/>
    <w:rsid w:val="00E646C7"/>
    <w:rsid w:val="00E71100"/>
    <w:rsid w:val="00E76C46"/>
    <w:rsid w:val="00E8788A"/>
    <w:rsid w:val="00E97960"/>
    <w:rsid w:val="00E979D2"/>
    <w:rsid w:val="00EA0C13"/>
    <w:rsid w:val="00EA1604"/>
    <w:rsid w:val="00EA53B9"/>
    <w:rsid w:val="00EC02B6"/>
    <w:rsid w:val="00EC6324"/>
    <w:rsid w:val="00EC7E01"/>
    <w:rsid w:val="00EE139E"/>
    <w:rsid w:val="00EE228C"/>
    <w:rsid w:val="00EE4383"/>
    <w:rsid w:val="00EE491C"/>
    <w:rsid w:val="00EF7D85"/>
    <w:rsid w:val="00F00FF1"/>
    <w:rsid w:val="00F12D9E"/>
    <w:rsid w:val="00F1305E"/>
    <w:rsid w:val="00F16E81"/>
    <w:rsid w:val="00F30531"/>
    <w:rsid w:val="00F31891"/>
    <w:rsid w:val="00F343EA"/>
    <w:rsid w:val="00F357CB"/>
    <w:rsid w:val="00F42278"/>
    <w:rsid w:val="00F541D9"/>
    <w:rsid w:val="00F83C00"/>
    <w:rsid w:val="00F87240"/>
    <w:rsid w:val="00F9130B"/>
    <w:rsid w:val="00F97718"/>
    <w:rsid w:val="00FA1809"/>
    <w:rsid w:val="00FA2104"/>
    <w:rsid w:val="00FA4CCB"/>
    <w:rsid w:val="00FC257F"/>
    <w:rsid w:val="00FD0E8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10E5C"/>
  <w15:docId w15:val="{C28C75E3-0CE3-4030-9629-63A934F3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68717">
      <w:bodyDiv w:val="1"/>
      <w:marLeft w:val="0"/>
      <w:marRight w:val="0"/>
      <w:marTop w:val="0"/>
      <w:marBottom w:val="0"/>
      <w:divBdr>
        <w:top w:val="none" w:sz="0" w:space="0" w:color="auto"/>
        <w:left w:val="none" w:sz="0" w:space="0" w:color="auto"/>
        <w:bottom w:val="none" w:sz="0" w:space="0" w:color="auto"/>
        <w:right w:val="none" w:sz="0" w:space="0" w:color="auto"/>
      </w:divBdr>
    </w:div>
    <w:div w:id="1885679966">
      <w:bodyDiv w:val="1"/>
      <w:marLeft w:val="0"/>
      <w:marRight w:val="0"/>
      <w:marTop w:val="0"/>
      <w:marBottom w:val="0"/>
      <w:divBdr>
        <w:top w:val="none" w:sz="0" w:space="0" w:color="auto"/>
        <w:left w:val="none" w:sz="0" w:space="0" w:color="auto"/>
        <w:bottom w:val="none" w:sz="0" w:space="0" w:color="auto"/>
        <w:right w:val="none" w:sz="0" w:space="0" w:color="auto"/>
      </w:divBdr>
      <w:divsChild>
        <w:div w:id="17242662">
          <w:marLeft w:val="547"/>
          <w:marRight w:val="0"/>
          <w:marTop w:val="77"/>
          <w:marBottom w:val="0"/>
          <w:divBdr>
            <w:top w:val="none" w:sz="0" w:space="0" w:color="auto"/>
            <w:left w:val="none" w:sz="0" w:space="0" w:color="auto"/>
            <w:bottom w:val="none" w:sz="0" w:space="0" w:color="auto"/>
            <w:right w:val="none" w:sz="0" w:space="0" w:color="auto"/>
          </w:divBdr>
        </w:div>
        <w:div w:id="1514371959">
          <w:marLeft w:val="547"/>
          <w:marRight w:val="0"/>
          <w:marTop w:val="77"/>
          <w:marBottom w:val="0"/>
          <w:divBdr>
            <w:top w:val="none" w:sz="0" w:space="0" w:color="auto"/>
            <w:left w:val="none" w:sz="0" w:space="0" w:color="auto"/>
            <w:bottom w:val="none" w:sz="0" w:space="0" w:color="auto"/>
            <w:right w:val="none" w:sz="0" w:space="0" w:color="auto"/>
          </w:divBdr>
        </w:div>
        <w:div w:id="1608001903">
          <w:marLeft w:val="547"/>
          <w:marRight w:val="0"/>
          <w:marTop w:val="77"/>
          <w:marBottom w:val="0"/>
          <w:divBdr>
            <w:top w:val="none" w:sz="0" w:space="0" w:color="auto"/>
            <w:left w:val="none" w:sz="0" w:space="0" w:color="auto"/>
            <w:bottom w:val="none" w:sz="0" w:space="0" w:color="auto"/>
            <w:right w:val="none" w:sz="0" w:space="0" w:color="auto"/>
          </w:divBdr>
        </w:div>
        <w:div w:id="1367557548">
          <w:marLeft w:val="547"/>
          <w:marRight w:val="0"/>
          <w:marTop w:val="77"/>
          <w:marBottom w:val="0"/>
          <w:divBdr>
            <w:top w:val="none" w:sz="0" w:space="0" w:color="auto"/>
            <w:left w:val="none" w:sz="0" w:space="0" w:color="auto"/>
            <w:bottom w:val="none" w:sz="0" w:space="0" w:color="auto"/>
            <w:right w:val="none" w:sz="0" w:space="0" w:color="auto"/>
          </w:divBdr>
        </w:div>
        <w:div w:id="1270744403">
          <w:marLeft w:val="547"/>
          <w:marRight w:val="0"/>
          <w:marTop w:val="77"/>
          <w:marBottom w:val="0"/>
          <w:divBdr>
            <w:top w:val="none" w:sz="0" w:space="0" w:color="auto"/>
            <w:left w:val="none" w:sz="0" w:space="0" w:color="auto"/>
            <w:bottom w:val="none" w:sz="0" w:space="0" w:color="auto"/>
            <w:right w:val="none" w:sz="0" w:space="0" w:color="auto"/>
          </w:divBdr>
        </w:div>
        <w:div w:id="449209307">
          <w:marLeft w:val="547"/>
          <w:marRight w:val="0"/>
          <w:marTop w:val="77"/>
          <w:marBottom w:val="0"/>
          <w:divBdr>
            <w:top w:val="none" w:sz="0" w:space="0" w:color="auto"/>
            <w:left w:val="none" w:sz="0" w:space="0" w:color="auto"/>
            <w:bottom w:val="none" w:sz="0" w:space="0" w:color="auto"/>
            <w:right w:val="none" w:sz="0" w:space="0" w:color="auto"/>
          </w:divBdr>
        </w:div>
      </w:divsChild>
    </w:div>
    <w:div w:id="2079088864">
      <w:bodyDiv w:val="1"/>
      <w:marLeft w:val="0"/>
      <w:marRight w:val="0"/>
      <w:marTop w:val="0"/>
      <w:marBottom w:val="0"/>
      <w:divBdr>
        <w:top w:val="none" w:sz="0" w:space="0" w:color="auto"/>
        <w:left w:val="none" w:sz="0" w:space="0" w:color="auto"/>
        <w:bottom w:val="none" w:sz="0" w:space="0" w:color="auto"/>
        <w:right w:val="none" w:sz="0" w:space="0" w:color="auto"/>
      </w:divBdr>
      <w:divsChild>
        <w:div w:id="1139686484">
          <w:marLeft w:val="547"/>
          <w:marRight w:val="0"/>
          <w:marTop w:val="77"/>
          <w:marBottom w:val="0"/>
          <w:divBdr>
            <w:top w:val="none" w:sz="0" w:space="0" w:color="auto"/>
            <w:left w:val="none" w:sz="0" w:space="0" w:color="auto"/>
            <w:bottom w:val="none" w:sz="0" w:space="0" w:color="auto"/>
            <w:right w:val="none" w:sz="0" w:space="0" w:color="auto"/>
          </w:divBdr>
        </w:div>
        <w:div w:id="483667680">
          <w:marLeft w:val="547"/>
          <w:marRight w:val="0"/>
          <w:marTop w:val="77"/>
          <w:marBottom w:val="0"/>
          <w:divBdr>
            <w:top w:val="none" w:sz="0" w:space="0" w:color="auto"/>
            <w:left w:val="none" w:sz="0" w:space="0" w:color="auto"/>
            <w:bottom w:val="none" w:sz="0" w:space="0" w:color="auto"/>
            <w:right w:val="none" w:sz="0" w:space="0" w:color="auto"/>
          </w:divBdr>
        </w:div>
        <w:div w:id="958685972">
          <w:marLeft w:val="547"/>
          <w:marRight w:val="0"/>
          <w:marTop w:val="77"/>
          <w:marBottom w:val="0"/>
          <w:divBdr>
            <w:top w:val="none" w:sz="0" w:space="0" w:color="auto"/>
            <w:left w:val="none" w:sz="0" w:space="0" w:color="auto"/>
            <w:bottom w:val="none" w:sz="0" w:space="0" w:color="auto"/>
            <w:right w:val="none" w:sz="0" w:space="0" w:color="auto"/>
          </w:divBdr>
        </w:div>
        <w:div w:id="126746955">
          <w:marLeft w:val="547"/>
          <w:marRight w:val="0"/>
          <w:marTop w:val="77"/>
          <w:marBottom w:val="0"/>
          <w:divBdr>
            <w:top w:val="none" w:sz="0" w:space="0" w:color="auto"/>
            <w:left w:val="none" w:sz="0" w:space="0" w:color="auto"/>
            <w:bottom w:val="none" w:sz="0" w:space="0" w:color="auto"/>
            <w:right w:val="none" w:sz="0" w:space="0" w:color="auto"/>
          </w:divBdr>
        </w:div>
        <w:div w:id="629867984">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4</TotalTime>
  <Pages>12</Pages>
  <Words>3361</Words>
  <Characters>18721</Characters>
  <Application>Microsoft Office Word</Application>
  <DocSecurity>8</DocSecurity>
  <Lines>156</Lines>
  <Paragraphs>44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cp:revision>
  <cp:lastPrinted>2011-09-07T16:03:00Z</cp:lastPrinted>
  <dcterms:created xsi:type="dcterms:W3CDTF">2022-05-02T16:38:00Z</dcterms:created>
  <dcterms:modified xsi:type="dcterms:W3CDTF">2022-05-03T13:15:00Z</dcterms:modified>
</cp:coreProperties>
</file>