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D8EED" w14:textId="77777777" w:rsidR="00FA4CCB" w:rsidRDefault="00FA4CCB">
      <w:pPr>
        <w:pStyle w:val="Ttulo"/>
        <w:ind w:right="51"/>
        <w:rPr>
          <w:rFonts w:cs="Arial"/>
        </w:rPr>
      </w:pPr>
      <w:r>
        <w:rPr>
          <w:rFonts w:cs="Arial"/>
        </w:rPr>
        <w:t>BANCO HIPOTECARIO DE LA VIVIENDA</w:t>
      </w:r>
    </w:p>
    <w:p w14:paraId="2280F7D6" w14:textId="77777777" w:rsidR="00FA4CCB" w:rsidRDefault="00FA4CCB">
      <w:pPr>
        <w:spacing w:line="360" w:lineRule="auto"/>
        <w:ind w:right="51"/>
        <w:jc w:val="center"/>
        <w:rPr>
          <w:rFonts w:cs="Arial"/>
          <w:b/>
          <w:sz w:val="22"/>
          <w:u w:val="single"/>
        </w:rPr>
      </w:pPr>
      <w:r>
        <w:rPr>
          <w:rFonts w:cs="Arial"/>
          <w:b/>
          <w:sz w:val="22"/>
          <w:u w:val="single"/>
        </w:rPr>
        <w:t>JUNTA DIRECTIVA</w:t>
      </w:r>
    </w:p>
    <w:p w14:paraId="48B08922" w14:textId="77777777" w:rsidR="00FA4CCB" w:rsidRDefault="00FA4CCB">
      <w:pPr>
        <w:spacing w:line="360" w:lineRule="auto"/>
        <w:ind w:right="51"/>
        <w:jc w:val="center"/>
        <w:rPr>
          <w:rFonts w:cs="Arial"/>
          <w:b/>
          <w:sz w:val="22"/>
          <w:u w:val="single"/>
        </w:rPr>
      </w:pPr>
    </w:p>
    <w:p w14:paraId="3789C6A0" w14:textId="2F686D8C"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D85E40">
        <w:rPr>
          <w:rFonts w:cs="Arial"/>
          <w:b/>
          <w:sz w:val="22"/>
          <w:u w:val="single"/>
        </w:rPr>
        <w:t>EXTRA</w:t>
      </w:r>
      <w:r w:rsidR="00FA4CCB">
        <w:rPr>
          <w:rFonts w:cs="Arial"/>
          <w:b/>
          <w:sz w:val="22"/>
          <w:u w:val="single"/>
        </w:rPr>
        <w:t xml:space="preserve">ORDINARIA </w:t>
      </w:r>
      <w:r>
        <w:rPr>
          <w:rFonts w:cs="Arial"/>
          <w:b/>
          <w:sz w:val="22"/>
          <w:u w:val="single"/>
        </w:rPr>
        <w:t xml:space="preserve">N° </w:t>
      </w:r>
      <w:r w:rsidR="00D85E40">
        <w:rPr>
          <w:rFonts w:cs="Arial"/>
          <w:b/>
          <w:sz w:val="22"/>
          <w:u w:val="single"/>
        </w:rPr>
        <w:t>05</w:t>
      </w:r>
      <w:r>
        <w:rPr>
          <w:rFonts w:cs="Arial"/>
          <w:b/>
          <w:sz w:val="22"/>
          <w:u w:val="single"/>
        </w:rPr>
        <w:t>-</w:t>
      </w:r>
      <w:r w:rsidR="005F2BC7">
        <w:rPr>
          <w:rFonts w:cs="Arial"/>
          <w:b/>
          <w:sz w:val="22"/>
          <w:u w:val="single"/>
        </w:rPr>
        <w:t>2022</w:t>
      </w:r>
    </w:p>
    <w:p w14:paraId="3B95C9D5" w14:textId="65ECC1B2" w:rsidR="00FA4CCB" w:rsidRDefault="00FA4CCB">
      <w:pPr>
        <w:spacing w:line="360" w:lineRule="auto"/>
        <w:ind w:right="51"/>
        <w:jc w:val="center"/>
        <w:rPr>
          <w:rFonts w:cs="Arial"/>
          <w:b/>
          <w:sz w:val="22"/>
          <w:u w:val="single"/>
        </w:rPr>
      </w:pPr>
      <w:r>
        <w:rPr>
          <w:rFonts w:cs="Arial"/>
          <w:b/>
          <w:sz w:val="22"/>
          <w:u w:val="single"/>
        </w:rPr>
        <w:t xml:space="preserve">DEL </w:t>
      </w:r>
      <w:r w:rsidR="00D85E40">
        <w:rPr>
          <w:rFonts w:cs="Arial"/>
          <w:b/>
          <w:sz w:val="22"/>
          <w:u w:val="single"/>
        </w:rPr>
        <w:t>20</w:t>
      </w:r>
      <w:r>
        <w:rPr>
          <w:rFonts w:cs="Arial"/>
          <w:b/>
          <w:sz w:val="22"/>
          <w:u w:val="single"/>
        </w:rPr>
        <w:t xml:space="preserve"> DE </w:t>
      </w:r>
      <w:r w:rsidR="00D85E40">
        <w:rPr>
          <w:rFonts w:cs="Arial"/>
          <w:b/>
          <w:sz w:val="22"/>
          <w:u w:val="single"/>
        </w:rPr>
        <w:t>ENERO</w:t>
      </w:r>
      <w:r>
        <w:rPr>
          <w:rFonts w:cs="Arial"/>
          <w:b/>
          <w:sz w:val="22"/>
          <w:u w:val="single"/>
        </w:rPr>
        <w:t xml:space="preserve"> DE </w:t>
      </w:r>
      <w:r w:rsidR="005F2BC7">
        <w:rPr>
          <w:rFonts w:cs="Arial"/>
          <w:b/>
          <w:sz w:val="22"/>
          <w:u w:val="single"/>
        </w:rPr>
        <w:t>2022</w:t>
      </w:r>
    </w:p>
    <w:p w14:paraId="7C6CC4D2"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73C7A153" w14:textId="77777777" w:rsidR="00FA4CCB" w:rsidRDefault="00FA4CCB">
      <w:pPr>
        <w:spacing w:line="360" w:lineRule="auto"/>
        <w:ind w:right="51"/>
        <w:jc w:val="center"/>
        <w:rPr>
          <w:rFonts w:cs="Arial"/>
          <w:b/>
          <w:sz w:val="22"/>
          <w:u w:val="single"/>
        </w:rPr>
      </w:pPr>
    </w:p>
    <w:p w14:paraId="4C84E2DD"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21001FEA" w14:textId="77777777" w:rsidR="00AD4F06" w:rsidRDefault="00AD4F06" w:rsidP="0066494B">
      <w:pPr>
        <w:spacing w:line="360" w:lineRule="auto"/>
        <w:jc w:val="both"/>
        <w:rPr>
          <w:rFonts w:cs="Arial"/>
          <w:sz w:val="22"/>
        </w:rPr>
      </w:pPr>
    </w:p>
    <w:p w14:paraId="1CD50F81" w14:textId="5A8AF7BD"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D730BE">
        <w:rPr>
          <w:rFonts w:cs="Arial"/>
          <w:sz w:val="22"/>
        </w:rPr>
        <w:t xml:space="preserve">Yohusert Sibaja Garbanzo, funcionario de la Auditoría Interna;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34C083E2" w14:textId="77777777" w:rsidR="007749FC" w:rsidRDefault="007749FC" w:rsidP="0066494B">
      <w:pPr>
        <w:spacing w:line="360" w:lineRule="auto"/>
        <w:jc w:val="both"/>
        <w:rPr>
          <w:rFonts w:cs="Arial"/>
          <w:sz w:val="22"/>
        </w:rPr>
      </w:pPr>
    </w:p>
    <w:p w14:paraId="58903B88" w14:textId="0E8F859D" w:rsidR="007749FC" w:rsidRDefault="007749FC" w:rsidP="0066494B">
      <w:pPr>
        <w:spacing w:line="360" w:lineRule="auto"/>
        <w:jc w:val="both"/>
        <w:rPr>
          <w:rFonts w:cs="Arial"/>
          <w:sz w:val="22"/>
        </w:rPr>
      </w:pPr>
      <w:r>
        <w:rPr>
          <w:rFonts w:cs="Arial"/>
          <w:sz w:val="22"/>
        </w:rPr>
        <w:t>Ausente con justificación:</w:t>
      </w:r>
      <w:r w:rsidR="00D730BE" w:rsidRPr="00D730BE">
        <w:rPr>
          <w:rFonts w:cs="Arial"/>
          <w:sz w:val="22"/>
        </w:rPr>
        <w:t xml:space="preserve"> </w:t>
      </w:r>
      <w:r w:rsidR="00D730BE">
        <w:rPr>
          <w:rFonts w:cs="Arial"/>
          <w:sz w:val="22"/>
        </w:rPr>
        <w:t xml:space="preserve">Gustavo Flores Oviedo, </w:t>
      </w:r>
      <w:r w:rsidR="00D730BE">
        <w:rPr>
          <w:rFonts w:cs="Arial"/>
          <w:sz w:val="22"/>
          <w:szCs w:val="22"/>
        </w:rPr>
        <w:t>Auditor Interno</w:t>
      </w:r>
      <w:r w:rsidR="00D730BE">
        <w:rPr>
          <w:rFonts w:cs="Arial"/>
          <w:sz w:val="22"/>
        </w:rPr>
        <w:t>.</w:t>
      </w:r>
    </w:p>
    <w:p w14:paraId="3048C6B8" w14:textId="77777777" w:rsidR="006321F4" w:rsidRPr="00D14EAF" w:rsidRDefault="006321F4" w:rsidP="006321F4">
      <w:pPr>
        <w:spacing w:line="360" w:lineRule="auto"/>
        <w:jc w:val="both"/>
        <w:rPr>
          <w:rFonts w:cs="Arial"/>
          <w:b/>
          <w:sz w:val="22"/>
        </w:rPr>
      </w:pPr>
      <w:r w:rsidRPr="00D14EAF">
        <w:rPr>
          <w:rFonts w:cs="Arial"/>
          <w:b/>
          <w:sz w:val="22"/>
        </w:rPr>
        <w:t>************</w:t>
      </w:r>
    </w:p>
    <w:p w14:paraId="72FC5369" w14:textId="77777777" w:rsidR="00FA4CCB" w:rsidRDefault="00FA4CCB" w:rsidP="0066494B">
      <w:pPr>
        <w:spacing w:line="360" w:lineRule="auto"/>
        <w:jc w:val="both"/>
        <w:rPr>
          <w:rFonts w:cs="Arial"/>
          <w:sz w:val="22"/>
        </w:rPr>
      </w:pPr>
    </w:p>
    <w:p w14:paraId="5518E9CA" w14:textId="77777777" w:rsidR="00FA4CCB" w:rsidRDefault="00FA4CCB" w:rsidP="0066494B">
      <w:pPr>
        <w:pStyle w:val="Ttulo4"/>
        <w:spacing w:line="360" w:lineRule="auto"/>
        <w:jc w:val="both"/>
        <w:rPr>
          <w:rFonts w:cs="Arial"/>
        </w:rPr>
      </w:pPr>
      <w:r>
        <w:rPr>
          <w:rFonts w:cs="Arial"/>
        </w:rPr>
        <w:t>Asuntos conocidos en la presente sesión</w:t>
      </w:r>
    </w:p>
    <w:p w14:paraId="37CDD3F5" w14:textId="77777777" w:rsidR="00FA4CCB" w:rsidRDefault="00FA4CCB" w:rsidP="0066494B">
      <w:pPr>
        <w:spacing w:line="360" w:lineRule="auto"/>
        <w:jc w:val="both"/>
        <w:rPr>
          <w:rFonts w:cs="Arial"/>
          <w:b/>
          <w:sz w:val="22"/>
        </w:rPr>
      </w:pPr>
    </w:p>
    <w:p w14:paraId="6E493538"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77870B5D" w14:textId="77777777" w:rsidR="00716174" w:rsidRPr="00716174" w:rsidRDefault="00716174" w:rsidP="00716174">
      <w:pPr>
        <w:pStyle w:val="Prrafodelista"/>
        <w:numPr>
          <w:ilvl w:val="0"/>
          <w:numId w:val="18"/>
        </w:numPr>
        <w:spacing w:line="360" w:lineRule="auto"/>
        <w:ind w:left="426" w:hanging="426"/>
        <w:jc w:val="both"/>
        <w:rPr>
          <w:rFonts w:cs="Arial"/>
          <w:sz w:val="22"/>
          <w:lang w:val="es-ES_tradnl"/>
        </w:rPr>
      </w:pPr>
      <w:r w:rsidRPr="00716174">
        <w:rPr>
          <w:rFonts w:cs="Arial"/>
          <w:sz w:val="22"/>
          <w:lang w:val="es-ES_tradnl"/>
        </w:rPr>
        <w:t>Presentación de los resultados y lecciones aprendidas del plan piloto del Proyecto de Vivienda Urbana, Inclusiva y Sostenible.</w:t>
      </w:r>
    </w:p>
    <w:p w14:paraId="220A7088" w14:textId="6DF46377" w:rsidR="00716174" w:rsidRPr="00716174" w:rsidRDefault="00716174" w:rsidP="00716174">
      <w:pPr>
        <w:pStyle w:val="Prrafodelista"/>
        <w:numPr>
          <w:ilvl w:val="0"/>
          <w:numId w:val="18"/>
        </w:numPr>
        <w:spacing w:line="360" w:lineRule="auto"/>
        <w:ind w:left="426" w:hanging="426"/>
        <w:jc w:val="both"/>
        <w:rPr>
          <w:rFonts w:cs="Arial"/>
          <w:sz w:val="22"/>
        </w:rPr>
      </w:pPr>
      <w:r w:rsidRPr="00716174">
        <w:rPr>
          <w:rFonts w:cs="Arial"/>
          <w:sz w:val="22"/>
          <w:lang w:val="es-ES_tradnl"/>
        </w:rPr>
        <w:t>Criterio jurídico sobre el reclamo presentado por la Constructora ROVI S.A., en relación con las multas del proyecto Loma Linda.</w:t>
      </w:r>
    </w:p>
    <w:p w14:paraId="5ED61AB8" w14:textId="7B315F26" w:rsidR="00716174" w:rsidRPr="00716174" w:rsidRDefault="00716174" w:rsidP="00716174">
      <w:pPr>
        <w:pStyle w:val="Prrafodelista"/>
        <w:numPr>
          <w:ilvl w:val="0"/>
          <w:numId w:val="18"/>
        </w:numPr>
        <w:spacing w:line="360" w:lineRule="auto"/>
        <w:ind w:left="426" w:hanging="426"/>
        <w:jc w:val="both"/>
        <w:rPr>
          <w:rFonts w:cs="Arial"/>
          <w:sz w:val="22"/>
        </w:rPr>
      </w:pPr>
      <w:r w:rsidRPr="00716174">
        <w:rPr>
          <w:rFonts w:cs="Arial"/>
          <w:sz w:val="22"/>
          <w:lang w:val="es-ES_tradnl"/>
        </w:rPr>
        <w:t>Informe técnico y legal sobre la solicitud del desarrollador del proyecto Villa Bonita, para reconocer gastos de mantenimiento de la planta de tratamiento.</w:t>
      </w:r>
    </w:p>
    <w:p w14:paraId="56CBF0AA" w14:textId="074E83B5" w:rsidR="00716174" w:rsidRPr="00716174" w:rsidRDefault="00716174" w:rsidP="00716174">
      <w:pPr>
        <w:pStyle w:val="Prrafodelista"/>
        <w:numPr>
          <w:ilvl w:val="0"/>
          <w:numId w:val="18"/>
        </w:numPr>
        <w:spacing w:line="360" w:lineRule="auto"/>
        <w:ind w:left="426" w:hanging="426"/>
        <w:jc w:val="both"/>
        <w:rPr>
          <w:rFonts w:cs="Arial"/>
          <w:sz w:val="22"/>
          <w:lang w:val="es-ES_tradnl"/>
        </w:rPr>
      </w:pPr>
      <w:r w:rsidRPr="00716174">
        <w:rPr>
          <w:rFonts w:cs="Arial"/>
          <w:sz w:val="22"/>
          <w:lang w:val="es-ES_tradnl"/>
        </w:rPr>
        <w:t>Informe sobre la situación de los proyectos Ivannia y La Flor.</w:t>
      </w:r>
    </w:p>
    <w:p w14:paraId="076F08BA" w14:textId="2967604B" w:rsidR="007749FC" w:rsidRPr="00716174" w:rsidRDefault="00716174" w:rsidP="00716174">
      <w:pPr>
        <w:pStyle w:val="Prrafodelista"/>
        <w:numPr>
          <w:ilvl w:val="0"/>
          <w:numId w:val="18"/>
        </w:numPr>
        <w:spacing w:line="360" w:lineRule="auto"/>
        <w:ind w:left="426" w:hanging="426"/>
        <w:jc w:val="both"/>
        <w:rPr>
          <w:rFonts w:cs="Arial"/>
          <w:sz w:val="22"/>
        </w:rPr>
      </w:pPr>
      <w:r w:rsidRPr="00716174">
        <w:rPr>
          <w:rFonts w:cs="Arial"/>
          <w:sz w:val="22"/>
          <w:lang w:val="es-ES_tradnl"/>
        </w:rPr>
        <w:lastRenderedPageBreak/>
        <w:t>Continuación de análisis del criterio jurídico sobre el reclamo presentado por la Constructora ROVI S.A., en relación con las multas del proyecto Loma Linda.</w:t>
      </w:r>
    </w:p>
    <w:p w14:paraId="49AE7880" w14:textId="77777777" w:rsidR="006321F4" w:rsidRPr="00D14EAF" w:rsidRDefault="006321F4" w:rsidP="006321F4">
      <w:pPr>
        <w:spacing w:line="360" w:lineRule="auto"/>
        <w:jc w:val="both"/>
        <w:rPr>
          <w:rFonts w:cs="Arial"/>
          <w:b/>
          <w:sz w:val="22"/>
        </w:rPr>
      </w:pPr>
      <w:r w:rsidRPr="00D14EAF">
        <w:rPr>
          <w:rFonts w:cs="Arial"/>
          <w:b/>
          <w:sz w:val="22"/>
        </w:rPr>
        <w:t>************</w:t>
      </w:r>
    </w:p>
    <w:p w14:paraId="4551916E" w14:textId="77777777" w:rsidR="007F614F" w:rsidRPr="00AB2826" w:rsidRDefault="007F614F" w:rsidP="002D0146">
      <w:pPr>
        <w:spacing w:line="360" w:lineRule="auto"/>
        <w:jc w:val="both"/>
        <w:rPr>
          <w:rFonts w:cs="Arial"/>
          <w:b/>
          <w:sz w:val="22"/>
          <w:szCs w:val="22"/>
          <w:u w:val="single"/>
          <w:lang w:val="es-ES_tradnl"/>
        </w:rPr>
      </w:pPr>
    </w:p>
    <w:p w14:paraId="6544F503" w14:textId="25358BA6"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716174" w:rsidRPr="00716174">
        <w:rPr>
          <w:rFonts w:cs="Arial"/>
          <w:b/>
          <w:bCs/>
          <w:sz w:val="22"/>
          <w:u w:val="single"/>
          <w:lang w:val="es-ES_tradnl"/>
        </w:rPr>
        <w:t>Presentación de los resultados y lecciones aprendidas del plan piloto del Proyecto de Vivienda Urbana, Inclusiva y Sostenible</w:t>
      </w:r>
    </w:p>
    <w:p w14:paraId="344E357F" w14:textId="77777777" w:rsidR="002579C3" w:rsidRDefault="002579C3" w:rsidP="002579C3">
      <w:pPr>
        <w:spacing w:line="360" w:lineRule="auto"/>
        <w:jc w:val="both"/>
        <w:rPr>
          <w:rFonts w:cs="Arial"/>
          <w:sz w:val="22"/>
          <w:szCs w:val="22"/>
        </w:rPr>
      </w:pPr>
    </w:p>
    <w:p w14:paraId="6DD63D89" w14:textId="0E47DA99" w:rsidR="00521CAC" w:rsidRDefault="002579C3" w:rsidP="002579C3">
      <w:pPr>
        <w:spacing w:line="360" w:lineRule="auto"/>
        <w:jc w:val="both"/>
        <w:rPr>
          <w:rFonts w:cs="Arial"/>
          <w:sz w:val="22"/>
          <w:lang w:val="es-ES_tradnl"/>
        </w:rPr>
      </w:pPr>
      <w:r w:rsidRPr="0039311E">
        <w:rPr>
          <w:rFonts w:cs="Arial"/>
          <w:sz w:val="22"/>
          <w:u w:val="single"/>
          <w:lang w:val="es-ES_tradnl"/>
        </w:rPr>
        <w:t xml:space="preserve">Minuto </w:t>
      </w:r>
      <w:r w:rsidR="00B42162">
        <w:rPr>
          <w:rFonts w:cs="Arial"/>
          <w:sz w:val="22"/>
          <w:u w:val="single"/>
          <w:lang w:val="es-ES_tradnl"/>
        </w:rPr>
        <w:t>01</w:t>
      </w:r>
      <w:r w:rsidRPr="0039311E">
        <w:rPr>
          <w:rFonts w:cs="Arial"/>
          <w:sz w:val="22"/>
          <w:u w:val="single"/>
          <w:lang w:val="es-ES_tradnl"/>
        </w:rPr>
        <w:t>:</w:t>
      </w:r>
      <w:r w:rsidR="00B42162">
        <w:rPr>
          <w:rFonts w:cs="Arial"/>
          <w:sz w:val="22"/>
          <w:u w:val="single"/>
          <w:lang w:val="es-ES_tradnl"/>
        </w:rPr>
        <w:t>54</w:t>
      </w:r>
      <w:r>
        <w:rPr>
          <w:rFonts w:cs="Arial"/>
          <w:sz w:val="22"/>
          <w:lang w:val="es-ES_tradnl"/>
        </w:rPr>
        <w:t xml:space="preserve"> </w:t>
      </w:r>
      <w:r w:rsidR="00227BDF">
        <w:rPr>
          <w:rFonts w:cs="Arial"/>
          <w:sz w:val="22"/>
          <w:lang w:val="es-ES_tradnl"/>
        </w:rPr>
        <w:t>De conformidad con lo resu</w:t>
      </w:r>
      <w:r w:rsidR="00A00B5E">
        <w:rPr>
          <w:rFonts w:cs="Arial"/>
          <w:sz w:val="22"/>
          <w:lang w:val="es-ES_tradnl"/>
        </w:rPr>
        <w:t>e</w:t>
      </w:r>
      <w:r w:rsidR="00227BDF">
        <w:rPr>
          <w:rFonts w:cs="Arial"/>
          <w:sz w:val="22"/>
          <w:lang w:val="es-ES_tradnl"/>
        </w:rPr>
        <w:t xml:space="preserve">lto en la sesión 02-2022 del pasado 10 de enero, se procede a conocer un informe sobre los principales resultados de la ejecución del plan piloto del Proyecto de Vivienda Urbana, Inclusiva y Sostenible, y para estos efectos se incorporan a la sesión </w:t>
      </w:r>
      <w:r w:rsidR="00521CAC">
        <w:rPr>
          <w:rFonts w:cs="Arial"/>
          <w:sz w:val="22"/>
          <w:lang w:val="es-ES_tradnl"/>
        </w:rPr>
        <w:t>el Ing. Erick Mata Abdelnour</w:t>
      </w:r>
      <w:r w:rsidR="00A00B5E">
        <w:rPr>
          <w:rFonts w:cs="Arial"/>
          <w:sz w:val="22"/>
          <w:lang w:val="es-ES_tradnl"/>
        </w:rPr>
        <w:t xml:space="preserve">, la Ing. </w:t>
      </w:r>
      <w:r w:rsidR="00521CAC">
        <w:rPr>
          <w:rFonts w:cs="Arial"/>
          <w:sz w:val="22"/>
          <w:lang w:val="es-ES_tradnl"/>
        </w:rPr>
        <w:t>Yenory Quesada Diaz</w:t>
      </w:r>
      <w:r w:rsidR="00A00B5E">
        <w:rPr>
          <w:rFonts w:cs="Arial"/>
          <w:sz w:val="22"/>
          <w:lang w:val="es-ES_tradnl"/>
        </w:rPr>
        <w:t xml:space="preserve"> y la Licda. Hellen Porras </w:t>
      </w:r>
      <w:r w:rsidR="00B42162">
        <w:rPr>
          <w:rFonts w:cs="Arial"/>
          <w:sz w:val="22"/>
          <w:lang w:val="es-ES_tradnl"/>
        </w:rPr>
        <w:t xml:space="preserve">Loaiza. </w:t>
      </w:r>
      <w:r w:rsidR="009110CC">
        <w:rPr>
          <w:rFonts w:cs="Arial"/>
          <w:sz w:val="22"/>
          <w:lang w:val="es-ES_tradnl"/>
        </w:rPr>
        <w:t>Copia de las diapositivas utilizadas para la exposición del tema, se adjuntan al expediente del acta.</w:t>
      </w:r>
    </w:p>
    <w:p w14:paraId="589575A3" w14:textId="77777777" w:rsidR="00521CAC" w:rsidRDefault="00521CAC" w:rsidP="002579C3">
      <w:pPr>
        <w:spacing w:line="360" w:lineRule="auto"/>
        <w:jc w:val="both"/>
        <w:rPr>
          <w:rFonts w:cs="Arial"/>
          <w:sz w:val="22"/>
          <w:lang w:val="es-ES_tradnl"/>
        </w:rPr>
      </w:pPr>
    </w:p>
    <w:p w14:paraId="3767133E" w14:textId="6C3AAE16" w:rsidR="002579C3" w:rsidRDefault="00B42162" w:rsidP="002579C3">
      <w:pPr>
        <w:spacing w:line="360" w:lineRule="auto"/>
        <w:jc w:val="both"/>
        <w:rPr>
          <w:rFonts w:cs="Arial"/>
          <w:sz w:val="22"/>
          <w:lang w:val="es-ES_tradnl"/>
        </w:rPr>
      </w:pPr>
      <w:r>
        <w:rPr>
          <w:rFonts w:cs="Arial"/>
          <w:sz w:val="22"/>
          <w:lang w:val="es-ES_tradnl"/>
        </w:rPr>
        <w:t xml:space="preserve">El Ing. Mata Abdelnour </w:t>
      </w:r>
      <w:r w:rsidR="003D7B8F">
        <w:rPr>
          <w:rFonts w:cs="Arial"/>
          <w:sz w:val="22"/>
          <w:lang w:val="es-ES_tradnl"/>
        </w:rPr>
        <w:t>presenta los aspectos más relevantes del proyecto desarrollado en el distrito de Pavas, consistente en la construcción de tres unidades habitacionales en un lote con área de 120 metros cuadrados, destacando los resultados positivos del proyecto y las oportunidades de mejora que se identificaron</w:t>
      </w:r>
      <w:r w:rsidR="001A4050">
        <w:rPr>
          <w:rFonts w:cs="Arial"/>
          <w:sz w:val="22"/>
          <w:lang w:val="es-ES_tradnl"/>
        </w:rPr>
        <w:t>, así como los costos de las soluciones habitacionales, planteando finalmente las siguientes recomendaciones:</w:t>
      </w:r>
    </w:p>
    <w:p w14:paraId="4061908B" w14:textId="77777777" w:rsidR="00787B79" w:rsidRDefault="001A4050" w:rsidP="001A4050">
      <w:pPr>
        <w:spacing w:line="360" w:lineRule="auto"/>
        <w:jc w:val="both"/>
        <w:rPr>
          <w:rFonts w:cs="Arial"/>
          <w:sz w:val="22"/>
          <w:lang w:val="es-CR"/>
        </w:rPr>
      </w:pPr>
      <w:r>
        <w:rPr>
          <w:rFonts w:cs="Arial"/>
          <w:sz w:val="22"/>
          <w:lang w:val="es-ES_tradnl"/>
        </w:rPr>
        <w:t xml:space="preserve">a) Reconocer </w:t>
      </w:r>
      <w:r w:rsidRPr="001A4050">
        <w:rPr>
          <w:rFonts w:cs="Arial"/>
          <w:sz w:val="22"/>
          <w:lang w:val="es-CR"/>
        </w:rPr>
        <w:t xml:space="preserve">que el riesgo sobre el proceso de innovación exitoso para el </w:t>
      </w:r>
      <w:r>
        <w:rPr>
          <w:rFonts w:cs="Arial"/>
          <w:sz w:val="22"/>
          <w:lang w:val="es-CR"/>
        </w:rPr>
        <w:t xml:space="preserve">SFNV, </w:t>
      </w:r>
      <w:r w:rsidRPr="001A4050">
        <w:rPr>
          <w:rFonts w:cs="Arial"/>
          <w:sz w:val="22"/>
          <w:lang w:val="es-CR"/>
        </w:rPr>
        <w:t>fue llevado a cabo por un privado, sin mayores demandas de recursos para el banco</w:t>
      </w:r>
      <w:r w:rsidR="00787B79">
        <w:rPr>
          <w:rFonts w:cs="Arial"/>
          <w:sz w:val="22"/>
          <w:lang w:val="es-CR"/>
        </w:rPr>
        <w:t>.</w:t>
      </w:r>
    </w:p>
    <w:p w14:paraId="38EDE4A9" w14:textId="0A0ABC25" w:rsidR="001A4050" w:rsidRPr="001A4050" w:rsidRDefault="00787B79" w:rsidP="001A4050">
      <w:pPr>
        <w:spacing w:line="360" w:lineRule="auto"/>
        <w:jc w:val="both"/>
        <w:rPr>
          <w:rFonts w:cs="Arial"/>
          <w:sz w:val="22"/>
          <w:lang w:val="es-CR"/>
        </w:rPr>
      </w:pPr>
      <w:r>
        <w:rPr>
          <w:rFonts w:cs="Arial"/>
          <w:sz w:val="22"/>
          <w:lang w:val="es-CR"/>
        </w:rPr>
        <w:t>b) Valorar que se lleve a cabo</w:t>
      </w:r>
      <w:r w:rsidR="001A4050" w:rsidRPr="001A4050">
        <w:rPr>
          <w:rFonts w:cs="Arial"/>
          <w:sz w:val="22"/>
          <w:lang w:val="es-CR"/>
        </w:rPr>
        <w:t xml:space="preserve"> un estudio de costos reales del proyecto</w:t>
      </w:r>
      <w:r>
        <w:rPr>
          <w:rFonts w:cs="Arial"/>
          <w:sz w:val="22"/>
          <w:lang w:val="es-CR"/>
        </w:rPr>
        <w:t>,</w:t>
      </w:r>
      <w:r w:rsidR="001A4050" w:rsidRPr="001A4050">
        <w:rPr>
          <w:rFonts w:cs="Arial"/>
          <w:sz w:val="22"/>
          <w:lang w:val="es-CR"/>
        </w:rPr>
        <w:t xml:space="preserve"> para validar si el presupuesto aprobado era insuficiente</w:t>
      </w:r>
      <w:r>
        <w:rPr>
          <w:rFonts w:cs="Arial"/>
          <w:sz w:val="22"/>
          <w:lang w:val="es-CR"/>
        </w:rPr>
        <w:t xml:space="preserve"> y </w:t>
      </w:r>
      <w:r w:rsidR="001A4050" w:rsidRPr="001A4050">
        <w:rPr>
          <w:rFonts w:cs="Arial"/>
          <w:sz w:val="22"/>
          <w:lang w:val="es-CR"/>
        </w:rPr>
        <w:t>reconocer el sobrecosto al desarrollador.</w:t>
      </w:r>
    </w:p>
    <w:p w14:paraId="117222B7" w14:textId="77777777" w:rsidR="00787B79" w:rsidRDefault="00787B79" w:rsidP="001A4050">
      <w:pPr>
        <w:spacing w:line="360" w:lineRule="auto"/>
        <w:jc w:val="both"/>
        <w:rPr>
          <w:rFonts w:cs="Arial"/>
          <w:sz w:val="22"/>
          <w:lang w:val="es-CR"/>
        </w:rPr>
      </w:pPr>
      <w:r>
        <w:rPr>
          <w:rFonts w:cs="Arial"/>
          <w:sz w:val="22"/>
          <w:lang w:val="es-CR"/>
        </w:rPr>
        <w:t xml:space="preserve">c) Implementar </w:t>
      </w:r>
      <w:r w:rsidR="001A4050" w:rsidRPr="001A4050">
        <w:rPr>
          <w:rFonts w:cs="Arial"/>
          <w:sz w:val="22"/>
          <w:lang w:val="es-CR"/>
        </w:rPr>
        <w:t>cambios que incentiven a otros desarrolladores a hacer este tipo de proyecto</w:t>
      </w:r>
      <w:r>
        <w:rPr>
          <w:rFonts w:cs="Arial"/>
          <w:sz w:val="22"/>
          <w:lang w:val="es-CR"/>
        </w:rPr>
        <w:t>s</w:t>
      </w:r>
      <w:r w:rsidR="001A4050" w:rsidRPr="001A4050">
        <w:rPr>
          <w:rFonts w:cs="Arial"/>
          <w:sz w:val="22"/>
          <w:lang w:val="es-CR"/>
        </w:rPr>
        <w:t>, sin necesidad de incurrir en pérdidas.</w:t>
      </w:r>
    </w:p>
    <w:p w14:paraId="6D0829C8" w14:textId="4F6DA6C7" w:rsidR="001A4050" w:rsidRPr="001A4050" w:rsidRDefault="00787B79" w:rsidP="001A4050">
      <w:pPr>
        <w:spacing w:line="360" w:lineRule="auto"/>
        <w:jc w:val="both"/>
        <w:rPr>
          <w:rFonts w:cs="Arial"/>
          <w:sz w:val="22"/>
          <w:lang w:val="es-CR"/>
        </w:rPr>
      </w:pPr>
      <w:r>
        <w:rPr>
          <w:rFonts w:cs="Arial"/>
          <w:sz w:val="22"/>
          <w:lang w:val="es-CR"/>
        </w:rPr>
        <w:t>d) Implementar la</w:t>
      </w:r>
      <w:r w:rsidR="001A4050" w:rsidRPr="001A4050">
        <w:rPr>
          <w:rFonts w:cs="Arial"/>
          <w:sz w:val="22"/>
          <w:lang w:val="es-CR"/>
        </w:rPr>
        <w:t xml:space="preserve"> modalidad de avalúo conjunto entre tres partes: desarrollador, entidad</w:t>
      </w:r>
      <w:r>
        <w:rPr>
          <w:rFonts w:cs="Arial"/>
          <w:sz w:val="22"/>
          <w:lang w:val="es-CR"/>
        </w:rPr>
        <w:t xml:space="preserve"> y BANHVI</w:t>
      </w:r>
      <w:r w:rsidR="001A4050" w:rsidRPr="001A4050">
        <w:rPr>
          <w:rFonts w:cs="Arial"/>
          <w:sz w:val="22"/>
          <w:lang w:val="es-CR"/>
        </w:rPr>
        <w:t>, con el fin de que la compra del lote no sea el primer momento de pérdida para el desarrollador, como sucedió en este caso.</w:t>
      </w:r>
    </w:p>
    <w:p w14:paraId="66BBDFEF" w14:textId="45C001F1" w:rsidR="00D42AED" w:rsidRDefault="00D42AED" w:rsidP="002579C3">
      <w:pPr>
        <w:spacing w:line="360" w:lineRule="auto"/>
        <w:jc w:val="both"/>
        <w:rPr>
          <w:rFonts w:cs="Arial"/>
          <w:sz w:val="22"/>
          <w:lang w:val="es-ES_tradnl"/>
        </w:rPr>
      </w:pPr>
    </w:p>
    <w:p w14:paraId="7F64B81F" w14:textId="0D130172" w:rsidR="002579C3" w:rsidRDefault="002579C3" w:rsidP="002579C3">
      <w:pPr>
        <w:spacing w:line="360" w:lineRule="auto"/>
        <w:jc w:val="both"/>
        <w:rPr>
          <w:rFonts w:cs="Arial"/>
          <w:sz w:val="22"/>
          <w:lang w:val="es-ES_tradnl"/>
        </w:rPr>
      </w:pPr>
      <w:r w:rsidRPr="00A25DB7">
        <w:rPr>
          <w:rFonts w:cs="Arial"/>
          <w:sz w:val="22"/>
          <w:u w:val="single"/>
          <w:lang w:val="es-ES_tradnl"/>
        </w:rPr>
        <w:t xml:space="preserve">Minuto </w:t>
      </w:r>
      <w:r w:rsidR="00366488">
        <w:rPr>
          <w:rFonts w:cs="Arial"/>
          <w:sz w:val="22"/>
          <w:u w:val="single"/>
          <w:lang w:val="es-ES_tradnl"/>
        </w:rPr>
        <w:t>33</w:t>
      </w:r>
      <w:r w:rsidRPr="00A25DB7">
        <w:rPr>
          <w:rFonts w:cs="Arial"/>
          <w:sz w:val="22"/>
          <w:u w:val="single"/>
          <w:lang w:val="es-ES_tradnl"/>
        </w:rPr>
        <w:t>:</w:t>
      </w:r>
      <w:r w:rsidR="00366488">
        <w:rPr>
          <w:rFonts w:cs="Arial"/>
          <w:sz w:val="22"/>
          <w:u w:val="single"/>
          <w:lang w:val="es-ES_tradnl"/>
        </w:rPr>
        <w:t>13</w:t>
      </w:r>
      <w:r>
        <w:rPr>
          <w:rFonts w:cs="Arial"/>
          <w:sz w:val="22"/>
          <w:lang w:val="es-ES_tradnl"/>
        </w:rPr>
        <w:t xml:space="preserve"> </w:t>
      </w:r>
      <w:r w:rsidR="00366488">
        <w:rPr>
          <w:rFonts w:cs="Arial"/>
          <w:sz w:val="22"/>
          <w:lang w:val="es-ES_tradnl"/>
        </w:rPr>
        <w:t xml:space="preserve">Los señores Directores proceden a analizar la información suministrada, planteando una serie de consultas y observaciones sobre los costos de las soluciones, el precio del terreno, </w:t>
      </w:r>
      <w:r w:rsidR="0081536A">
        <w:rPr>
          <w:rFonts w:cs="Arial"/>
          <w:sz w:val="22"/>
          <w:lang w:val="es-ES_tradnl"/>
        </w:rPr>
        <w:t xml:space="preserve">las ventajas de este modelo de financiamiento en zonas urbanas, </w:t>
      </w:r>
      <w:r w:rsidR="009208A9">
        <w:rPr>
          <w:rFonts w:cs="Arial"/>
          <w:sz w:val="22"/>
          <w:lang w:val="es-ES_tradnl"/>
        </w:rPr>
        <w:t xml:space="preserve">y </w:t>
      </w:r>
      <w:r w:rsidR="00E6359F">
        <w:rPr>
          <w:rFonts w:cs="Arial"/>
          <w:sz w:val="22"/>
          <w:lang w:val="es-ES_tradnl"/>
        </w:rPr>
        <w:t>el procedimiento para el trámite de los casos</w:t>
      </w:r>
      <w:r w:rsidR="007A0371">
        <w:rPr>
          <w:rFonts w:cs="Arial"/>
          <w:sz w:val="22"/>
          <w:lang w:val="es-ES_tradnl"/>
        </w:rPr>
        <w:t xml:space="preserve"> en el BANHVI y en las instituciones involucradas</w:t>
      </w:r>
      <w:r w:rsidR="009208A9">
        <w:rPr>
          <w:rFonts w:cs="Arial"/>
          <w:sz w:val="22"/>
          <w:lang w:val="es-ES_tradnl"/>
        </w:rPr>
        <w:t>.</w:t>
      </w:r>
    </w:p>
    <w:p w14:paraId="4E08E19F" w14:textId="45C46CB3" w:rsidR="002F126C" w:rsidRDefault="002F126C" w:rsidP="002579C3">
      <w:pPr>
        <w:spacing w:line="360" w:lineRule="auto"/>
        <w:jc w:val="both"/>
        <w:rPr>
          <w:rFonts w:cs="Arial"/>
          <w:sz w:val="22"/>
          <w:lang w:val="es-ES_tradnl"/>
        </w:rPr>
      </w:pPr>
    </w:p>
    <w:p w14:paraId="2C570EF5" w14:textId="1CF3BFCC" w:rsidR="002F126C" w:rsidRDefault="009208A9" w:rsidP="002579C3">
      <w:pPr>
        <w:spacing w:line="360" w:lineRule="auto"/>
        <w:jc w:val="both"/>
        <w:rPr>
          <w:rFonts w:cs="Arial"/>
          <w:sz w:val="22"/>
          <w:lang w:val="es-ES_tradnl"/>
        </w:rPr>
      </w:pPr>
      <w:r w:rsidRPr="00A25DB7">
        <w:rPr>
          <w:rFonts w:cs="Arial"/>
          <w:sz w:val="22"/>
          <w:u w:val="single"/>
          <w:lang w:val="es-ES_tradnl"/>
        </w:rPr>
        <w:lastRenderedPageBreak/>
        <w:t xml:space="preserve">Minuto </w:t>
      </w:r>
      <w:r>
        <w:rPr>
          <w:rFonts w:cs="Arial"/>
          <w:sz w:val="22"/>
          <w:u w:val="single"/>
          <w:lang w:val="es-ES_tradnl"/>
        </w:rPr>
        <w:t>86</w:t>
      </w:r>
      <w:r w:rsidRPr="00A25DB7">
        <w:rPr>
          <w:rFonts w:cs="Arial"/>
          <w:sz w:val="22"/>
          <w:u w:val="single"/>
          <w:lang w:val="es-ES_tradnl"/>
        </w:rPr>
        <w:t>:</w:t>
      </w:r>
      <w:r>
        <w:rPr>
          <w:rFonts w:cs="Arial"/>
          <w:sz w:val="22"/>
          <w:u w:val="single"/>
          <w:lang w:val="es-ES_tradnl"/>
        </w:rPr>
        <w:t>00</w:t>
      </w:r>
      <w:r>
        <w:rPr>
          <w:rFonts w:cs="Arial"/>
          <w:sz w:val="22"/>
          <w:lang w:val="es-ES_tradnl"/>
        </w:rPr>
        <w:t xml:space="preserve"> Se retiran de la sesión el señor Mata Abdelnour y las señoras Quesada Diaz y Porras Loaiza, y de conformidad con el análisis realizado en torno a la información suministrada, finalmente (minuto 92:32) se concuerda en la pertinencia de girar instrucciones a la </w:t>
      </w:r>
      <w:r w:rsidRPr="009208A9">
        <w:rPr>
          <w:rFonts w:cs="Arial"/>
          <w:sz w:val="22"/>
          <w:szCs w:val="22"/>
          <w:lang w:val="es-ES_tradnl"/>
        </w:rPr>
        <w:t>Administración</w:t>
      </w:r>
      <w:r>
        <w:rPr>
          <w:rFonts w:cs="Arial"/>
          <w:sz w:val="22"/>
          <w:szCs w:val="22"/>
          <w:lang w:val="es-ES_tradnl"/>
        </w:rPr>
        <w:t xml:space="preserve">, para que elabore y someta a la </w:t>
      </w:r>
      <w:r>
        <w:rPr>
          <w:rFonts w:cs="Arial"/>
          <w:sz w:val="22"/>
          <w:lang w:val="es-ES_tradnl"/>
        </w:rPr>
        <w:t xml:space="preserve">consideración de esta </w:t>
      </w:r>
      <w:r w:rsidRPr="00713A41">
        <w:rPr>
          <w:rFonts w:cs="Arial"/>
          <w:sz w:val="22"/>
          <w:lang w:val="es-ES_tradnl"/>
        </w:rPr>
        <w:t>Junta Directiva</w:t>
      </w:r>
      <w:r>
        <w:rPr>
          <w:rFonts w:cs="Arial"/>
          <w:sz w:val="22"/>
          <w:lang w:val="es-ES_tradnl"/>
        </w:rPr>
        <w:t xml:space="preserve">, a más tardar el próximo 07 de marzo, una propuesta </w:t>
      </w:r>
      <w:r w:rsidR="00A76403">
        <w:rPr>
          <w:rFonts w:cs="Arial"/>
          <w:sz w:val="22"/>
          <w:lang w:val="es-ES_tradnl"/>
        </w:rPr>
        <w:t>un nuevo programa de financiamiento con recursos del FOSUVI, con base en los resultados de la ejecución del plan piloto del Programa de Vivienda Urbana, Inclusiva y Sostenible, incluyendo los</w:t>
      </w:r>
      <w:r>
        <w:rPr>
          <w:rFonts w:cs="Arial"/>
          <w:sz w:val="22"/>
          <w:lang w:val="es-ES_tradnl"/>
        </w:rPr>
        <w:t xml:space="preserve"> términos y condiciones</w:t>
      </w:r>
      <w:r w:rsidR="00A76403">
        <w:rPr>
          <w:rFonts w:cs="Arial"/>
          <w:sz w:val="22"/>
          <w:lang w:val="es-ES_tradnl"/>
        </w:rPr>
        <w:t xml:space="preserve"> técnicas, financieras y legales,</w:t>
      </w:r>
      <w:r>
        <w:rPr>
          <w:rFonts w:cs="Arial"/>
          <w:sz w:val="22"/>
          <w:lang w:val="es-ES_tradnl"/>
        </w:rPr>
        <w:t xml:space="preserve"> para </w:t>
      </w:r>
      <w:r w:rsidR="00A76403">
        <w:rPr>
          <w:rFonts w:cs="Arial"/>
          <w:sz w:val="22"/>
          <w:lang w:val="es-ES_tradnl"/>
        </w:rPr>
        <w:t>lograr su</w:t>
      </w:r>
      <w:r>
        <w:rPr>
          <w:rFonts w:cs="Arial"/>
          <w:sz w:val="22"/>
          <w:lang w:val="es-ES_tradnl"/>
        </w:rPr>
        <w:t xml:space="preserve"> implementación</w:t>
      </w:r>
      <w:r w:rsidR="00A76403">
        <w:rPr>
          <w:rFonts w:cs="Arial"/>
          <w:sz w:val="22"/>
          <w:lang w:val="es-ES_tradnl"/>
        </w:rPr>
        <w:t xml:space="preserve"> efectiva.</w:t>
      </w:r>
      <w:r w:rsidR="002722B9">
        <w:rPr>
          <w:rFonts w:cs="Arial"/>
          <w:sz w:val="22"/>
          <w:lang w:val="es-ES_tradnl"/>
        </w:rPr>
        <w:t xml:space="preserve">  Adicionalmente, se estima oportuno solicitar a la </w:t>
      </w:r>
      <w:r w:rsidR="002722B9" w:rsidRPr="002722B9">
        <w:rPr>
          <w:rFonts w:cs="Arial"/>
          <w:sz w:val="22"/>
          <w:szCs w:val="22"/>
          <w:lang w:val="es-ES_tradnl"/>
        </w:rPr>
        <w:t>Administración</w:t>
      </w:r>
      <w:r w:rsidR="002722B9">
        <w:rPr>
          <w:rFonts w:cs="Arial"/>
          <w:sz w:val="22"/>
          <w:szCs w:val="22"/>
          <w:lang w:val="es-ES_tradnl"/>
        </w:rPr>
        <w:t xml:space="preserve">, que analice y exponga a esta </w:t>
      </w:r>
      <w:r w:rsidR="002722B9" w:rsidRPr="002722B9">
        <w:rPr>
          <w:rFonts w:cs="Arial"/>
          <w:sz w:val="22"/>
          <w:szCs w:val="22"/>
          <w:lang w:val="es-ES_tradnl"/>
        </w:rPr>
        <w:t>Junta Directiva</w:t>
      </w:r>
      <w:r w:rsidR="002722B9">
        <w:rPr>
          <w:rFonts w:cs="Arial"/>
          <w:sz w:val="22"/>
          <w:szCs w:val="22"/>
          <w:lang w:val="es-ES_tradnl"/>
        </w:rPr>
        <w:t xml:space="preserve">, la relación </w:t>
      </w:r>
      <w:r w:rsidR="002F126C">
        <w:rPr>
          <w:rFonts w:cs="Arial"/>
          <w:sz w:val="22"/>
          <w:lang w:val="es-ES_tradnl"/>
        </w:rPr>
        <w:t xml:space="preserve">de los costos constructivos por metro cuadrado </w:t>
      </w:r>
      <w:r w:rsidR="0081536A">
        <w:rPr>
          <w:rFonts w:cs="Arial"/>
          <w:sz w:val="22"/>
          <w:lang w:val="es-ES_tradnl"/>
        </w:rPr>
        <w:t>de</w:t>
      </w:r>
      <w:r w:rsidR="002F589A">
        <w:rPr>
          <w:rFonts w:cs="Arial"/>
          <w:sz w:val="22"/>
          <w:lang w:val="es-ES_tradnl"/>
        </w:rPr>
        <w:t xml:space="preserve">l plan piloto del Programa de Vivienda Urbana, Inclusiva y Sostenible, </w:t>
      </w:r>
      <w:r w:rsidR="002F126C">
        <w:rPr>
          <w:rFonts w:cs="Arial"/>
          <w:sz w:val="22"/>
          <w:lang w:val="es-ES_tradnl"/>
        </w:rPr>
        <w:t xml:space="preserve">con respecto a otros proyectos colectivos financiados </w:t>
      </w:r>
      <w:r w:rsidR="0081536A">
        <w:rPr>
          <w:rFonts w:cs="Arial"/>
          <w:sz w:val="22"/>
          <w:lang w:val="es-ES_tradnl"/>
        </w:rPr>
        <w:t xml:space="preserve">por el BANHVI </w:t>
      </w:r>
      <w:r w:rsidR="002F126C">
        <w:rPr>
          <w:rFonts w:cs="Arial"/>
          <w:sz w:val="22"/>
          <w:lang w:val="es-ES_tradnl"/>
        </w:rPr>
        <w:t>en el Área Metropolitana</w:t>
      </w:r>
      <w:r w:rsidR="002F589A">
        <w:rPr>
          <w:rFonts w:cs="Arial"/>
          <w:sz w:val="22"/>
          <w:lang w:val="es-ES_tradnl"/>
        </w:rPr>
        <w:t xml:space="preserve">, incluyendo la valoración de los beneficios sociales.  Lo anterior, según se consigna en el </w:t>
      </w:r>
      <w:r w:rsidR="002F589A" w:rsidRPr="002F589A">
        <w:rPr>
          <w:rFonts w:cs="Arial"/>
          <w:b/>
          <w:bCs/>
          <w:sz w:val="22"/>
          <w:lang w:val="es-ES_tradnl"/>
        </w:rPr>
        <w:t>Acuerdo N° 1</w:t>
      </w:r>
      <w:r w:rsidR="002F589A">
        <w:rPr>
          <w:rFonts w:cs="Arial"/>
          <w:sz w:val="22"/>
          <w:lang w:val="es-ES_tradnl"/>
        </w:rPr>
        <w:t xml:space="preserve"> que se anexa a esta minuta.</w:t>
      </w:r>
    </w:p>
    <w:p w14:paraId="320E734D" w14:textId="77777777" w:rsidR="007749FC" w:rsidRPr="00D14EAF" w:rsidRDefault="007749FC" w:rsidP="007749FC">
      <w:pPr>
        <w:spacing w:line="360" w:lineRule="auto"/>
        <w:jc w:val="both"/>
        <w:rPr>
          <w:rFonts w:cs="Arial"/>
          <w:b/>
          <w:sz w:val="22"/>
        </w:rPr>
      </w:pPr>
      <w:r w:rsidRPr="00D14EAF">
        <w:rPr>
          <w:rFonts w:cs="Arial"/>
          <w:b/>
          <w:sz w:val="22"/>
        </w:rPr>
        <w:t>************</w:t>
      </w:r>
    </w:p>
    <w:p w14:paraId="6F6A0EC9" w14:textId="77777777" w:rsidR="00FA4CCB" w:rsidRDefault="00FA4CCB" w:rsidP="002D0146">
      <w:pPr>
        <w:spacing w:line="360" w:lineRule="auto"/>
        <w:jc w:val="both"/>
        <w:rPr>
          <w:rFonts w:cs="Arial"/>
          <w:b/>
          <w:sz w:val="22"/>
          <w:szCs w:val="22"/>
          <w:u w:val="single"/>
          <w:lang w:val="es-ES_tradnl"/>
        </w:rPr>
      </w:pPr>
    </w:p>
    <w:p w14:paraId="52C62F9A" w14:textId="58FA466A"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716174" w:rsidRPr="00716174">
        <w:rPr>
          <w:rFonts w:cs="Arial"/>
          <w:b/>
          <w:bCs/>
          <w:sz w:val="22"/>
          <w:u w:val="single"/>
          <w:lang w:val="es-ES_tradnl"/>
        </w:rPr>
        <w:t>Criterio jurídico sobre el reclamo presentado por la Constructora ROVI S.A., en relación con las multas del proyecto Loma Linda</w:t>
      </w:r>
    </w:p>
    <w:p w14:paraId="181D0715" w14:textId="77777777" w:rsidR="009D03FE" w:rsidRDefault="009D03FE" w:rsidP="009D03FE">
      <w:pPr>
        <w:spacing w:line="360" w:lineRule="auto"/>
        <w:jc w:val="both"/>
        <w:rPr>
          <w:rFonts w:cs="Arial"/>
          <w:sz w:val="22"/>
          <w:szCs w:val="22"/>
        </w:rPr>
      </w:pPr>
    </w:p>
    <w:p w14:paraId="31DC2DFD" w14:textId="13ECB153" w:rsidR="003F0BB5" w:rsidRDefault="009D03FE" w:rsidP="003F0BB5">
      <w:pPr>
        <w:spacing w:line="360" w:lineRule="auto"/>
        <w:jc w:val="both"/>
        <w:rPr>
          <w:rFonts w:cs="Arial"/>
          <w:sz w:val="22"/>
          <w:szCs w:val="22"/>
        </w:rPr>
      </w:pPr>
      <w:r w:rsidRPr="0039311E">
        <w:rPr>
          <w:rFonts w:cs="Arial"/>
          <w:sz w:val="22"/>
          <w:u w:val="single"/>
          <w:lang w:val="es-ES_tradnl"/>
        </w:rPr>
        <w:t xml:space="preserve">Minuto </w:t>
      </w:r>
      <w:r w:rsidR="00856145">
        <w:rPr>
          <w:rFonts w:cs="Arial"/>
          <w:sz w:val="22"/>
          <w:u w:val="single"/>
          <w:lang w:val="es-ES_tradnl"/>
        </w:rPr>
        <w:t>93</w:t>
      </w:r>
      <w:r w:rsidRPr="0039311E">
        <w:rPr>
          <w:rFonts w:cs="Arial"/>
          <w:sz w:val="22"/>
          <w:u w:val="single"/>
          <w:lang w:val="es-ES_tradnl"/>
        </w:rPr>
        <w:t>:</w:t>
      </w:r>
      <w:r w:rsidR="00856145">
        <w:rPr>
          <w:rFonts w:cs="Arial"/>
          <w:sz w:val="22"/>
          <w:u w:val="single"/>
          <w:lang w:val="es-ES_tradnl"/>
        </w:rPr>
        <w:t>33</w:t>
      </w:r>
      <w:r>
        <w:rPr>
          <w:rFonts w:cs="Arial"/>
          <w:sz w:val="22"/>
          <w:lang w:val="es-ES_tradnl"/>
        </w:rPr>
        <w:t xml:space="preserve"> Se conoce el oficio </w:t>
      </w:r>
      <w:r w:rsidR="003F0BB5">
        <w:rPr>
          <w:rFonts w:cs="Arial"/>
          <w:sz w:val="22"/>
          <w:szCs w:val="22"/>
        </w:rPr>
        <w:t xml:space="preserve">GG-ME-1859-2022 del 22 de diciembre de 2021, </w:t>
      </w:r>
      <w:r w:rsidR="00E647DA">
        <w:rPr>
          <w:rFonts w:cs="Arial"/>
          <w:sz w:val="22"/>
          <w:szCs w:val="22"/>
        </w:rPr>
        <w:t xml:space="preserve">mediante el cual, </w:t>
      </w:r>
      <w:r w:rsidR="003F0BB5">
        <w:rPr>
          <w:rFonts w:cs="Arial"/>
          <w:sz w:val="22"/>
          <w:szCs w:val="22"/>
        </w:rPr>
        <w:t xml:space="preserve">la </w:t>
      </w:r>
      <w:r w:rsidR="003F0BB5" w:rsidRPr="0027797F">
        <w:rPr>
          <w:rFonts w:cs="Arial"/>
          <w:sz w:val="22"/>
          <w:szCs w:val="22"/>
          <w:lang w:val="es-CR"/>
        </w:rPr>
        <w:t>Gerencia General</w:t>
      </w:r>
      <w:r w:rsidR="003F0BB5">
        <w:rPr>
          <w:rFonts w:cs="Arial"/>
          <w:sz w:val="22"/>
          <w:szCs w:val="22"/>
          <w:lang w:val="es-CR"/>
        </w:rPr>
        <w:t xml:space="preserve"> remite y avala los informes DF-OF-1816-2021/SO-OF-0207-2021 de la Dirección FOSUVI y la Subgerencia de Operaciones, y DF-DT-OF-1059-2021 del Departamento Técnico, que contiene</w:t>
      </w:r>
      <w:r w:rsidR="00E647DA">
        <w:rPr>
          <w:rFonts w:cs="Arial"/>
          <w:sz w:val="22"/>
          <w:szCs w:val="22"/>
          <w:lang w:val="es-CR"/>
        </w:rPr>
        <w:t>n</w:t>
      </w:r>
      <w:r w:rsidR="003F0BB5">
        <w:rPr>
          <w:rFonts w:cs="Arial"/>
          <w:sz w:val="22"/>
          <w:szCs w:val="22"/>
          <w:lang w:val="es-CR"/>
        </w:rPr>
        <w:t xml:space="preserve"> los resultados del estudio efectuado a la solicitud de Coocique R.L., para suspender temporalmente el cobro de multas del proyecto </w:t>
      </w:r>
      <w:r w:rsidR="003F0BB5">
        <w:rPr>
          <w:rFonts w:cs="Arial"/>
          <w:sz w:val="22"/>
          <w:szCs w:val="22"/>
          <w:lang w:val="es-CR" w:eastAsia="es-CR"/>
        </w:rPr>
        <w:t xml:space="preserve">Loma Linda, ubicado el distrito 27 de Abril del cantón de Santa Cruz, provincia de Guanacaste, </w:t>
      </w:r>
      <w:r w:rsidR="003F0BB5" w:rsidRPr="00BB303F">
        <w:rPr>
          <w:rFonts w:cs="Arial"/>
          <w:color w:val="000000"/>
          <w:sz w:val="22"/>
          <w:szCs w:val="22"/>
        </w:rPr>
        <w:t xml:space="preserve">y financiado al amparo del artículo 59 de la Ley del Sistema Financiero Nacional para la Vivienda, conforme lo dispuesto en el acuerdo número </w:t>
      </w:r>
      <w:r w:rsidR="003F0BB5">
        <w:rPr>
          <w:rFonts w:cs="Arial"/>
          <w:color w:val="000000"/>
          <w:sz w:val="22"/>
          <w:szCs w:val="22"/>
        </w:rPr>
        <w:t>7</w:t>
      </w:r>
      <w:r w:rsidR="003F0BB5" w:rsidRPr="00BB303F">
        <w:rPr>
          <w:rFonts w:cs="Arial"/>
          <w:color w:val="000000"/>
          <w:sz w:val="22"/>
          <w:szCs w:val="22"/>
        </w:rPr>
        <w:t xml:space="preserve"> de la sesión </w:t>
      </w:r>
      <w:r w:rsidR="003F0BB5">
        <w:rPr>
          <w:rFonts w:cs="Arial"/>
          <w:color w:val="000000"/>
          <w:sz w:val="22"/>
          <w:szCs w:val="22"/>
        </w:rPr>
        <w:t>42</w:t>
      </w:r>
      <w:r w:rsidR="003F0BB5" w:rsidRPr="00BB303F">
        <w:rPr>
          <w:rFonts w:cs="Arial"/>
          <w:color w:val="000000"/>
          <w:sz w:val="22"/>
          <w:szCs w:val="22"/>
        </w:rPr>
        <w:t>-201</w:t>
      </w:r>
      <w:r w:rsidR="003F0BB5">
        <w:rPr>
          <w:rFonts w:cs="Arial"/>
          <w:color w:val="000000"/>
          <w:sz w:val="22"/>
          <w:szCs w:val="22"/>
        </w:rPr>
        <w:t>9,</w:t>
      </w:r>
      <w:r w:rsidR="003F0BB5" w:rsidRPr="00BB303F">
        <w:rPr>
          <w:rFonts w:cs="Arial"/>
          <w:color w:val="000000"/>
          <w:sz w:val="22"/>
          <w:szCs w:val="22"/>
        </w:rPr>
        <w:t xml:space="preserve"> del </w:t>
      </w:r>
      <w:r w:rsidR="003F0BB5">
        <w:rPr>
          <w:rFonts w:cs="Arial"/>
          <w:color w:val="000000"/>
          <w:sz w:val="22"/>
          <w:szCs w:val="22"/>
        </w:rPr>
        <w:t>03</w:t>
      </w:r>
      <w:r w:rsidR="003F0BB5" w:rsidRPr="00BB303F">
        <w:rPr>
          <w:rFonts w:cs="Arial"/>
          <w:color w:val="000000"/>
          <w:sz w:val="22"/>
          <w:szCs w:val="22"/>
        </w:rPr>
        <w:t xml:space="preserve"> de </w:t>
      </w:r>
      <w:r w:rsidR="003F0BB5">
        <w:rPr>
          <w:rFonts w:cs="Arial"/>
          <w:color w:val="000000"/>
          <w:sz w:val="22"/>
          <w:szCs w:val="22"/>
        </w:rPr>
        <w:t>junio</w:t>
      </w:r>
      <w:r w:rsidR="003F0BB5" w:rsidRPr="00BB303F">
        <w:rPr>
          <w:rFonts w:cs="Arial"/>
          <w:color w:val="000000"/>
          <w:sz w:val="22"/>
          <w:szCs w:val="22"/>
        </w:rPr>
        <w:t xml:space="preserve"> de 201</w:t>
      </w:r>
      <w:r w:rsidR="003F0BB5">
        <w:rPr>
          <w:rFonts w:cs="Arial"/>
          <w:color w:val="000000"/>
          <w:sz w:val="22"/>
          <w:szCs w:val="22"/>
        </w:rPr>
        <w:t>9</w:t>
      </w:r>
      <w:r w:rsidR="003F0BB5">
        <w:rPr>
          <w:rFonts w:cs="Arial"/>
          <w:sz w:val="22"/>
          <w:szCs w:val="22"/>
        </w:rPr>
        <w:t>.</w:t>
      </w:r>
      <w:r w:rsidR="00574AB1">
        <w:rPr>
          <w:rFonts w:cs="Arial"/>
          <w:sz w:val="22"/>
          <w:szCs w:val="22"/>
        </w:rPr>
        <w:t xml:space="preserve">  Dichos documentos se adjuntan al expediente del acta.</w:t>
      </w:r>
    </w:p>
    <w:p w14:paraId="3281F207" w14:textId="3E2EB81B" w:rsidR="00574AB1" w:rsidRDefault="00574AB1" w:rsidP="003F0BB5">
      <w:pPr>
        <w:spacing w:line="360" w:lineRule="auto"/>
        <w:jc w:val="both"/>
        <w:rPr>
          <w:rFonts w:cs="Arial"/>
          <w:sz w:val="22"/>
          <w:szCs w:val="22"/>
        </w:rPr>
      </w:pPr>
    </w:p>
    <w:p w14:paraId="79E42076" w14:textId="5DA15D78" w:rsidR="004219D8" w:rsidRDefault="00574AB1" w:rsidP="003F0BB5">
      <w:pPr>
        <w:spacing w:line="360" w:lineRule="auto"/>
        <w:jc w:val="both"/>
        <w:rPr>
          <w:rFonts w:cs="Arial"/>
          <w:sz w:val="22"/>
          <w:szCs w:val="22"/>
        </w:rPr>
      </w:pPr>
      <w:r>
        <w:rPr>
          <w:rFonts w:cs="Arial"/>
          <w:sz w:val="22"/>
          <w:szCs w:val="22"/>
        </w:rPr>
        <w:t>Inicialmente</w:t>
      </w:r>
      <w:r w:rsidR="00856145">
        <w:rPr>
          <w:rFonts w:cs="Arial"/>
          <w:sz w:val="22"/>
          <w:szCs w:val="22"/>
        </w:rPr>
        <w:t>,</w:t>
      </w:r>
      <w:r>
        <w:rPr>
          <w:rFonts w:cs="Arial"/>
          <w:sz w:val="22"/>
          <w:szCs w:val="22"/>
        </w:rPr>
        <w:t xml:space="preserve"> el licenciado Sibaja Garbanzo </w:t>
      </w:r>
      <w:r w:rsidR="00017AB4">
        <w:rPr>
          <w:rFonts w:cs="Arial"/>
          <w:sz w:val="22"/>
          <w:szCs w:val="22"/>
        </w:rPr>
        <w:t>solicita</w:t>
      </w:r>
      <w:r>
        <w:rPr>
          <w:rFonts w:cs="Arial"/>
          <w:sz w:val="22"/>
          <w:szCs w:val="22"/>
        </w:rPr>
        <w:t xml:space="preserve">, con instrucciones del señor Auditor Interno, </w:t>
      </w:r>
      <w:r w:rsidR="00017AB4">
        <w:rPr>
          <w:rFonts w:cs="Arial"/>
          <w:sz w:val="22"/>
          <w:szCs w:val="22"/>
        </w:rPr>
        <w:t xml:space="preserve">que </w:t>
      </w:r>
      <w:r w:rsidR="002F60B0">
        <w:rPr>
          <w:rFonts w:cs="Arial"/>
          <w:sz w:val="22"/>
          <w:szCs w:val="22"/>
        </w:rPr>
        <w:t xml:space="preserve">para realizar </w:t>
      </w:r>
      <w:r w:rsidR="00017AB4">
        <w:rPr>
          <w:rFonts w:cs="Arial"/>
          <w:sz w:val="22"/>
          <w:szCs w:val="22"/>
        </w:rPr>
        <w:t xml:space="preserve">el análisis de este tema se tome en consideración el informe </w:t>
      </w:r>
      <w:r w:rsidR="00856145">
        <w:rPr>
          <w:rFonts w:cs="Arial"/>
          <w:sz w:val="22"/>
          <w:szCs w:val="22"/>
        </w:rPr>
        <w:t>confidencial que la Auditoría les remitió.</w:t>
      </w:r>
      <w:r w:rsidR="002C1C3E">
        <w:rPr>
          <w:rFonts w:cs="Arial"/>
          <w:sz w:val="22"/>
          <w:szCs w:val="22"/>
        </w:rPr>
        <w:t xml:space="preserve"> </w:t>
      </w:r>
      <w:r w:rsidR="00A761DD">
        <w:rPr>
          <w:rFonts w:cs="Arial"/>
          <w:sz w:val="22"/>
          <w:szCs w:val="22"/>
        </w:rPr>
        <w:t>(</w:t>
      </w:r>
      <w:r w:rsidR="002C1C3E">
        <w:rPr>
          <w:rFonts w:cs="Arial"/>
          <w:sz w:val="22"/>
          <w:szCs w:val="22"/>
        </w:rPr>
        <w:t xml:space="preserve">Esto, ampliado y aclarado en el minuto </w:t>
      </w:r>
      <w:r w:rsidR="00A761DD">
        <w:rPr>
          <w:rFonts w:cs="Arial"/>
          <w:sz w:val="22"/>
          <w:szCs w:val="22"/>
        </w:rPr>
        <w:t>137:41).</w:t>
      </w:r>
      <w:r w:rsidR="00856145">
        <w:rPr>
          <w:rFonts w:cs="Arial"/>
          <w:sz w:val="22"/>
          <w:szCs w:val="22"/>
        </w:rPr>
        <w:t xml:space="preserve">  Y al respecto, </w:t>
      </w:r>
      <w:r w:rsidR="004219D8">
        <w:rPr>
          <w:rFonts w:cs="Arial"/>
          <w:sz w:val="22"/>
          <w:szCs w:val="22"/>
        </w:rPr>
        <w:t xml:space="preserve">de forma unánime se </w:t>
      </w:r>
      <w:r w:rsidR="00856145">
        <w:rPr>
          <w:rFonts w:cs="Arial"/>
          <w:sz w:val="22"/>
          <w:szCs w:val="22"/>
        </w:rPr>
        <w:t xml:space="preserve">concuerda en que lo pertinente es </w:t>
      </w:r>
      <w:r w:rsidR="004219D8">
        <w:rPr>
          <w:rFonts w:cs="Arial"/>
          <w:sz w:val="22"/>
          <w:szCs w:val="22"/>
        </w:rPr>
        <w:t xml:space="preserve">conocer el informe de la </w:t>
      </w:r>
      <w:r w:rsidR="004219D8" w:rsidRPr="004219D8">
        <w:rPr>
          <w:rFonts w:cs="Arial"/>
          <w:sz w:val="22"/>
          <w:szCs w:val="22"/>
          <w:lang w:val="es-ES_tradnl"/>
        </w:rPr>
        <w:t>Administración</w:t>
      </w:r>
      <w:r w:rsidR="004219D8">
        <w:rPr>
          <w:rFonts w:cs="Arial"/>
          <w:sz w:val="22"/>
          <w:szCs w:val="22"/>
          <w:lang w:val="es-ES_tradnl"/>
        </w:rPr>
        <w:t xml:space="preserve"> y </w:t>
      </w:r>
      <w:r w:rsidR="004219D8">
        <w:rPr>
          <w:rFonts w:cs="Arial"/>
          <w:sz w:val="22"/>
          <w:szCs w:val="22"/>
        </w:rPr>
        <w:t xml:space="preserve">que, posteriormente, en sesión privada, se valore lo indicado por el </w:t>
      </w:r>
      <w:r w:rsidR="004219D8">
        <w:rPr>
          <w:rFonts w:cs="Arial"/>
          <w:sz w:val="22"/>
          <w:szCs w:val="22"/>
        </w:rPr>
        <w:lastRenderedPageBreak/>
        <w:t>licenciado Sibaja Garbanzo.</w:t>
      </w:r>
      <w:r w:rsidR="00734DCB">
        <w:rPr>
          <w:rFonts w:cs="Arial"/>
          <w:sz w:val="22"/>
          <w:szCs w:val="22"/>
        </w:rPr>
        <w:t xml:space="preserve">  No obstante lo anterior, la Directora Presidenta deja constancia (minuto 99:10) de que el informe de la Auditoría Interna ha sido recién entregado hoy, y debido a su extensión es prácticamente imposible que haya sido debidamente analizado para que se considere en relación con lo que ahora plantea la </w:t>
      </w:r>
      <w:r w:rsidR="00734DCB" w:rsidRPr="00734DCB">
        <w:rPr>
          <w:rFonts w:cs="Arial"/>
          <w:sz w:val="22"/>
          <w:szCs w:val="22"/>
          <w:lang w:val="es-ES_tradnl"/>
        </w:rPr>
        <w:t>Administración</w:t>
      </w:r>
      <w:r w:rsidR="00734DCB">
        <w:rPr>
          <w:rFonts w:cs="Arial"/>
          <w:sz w:val="22"/>
          <w:szCs w:val="22"/>
          <w:lang w:val="es-ES_tradnl"/>
        </w:rPr>
        <w:t>.</w:t>
      </w:r>
    </w:p>
    <w:p w14:paraId="0450A741" w14:textId="77777777" w:rsidR="004219D8" w:rsidRDefault="004219D8" w:rsidP="003F0BB5">
      <w:pPr>
        <w:spacing w:line="360" w:lineRule="auto"/>
        <w:jc w:val="both"/>
        <w:rPr>
          <w:rFonts w:cs="Arial"/>
          <w:sz w:val="22"/>
          <w:szCs w:val="22"/>
        </w:rPr>
      </w:pPr>
    </w:p>
    <w:p w14:paraId="208C791A" w14:textId="6F6DFF3E" w:rsidR="004219D8" w:rsidRDefault="004219D8" w:rsidP="009D03FE">
      <w:pPr>
        <w:spacing w:line="360" w:lineRule="auto"/>
        <w:jc w:val="both"/>
        <w:rPr>
          <w:rFonts w:cs="Arial"/>
          <w:sz w:val="22"/>
          <w:szCs w:val="22"/>
        </w:rPr>
      </w:pPr>
      <w:r>
        <w:rPr>
          <w:rFonts w:cs="Arial"/>
          <w:sz w:val="22"/>
          <w:szCs w:val="22"/>
        </w:rPr>
        <w:t>Para exponer el contenido del citado informe y atender eventuales consultas de carácter técnico sobre el tema, se incorpora a la sesión la arquitecta Mariella Salas Rodríguez, jefa del Departamento Técnico, quien presenta los alcances de la solicitud de la entidad autorizada y los resultados del estudio realizado al respecto, recomendando lo siguiente:</w:t>
      </w:r>
    </w:p>
    <w:p w14:paraId="2867BCF0" w14:textId="0951A102" w:rsidR="004219D8" w:rsidRPr="004219D8" w:rsidRDefault="004219D8" w:rsidP="004219D8">
      <w:pPr>
        <w:spacing w:line="360" w:lineRule="auto"/>
        <w:jc w:val="both"/>
        <w:rPr>
          <w:rFonts w:cs="Arial"/>
          <w:sz w:val="22"/>
          <w:szCs w:val="22"/>
          <w:lang w:val="es-CR"/>
        </w:rPr>
      </w:pPr>
      <w:r>
        <w:rPr>
          <w:rFonts w:cs="Arial"/>
          <w:sz w:val="22"/>
          <w:szCs w:val="22"/>
          <w:lang w:val="es-CR"/>
        </w:rPr>
        <w:t xml:space="preserve">a) </w:t>
      </w:r>
      <w:r w:rsidRPr="00A44388">
        <w:rPr>
          <w:rFonts w:cs="Arial"/>
          <w:sz w:val="22"/>
          <w:szCs w:val="22"/>
          <w:lang w:val="es-CR"/>
        </w:rPr>
        <w:t>Suspender tempora</w:t>
      </w:r>
      <w:r>
        <w:rPr>
          <w:rFonts w:cs="Arial"/>
          <w:sz w:val="22"/>
          <w:szCs w:val="22"/>
          <w:lang w:val="es-CR"/>
        </w:rPr>
        <w:t>l</w:t>
      </w:r>
      <w:r w:rsidRPr="00A44388">
        <w:rPr>
          <w:rFonts w:cs="Arial"/>
          <w:sz w:val="22"/>
          <w:szCs w:val="22"/>
          <w:lang w:val="es-CR"/>
        </w:rPr>
        <w:t xml:space="preserve">mente el cobro de multas por un periodo de 71 </w:t>
      </w:r>
      <w:r>
        <w:rPr>
          <w:rFonts w:cs="Arial"/>
          <w:sz w:val="22"/>
          <w:szCs w:val="22"/>
          <w:lang w:val="es-CR"/>
        </w:rPr>
        <w:t>días</w:t>
      </w:r>
      <w:r w:rsidRPr="00A44388">
        <w:rPr>
          <w:rFonts w:cs="Arial"/>
          <w:sz w:val="22"/>
          <w:szCs w:val="22"/>
          <w:lang w:val="es-CR"/>
        </w:rPr>
        <w:t xml:space="preserve"> naturales</w:t>
      </w:r>
      <w:r>
        <w:rPr>
          <w:rFonts w:cs="Arial"/>
          <w:sz w:val="22"/>
          <w:szCs w:val="22"/>
          <w:lang w:val="es-CR"/>
        </w:rPr>
        <w:t xml:space="preserve">, contados </w:t>
      </w:r>
      <w:r w:rsidRPr="00A44388">
        <w:rPr>
          <w:rFonts w:cs="Arial"/>
          <w:sz w:val="22"/>
          <w:szCs w:val="22"/>
          <w:lang w:val="es-CR"/>
        </w:rPr>
        <w:t>a partir del 31 de octubre de 2021 (fecha de finalizaci</w:t>
      </w:r>
      <w:r>
        <w:rPr>
          <w:rFonts w:cs="Arial"/>
          <w:sz w:val="22"/>
          <w:szCs w:val="22"/>
          <w:lang w:val="es-CR"/>
        </w:rPr>
        <w:t xml:space="preserve">ón </w:t>
      </w:r>
      <w:r w:rsidRPr="00A44388">
        <w:rPr>
          <w:rFonts w:cs="Arial"/>
          <w:sz w:val="22"/>
          <w:szCs w:val="22"/>
          <w:lang w:val="es-CR"/>
        </w:rPr>
        <w:t>de las obras</w:t>
      </w:r>
      <w:r>
        <w:rPr>
          <w:rFonts w:cs="Arial"/>
          <w:sz w:val="22"/>
          <w:szCs w:val="22"/>
          <w:lang w:val="es-CR"/>
        </w:rPr>
        <w:t xml:space="preserve"> </w:t>
      </w:r>
      <w:r w:rsidRPr="00A44388">
        <w:rPr>
          <w:rFonts w:cs="Arial"/>
          <w:sz w:val="22"/>
          <w:szCs w:val="22"/>
          <w:lang w:val="es-CR"/>
        </w:rPr>
        <w:t xml:space="preserve">constructivas), </w:t>
      </w:r>
      <w:r w:rsidRPr="004219D8">
        <w:rPr>
          <w:rFonts w:cs="Arial"/>
          <w:sz w:val="22"/>
          <w:szCs w:val="22"/>
          <w:lang w:val="es-CR"/>
        </w:rPr>
        <w:t xml:space="preserve">por cuanto existió un atraso en el giro de recursos a la empresa por la presentación del recurso de apelación, la gestión de los desembolsos y la firma de la adenda al contrato y que no han permitido que el Desarrollador reinvierta capital en el proyecto para poder avanzar. </w:t>
      </w:r>
    </w:p>
    <w:p w14:paraId="2EC7FCCF" w14:textId="77777777" w:rsidR="004219D8" w:rsidRPr="00A44388" w:rsidRDefault="004219D8" w:rsidP="004219D8">
      <w:pPr>
        <w:spacing w:line="360" w:lineRule="auto"/>
        <w:jc w:val="both"/>
        <w:rPr>
          <w:rFonts w:cs="Arial"/>
          <w:sz w:val="22"/>
          <w:szCs w:val="22"/>
          <w:lang w:val="es-CR"/>
        </w:rPr>
      </w:pPr>
      <w:r>
        <w:rPr>
          <w:rFonts w:cs="Arial"/>
          <w:sz w:val="22"/>
          <w:szCs w:val="22"/>
          <w:lang w:val="es-CR"/>
        </w:rPr>
        <w:t xml:space="preserve">b) </w:t>
      </w:r>
      <w:r w:rsidRPr="00A44388">
        <w:rPr>
          <w:rFonts w:cs="Arial"/>
          <w:sz w:val="22"/>
          <w:szCs w:val="22"/>
          <w:lang w:val="es-CR"/>
        </w:rPr>
        <w:t xml:space="preserve">Dichos 71 </w:t>
      </w:r>
      <w:r>
        <w:rPr>
          <w:rFonts w:cs="Arial"/>
          <w:sz w:val="22"/>
          <w:szCs w:val="22"/>
          <w:lang w:val="es-CR"/>
        </w:rPr>
        <w:t>días</w:t>
      </w:r>
      <w:r w:rsidRPr="00A44388">
        <w:rPr>
          <w:rFonts w:cs="Arial"/>
          <w:sz w:val="22"/>
          <w:szCs w:val="22"/>
          <w:lang w:val="es-CR"/>
        </w:rPr>
        <w:t xml:space="preserve"> naturales de suspensi</w:t>
      </w:r>
      <w:r>
        <w:rPr>
          <w:rFonts w:cs="Arial"/>
          <w:sz w:val="22"/>
          <w:szCs w:val="22"/>
          <w:lang w:val="es-CR"/>
        </w:rPr>
        <w:t>ó</w:t>
      </w:r>
      <w:r w:rsidRPr="00A44388">
        <w:rPr>
          <w:rFonts w:cs="Arial"/>
          <w:sz w:val="22"/>
          <w:szCs w:val="22"/>
          <w:lang w:val="es-CR"/>
        </w:rPr>
        <w:t>n finalizar</w:t>
      </w:r>
      <w:r>
        <w:rPr>
          <w:rFonts w:cs="Arial"/>
          <w:sz w:val="22"/>
          <w:szCs w:val="22"/>
          <w:lang w:val="es-CR"/>
        </w:rPr>
        <w:t>á</w:t>
      </w:r>
      <w:r w:rsidRPr="00A44388">
        <w:rPr>
          <w:rFonts w:cs="Arial"/>
          <w:sz w:val="22"/>
          <w:szCs w:val="22"/>
          <w:lang w:val="es-CR"/>
        </w:rPr>
        <w:t>n el 11 de enero de 2022,</w:t>
      </w:r>
      <w:r>
        <w:rPr>
          <w:rFonts w:cs="Arial"/>
          <w:sz w:val="22"/>
          <w:szCs w:val="22"/>
          <w:lang w:val="es-CR"/>
        </w:rPr>
        <w:t xml:space="preserve"> </w:t>
      </w:r>
      <w:r w:rsidRPr="00A44388">
        <w:rPr>
          <w:rFonts w:cs="Arial"/>
          <w:sz w:val="22"/>
          <w:szCs w:val="22"/>
          <w:lang w:val="es-CR"/>
        </w:rPr>
        <w:t xml:space="preserve">por lo que </w:t>
      </w:r>
      <w:r>
        <w:rPr>
          <w:rFonts w:cs="Arial"/>
          <w:sz w:val="22"/>
          <w:szCs w:val="22"/>
          <w:lang w:val="es-CR"/>
        </w:rPr>
        <w:t>l</w:t>
      </w:r>
      <w:r w:rsidRPr="00A44388">
        <w:rPr>
          <w:rFonts w:cs="Arial"/>
          <w:sz w:val="22"/>
          <w:szCs w:val="22"/>
          <w:lang w:val="es-CR"/>
        </w:rPr>
        <w:t>a Entidad Autorizada deber</w:t>
      </w:r>
      <w:r>
        <w:rPr>
          <w:rFonts w:cs="Arial"/>
          <w:sz w:val="22"/>
          <w:szCs w:val="22"/>
          <w:lang w:val="es-CR"/>
        </w:rPr>
        <w:t>á</w:t>
      </w:r>
      <w:r w:rsidRPr="00A44388">
        <w:rPr>
          <w:rFonts w:cs="Arial"/>
          <w:sz w:val="22"/>
          <w:szCs w:val="22"/>
          <w:lang w:val="es-CR"/>
        </w:rPr>
        <w:t xml:space="preserve"> realizar el respectivo c</w:t>
      </w:r>
      <w:r>
        <w:rPr>
          <w:rFonts w:cs="Arial"/>
          <w:sz w:val="22"/>
          <w:szCs w:val="22"/>
          <w:lang w:val="es-CR"/>
        </w:rPr>
        <w:t>á</w:t>
      </w:r>
      <w:r w:rsidRPr="00A44388">
        <w:rPr>
          <w:rFonts w:cs="Arial"/>
          <w:sz w:val="22"/>
          <w:szCs w:val="22"/>
          <w:lang w:val="es-CR"/>
        </w:rPr>
        <w:t>lculo de multas</w:t>
      </w:r>
      <w:r>
        <w:rPr>
          <w:rFonts w:cs="Arial"/>
          <w:sz w:val="22"/>
          <w:szCs w:val="22"/>
          <w:lang w:val="es-CR"/>
        </w:rPr>
        <w:t xml:space="preserve"> </w:t>
      </w:r>
      <w:r w:rsidRPr="00A44388">
        <w:rPr>
          <w:rFonts w:cs="Arial"/>
          <w:sz w:val="22"/>
          <w:szCs w:val="22"/>
          <w:lang w:val="es-CR"/>
        </w:rPr>
        <w:t>seg</w:t>
      </w:r>
      <w:r>
        <w:rPr>
          <w:rFonts w:cs="Arial"/>
          <w:sz w:val="22"/>
          <w:szCs w:val="22"/>
          <w:lang w:val="es-CR"/>
        </w:rPr>
        <w:t>ú</w:t>
      </w:r>
      <w:r w:rsidRPr="00A44388">
        <w:rPr>
          <w:rFonts w:cs="Arial"/>
          <w:sz w:val="22"/>
          <w:szCs w:val="22"/>
          <w:lang w:val="es-CR"/>
        </w:rPr>
        <w:t>n el contrato de construcci</w:t>
      </w:r>
      <w:r>
        <w:rPr>
          <w:rFonts w:cs="Arial"/>
          <w:sz w:val="22"/>
          <w:szCs w:val="22"/>
          <w:lang w:val="es-CR"/>
        </w:rPr>
        <w:t>ó</w:t>
      </w:r>
      <w:r w:rsidRPr="00A44388">
        <w:rPr>
          <w:rFonts w:cs="Arial"/>
          <w:sz w:val="22"/>
          <w:szCs w:val="22"/>
          <w:lang w:val="es-CR"/>
        </w:rPr>
        <w:t>n y las fechas definidas en el cronograma del plan</w:t>
      </w:r>
      <w:r>
        <w:rPr>
          <w:rFonts w:cs="Arial"/>
          <w:sz w:val="22"/>
          <w:szCs w:val="22"/>
          <w:lang w:val="es-CR"/>
        </w:rPr>
        <w:t xml:space="preserve"> </w:t>
      </w:r>
      <w:r w:rsidRPr="00A44388">
        <w:rPr>
          <w:rFonts w:cs="Arial"/>
          <w:sz w:val="22"/>
          <w:szCs w:val="22"/>
          <w:lang w:val="es-CR"/>
        </w:rPr>
        <w:t xml:space="preserve">remedial presentado por </w:t>
      </w:r>
      <w:r>
        <w:rPr>
          <w:rFonts w:cs="Arial"/>
          <w:sz w:val="22"/>
          <w:szCs w:val="22"/>
          <w:lang w:val="es-CR"/>
        </w:rPr>
        <w:t>l</w:t>
      </w:r>
      <w:r w:rsidRPr="00A44388">
        <w:rPr>
          <w:rFonts w:cs="Arial"/>
          <w:sz w:val="22"/>
          <w:szCs w:val="22"/>
          <w:lang w:val="es-CR"/>
        </w:rPr>
        <w:t>a empresa Rovi S.A.</w:t>
      </w:r>
    </w:p>
    <w:p w14:paraId="493A5ED3" w14:textId="77777777" w:rsidR="004219D8" w:rsidRDefault="004219D8" w:rsidP="004219D8">
      <w:pPr>
        <w:spacing w:line="360" w:lineRule="auto"/>
        <w:jc w:val="both"/>
        <w:rPr>
          <w:rFonts w:cs="Arial"/>
          <w:sz w:val="22"/>
          <w:szCs w:val="22"/>
          <w:lang w:val="es-CR"/>
        </w:rPr>
      </w:pPr>
      <w:r>
        <w:rPr>
          <w:rFonts w:cs="Arial"/>
          <w:sz w:val="22"/>
          <w:szCs w:val="22"/>
          <w:lang w:val="es-CR"/>
        </w:rPr>
        <w:t xml:space="preserve">c) </w:t>
      </w:r>
      <w:r w:rsidRPr="00A44388">
        <w:rPr>
          <w:rFonts w:cs="Arial"/>
          <w:sz w:val="22"/>
          <w:szCs w:val="22"/>
          <w:lang w:val="es-CR"/>
        </w:rPr>
        <w:t>Definir como fecha de finalizaci</w:t>
      </w:r>
      <w:r>
        <w:rPr>
          <w:rFonts w:cs="Arial"/>
          <w:sz w:val="22"/>
          <w:szCs w:val="22"/>
          <w:lang w:val="es-CR"/>
        </w:rPr>
        <w:t>ó</w:t>
      </w:r>
      <w:r w:rsidRPr="00A44388">
        <w:rPr>
          <w:rFonts w:cs="Arial"/>
          <w:sz w:val="22"/>
          <w:szCs w:val="22"/>
          <w:lang w:val="es-CR"/>
        </w:rPr>
        <w:t>n de las obras constructivas del proyecto</w:t>
      </w:r>
      <w:r>
        <w:rPr>
          <w:rFonts w:cs="Arial"/>
          <w:sz w:val="22"/>
          <w:szCs w:val="22"/>
          <w:lang w:val="es-CR"/>
        </w:rPr>
        <w:t>,</w:t>
      </w:r>
      <w:r w:rsidRPr="00A44388">
        <w:rPr>
          <w:rFonts w:cs="Arial"/>
          <w:sz w:val="22"/>
          <w:szCs w:val="22"/>
          <w:lang w:val="es-CR"/>
        </w:rPr>
        <w:t xml:space="preserve"> el 31 de</w:t>
      </w:r>
      <w:r>
        <w:rPr>
          <w:rFonts w:cs="Arial"/>
          <w:sz w:val="22"/>
          <w:szCs w:val="22"/>
          <w:lang w:val="es-CR"/>
        </w:rPr>
        <w:t xml:space="preserve"> </w:t>
      </w:r>
      <w:r w:rsidRPr="00A44388">
        <w:rPr>
          <w:rFonts w:cs="Arial"/>
          <w:sz w:val="22"/>
          <w:szCs w:val="22"/>
          <w:lang w:val="es-CR"/>
        </w:rPr>
        <w:t>marzo de 2022</w:t>
      </w:r>
      <w:r>
        <w:rPr>
          <w:rFonts w:cs="Arial"/>
          <w:sz w:val="22"/>
          <w:szCs w:val="22"/>
          <w:lang w:val="es-CR"/>
        </w:rPr>
        <w:t>,</w:t>
      </w:r>
      <w:r w:rsidRPr="00A44388">
        <w:rPr>
          <w:rFonts w:cs="Arial"/>
          <w:sz w:val="22"/>
          <w:szCs w:val="22"/>
          <w:lang w:val="es-CR"/>
        </w:rPr>
        <w:t xml:space="preserve"> seg</w:t>
      </w:r>
      <w:r>
        <w:rPr>
          <w:rFonts w:cs="Arial"/>
          <w:sz w:val="22"/>
          <w:szCs w:val="22"/>
          <w:lang w:val="es-CR"/>
        </w:rPr>
        <w:t>ú</w:t>
      </w:r>
      <w:r w:rsidRPr="00A44388">
        <w:rPr>
          <w:rFonts w:cs="Arial"/>
          <w:sz w:val="22"/>
          <w:szCs w:val="22"/>
          <w:lang w:val="es-CR"/>
        </w:rPr>
        <w:t>n el cronograma f</w:t>
      </w:r>
      <w:r>
        <w:rPr>
          <w:rFonts w:cs="Arial"/>
          <w:sz w:val="22"/>
          <w:szCs w:val="22"/>
          <w:lang w:val="es-CR"/>
        </w:rPr>
        <w:t>í</w:t>
      </w:r>
      <w:r w:rsidRPr="00A44388">
        <w:rPr>
          <w:rFonts w:cs="Arial"/>
          <w:sz w:val="22"/>
          <w:szCs w:val="22"/>
          <w:lang w:val="es-CR"/>
        </w:rPr>
        <w:t>sico financiero presentado</w:t>
      </w:r>
      <w:r>
        <w:rPr>
          <w:rFonts w:cs="Arial"/>
          <w:sz w:val="22"/>
          <w:szCs w:val="22"/>
          <w:lang w:val="es-CR"/>
        </w:rPr>
        <w:t>.</w:t>
      </w:r>
    </w:p>
    <w:p w14:paraId="5F54A562" w14:textId="77777777" w:rsidR="004219D8" w:rsidRDefault="004219D8" w:rsidP="004219D8">
      <w:pPr>
        <w:spacing w:line="360" w:lineRule="auto"/>
        <w:jc w:val="both"/>
        <w:rPr>
          <w:rFonts w:cs="Arial"/>
          <w:sz w:val="22"/>
          <w:szCs w:val="22"/>
          <w:lang w:val="es-CR"/>
        </w:rPr>
      </w:pPr>
      <w:r>
        <w:rPr>
          <w:rFonts w:cs="Arial"/>
          <w:sz w:val="22"/>
          <w:szCs w:val="22"/>
          <w:lang w:val="es-CR"/>
        </w:rPr>
        <w:t xml:space="preserve">d) </w:t>
      </w:r>
      <w:r w:rsidRPr="00A44388">
        <w:rPr>
          <w:rFonts w:cs="Arial"/>
          <w:sz w:val="22"/>
          <w:szCs w:val="22"/>
          <w:lang w:val="es-CR"/>
        </w:rPr>
        <w:t>Proceder con el giro de los recursos solicitados por Coocique R.L. mediante oficios</w:t>
      </w:r>
      <w:r>
        <w:rPr>
          <w:rFonts w:cs="Arial"/>
          <w:sz w:val="22"/>
          <w:szCs w:val="22"/>
          <w:lang w:val="es-CR"/>
        </w:rPr>
        <w:t xml:space="preserve"> </w:t>
      </w:r>
      <w:r w:rsidRPr="00A44388">
        <w:rPr>
          <w:rFonts w:cs="Arial"/>
          <w:sz w:val="22"/>
          <w:szCs w:val="22"/>
          <w:lang w:val="es-CR"/>
        </w:rPr>
        <w:t>UV-PV-L</w:t>
      </w:r>
      <w:r>
        <w:rPr>
          <w:rFonts w:cs="Arial"/>
          <w:sz w:val="22"/>
          <w:szCs w:val="22"/>
          <w:lang w:val="es-CR"/>
        </w:rPr>
        <w:t>O</w:t>
      </w:r>
      <w:r w:rsidRPr="00A44388">
        <w:rPr>
          <w:rFonts w:cs="Arial"/>
          <w:sz w:val="22"/>
          <w:szCs w:val="22"/>
          <w:lang w:val="es-CR"/>
        </w:rPr>
        <w:t>-059-2021 por co</w:t>
      </w:r>
      <w:r>
        <w:rPr>
          <w:rFonts w:cs="Arial"/>
          <w:sz w:val="22"/>
          <w:szCs w:val="22"/>
          <w:lang w:val="es-CR"/>
        </w:rPr>
        <w:t>n</w:t>
      </w:r>
      <w:r w:rsidRPr="00A44388">
        <w:rPr>
          <w:rFonts w:cs="Arial"/>
          <w:sz w:val="22"/>
          <w:szCs w:val="22"/>
          <w:lang w:val="es-CR"/>
        </w:rPr>
        <w:t>cepto de fiscalizaci</w:t>
      </w:r>
      <w:r>
        <w:rPr>
          <w:rFonts w:cs="Arial"/>
          <w:sz w:val="22"/>
          <w:szCs w:val="22"/>
          <w:lang w:val="es-CR"/>
        </w:rPr>
        <w:t>ó</w:t>
      </w:r>
      <w:r w:rsidRPr="00A44388">
        <w:rPr>
          <w:rFonts w:cs="Arial"/>
          <w:sz w:val="22"/>
          <w:szCs w:val="22"/>
          <w:lang w:val="es-CR"/>
        </w:rPr>
        <w:t>n de inversi</w:t>
      </w:r>
      <w:r>
        <w:rPr>
          <w:rFonts w:cs="Arial"/>
          <w:sz w:val="22"/>
          <w:szCs w:val="22"/>
          <w:lang w:val="es-CR"/>
        </w:rPr>
        <w:t>ó</w:t>
      </w:r>
      <w:r w:rsidRPr="00A44388">
        <w:rPr>
          <w:rFonts w:cs="Arial"/>
          <w:sz w:val="22"/>
          <w:szCs w:val="22"/>
          <w:lang w:val="es-CR"/>
        </w:rPr>
        <w:t>n y UV-PV-LO-063-2021 por avance de obras</w:t>
      </w:r>
      <w:r>
        <w:rPr>
          <w:rFonts w:cs="Arial"/>
          <w:sz w:val="22"/>
          <w:szCs w:val="22"/>
          <w:lang w:val="es-CR"/>
        </w:rPr>
        <w:t>.</w:t>
      </w:r>
    </w:p>
    <w:p w14:paraId="2B3A26EB" w14:textId="094A16D6" w:rsidR="004219D8" w:rsidRDefault="004219D8" w:rsidP="009D03FE">
      <w:pPr>
        <w:spacing w:line="360" w:lineRule="auto"/>
        <w:jc w:val="both"/>
        <w:rPr>
          <w:rFonts w:cs="Arial"/>
          <w:sz w:val="22"/>
          <w:szCs w:val="22"/>
        </w:rPr>
      </w:pPr>
    </w:p>
    <w:p w14:paraId="18D0B753" w14:textId="660C69EB" w:rsidR="00734DCB" w:rsidRPr="00734DCB" w:rsidRDefault="00734DCB" w:rsidP="00734DCB">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101</w:t>
      </w:r>
      <w:r w:rsidRPr="00A25DB7">
        <w:rPr>
          <w:rFonts w:cs="Arial"/>
          <w:sz w:val="22"/>
          <w:u w:val="single"/>
          <w:lang w:val="es-ES_tradnl"/>
        </w:rPr>
        <w:t>:</w:t>
      </w:r>
      <w:r>
        <w:rPr>
          <w:rFonts w:cs="Arial"/>
          <w:sz w:val="22"/>
          <w:u w:val="single"/>
          <w:lang w:val="es-ES_tradnl"/>
        </w:rPr>
        <w:t>39</w:t>
      </w:r>
      <w:r>
        <w:rPr>
          <w:rFonts w:cs="Arial"/>
          <w:sz w:val="22"/>
          <w:lang w:val="es-ES_tradnl"/>
        </w:rPr>
        <w:t xml:space="preserve"> A solicitud de la Directora Presidenta, la licenciada Masís Calderón expone su criterio con respecto a la propuesta de la </w:t>
      </w:r>
      <w:r w:rsidRPr="00734DCB">
        <w:rPr>
          <w:rFonts w:cs="Arial"/>
          <w:sz w:val="22"/>
          <w:szCs w:val="22"/>
          <w:lang w:val="es-ES_tradnl"/>
        </w:rPr>
        <w:t>Administración</w:t>
      </w:r>
      <w:r>
        <w:rPr>
          <w:rFonts w:cs="Arial"/>
          <w:sz w:val="22"/>
          <w:szCs w:val="22"/>
          <w:lang w:val="es-ES_tradnl"/>
        </w:rPr>
        <w:t xml:space="preserve">, </w:t>
      </w:r>
      <w:r w:rsidR="00AA3784">
        <w:rPr>
          <w:rFonts w:cs="Arial"/>
          <w:sz w:val="22"/>
          <w:szCs w:val="22"/>
          <w:lang w:val="es-ES_tradnl"/>
        </w:rPr>
        <w:t xml:space="preserve">según consta en el oficio AL-OF-006-2022, </w:t>
      </w:r>
      <w:r>
        <w:rPr>
          <w:rFonts w:cs="Arial"/>
          <w:sz w:val="22"/>
          <w:szCs w:val="22"/>
          <w:lang w:val="es-ES_tradnl"/>
        </w:rPr>
        <w:t>destacando</w:t>
      </w:r>
      <w:r w:rsidR="00AA3784">
        <w:rPr>
          <w:rFonts w:cs="Arial"/>
          <w:sz w:val="22"/>
          <w:szCs w:val="22"/>
          <w:lang w:val="es-ES_tradnl"/>
        </w:rPr>
        <w:t xml:space="preserve"> que la Asesoría Legal </w:t>
      </w:r>
      <w:r w:rsidRPr="00734DCB">
        <w:rPr>
          <w:rFonts w:cs="Arial"/>
          <w:sz w:val="22"/>
          <w:szCs w:val="22"/>
          <w:lang w:val="es-ES_tradnl"/>
        </w:rPr>
        <w:t>considera razonable y viable la recomendación del Departamento Técnico y la Administración</w:t>
      </w:r>
      <w:r w:rsidR="00AA3784">
        <w:rPr>
          <w:rFonts w:cs="Arial"/>
          <w:sz w:val="22"/>
          <w:szCs w:val="22"/>
          <w:lang w:val="es-ES_tradnl"/>
        </w:rPr>
        <w:t>,</w:t>
      </w:r>
      <w:r w:rsidRPr="00734DCB">
        <w:rPr>
          <w:rFonts w:cs="Arial"/>
          <w:sz w:val="22"/>
          <w:szCs w:val="22"/>
          <w:lang w:val="es-ES_tradnl"/>
        </w:rPr>
        <w:t xml:space="preserve"> en cuanto a</w:t>
      </w:r>
      <w:r w:rsidR="00AA3784">
        <w:rPr>
          <w:rFonts w:cs="Arial"/>
          <w:sz w:val="22"/>
          <w:szCs w:val="22"/>
          <w:lang w:val="es-ES_tradnl"/>
        </w:rPr>
        <w:t xml:space="preserve"> lo siguiente:</w:t>
      </w:r>
    </w:p>
    <w:p w14:paraId="4ED74598" w14:textId="77777777" w:rsidR="00734DCB" w:rsidRPr="00734DCB" w:rsidRDefault="00734DCB" w:rsidP="00734DCB">
      <w:pPr>
        <w:spacing w:line="360" w:lineRule="auto"/>
        <w:jc w:val="both"/>
        <w:rPr>
          <w:rFonts w:cs="Arial"/>
          <w:sz w:val="22"/>
          <w:szCs w:val="22"/>
          <w:lang w:val="es-ES_tradnl"/>
        </w:rPr>
      </w:pPr>
      <w:r w:rsidRPr="00734DCB">
        <w:rPr>
          <w:rFonts w:cs="Arial"/>
          <w:b/>
          <w:bCs/>
          <w:sz w:val="22"/>
          <w:szCs w:val="22"/>
          <w:lang w:val="es-ES_tradnl"/>
        </w:rPr>
        <w:t>A)</w:t>
      </w:r>
      <w:r w:rsidRPr="00734DCB">
        <w:rPr>
          <w:rFonts w:cs="Arial"/>
          <w:sz w:val="22"/>
          <w:szCs w:val="22"/>
          <w:lang w:val="es-ES_tradnl"/>
        </w:rPr>
        <w:t xml:space="preserve"> Realizar una nueva adenda al Contrato de Administración de Recursos y adicionalmente al Contrato de Obra para la ampliación del plazo del período constructivo. </w:t>
      </w:r>
    </w:p>
    <w:p w14:paraId="10C89C08" w14:textId="77777777" w:rsidR="00734DCB" w:rsidRPr="00734DCB" w:rsidRDefault="00734DCB" w:rsidP="00734DCB">
      <w:pPr>
        <w:spacing w:line="360" w:lineRule="auto"/>
        <w:jc w:val="both"/>
        <w:rPr>
          <w:rFonts w:cs="Arial"/>
          <w:sz w:val="22"/>
          <w:szCs w:val="22"/>
          <w:lang w:val="es-ES_tradnl"/>
        </w:rPr>
      </w:pPr>
      <w:r w:rsidRPr="00734DCB">
        <w:rPr>
          <w:rFonts w:cs="Arial"/>
          <w:b/>
          <w:bCs/>
          <w:sz w:val="22"/>
          <w:szCs w:val="22"/>
          <w:lang w:val="es-ES_tradnl"/>
        </w:rPr>
        <w:t>B)</w:t>
      </w:r>
      <w:r w:rsidRPr="00734DCB">
        <w:rPr>
          <w:rFonts w:cs="Arial"/>
          <w:sz w:val="22"/>
          <w:szCs w:val="22"/>
          <w:lang w:val="es-ES_tradnl"/>
        </w:rPr>
        <w:t xml:space="preserve"> Suspender el cobro de multas por un período de 71 días, recomendado por el Departamento Técnico, a partir de la fecha de finalización del período constructivo o de la suscripción de la nueva adenda, según recomendación de ese Departamento. </w:t>
      </w:r>
    </w:p>
    <w:p w14:paraId="2A7C3C7A" w14:textId="712AAFE8" w:rsidR="00734DCB" w:rsidRPr="00734DCB" w:rsidRDefault="00734DCB" w:rsidP="00734DCB">
      <w:pPr>
        <w:spacing w:line="360" w:lineRule="auto"/>
        <w:jc w:val="both"/>
        <w:rPr>
          <w:rFonts w:cs="Arial"/>
          <w:sz w:val="22"/>
          <w:szCs w:val="22"/>
          <w:lang w:val="es-ES_tradnl"/>
        </w:rPr>
      </w:pPr>
      <w:r w:rsidRPr="00734DCB">
        <w:rPr>
          <w:rFonts w:cs="Arial"/>
          <w:b/>
          <w:bCs/>
          <w:sz w:val="22"/>
          <w:szCs w:val="22"/>
          <w:lang w:val="es-ES_tradnl"/>
        </w:rPr>
        <w:lastRenderedPageBreak/>
        <w:t>C)</w:t>
      </w:r>
      <w:r w:rsidRPr="00734DCB">
        <w:rPr>
          <w:rFonts w:cs="Arial"/>
          <w:sz w:val="22"/>
          <w:szCs w:val="22"/>
          <w:lang w:val="es-ES_tradnl"/>
        </w:rPr>
        <w:t xml:space="preserve"> </w:t>
      </w:r>
      <w:r w:rsidR="00AA3784">
        <w:rPr>
          <w:rFonts w:cs="Arial"/>
          <w:sz w:val="22"/>
          <w:szCs w:val="22"/>
          <w:lang w:val="es-ES_tradnl"/>
        </w:rPr>
        <w:t xml:space="preserve">Debe </w:t>
      </w:r>
      <w:r w:rsidRPr="00734DCB">
        <w:rPr>
          <w:rFonts w:cs="Arial"/>
          <w:sz w:val="22"/>
          <w:szCs w:val="22"/>
        </w:rPr>
        <w:t>entenderse claramente que ello no prejuzga sobre casos futuros que puedan ser similares o parecidos, ni sienta jurisprudencia administrativa.  Esto</w:t>
      </w:r>
      <w:r w:rsidR="00AA3784">
        <w:rPr>
          <w:rFonts w:cs="Arial"/>
          <w:sz w:val="22"/>
          <w:szCs w:val="22"/>
        </w:rPr>
        <w:t>,</w:t>
      </w:r>
      <w:r w:rsidRPr="00734DCB">
        <w:rPr>
          <w:rFonts w:cs="Arial"/>
          <w:sz w:val="22"/>
          <w:szCs w:val="22"/>
        </w:rPr>
        <w:t xml:space="preserve"> dado que cada caso requiere de su propio análisis, sin que un acto o una resolución administrativa emanada de ese cuerpo colegiado, pueda ser tenido como aplicable para otros en curso. Toda solicitud requiere de un análisis casuístico</w:t>
      </w:r>
      <w:r w:rsidR="00AA3784">
        <w:rPr>
          <w:rFonts w:cs="Arial"/>
          <w:sz w:val="22"/>
          <w:szCs w:val="22"/>
        </w:rPr>
        <w:t xml:space="preserve"> y en </w:t>
      </w:r>
      <w:r w:rsidRPr="00734DCB">
        <w:rPr>
          <w:rFonts w:cs="Arial"/>
          <w:sz w:val="22"/>
          <w:szCs w:val="22"/>
        </w:rPr>
        <w:t>caso de aprobación, recom</w:t>
      </w:r>
      <w:r w:rsidR="00AA3784">
        <w:rPr>
          <w:rFonts w:cs="Arial"/>
          <w:sz w:val="22"/>
          <w:szCs w:val="22"/>
        </w:rPr>
        <w:t>ienda</w:t>
      </w:r>
      <w:r w:rsidRPr="00734DCB">
        <w:rPr>
          <w:rFonts w:cs="Arial"/>
          <w:sz w:val="22"/>
          <w:szCs w:val="22"/>
        </w:rPr>
        <w:t xml:space="preserve"> que en el acuerdo se inserte esta disposición.</w:t>
      </w:r>
    </w:p>
    <w:p w14:paraId="681DDC6A" w14:textId="774C75B6" w:rsidR="00734DCB" w:rsidRPr="00734DCB" w:rsidRDefault="00734DCB" w:rsidP="00734DCB">
      <w:pPr>
        <w:spacing w:line="360" w:lineRule="auto"/>
        <w:jc w:val="both"/>
        <w:rPr>
          <w:rFonts w:cs="Arial"/>
          <w:sz w:val="22"/>
          <w:szCs w:val="22"/>
          <w:lang w:val="es-ES_tradnl"/>
        </w:rPr>
      </w:pPr>
      <w:r w:rsidRPr="00734DCB">
        <w:rPr>
          <w:rFonts w:cs="Arial"/>
          <w:b/>
          <w:bCs/>
          <w:sz w:val="22"/>
          <w:szCs w:val="22"/>
        </w:rPr>
        <w:t>D)</w:t>
      </w:r>
      <w:r w:rsidRPr="00734DCB">
        <w:rPr>
          <w:rFonts w:cs="Arial"/>
          <w:sz w:val="22"/>
          <w:szCs w:val="22"/>
        </w:rPr>
        <w:t xml:space="preserve"> </w:t>
      </w:r>
      <w:r w:rsidR="00AA3784">
        <w:rPr>
          <w:rFonts w:cs="Arial"/>
          <w:sz w:val="22"/>
          <w:szCs w:val="22"/>
        </w:rPr>
        <w:t xml:space="preserve">Se sugiere girar una orden a la </w:t>
      </w:r>
      <w:r w:rsidRPr="00734DCB">
        <w:rPr>
          <w:rFonts w:cs="Arial"/>
          <w:sz w:val="22"/>
          <w:szCs w:val="22"/>
        </w:rPr>
        <w:t>Auditoría Interna</w:t>
      </w:r>
      <w:r w:rsidR="00AA3784">
        <w:rPr>
          <w:rFonts w:cs="Arial"/>
          <w:sz w:val="22"/>
          <w:szCs w:val="22"/>
        </w:rPr>
        <w:t>,</w:t>
      </w:r>
      <w:r w:rsidRPr="00734DCB">
        <w:rPr>
          <w:rFonts w:cs="Arial"/>
          <w:sz w:val="22"/>
          <w:szCs w:val="22"/>
        </w:rPr>
        <w:t xml:space="preserve"> </w:t>
      </w:r>
      <w:r w:rsidR="00AA3784">
        <w:rPr>
          <w:rFonts w:cs="Arial"/>
          <w:sz w:val="22"/>
          <w:szCs w:val="22"/>
        </w:rPr>
        <w:t xml:space="preserve">para que realice </w:t>
      </w:r>
      <w:r w:rsidRPr="00734DCB">
        <w:rPr>
          <w:rFonts w:cs="Arial"/>
          <w:sz w:val="22"/>
          <w:szCs w:val="22"/>
        </w:rPr>
        <w:t>las investigaciones pertinentes a fin de determinar si pudo haber negligencia en el trámite por parte de funcionarios de la entidad autorizada o del BANHVI</w:t>
      </w:r>
      <w:r w:rsidR="00AA3784">
        <w:rPr>
          <w:rFonts w:cs="Arial"/>
          <w:sz w:val="22"/>
          <w:szCs w:val="22"/>
        </w:rPr>
        <w:t>.</w:t>
      </w:r>
    </w:p>
    <w:p w14:paraId="35506871" w14:textId="77777777" w:rsidR="00734DCB" w:rsidRDefault="00734DCB" w:rsidP="009D03FE">
      <w:pPr>
        <w:spacing w:line="360" w:lineRule="auto"/>
        <w:jc w:val="both"/>
        <w:rPr>
          <w:rFonts w:cs="Arial"/>
          <w:sz w:val="22"/>
          <w:szCs w:val="22"/>
        </w:rPr>
      </w:pPr>
    </w:p>
    <w:p w14:paraId="086385F2" w14:textId="521F3C4E" w:rsidR="00AF6C02" w:rsidRDefault="009D03FE" w:rsidP="00AF6C02">
      <w:pPr>
        <w:spacing w:line="360" w:lineRule="auto"/>
        <w:jc w:val="both"/>
        <w:rPr>
          <w:rFonts w:cs="Arial"/>
          <w:sz w:val="22"/>
          <w:szCs w:val="22"/>
          <w:lang w:val="es-CR"/>
        </w:rPr>
      </w:pPr>
      <w:r>
        <w:rPr>
          <w:rFonts w:cs="Arial"/>
          <w:sz w:val="22"/>
          <w:u w:val="single"/>
          <w:lang w:val="es-ES_tradnl"/>
        </w:rPr>
        <w:t xml:space="preserve">Minuto </w:t>
      </w:r>
      <w:r w:rsidR="00AA3784">
        <w:rPr>
          <w:rFonts w:cs="Arial"/>
          <w:sz w:val="22"/>
          <w:u w:val="single"/>
          <w:lang w:val="es-ES_tradnl"/>
        </w:rPr>
        <w:t>106</w:t>
      </w:r>
      <w:r w:rsidRPr="0039311E">
        <w:rPr>
          <w:rFonts w:cs="Arial"/>
          <w:sz w:val="22"/>
          <w:u w:val="single"/>
          <w:lang w:val="es-ES_tradnl"/>
        </w:rPr>
        <w:t>:</w:t>
      </w:r>
      <w:r w:rsidR="00AA3784">
        <w:rPr>
          <w:rFonts w:cs="Arial"/>
          <w:sz w:val="22"/>
          <w:u w:val="single"/>
          <w:lang w:val="es-ES_tradnl"/>
        </w:rPr>
        <w:t>48</w:t>
      </w:r>
      <w:r>
        <w:rPr>
          <w:rFonts w:cs="Arial"/>
          <w:sz w:val="22"/>
          <w:lang w:val="es-ES_tradnl"/>
        </w:rPr>
        <w:t xml:space="preserve"> </w:t>
      </w:r>
      <w:r w:rsidR="00AA3784">
        <w:rPr>
          <w:rFonts w:cs="Arial"/>
          <w:sz w:val="22"/>
          <w:lang w:val="es-ES_tradnl"/>
        </w:rPr>
        <w:t>El Director Alvarado Herrera hace referencia a</w:t>
      </w:r>
      <w:r w:rsidR="00AF6C02">
        <w:rPr>
          <w:rFonts w:cs="Arial"/>
          <w:sz w:val="22"/>
          <w:lang w:val="es-ES_tradnl"/>
        </w:rPr>
        <w:t xml:space="preserve">l contenido del ante citado dictamen de la Asesoría Legal, y además comenta lo indicado también por esa dependencia en el oficio </w:t>
      </w:r>
      <w:r w:rsidR="00AF6C02">
        <w:rPr>
          <w:rFonts w:cs="Arial"/>
          <w:sz w:val="22"/>
          <w:szCs w:val="22"/>
          <w:lang w:val="es-CR"/>
        </w:rPr>
        <w:t xml:space="preserve">AL-OF-108-2021, emitido el 27 de octubre de 2021, del cual se desprende, entre otras cosas, que el BANHVI </w:t>
      </w:r>
      <w:r w:rsidR="00AF6C02" w:rsidRPr="000C41B3">
        <w:rPr>
          <w:rFonts w:cs="Arial"/>
          <w:sz w:val="22"/>
          <w:szCs w:val="22"/>
          <w:lang w:val="es-CR"/>
        </w:rPr>
        <w:t xml:space="preserve">no atendió ni resolvió </w:t>
      </w:r>
      <w:r w:rsidR="00AF6C02">
        <w:rPr>
          <w:rFonts w:cs="Arial"/>
          <w:sz w:val="22"/>
          <w:szCs w:val="22"/>
          <w:lang w:val="es-CR"/>
        </w:rPr>
        <w:t>cuatro</w:t>
      </w:r>
      <w:r w:rsidR="00AF6C02" w:rsidRPr="000C41B3">
        <w:rPr>
          <w:rFonts w:cs="Arial"/>
          <w:sz w:val="22"/>
          <w:szCs w:val="22"/>
          <w:lang w:val="es-CR"/>
        </w:rPr>
        <w:t xml:space="preserve"> solitudes de ampliación del plazo constructivo</w:t>
      </w:r>
      <w:r w:rsidR="00AF6C02">
        <w:rPr>
          <w:rFonts w:cs="Arial"/>
          <w:sz w:val="22"/>
          <w:szCs w:val="22"/>
          <w:lang w:val="es-CR"/>
        </w:rPr>
        <w:t xml:space="preserve"> de este proyecto</w:t>
      </w:r>
      <w:r w:rsidR="00AF6C02" w:rsidRPr="000C41B3">
        <w:rPr>
          <w:rFonts w:cs="Arial"/>
          <w:sz w:val="22"/>
          <w:szCs w:val="22"/>
          <w:lang w:val="es-CR"/>
        </w:rPr>
        <w:t xml:space="preserve">, </w:t>
      </w:r>
      <w:r w:rsidR="00AF6C02">
        <w:rPr>
          <w:rFonts w:cs="Arial"/>
          <w:sz w:val="22"/>
          <w:szCs w:val="22"/>
          <w:lang w:val="es-CR"/>
        </w:rPr>
        <w:t xml:space="preserve">que fueron </w:t>
      </w:r>
      <w:r w:rsidR="00AF6C02" w:rsidRPr="000C41B3">
        <w:rPr>
          <w:rFonts w:cs="Arial"/>
          <w:sz w:val="22"/>
          <w:szCs w:val="22"/>
          <w:lang w:val="es-CR"/>
        </w:rPr>
        <w:t xml:space="preserve">presentadas </w:t>
      </w:r>
      <w:r w:rsidR="00AF6C02" w:rsidRPr="007550B2">
        <w:rPr>
          <w:rFonts w:cs="Arial"/>
          <w:sz w:val="22"/>
          <w:szCs w:val="22"/>
          <w:lang w:val="es-CR"/>
        </w:rPr>
        <w:t>en tiempo y forma</w:t>
      </w:r>
      <w:r w:rsidR="00AF6C02">
        <w:rPr>
          <w:rFonts w:cs="Arial"/>
          <w:sz w:val="22"/>
          <w:szCs w:val="22"/>
          <w:lang w:val="es-CR"/>
        </w:rPr>
        <w:t xml:space="preserve"> </w:t>
      </w:r>
      <w:r w:rsidR="00AF6C02" w:rsidRPr="000632BD">
        <w:rPr>
          <w:rFonts w:cs="Arial"/>
          <w:sz w:val="22"/>
          <w:szCs w:val="22"/>
          <w:lang w:val="es-CR"/>
        </w:rPr>
        <w:t xml:space="preserve">por la </w:t>
      </w:r>
      <w:r w:rsidR="00AF6C02">
        <w:rPr>
          <w:rFonts w:cs="Arial"/>
          <w:sz w:val="22"/>
          <w:szCs w:val="22"/>
          <w:lang w:val="es-CR"/>
        </w:rPr>
        <w:t>empresa c</w:t>
      </w:r>
      <w:r w:rsidR="00AF6C02" w:rsidRPr="000632BD">
        <w:rPr>
          <w:rFonts w:cs="Arial"/>
          <w:sz w:val="22"/>
          <w:szCs w:val="22"/>
          <w:lang w:val="es-CR"/>
        </w:rPr>
        <w:t xml:space="preserve">onstructora ante la </w:t>
      </w:r>
      <w:r w:rsidR="00AF6C02">
        <w:rPr>
          <w:rFonts w:cs="Arial"/>
          <w:sz w:val="22"/>
          <w:szCs w:val="22"/>
          <w:lang w:val="es-CR"/>
        </w:rPr>
        <w:t>e</w:t>
      </w:r>
      <w:r w:rsidR="00AF6C02" w:rsidRPr="000632BD">
        <w:rPr>
          <w:rFonts w:cs="Arial"/>
          <w:sz w:val="22"/>
          <w:szCs w:val="22"/>
          <w:lang w:val="es-CR"/>
        </w:rPr>
        <w:t xml:space="preserve">ntidad </w:t>
      </w:r>
      <w:r w:rsidR="00AF6C02">
        <w:rPr>
          <w:rFonts w:cs="Arial"/>
          <w:sz w:val="22"/>
          <w:szCs w:val="22"/>
          <w:lang w:val="es-CR"/>
        </w:rPr>
        <w:t>a</w:t>
      </w:r>
      <w:r w:rsidR="00AF6C02" w:rsidRPr="000632BD">
        <w:rPr>
          <w:rFonts w:cs="Arial"/>
          <w:sz w:val="22"/>
          <w:szCs w:val="22"/>
          <w:lang w:val="es-CR"/>
        </w:rPr>
        <w:t xml:space="preserve">utorizada y </w:t>
      </w:r>
      <w:r w:rsidR="00AF6C02">
        <w:rPr>
          <w:rFonts w:cs="Arial"/>
          <w:sz w:val="22"/>
          <w:szCs w:val="22"/>
          <w:lang w:val="es-CR"/>
        </w:rPr>
        <w:t xml:space="preserve">por </w:t>
      </w:r>
      <w:r w:rsidR="00AF6C02" w:rsidRPr="000632BD">
        <w:rPr>
          <w:rFonts w:cs="Arial"/>
          <w:sz w:val="22"/>
          <w:szCs w:val="22"/>
          <w:lang w:val="es-CR"/>
        </w:rPr>
        <w:t>ésta ante el BANHVI</w:t>
      </w:r>
      <w:r w:rsidR="00AF6C02" w:rsidRPr="000C41B3">
        <w:rPr>
          <w:rFonts w:cs="Arial"/>
          <w:sz w:val="22"/>
          <w:szCs w:val="22"/>
          <w:lang w:val="es-CR"/>
        </w:rPr>
        <w:t>.</w:t>
      </w:r>
      <w:r w:rsidR="00AF6C02">
        <w:rPr>
          <w:rFonts w:cs="Arial"/>
          <w:sz w:val="22"/>
          <w:szCs w:val="22"/>
          <w:lang w:val="es-CR"/>
        </w:rPr>
        <w:t xml:space="preserve">  Sobre esto último, </w:t>
      </w:r>
      <w:r w:rsidR="00BD283D">
        <w:rPr>
          <w:rFonts w:cs="Arial"/>
          <w:sz w:val="22"/>
          <w:szCs w:val="22"/>
          <w:lang w:val="es-CR"/>
        </w:rPr>
        <w:t xml:space="preserve">se analiza una información que brinda </w:t>
      </w:r>
      <w:r w:rsidR="00AF6C02">
        <w:rPr>
          <w:rFonts w:cs="Arial"/>
          <w:sz w:val="22"/>
          <w:szCs w:val="22"/>
          <w:lang w:val="es-CR"/>
        </w:rPr>
        <w:t>el señor Subgerente de Operaciones</w:t>
      </w:r>
      <w:r w:rsidR="00BD283D">
        <w:rPr>
          <w:rFonts w:cs="Arial"/>
          <w:sz w:val="22"/>
          <w:szCs w:val="22"/>
          <w:lang w:val="es-CR"/>
        </w:rPr>
        <w:t xml:space="preserve">, en cuanto a que </w:t>
      </w:r>
      <w:r w:rsidR="00AF6C02">
        <w:rPr>
          <w:rFonts w:cs="Arial"/>
          <w:sz w:val="22"/>
          <w:szCs w:val="22"/>
          <w:lang w:val="es-CR"/>
        </w:rPr>
        <w:t>tanto la Subgerencia de Operaciones como la Dirección FOSUVI, emiti</w:t>
      </w:r>
      <w:r w:rsidR="00BD283D">
        <w:rPr>
          <w:rFonts w:cs="Arial"/>
          <w:sz w:val="22"/>
          <w:szCs w:val="22"/>
          <w:lang w:val="es-CR"/>
        </w:rPr>
        <w:t xml:space="preserve">eron </w:t>
      </w:r>
      <w:r w:rsidR="00AF6C02">
        <w:rPr>
          <w:rFonts w:cs="Arial"/>
          <w:sz w:val="22"/>
          <w:szCs w:val="22"/>
          <w:lang w:val="es-CR"/>
        </w:rPr>
        <w:t>una respuesta sobre el referido criterio de la Asesoría Legal.</w:t>
      </w:r>
    </w:p>
    <w:p w14:paraId="13595774" w14:textId="77777777" w:rsidR="002F60B0" w:rsidRDefault="002F60B0" w:rsidP="00AF6C02">
      <w:pPr>
        <w:spacing w:line="360" w:lineRule="auto"/>
        <w:jc w:val="both"/>
        <w:rPr>
          <w:rFonts w:cs="Arial"/>
          <w:sz w:val="22"/>
          <w:szCs w:val="22"/>
          <w:lang w:val="es-CR"/>
        </w:rPr>
      </w:pPr>
    </w:p>
    <w:p w14:paraId="521D405E" w14:textId="21D2190F" w:rsidR="00BD283D" w:rsidRDefault="002F60B0" w:rsidP="00AF6C02">
      <w:pPr>
        <w:spacing w:line="360" w:lineRule="auto"/>
        <w:jc w:val="both"/>
        <w:rPr>
          <w:rFonts w:cs="Arial"/>
          <w:sz w:val="22"/>
          <w:szCs w:val="22"/>
          <w:lang w:val="es-CR"/>
        </w:rPr>
      </w:pPr>
      <w:r>
        <w:rPr>
          <w:rFonts w:cs="Arial"/>
          <w:sz w:val="22"/>
          <w:u w:val="single"/>
          <w:lang w:val="es-ES_tradnl"/>
        </w:rPr>
        <w:t>Minuto 1</w:t>
      </w:r>
      <w:r w:rsidR="00A761DD">
        <w:rPr>
          <w:rFonts w:cs="Arial"/>
          <w:sz w:val="22"/>
          <w:u w:val="single"/>
          <w:lang w:val="es-ES_tradnl"/>
        </w:rPr>
        <w:t>39</w:t>
      </w:r>
      <w:r w:rsidRPr="0039311E">
        <w:rPr>
          <w:rFonts w:cs="Arial"/>
          <w:sz w:val="22"/>
          <w:u w:val="single"/>
          <w:lang w:val="es-ES_tradnl"/>
        </w:rPr>
        <w:t>:</w:t>
      </w:r>
      <w:r w:rsidR="00A761DD">
        <w:rPr>
          <w:rFonts w:cs="Arial"/>
          <w:sz w:val="22"/>
          <w:u w:val="single"/>
          <w:lang w:val="es-ES_tradnl"/>
        </w:rPr>
        <w:t>00</w:t>
      </w:r>
      <w:r>
        <w:rPr>
          <w:rFonts w:cs="Arial"/>
          <w:sz w:val="22"/>
          <w:lang w:val="es-ES_tradnl"/>
        </w:rPr>
        <w:t xml:space="preserve"> </w:t>
      </w:r>
      <w:r w:rsidR="00A761DD">
        <w:rPr>
          <w:rFonts w:cs="Arial"/>
          <w:sz w:val="22"/>
          <w:lang w:val="es-ES_tradnl"/>
        </w:rPr>
        <w:t xml:space="preserve">Se resuelve posponer para un momento posterior la resolución de este asunto, </w:t>
      </w:r>
      <w:r w:rsidR="00A761DD">
        <w:rPr>
          <w:rFonts w:cs="Arial"/>
          <w:sz w:val="22"/>
          <w:szCs w:val="22"/>
        </w:rPr>
        <w:t xml:space="preserve">en sesión privada, con el fin de integrar lo expuesto por la </w:t>
      </w:r>
      <w:r w:rsidR="00A761DD" w:rsidRPr="00A761DD">
        <w:rPr>
          <w:rFonts w:cs="Arial"/>
          <w:sz w:val="22"/>
          <w:szCs w:val="22"/>
          <w:lang w:val="es-ES_tradnl"/>
        </w:rPr>
        <w:t>Administración</w:t>
      </w:r>
      <w:r w:rsidR="00A761DD">
        <w:rPr>
          <w:rFonts w:cs="Arial"/>
          <w:sz w:val="22"/>
          <w:szCs w:val="22"/>
          <w:lang w:val="es-ES_tradnl"/>
        </w:rPr>
        <w:t xml:space="preserve">, con lo </w:t>
      </w:r>
      <w:r w:rsidR="00A761DD">
        <w:rPr>
          <w:rFonts w:cs="Arial"/>
          <w:sz w:val="22"/>
          <w:szCs w:val="22"/>
        </w:rPr>
        <w:t xml:space="preserve">indicado por la Auditoría Interna en el informe confidencial que sobre este mismo proyecto de vivienda, fue entregado hoy </w:t>
      </w:r>
      <w:r w:rsidR="00DC35F2">
        <w:rPr>
          <w:rFonts w:cs="Arial"/>
          <w:sz w:val="22"/>
          <w:szCs w:val="22"/>
        </w:rPr>
        <w:t xml:space="preserve">a los miembros de esta </w:t>
      </w:r>
      <w:r w:rsidR="00DC35F2" w:rsidRPr="00DC35F2">
        <w:rPr>
          <w:rFonts w:cs="Arial"/>
          <w:sz w:val="22"/>
          <w:szCs w:val="22"/>
          <w:lang w:val="es-ES_tradnl"/>
        </w:rPr>
        <w:t>Junta Directiva</w:t>
      </w:r>
      <w:r w:rsidR="00A761DD">
        <w:rPr>
          <w:rFonts w:cs="Arial"/>
          <w:sz w:val="22"/>
          <w:szCs w:val="22"/>
        </w:rPr>
        <w:t>.</w:t>
      </w:r>
    </w:p>
    <w:p w14:paraId="08DB15A3" w14:textId="77777777" w:rsidR="009D03FE" w:rsidRPr="00D14EAF" w:rsidRDefault="009D03FE" w:rsidP="009D03FE">
      <w:pPr>
        <w:spacing w:line="360" w:lineRule="auto"/>
        <w:jc w:val="both"/>
        <w:rPr>
          <w:rFonts w:cs="Arial"/>
          <w:b/>
          <w:sz w:val="22"/>
        </w:rPr>
      </w:pPr>
      <w:r w:rsidRPr="00D14EAF">
        <w:rPr>
          <w:rFonts w:cs="Arial"/>
          <w:b/>
          <w:sz w:val="22"/>
        </w:rPr>
        <w:t>************</w:t>
      </w:r>
    </w:p>
    <w:p w14:paraId="57D9C73C" w14:textId="77777777" w:rsidR="00D13B6B" w:rsidRDefault="00D13B6B" w:rsidP="002D0146">
      <w:pPr>
        <w:spacing w:line="360" w:lineRule="auto"/>
        <w:jc w:val="both"/>
        <w:rPr>
          <w:rFonts w:cs="Arial"/>
          <w:b/>
          <w:bCs/>
          <w:sz w:val="22"/>
          <w:szCs w:val="22"/>
          <w:u w:val="single"/>
          <w:lang w:val="es-ES_tradnl"/>
        </w:rPr>
      </w:pPr>
    </w:p>
    <w:p w14:paraId="58BD2B67" w14:textId="760424CA"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716174" w:rsidRPr="00716174">
        <w:rPr>
          <w:rFonts w:cs="Arial"/>
          <w:b/>
          <w:bCs/>
          <w:sz w:val="22"/>
          <w:u w:val="single"/>
          <w:lang w:val="es-ES_tradnl"/>
        </w:rPr>
        <w:t>Informe técnico y legal sobre la solicitud del desarrollador del proyecto Villa Bonita, para reconocer gastos de mantenimiento de la planta de tratamiento</w:t>
      </w:r>
    </w:p>
    <w:p w14:paraId="6C36E9C1" w14:textId="77777777" w:rsidR="009D03FE" w:rsidRDefault="009D03FE" w:rsidP="009D03FE">
      <w:pPr>
        <w:spacing w:line="360" w:lineRule="auto"/>
        <w:jc w:val="both"/>
        <w:rPr>
          <w:rFonts w:cs="Arial"/>
          <w:sz w:val="22"/>
          <w:szCs w:val="22"/>
        </w:rPr>
      </w:pPr>
    </w:p>
    <w:p w14:paraId="4BA8C552" w14:textId="2E93C81B" w:rsidR="00AC4C83"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AC4C83">
        <w:rPr>
          <w:rFonts w:cs="Arial"/>
          <w:sz w:val="22"/>
          <w:u w:val="single"/>
          <w:lang w:val="es-ES_tradnl"/>
        </w:rPr>
        <w:t>157</w:t>
      </w:r>
      <w:r w:rsidRPr="0039311E">
        <w:rPr>
          <w:rFonts w:cs="Arial"/>
          <w:sz w:val="22"/>
          <w:u w:val="single"/>
          <w:lang w:val="es-ES_tradnl"/>
        </w:rPr>
        <w:t>:</w:t>
      </w:r>
      <w:r w:rsidR="00AC4C83">
        <w:rPr>
          <w:rFonts w:cs="Arial"/>
          <w:sz w:val="22"/>
          <w:u w:val="single"/>
          <w:lang w:val="es-ES_tradnl"/>
        </w:rPr>
        <w:t>19</w:t>
      </w:r>
      <w:r>
        <w:rPr>
          <w:rFonts w:cs="Arial"/>
          <w:sz w:val="22"/>
          <w:lang w:val="es-ES_tradnl"/>
        </w:rPr>
        <w:t xml:space="preserve"> Se conoce el oficio </w:t>
      </w:r>
      <w:r w:rsidR="00AC4C83">
        <w:rPr>
          <w:rFonts w:cs="Arial"/>
          <w:sz w:val="22"/>
          <w:szCs w:val="22"/>
          <w:lang w:val="es-CR"/>
        </w:rPr>
        <w:t xml:space="preserve">SO-ME-0021-2022 del 20 de enero de 2022, mediante el cual, la Subgerencia de Operaciones somete a la consideración de este Órgano Colegiado, el informe DF-DT-OF-0048-2022/AL-OF-014-2022, del Departamento Técnico de la Dirección FOSUVI y de la Asesoría Legal, que contiene el criterio sobre el </w:t>
      </w:r>
      <w:r w:rsidR="00AC4C83" w:rsidRPr="00822E64">
        <w:rPr>
          <w:rFonts w:cs="Arial"/>
          <w:sz w:val="22"/>
          <w:szCs w:val="22"/>
          <w:lang w:val="es-CR"/>
        </w:rPr>
        <w:t>recurso de reconsideraci</w:t>
      </w:r>
      <w:r w:rsidR="00AC4C83">
        <w:rPr>
          <w:rFonts w:cs="Arial"/>
          <w:sz w:val="22"/>
          <w:szCs w:val="22"/>
          <w:lang w:val="es-CR"/>
        </w:rPr>
        <w:t>ó</w:t>
      </w:r>
      <w:r w:rsidR="00AC4C83" w:rsidRPr="00822E64">
        <w:rPr>
          <w:rFonts w:cs="Arial"/>
          <w:sz w:val="22"/>
          <w:szCs w:val="22"/>
          <w:lang w:val="es-CR"/>
        </w:rPr>
        <w:t>n</w:t>
      </w:r>
      <w:r w:rsidR="00AC4C83">
        <w:rPr>
          <w:rFonts w:cs="Arial"/>
          <w:sz w:val="22"/>
          <w:szCs w:val="22"/>
          <w:lang w:val="es-CR"/>
        </w:rPr>
        <w:t xml:space="preserve"> presentado por </w:t>
      </w:r>
      <w:r w:rsidR="00AC4C83" w:rsidRPr="00822E64">
        <w:rPr>
          <w:rFonts w:cs="Arial"/>
          <w:sz w:val="22"/>
          <w:szCs w:val="22"/>
        </w:rPr>
        <w:t xml:space="preserve">la empresa </w:t>
      </w:r>
      <w:r w:rsidR="00AC4C83" w:rsidRPr="00822E64">
        <w:rPr>
          <w:rFonts w:cs="Arial"/>
          <w:sz w:val="22"/>
          <w:szCs w:val="22"/>
          <w:lang w:val="es-CR"/>
        </w:rPr>
        <w:t>Consultoría Mar Azul S.A.,</w:t>
      </w:r>
      <w:r w:rsidR="00AC4C83">
        <w:rPr>
          <w:rFonts w:cs="Arial"/>
          <w:sz w:val="22"/>
          <w:szCs w:val="22"/>
          <w:lang w:val="es-CR"/>
        </w:rPr>
        <w:t xml:space="preserve"> contra lo dispuesto </w:t>
      </w:r>
      <w:r w:rsidR="00AC4C83">
        <w:rPr>
          <w:rFonts w:cs="Arial"/>
          <w:sz w:val="22"/>
          <w:szCs w:val="22"/>
          <w:lang w:val="es-CR"/>
        </w:rPr>
        <w:lastRenderedPageBreak/>
        <w:t xml:space="preserve">en el </w:t>
      </w:r>
      <w:r w:rsidR="00AC4C83">
        <w:rPr>
          <w:rFonts w:cs="Arial"/>
          <w:sz w:val="22"/>
          <w:szCs w:val="22"/>
        </w:rPr>
        <w:t>acuerdo número 7 de la sesión 33-2018, del 09 de julio de 2018, referido con el rechazo de la solicitud para el reintegro</w:t>
      </w:r>
      <w:r w:rsidR="00AC4C83" w:rsidRPr="00822E64">
        <w:rPr>
          <w:rFonts w:cs="Arial"/>
          <w:sz w:val="22"/>
          <w:szCs w:val="22"/>
          <w:lang w:val="es-CR"/>
        </w:rPr>
        <w:t xml:space="preserve"> de costos para el proyecto habitacional Villa Bonita, </w:t>
      </w:r>
      <w:r w:rsidR="00AC4C83">
        <w:rPr>
          <w:rFonts w:cs="Arial"/>
          <w:sz w:val="22"/>
          <w:szCs w:val="22"/>
          <w:lang w:val="es-CR"/>
        </w:rPr>
        <w:t xml:space="preserve">en cuanto a </w:t>
      </w:r>
      <w:r w:rsidR="00AC4C83" w:rsidRPr="00822E64">
        <w:rPr>
          <w:rFonts w:cs="Arial"/>
          <w:sz w:val="22"/>
          <w:szCs w:val="22"/>
          <w:lang w:val="es-CR"/>
        </w:rPr>
        <w:t>los costos operativos de su planta de tratamiento de aguas residuales</w:t>
      </w:r>
      <w:r w:rsidR="00AC4C83">
        <w:rPr>
          <w:rFonts w:cs="Arial"/>
          <w:sz w:val="22"/>
          <w:szCs w:val="22"/>
          <w:lang w:val="es-CR"/>
        </w:rPr>
        <w:t>.  Dichos documentos se adjuntan al expediente del acta.</w:t>
      </w:r>
    </w:p>
    <w:p w14:paraId="76706F26" w14:textId="5264FF9D" w:rsidR="00AC4C83" w:rsidRDefault="00AC4C83" w:rsidP="009D03FE">
      <w:pPr>
        <w:spacing w:line="360" w:lineRule="auto"/>
        <w:jc w:val="both"/>
        <w:rPr>
          <w:rFonts w:cs="Arial"/>
          <w:sz w:val="22"/>
          <w:szCs w:val="22"/>
          <w:lang w:val="es-CR"/>
        </w:rPr>
      </w:pPr>
    </w:p>
    <w:p w14:paraId="31C414A0" w14:textId="77777777" w:rsidR="00442595" w:rsidRDefault="00AC4C83" w:rsidP="009D03FE">
      <w:pPr>
        <w:spacing w:line="360" w:lineRule="auto"/>
        <w:jc w:val="both"/>
        <w:rPr>
          <w:rFonts w:cs="Arial"/>
          <w:sz w:val="22"/>
          <w:szCs w:val="22"/>
          <w:lang w:val="es-CR"/>
        </w:rPr>
      </w:pPr>
      <w:r>
        <w:rPr>
          <w:rFonts w:cs="Arial"/>
          <w:sz w:val="22"/>
          <w:szCs w:val="22"/>
          <w:lang w:val="es-CR"/>
        </w:rPr>
        <w:t xml:space="preserve">La arquitecta Salas Rodríguez expone el contenido del citado </w:t>
      </w:r>
      <w:r w:rsidR="00442595">
        <w:rPr>
          <w:rFonts w:cs="Arial"/>
          <w:sz w:val="22"/>
          <w:szCs w:val="22"/>
          <w:lang w:val="es-CR"/>
        </w:rPr>
        <w:t>informe, concluyendo y recomendando, en lo conducente, lo siguiente:</w:t>
      </w:r>
    </w:p>
    <w:p w14:paraId="555A8642" w14:textId="77777777" w:rsidR="00442595" w:rsidRDefault="00442595" w:rsidP="00442595">
      <w:pPr>
        <w:jc w:val="both"/>
        <w:rPr>
          <w:rFonts w:cs="Arial"/>
          <w:sz w:val="22"/>
          <w:szCs w:val="22"/>
          <w:lang w:val="es-CR"/>
        </w:rPr>
      </w:pPr>
    </w:p>
    <w:p w14:paraId="0CDD6DFE" w14:textId="77777777" w:rsidR="00442595" w:rsidRPr="009A04B1" w:rsidRDefault="00442595" w:rsidP="00442595">
      <w:pPr>
        <w:jc w:val="both"/>
        <w:rPr>
          <w:rFonts w:cs="Arial"/>
          <w:b/>
          <w:bCs/>
          <w:sz w:val="22"/>
          <w:szCs w:val="22"/>
          <w:lang w:val="es-CR"/>
        </w:rPr>
      </w:pPr>
      <w:r>
        <w:rPr>
          <w:rFonts w:cs="Arial"/>
          <w:sz w:val="22"/>
          <w:szCs w:val="22"/>
          <w:lang w:val="es-CR"/>
        </w:rPr>
        <w:t xml:space="preserve">“(…) </w:t>
      </w:r>
      <w:r w:rsidRPr="009A04B1">
        <w:rPr>
          <w:rFonts w:cs="Arial"/>
          <w:b/>
          <w:bCs/>
          <w:sz w:val="22"/>
          <w:szCs w:val="22"/>
          <w:lang w:val="es-CR"/>
        </w:rPr>
        <w:t>Análisis histórico</w:t>
      </w:r>
    </w:p>
    <w:p w14:paraId="25D15ED9" w14:textId="77777777" w:rsidR="00442595" w:rsidRPr="009A04B1" w:rsidRDefault="00442595" w:rsidP="00442595">
      <w:pPr>
        <w:jc w:val="both"/>
        <w:rPr>
          <w:rFonts w:cs="Arial"/>
          <w:sz w:val="22"/>
          <w:szCs w:val="22"/>
          <w:lang w:val="es-CR"/>
        </w:rPr>
      </w:pPr>
    </w:p>
    <w:p w14:paraId="6C307FCC" w14:textId="77777777" w:rsidR="00442595" w:rsidRDefault="00442595" w:rsidP="00442595">
      <w:pPr>
        <w:jc w:val="both"/>
        <w:rPr>
          <w:rFonts w:cs="Arial"/>
          <w:sz w:val="22"/>
          <w:szCs w:val="22"/>
          <w:lang w:val="es-CR"/>
        </w:rPr>
      </w:pPr>
      <w:r w:rsidRPr="009A04B1">
        <w:rPr>
          <w:rFonts w:cs="Arial"/>
          <w:sz w:val="22"/>
          <w:szCs w:val="22"/>
          <w:lang w:val="es-CR"/>
        </w:rPr>
        <w:t>Tal y como se ha indicado en informes previos, el proyecto Villa Bonita, ubicado en el cantón de Siquirres, provincia de Limón fue desarrollado bajo dos modalidades de ejecución: una primera etapa como proyecto LTU (modalidad que existía en aquél entonces, y que consistía en la compra de lotes totalmente urbanizados y construcción de viviendas, hoy en día se le conoce como proyectos tipo S-002) y las restantes etapas como compra de vivienda existente (modalidad conocida como llave en mano).</w:t>
      </w:r>
    </w:p>
    <w:p w14:paraId="1BA3B491" w14:textId="77777777" w:rsidR="00442595" w:rsidRDefault="00442595" w:rsidP="00442595">
      <w:pPr>
        <w:jc w:val="both"/>
        <w:rPr>
          <w:rFonts w:cs="Arial"/>
          <w:sz w:val="22"/>
          <w:szCs w:val="22"/>
          <w:lang w:val="es-CR"/>
        </w:rPr>
      </w:pPr>
    </w:p>
    <w:p w14:paraId="7252D11A" w14:textId="77777777" w:rsidR="00442595" w:rsidRPr="009A04B1" w:rsidRDefault="00442595" w:rsidP="00442595">
      <w:pPr>
        <w:jc w:val="both"/>
        <w:rPr>
          <w:rFonts w:cs="Arial"/>
          <w:sz w:val="22"/>
          <w:szCs w:val="22"/>
          <w:lang w:val="es-CR"/>
        </w:rPr>
      </w:pPr>
      <w:r>
        <w:rPr>
          <w:rFonts w:cs="Arial"/>
          <w:sz w:val="22"/>
          <w:szCs w:val="22"/>
          <w:lang w:val="es-CR"/>
        </w:rPr>
        <w:t>(…)</w:t>
      </w:r>
    </w:p>
    <w:p w14:paraId="6E2CB5A6" w14:textId="77777777" w:rsidR="00442595" w:rsidRPr="009A04B1" w:rsidRDefault="00442595" w:rsidP="00442595">
      <w:pPr>
        <w:jc w:val="both"/>
        <w:rPr>
          <w:rFonts w:cs="Arial"/>
          <w:sz w:val="22"/>
          <w:szCs w:val="22"/>
          <w:lang w:val="es-CR"/>
        </w:rPr>
      </w:pPr>
    </w:p>
    <w:p w14:paraId="44418E07" w14:textId="77777777" w:rsidR="00442595" w:rsidRPr="009A04B1" w:rsidRDefault="00442595" w:rsidP="00442595">
      <w:pPr>
        <w:jc w:val="both"/>
        <w:rPr>
          <w:rFonts w:cs="Arial"/>
          <w:sz w:val="22"/>
          <w:szCs w:val="22"/>
          <w:lang w:val="es-CR"/>
        </w:rPr>
      </w:pPr>
      <w:r w:rsidRPr="009A04B1">
        <w:rPr>
          <w:rFonts w:cs="Arial"/>
          <w:sz w:val="22"/>
          <w:szCs w:val="22"/>
          <w:lang w:val="es-CR"/>
        </w:rPr>
        <w:t>Como bien lo indicó la ingeniera Castro Morales en su informe del año 2016 cuando analizó la pretensión del desarrollador para que le reconocieran el importe que ha denominado “gastos adicionales” por concepto de la PTAR, que las modalidades de financiamiento mediante las cuales se tramitó el proyecto Villa Bonita tienen un común un aspecto relevante que debe ser recalcado nuevamente: en ambas modalidades lo que el banco financió fue la compra de un inmueble que estaba totalmente urbanizado (en el caso de la etapa bajo la modalidad de LTU se compraron lotes y se financió la construcción de las casas; y en el caso de las etapas conocidas como llave en mano, lo que se financió fue la compra de las casas ya totalmente terminadas, lo que lógicamente incluye el terreno con los servicios asociados a este).</w:t>
      </w:r>
    </w:p>
    <w:p w14:paraId="21F26B9A" w14:textId="77777777" w:rsidR="00442595" w:rsidRPr="009A04B1" w:rsidRDefault="00442595" w:rsidP="00442595">
      <w:pPr>
        <w:jc w:val="both"/>
        <w:rPr>
          <w:rFonts w:cs="Arial"/>
          <w:sz w:val="22"/>
          <w:szCs w:val="22"/>
          <w:lang w:val="es-CR"/>
        </w:rPr>
      </w:pPr>
    </w:p>
    <w:p w14:paraId="6C16AA3D" w14:textId="77777777" w:rsidR="00442595" w:rsidRPr="009A04B1" w:rsidRDefault="00442595" w:rsidP="00442595">
      <w:pPr>
        <w:jc w:val="both"/>
        <w:rPr>
          <w:rFonts w:cs="Arial"/>
          <w:sz w:val="22"/>
          <w:szCs w:val="22"/>
          <w:lang w:val="es-CR"/>
        </w:rPr>
      </w:pPr>
      <w:r w:rsidRPr="009A04B1">
        <w:rPr>
          <w:rFonts w:cs="Arial"/>
          <w:sz w:val="22"/>
          <w:szCs w:val="22"/>
          <w:lang w:val="es-CR"/>
        </w:rPr>
        <w:t>Como en cualquier otra urbanización en donde se compren lotes en el precio pagado por el inmueble va implícito la obra de infraestructura que habilita los lotes conforme con el reglamento urbano vigente al momento que se aprobaron y construyeron, es decir, pavimentos, aceras, cordón y caño, áreas públicas, el acueducto, red de energía eléctrica, alcantarillado pluvial y alcantarillado sanitario, entre otros.</w:t>
      </w:r>
    </w:p>
    <w:p w14:paraId="3C8DE850" w14:textId="77777777" w:rsidR="00442595" w:rsidRPr="009A04B1" w:rsidRDefault="00442595" w:rsidP="00442595">
      <w:pPr>
        <w:jc w:val="both"/>
        <w:rPr>
          <w:rFonts w:cs="Arial"/>
          <w:sz w:val="22"/>
          <w:szCs w:val="22"/>
          <w:lang w:val="es-CR"/>
        </w:rPr>
      </w:pPr>
    </w:p>
    <w:p w14:paraId="2B160C2C" w14:textId="77777777" w:rsidR="00442595" w:rsidRPr="009A04B1" w:rsidRDefault="00442595" w:rsidP="00442595">
      <w:pPr>
        <w:jc w:val="both"/>
        <w:rPr>
          <w:rFonts w:cs="Arial"/>
          <w:sz w:val="22"/>
          <w:szCs w:val="22"/>
          <w:lang w:val="es-CR"/>
        </w:rPr>
      </w:pPr>
      <w:r w:rsidRPr="009A04B1">
        <w:rPr>
          <w:rFonts w:cs="Arial"/>
          <w:sz w:val="22"/>
          <w:szCs w:val="22"/>
          <w:lang w:val="es-CR"/>
        </w:rPr>
        <w:t>El diseño y con ello, el cumplimiento de los requisitos legales y técnicos es responsabilidad de la empresa desarrolladora la cual tiene amplia experiencia en el desarrollo de proyectos y no podría alegar desconocerlos pues también están publicados en los distintos sitios.</w:t>
      </w:r>
    </w:p>
    <w:p w14:paraId="07DDB5ED" w14:textId="77777777" w:rsidR="00442595" w:rsidRPr="009A04B1" w:rsidRDefault="00442595" w:rsidP="00442595">
      <w:pPr>
        <w:jc w:val="both"/>
        <w:rPr>
          <w:rFonts w:cs="Arial"/>
          <w:sz w:val="22"/>
          <w:szCs w:val="22"/>
          <w:lang w:val="es-CR"/>
        </w:rPr>
      </w:pPr>
    </w:p>
    <w:p w14:paraId="5F98F294" w14:textId="77777777" w:rsidR="00442595" w:rsidRPr="009A04B1" w:rsidRDefault="00442595" w:rsidP="00442595">
      <w:pPr>
        <w:jc w:val="both"/>
        <w:rPr>
          <w:rFonts w:cs="Arial"/>
          <w:sz w:val="22"/>
          <w:szCs w:val="22"/>
          <w:lang w:val="es-CR"/>
        </w:rPr>
      </w:pPr>
      <w:r w:rsidRPr="009A04B1">
        <w:rPr>
          <w:rFonts w:cs="Arial"/>
          <w:sz w:val="22"/>
          <w:szCs w:val="22"/>
          <w:lang w:val="es-CR"/>
        </w:rPr>
        <w:t>Es de todos conocido que el visado municipal para segregación de los lotes se otorga cuando un proyecto urbanístico ha cumplido con todos los requisitos con que se aprobó.</w:t>
      </w:r>
    </w:p>
    <w:p w14:paraId="099EFB6D" w14:textId="77777777" w:rsidR="00442595" w:rsidRPr="009A04B1" w:rsidRDefault="00442595" w:rsidP="00442595">
      <w:pPr>
        <w:jc w:val="both"/>
        <w:rPr>
          <w:rFonts w:cs="Arial"/>
          <w:sz w:val="22"/>
          <w:szCs w:val="22"/>
          <w:lang w:val="es-CR"/>
        </w:rPr>
      </w:pPr>
    </w:p>
    <w:p w14:paraId="3320280A" w14:textId="77777777" w:rsidR="00442595" w:rsidRPr="009A04B1" w:rsidRDefault="00442595" w:rsidP="00442595">
      <w:pPr>
        <w:jc w:val="both"/>
        <w:rPr>
          <w:rFonts w:cs="Arial"/>
          <w:sz w:val="22"/>
          <w:szCs w:val="22"/>
          <w:lang w:val="es-CR"/>
        </w:rPr>
      </w:pPr>
      <w:r w:rsidRPr="009A04B1">
        <w:rPr>
          <w:rFonts w:cs="Arial"/>
          <w:sz w:val="22"/>
          <w:szCs w:val="22"/>
          <w:lang w:val="es-CR"/>
        </w:rPr>
        <w:t xml:space="preserve">Para el caso del proyecto Villa Bonita, por las condiciones técnicas presentes en la finca y en la zona, la urbanización se tuvo que construir con una PTAR. Pero debe quedar claro que, el BANHVI nunca financió un proyecto de construcción de infraestructura urbanística, sino, que compró lotes (o casas en lotes) totalmente urbanizados, razón por la cual, no </w:t>
      </w:r>
      <w:r w:rsidRPr="009A04B1">
        <w:rPr>
          <w:rFonts w:cs="Arial"/>
          <w:sz w:val="22"/>
          <w:szCs w:val="22"/>
          <w:lang w:val="es-CR"/>
        </w:rPr>
        <w:lastRenderedPageBreak/>
        <w:t>puede asumir costos de mantenimiento ni gastos adicionales por una obra que no financió su construcción ni desarrollo.</w:t>
      </w:r>
    </w:p>
    <w:p w14:paraId="73ACDE3F" w14:textId="77777777" w:rsidR="00442595" w:rsidRPr="009A04B1" w:rsidRDefault="00442595" w:rsidP="00442595">
      <w:pPr>
        <w:jc w:val="both"/>
        <w:rPr>
          <w:rFonts w:cs="Arial"/>
          <w:sz w:val="22"/>
          <w:szCs w:val="22"/>
          <w:lang w:val="es-CR"/>
        </w:rPr>
      </w:pPr>
    </w:p>
    <w:p w14:paraId="49D71631" w14:textId="77777777" w:rsidR="00442595" w:rsidRPr="009A04B1" w:rsidRDefault="00442595" w:rsidP="00442595">
      <w:pPr>
        <w:jc w:val="both"/>
        <w:rPr>
          <w:rFonts w:cs="Arial"/>
          <w:sz w:val="22"/>
          <w:szCs w:val="22"/>
          <w:lang w:val="es-CR"/>
        </w:rPr>
      </w:pPr>
      <w:r w:rsidRPr="009A04B1">
        <w:rPr>
          <w:rFonts w:cs="Arial"/>
          <w:sz w:val="22"/>
          <w:szCs w:val="22"/>
          <w:lang w:val="es-CR"/>
        </w:rPr>
        <w:t>Inclusive a modo de ejemplo, planteando la situación hipotética de que la PTAR no opere correctamente, podría ser entonces que el BANHVI resulte afectado en caso de que se suscite una situación sanitaria que termine afectando a las familias. Ello por cuanto el producto que se financió y por el que pagó, no estaría cumpliendo con las condiciones ofrecidas: la de ser lotes totalmente urbanizados, lo que implica que, todos los servicios e infraestructura están en condiciones operativas. De ser así, el BANHVI más bien debería analizar la situación y determinar si cabe la posibilidad de emprender acciones legales contra el vendedor de los inmuebles por no entregar las obras terminadas y en operación acorde con la normativa vigente, la que se recalca, era de conocimiento del desarrollador desde que comenzó el proceso de construcción del proyecto.</w:t>
      </w:r>
    </w:p>
    <w:p w14:paraId="5B7B20A7" w14:textId="77777777" w:rsidR="00442595" w:rsidRPr="009A04B1" w:rsidRDefault="00442595" w:rsidP="00442595">
      <w:pPr>
        <w:jc w:val="both"/>
        <w:rPr>
          <w:rFonts w:cs="Arial"/>
          <w:sz w:val="22"/>
          <w:szCs w:val="22"/>
          <w:lang w:val="es-CR"/>
        </w:rPr>
      </w:pPr>
    </w:p>
    <w:p w14:paraId="1DA0921E" w14:textId="77777777" w:rsidR="00442595" w:rsidRPr="009A04B1" w:rsidRDefault="00442595" w:rsidP="00442595">
      <w:pPr>
        <w:jc w:val="both"/>
        <w:rPr>
          <w:rFonts w:cs="Arial"/>
          <w:sz w:val="22"/>
          <w:szCs w:val="22"/>
          <w:lang w:val="es-CR"/>
        </w:rPr>
      </w:pPr>
      <w:r w:rsidRPr="009A04B1">
        <w:rPr>
          <w:rFonts w:cs="Arial"/>
          <w:sz w:val="22"/>
          <w:szCs w:val="22"/>
          <w:lang w:val="es-CR"/>
        </w:rPr>
        <w:t>Si el desarrollador se siente afectado por el actuar de otro entre del Estado, pues debería ser a dicho ente al que debe reclamar los perjuicios y no al BANHVI a quien no le compete acción alguna con respecto a la PTAR y más bien, podría resultar afectado.</w:t>
      </w:r>
    </w:p>
    <w:p w14:paraId="34124E82" w14:textId="77777777" w:rsidR="00442595" w:rsidRPr="009A04B1" w:rsidRDefault="00442595" w:rsidP="00442595">
      <w:pPr>
        <w:jc w:val="both"/>
        <w:rPr>
          <w:rFonts w:cs="Arial"/>
          <w:sz w:val="22"/>
          <w:szCs w:val="22"/>
          <w:lang w:val="es-CR"/>
        </w:rPr>
      </w:pPr>
    </w:p>
    <w:p w14:paraId="3D5AA140" w14:textId="77777777" w:rsidR="00442595" w:rsidRPr="009A04B1" w:rsidRDefault="00442595" w:rsidP="00442595">
      <w:pPr>
        <w:jc w:val="both"/>
        <w:rPr>
          <w:rFonts w:cs="Arial"/>
          <w:b/>
          <w:bCs/>
          <w:sz w:val="22"/>
          <w:szCs w:val="22"/>
          <w:lang w:val="es-CR"/>
        </w:rPr>
      </w:pPr>
      <w:r w:rsidRPr="009A04B1">
        <w:rPr>
          <w:rFonts w:cs="Arial"/>
          <w:b/>
          <w:bCs/>
          <w:sz w:val="22"/>
          <w:szCs w:val="22"/>
          <w:lang w:val="es-CR"/>
        </w:rPr>
        <w:t>Consultas específicas</w:t>
      </w:r>
    </w:p>
    <w:p w14:paraId="58E8EDCA" w14:textId="77777777" w:rsidR="00442595" w:rsidRPr="009A04B1" w:rsidRDefault="00442595" w:rsidP="00442595">
      <w:pPr>
        <w:jc w:val="both"/>
        <w:rPr>
          <w:rFonts w:cs="Arial"/>
          <w:b/>
          <w:bCs/>
          <w:sz w:val="22"/>
          <w:szCs w:val="22"/>
          <w:lang w:val="es-CR"/>
        </w:rPr>
      </w:pPr>
    </w:p>
    <w:p w14:paraId="7AF73A8B" w14:textId="77777777" w:rsidR="00442595" w:rsidRPr="009A04B1" w:rsidRDefault="00442595" w:rsidP="00442595">
      <w:pPr>
        <w:jc w:val="both"/>
        <w:rPr>
          <w:rFonts w:cs="Arial"/>
          <w:sz w:val="22"/>
          <w:szCs w:val="22"/>
          <w:lang w:val="es-CR"/>
        </w:rPr>
      </w:pPr>
      <w:r w:rsidRPr="009A04B1">
        <w:rPr>
          <w:rFonts w:cs="Arial"/>
          <w:sz w:val="22"/>
          <w:szCs w:val="22"/>
          <w:lang w:val="es-CR"/>
        </w:rPr>
        <w:t>En cuanto a las consultas específicas de esa Subgerencia de Operaciones a continuación se hace referencia a ellas:</w:t>
      </w:r>
    </w:p>
    <w:p w14:paraId="798DD05E" w14:textId="77777777" w:rsidR="00442595" w:rsidRPr="009A04B1" w:rsidRDefault="00442595" w:rsidP="00442595">
      <w:pPr>
        <w:jc w:val="both"/>
        <w:rPr>
          <w:rFonts w:cs="Arial"/>
          <w:b/>
          <w:bCs/>
          <w:sz w:val="22"/>
          <w:szCs w:val="22"/>
          <w:lang w:val="es-CR"/>
        </w:rPr>
      </w:pPr>
    </w:p>
    <w:p w14:paraId="507F9950" w14:textId="77777777" w:rsidR="00442595" w:rsidRPr="009A04B1" w:rsidRDefault="00442595" w:rsidP="00442595">
      <w:pPr>
        <w:numPr>
          <w:ilvl w:val="0"/>
          <w:numId w:val="19"/>
        </w:numPr>
        <w:ind w:left="426" w:hanging="426"/>
        <w:jc w:val="both"/>
        <w:rPr>
          <w:rFonts w:cs="Arial"/>
          <w:b/>
          <w:bCs/>
          <w:i/>
          <w:iCs/>
          <w:sz w:val="22"/>
          <w:szCs w:val="22"/>
          <w:lang w:val="es-CR"/>
        </w:rPr>
      </w:pPr>
      <w:r w:rsidRPr="009A04B1">
        <w:rPr>
          <w:rFonts w:cs="Arial"/>
          <w:b/>
          <w:bCs/>
          <w:i/>
          <w:iCs/>
          <w:sz w:val="22"/>
          <w:szCs w:val="22"/>
          <w:lang w:val="es-CR"/>
        </w:rPr>
        <w:t>Aclaración de la fecha de los oficios</w:t>
      </w:r>
    </w:p>
    <w:p w14:paraId="4A2972F2" w14:textId="77777777" w:rsidR="00442595" w:rsidRDefault="00442595" w:rsidP="00442595">
      <w:pPr>
        <w:ind w:left="426"/>
        <w:jc w:val="both"/>
        <w:rPr>
          <w:rFonts w:cs="Arial"/>
          <w:sz w:val="22"/>
          <w:szCs w:val="22"/>
          <w:lang w:val="es-CR"/>
        </w:rPr>
      </w:pPr>
    </w:p>
    <w:p w14:paraId="332B826F" w14:textId="77777777" w:rsidR="00442595" w:rsidRPr="009A04B1" w:rsidRDefault="00442595" w:rsidP="00442595">
      <w:pPr>
        <w:ind w:left="426"/>
        <w:jc w:val="both"/>
        <w:rPr>
          <w:rFonts w:cs="Arial"/>
          <w:sz w:val="22"/>
          <w:szCs w:val="22"/>
          <w:lang w:val="es-CR"/>
        </w:rPr>
      </w:pPr>
      <w:r w:rsidRPr="009A04B1">
        <w:rPr>
          <w:rFonts w:cs="Arial"/>
          <w:sz w:val="22"/>
          <w:szCs w:val="22"/>
          <w:lang w:val="es-CR"/>
        </w:rPr>
        <w:t>La confusión de fechas en los informes técnicos DF-UT-IN-0215-2009 y DF-UT-IN-0275-2009 en donde en el primero se hace referencia al segundo, siendo que el primero tiene indicada una fecha anterior a la indicada en el segundo informe definitivamente obedece a un error material.</w:t>
      </w:r>
    </w:p>
    <w:p w14:paraId="2737B1F8" w14:textId="77777777" w:rsidR="00442595" w:rsidRPr="009A04B1" w:rsidRDefault="00442595" w:rsidP="00442595">
      <w:pPr>
        <w:ind w:left="426"/>
        <w:jc w:val="both"/>
        <w:rPr>
          <w:rFonts w:cs="Arial"/>
          <w:sz w:val="22"/>
          <w:szCs w:val="22"/>
          <w:lang w:val="es-CR"/>
        </w:rPr>
      </w:pPr>
    </w:p>
    <w:p w14:paraId="1EB3422D" w14:textId="77777777" w:rsidR="00442595" w:rsidRPr="009A04B1" w:rsidRDefault="00442595" w:rsidP="00442595">
      <w:pPr>
        <w:ind w:left="426"/>
        <w:jc w:val="both"/>
        <w:rPr>
          <w:rFonts w:cs="Arial"/>
          <w:sz w:val="22"/>
          <w:szCs w:val="22"/>
          <w:lang w:val="es-CR"/>
        </w:rPr>
      </w:pPr>
      <w:r w:rsidRPr="009A04B1">
        <w:rPr>
          <w:rFonts w:cs="Arial"/>
          <w:sz w:val="22"/>
          <w:szCs w:val="22"/>
          <w:lang w:val="es-CR"/>
        </w:rPr>
        <w:t xml:space="preserve">Se presume que el primer informe estaba listo (con número de consecutivo registrado) y se pidió complementar con la información sobre el análisis de la razonabilidad del valor de los lotes que, es a lo que se hace referencia en el segundo informe, motivo por el cual, el segundo informe tiene un número posterior de consecutivo. </w:t>
      </w:r>
    </w:p>
    <w:p w14:paraId="5DFE6BF9" w14:textId="77777777" w:rsidR="00442595" w:rsidRPr="009A04B1" w:rsidRDefault="00442595" w:rsidP="00442595">
      <w:pPr>
        <w:ind w:left="426"/>
        <w:jc w:val="both"/>
        <w:rPr>
          <w:rFonts w:cs="Arial"/>
          <w:sz w:val="22"/>
          <w:szCs w:val="22"/>
          <w:lang w:val="es-CR"/>
        </w:rPr>
      </w:pPr>
    </w:p>
    <w:p w14:paraId="04810F12" w14:textId="77777777" w:rsidR="00442595" w:rsidRPr="009A04B1" w:rsidRDefault="00442595" w:rsidP="00442595">
      <w:pPr>
        <w:ind w:left="426"/>
        <w:jc w:val="both"/>
        <w:rPr>
          <w:rFonts w:cs="Arial"/>
          <w:sz w:val="22"/>
          <w:szCs w:val="22"/>
          <w:lang w:val="es-CR"/>
        </w:rPr>
      </w:pPr>
      <w:r w:rsidRPr="009A04B1">
        <w:rPr>
          <w:rFonts w:cs="Arial"/>
          <w:sz w:val="22"/>
          <w:szCs w:val="22"/>
          <w:lang w:val="es-CR"/>
        </w:rPr>
        <w:t>En cuanto a las fechas, se presume también que, fue un error involuntario que, al estar el informe 215 elaborado ya tenía indicada la fecha y no se tuvo el cuidado de actualizar la fecha al día en que fue entregado, sino que se mantuvo en tanto que se elaboró el informe 275 con la fecha correspondiente, pero ambos se entregaron simultáneamente.</w:t>
      </w:r>
    </w:p>
    <w:p w14:paraId="662BD052" w14:textId="77777777" w:rsidR="00442595" w:rsidRPr="009A04B1" w:rsidRDefault="00442595" w:rsidP="00442595">
      <w:pPr>
        <w:ind w:left="426"/>
        <w:jc w:val="both"/>
        <w:rPr>
          <w:rFonts w:cs="Arial"/>
          <w:sz w:val="22"/>
          <w:szCs w:val="22"/>
          <w:lang w:val="es-CR"/>
        </w:rPr>
      </w:pPr>
    </w:p>
    <w:p w14:paraId="39E3CF21" w14:textId="77777777" w:rsidR="00442595" w:rsidRPr="009A04B1" w:rsidRDefault="00442595" w:rsidP="00442595">
      <w:pPr>
        <w:ind w:left="426"/>
        <w:jc w:val="both"/>
        <w:rPr>
          <w:rFonts w:cs="Arial"/>
          <w:sz w:val="22"/>
          <w:szCs w:val="22"/>
          <w:lang w:val="es-CR"/>
        </w:rPr>
      </w:pPr>
      <w:r w:rsidRPr="009A04B1">
        <w:rPr>
          <w:rFonts w:cs="Arial"/>
          <w:sz w:val="22"/>
          <w:szCs w:val="22"/>
          <w:lang w:val="es-CR"/>
        </w:rPr>
        <w:t>La presunción se sustenta al verificar las propiedades de los dos archivos. El archivo que contiene el informe DF-UT-IN-0215-2009 en las propiedades se puede ver que la última modificación fue el 21-de julio de 2009 a las 17:03 horas, por su parte, el informe DF-UT-IN-0275-2009, la última modificación fue ese mismo día, pero a las 15:53 horas. O sea, el informe 275 se elaboró y luego se actualizó el informe 215. Se adjuntan imágenes de las propiedades de ambos archivos.</w:t>
      </w:r>
    </w:p>
    <w:p w14:paraId="738DE9B2" w14:textId="77777777" w:rsidR="00442595" w:rsidRPr="009A04B1" w:rsidRDefault="00442595" w:rsidP="00442595">
      <w:pPr>
        <w:ind w:left="426"/>
        <w:jc w:val="both"/>
        <w:rPr>
          <w:rFonts w:cs="Arial"/>
          <w:b/>
          <w:bCs/>
          <w:sz w:val="22"/>
          <w:szCs w:val="22"/>
          <w:lang w:val="es-CR"/>
        </w:rPr>
      </w:pPr>
    </w:p>
    <w:p w14:paraId="264B4129" w14:textId="77777777" w:rsidR="00442595" w:rsidRPr="009A04B1" w:rsidRDefault="00442595" w:rsidP="00442595">
      <w:pPr>
        <w:numPr>
          <w:ilvl w:val="0"/>
          <w:numId w:val="19"/>
        </w:numPr>
        <w:ind w:left="426" w:hanging="426"/>
        <w:jc w:val="both"/>
        <w:rPr>
          <w:rFonts w:cs="Arial"/>
          <w:b/>
          <w:bCs/>
          <w:i/>
          <w:iCs/>
          <w:sz w:val="22"/>
          <w:szCs w:val="22"/>
          <w:lang w:val="es-CR"/>
        </w:rPr>
      </w:pPr>
      <w:r w:rsidRPr="009A04B1">
        <w:rPr>
          <w:rFonts w:cs="Arial"/>
          <w:b/>
          <w:bCs/>
          <w:i/>
          <w:iCs/>
          <w:sz w:val="22"/>
          <w:szCs w:val="22"/>
          <w:lang w:val="es-CR"/>
        </w:rPr>
        <w:t>El precio menor del lote</w:t>
      </w:r>
    </w:p>
    <w:p w14:paraId="300F8029" w14:textId="77777777" w:rsidR="00442595" w:rsidRDefault="00442595" w:rsidP="00442595">
      <w:pPr>
        <w:ind w:left="426"/>
        <w:jc w:val="both"/>
        <w:rPr>
          <w:rFonts w:cs="Arial"/>
          <w:sz w:val="22"/>
          <w:szCs w:val="22"/>
          <w:lang w:val="es-CR"/>
        </w:rPr>
      </w:pPr>
    </w:p>
    <w:p w14:paraId="5DB47C8F" w14:textId="77777777" w:rsidR="00442595" w:rsidRPr="009A04B1" w:rsidRDefault="00442595" w:rsidP="00442595">
      <w:pPr>
        <w:ind w:left="426"/>
        <w:jc w:val="both"/>
        <w:rPr>
          <w:rFonts w:cs="Arial"/>
          <w:sz w:val="22"/>
          <w:szCs w:val="22"/>
          <w:lang w:val="es-CR"/>
        </w:rPr>
      </w:pPr>
      <w:r w:rsidRPr="009A04B1">
        <w:rPr>
          <w:rFonts w:cs="Arial"/>
          <w:sz w:val="22"/>
          <w:szCs w:val="22"/>
          <w:lang w:val="es-CR"/>
        </w:rPr>
        <w:lastRenderedPageBreak/>
        <w:t xml:space="preserve">Sobre el precio menor del lote pagado con respecto al indicado en el análisis de razonabilidad de la ingeniera Castro Morales se debe aclarar cual </w:t>
      </w:r>
      <w:r>
        <w:rPr>
          <w:rFonts w:cs="Arial"/>
          <w:sz w:val="22"/>
          <w:szCs w:val="22"/>
          <w:lang w:val="es-CR"/>
        </w:rPr>
        <w:t xml:space="preserve">(sic) </w:t>
      </w:r>
      <w:r w:rsidRPr="009A04B1">
        <w:rPr>
          <w:rFonts w:cs="Arial"/>
          <w:sz w:val="22"/>
          <w:szCs w:val="22"/>
          <w:lang w:val="es-CR"/>
        </w:rPr>
        <w:t>es la práctica que se aplica en esos análisis por el departamento técnico.</w:t>
      </w:r>
    </w:p>
    <w:p w14:paraId="701B67B7" w14:textId="77777777" w:rsidR="00442595" w:rsidRPr="009A04B1" w:rsidRDefault="00442595" w:rsidP="00442595">
      <w:pPr>
        <w:ind w:left="426"/>
        <w:jc w:val="both"/>
        <w:rPr>
          <w:rFonts w:cs="Arial"/>
          <w:sz w:val="22"/>
          <w:szCs w:val="22"/>
          <w:lang w:val="es-CR"/>
        </w:rPr>
      </w:pPr>
    </w:p>
    <w:p w14:paraId="6666DBA7" w14:textId="77777777" w:rsidR="00442595" w:rsidRPr="009A04B1" w:rsidRDefault="00442595" w:rsidP="00442595">
      <w:pPr>
        <w:ind w:left="426"/>
        <w:jc w:val="both"/>
        <w:rPr>
          <w:rFonts w:cs="Arial"/>
          <w:sz w:val="22"/>
          <w:szCs w:val="22"/>
          <w:lang w:val="es-CR"/>
        </w:rPr>
      </w:pPr>
      <w:r w:rsidRPr="009A04B1">
        <w:rPr>
          <w:rFonts w:cs="Arial"/>
          <w:sz w:val="22"/>
          <w:szCs w:val="22"/>
          <w:lang w:val="es-CR"/>
        </w:rPr>
        <w:t xml:space="preserve">En todo proyecto, sea que se deba valorar una finca para desarrollo de infraestructura, o en este caso, una </w:t>
      </w:r>
      <w:r>
        <w:rPr>
          <w:rFonts w:cs="Arial"/>
          <w:sz w:val="22"/>
          <w:szCs w:val="22"/>
          <w:lang w:val="es-CR"/>
        </w:rPr>
        <w:t xml:space="preserve">(sic) </w:t>
      </w:r>
      <w:r w:rsidRPr="009A04B1">
        <w:rPr>
          <w:rFonts w:cs="Arial"/>
          <w:sz w:val="22"/>
          <w:szCs w:val="22"/>
          <w:lang w:val="es-CR"/>
        </w:rPr>
        <w:t>grupo de inmuebles (lotes en el caso de la etapa tramitada como LTU o de casas construidas, como es el caso de las etapas tramitadas como llave en mano), se tiene tres datos o referencias de valor de los inmuebles a saber: el monto pretendido por el desarrollador (monto consignado en la oferta de venta de cada inmuebles), el valor dado por el fiscal de la entidad autorizada en su informe de avalúo y por último, el análisis de razonabilidad de valor que realiza el departamento técnico del BANHVI, para cada uno de los inmuebles que se analiza financiar.</w:t>
      </w:r>
    </w:p>
    <w:p w14:paraId="13057F65" w14:textId="77777777" w:rsidR="00442595" w:rsidRPr="009A04B1" w:rsidRDefault="00442595" w:rsidP="00442595">
      <w:pPr>
        <w:ind w:left="426"/>
        <w:jc w:val="both"/>
        <w:rPr>
          <w:rFonts w:cs="Arial"/>
          <w:sz w:val="22"/>
          <w:szCs w:val="22"/>
          <w:lang w:val="es-CR"/>
        </w:rPr>
      </w:pPr>
    </w:p>
    <w:p w14:paraId="54F5047B" w14:textId="77777777" w:rsidR="00442595" w:rsidRPr="009A04B1" w:rsidRDefault="00442595" w:rsidP="00442595">
      <w:pPr>
        <w:ind w:left="426"/>
        <w:jc w:val="both"/>
        <w:rPr>
          <w:rFonts w:cs="Arial"/>
          <w:sz w:val="22"/>
          <w:szCs w:val="22"/>
          <w:lang w:val="es-CR"/>
        </w:rPr>
      </w:pPr>
      <w:r w:rsidRPr="009A04B1">
        <w:rPr>
          <w:rFonts w:cs="Arial"/>
          <w:sz w:val="22"/>
          <w:szCs w:val="22"/>
          <w:lang w:val="es-CR"/>
        </w:rPr>
        <w:t xml:space="preserve">Posteriormente se hace una revisión de los datos antes indicados (en el caso de los LTU y llave en mano) para cada uno de los inmuebles, donde se va a seleccionar el menor entre lo indicado en la opción de venta, el informe de avalúo del profesional de la entidad autorizada y el valor de razonabilidad dictaminado por el </w:t>
      </w:r>
      <w:r>
        <w:rPr>
          <w:rFonts w:cs="Arial"/>
          <w:sz w:val="22"/>
          <w:szCs w:val="22"/>
          <w:lang w:val="es-CR"/>
        </w:rPr>
        <w:t xml:space="preserve">ingeniero del </w:t>
      </w:r>
      <w:r w:rsidRPr="009A04B1">
        <w:rPr>
          <w:rFonts w:cs="Arial"/>
          <w:sz w:val="22"/>
          <w:szCs w:val="22"/>
          <w:lang w:val="es-CR"/>
        </w:rPr>
        <w:t>departamento técnico. En el caso de los inmuebles de Villa Bonita, resultó que el valor menor fue el indicado en la opción de venta, razón por la cual, el valor pagado es menor al indicado en el informe técnico de la ingeniera Castro Morales.</w:t>
      </w:r>
    </w:p>
    <w:p w14:paraId="56B9C4C3" w14:textId="77777777" w:rsidR="00442595" w:rsidRPr="009A04B1" w:rsidRDefault="00442595" w:rsidP="00442595">
      <w:pPr>
        <w:ind w:left="426"/>
        <w:jc w:val="both"/>
        <w:rPr>
          <w:rFonts w:cs="Arial"/>
          <w:sz w:val="22"/>
          <w:szCs w:val="22"/>
          <w:lang w:val="es-CR"/>
        </w:rPr>
      </w:pPr>
    </w:p>
    <w:p w14:paraId="2FBE6421" w14:textId="77777777" w:rsidR="00442595" w:rsidRPr="009A04B1" w:rsidRDefault="00442595" w:rsidP="00442595">
      <w:pPr>
        <w:numPr>
          <w:ilvl w:val="0"/>
          <w:numId w:val="19"/>
        </w:numPr>
        <w:ind w:left="426" w:hanging="426"/>
        <w:jc w:val="both"/>
        <w:rPr>
          <w:rFonts w:cs="Arial"/>
          <w:b/>
          <w:bCs/>
          <w:i/>
          <w:iCs/>
          <w:sz w:val="22"/>
          <w:szCs w:val="22"/>
          <w:lang w:val="es-CR"/>
        </w:rPr>
      </w:pPr>
      <w:r w:rsidRPr="009A04B1">
        <w:rPr>
          <w:rFonts w:cs="Arial"/>
          <w:b/>
          <w:bCs/>
          <w:i/>
          <w:iCs/>
          <w:sz w:val="22"/>
          <w:szCs w:val="22"/>
          <w:lang w:val="es-CR"/>
        </w:rPr>
        <w:t>La no inclusión del costo del mantenimiento de la PTAR.</w:t>
      </w:r>
    </w:p>
    <w:p w14:paraId="3614000F" w14:textId="77777777" w:rsidR="00442595" w:rsidRDefault="00442595" w:rsidP="00442595">
      <w:pPr>
        <w:ind w:left="426"/>
        <w:jc w:val="both"/>
        <w:rPr>
          <w:rFonts w:cs="Arial"/>
          <w:sz w:val="22"/>
          <w:szCs w:val="22"/>
          <w:lang w:val="es-CR"/>
        </w:rPr>
      </w:pPr>
    </w:p>
    <w:p w14:paraId="38531086" w14:textId="77777777" w:rsidR="00442595" w:rsidRPr="009A04B1" w:rsidRDefault="00442595" w:rsidP="00442595">
      <w:pPr>
        <w:ind w:left="426"/>
        <w:jc w:val="both"/>
        <w:rPr>
          <w:rFonts w:cs="Arial"/>
          <w:sz w:val="22"/>
          <w:szCs w:val="22"/>
          <w:lang w:val="es-CR"/>
        </w:rPr>
      </w:pPr>
      <w:r w:rsidRPr="009A04B1">
        <w:rPr>
          <w:rFonts w:cs="Arial"/>
          <w:sz w:val="22"/>
          <w:szCs w:val="22"/>
          <w:lang w:val="es-CR"/>
        </w:rPr>
        <w:t>La diferencia sustancial entre los proyectos con desarrollo de infraestructura (los llamados S-001) y los LTU (hoy en día S-002) y los “Llave en Mano” es precisamente la modalidad de ejecución. En los primeros, el financiamiento de la compra del terreno (finca), financiamiento de la construcción de la infraestructura y la construcción de las viviendas. En las otras modalidades lo que se financia, como ya se ha indicado en este oficio y varios más que se han emitido relacionados con este caso, lo que el banco financia, es la compra de lotes urbanizados (donde los servicios ya fueron provistos por el constructor). En estas últimas modalidades, el banco no tiene por qué asumir los costos adicionales relacionados con la construcción de la infraestructura dado que como ya se indicó, el banco nunca financió su construcción.</w:t>
      </w:r>
    </w:p>
    <w:p w14:paraId="65ADACAF" w14:textId="77777777" w:rsidR="00442595" w:rsidRPr="009A04B1" w:rsidRDefault="00442595" w:rsidP="00442595">
      <w:pPr>
        <w:ind w:left="426"/>
        <w:jc w:val="both"/>
        <w:rPr>
          <w:rFonts w:cs="Arial"/>
          <w:sz w:val="22"/>
          <w:szCs w:val="22"/>
          <w:lang w:val="es-CR"/>
        </w:rPr>
      </w:pPr>
    </w:p>
    <w:p w14:paraId="52C6A4C4" w14:textId="77777777" w:rsidR="00442595" w:rsidRPr="009A04B1" w:rsidRDefault="00442595" w:rsidP="00442595">
      <w:pPr>
        <w:ind w:left="426"/>
        <w:jc w:val="both"/>
        <w:rPr>
          <w:rFonts w:cs="Arial"/>
          <w:sz w:val="22"/>
          <w:szCs w:val="22"/>
          <w:lang w:val="es-CR"/>
        </w:rPr>
      </w:pPr>
      <w:r w:rsidRPr="009A04B1">
        <w:rPr>
          <w:rFonts w:cs="Arial"/>
          <w:sz w:val="22"/>
          <w:szCs w:val="22"/>
          <w:lang w:val="es-CR"/>
        </w:rPr>
        <w:t>La construcción de la infraestructura fue obra ejecutada por el desarrollador y para ello contó con la asesoría de un profesional responsable que conoce o debe conocer bien, toda la normativa relacionada que debe ser cumplida para que los elementos sean recibidos por las autoridades competentes y como tal, tuvo que tomar las previsiones para que la obra fuera recibida en su momento por las instituciones, como sería el caso de la PTAR, que debía ser recibida por el Instituto Costarricense de Acueductos y Alcantarillados, como es sabido, por lo que se tuvieron que tomar las previsiones del caso.</w:t>
      </w:r>
    </w:p>
    <w:p w14:paraId="29ABE253" w14:textId="77777777" w:rsidR="00442595" w:rsidRPr="009A04B1" w:rsidRDefault="00442595" w:rsidP="00442595">
      <w:pPr>
        <w:ind w:left="426"/>
        <w:jc w:val="both"/>
        <w:rPr>
          <w:rFonts w:cs="Arial"/>
          <w:sz w:val="22"/>
          <w:szCs w:val="22"/>
          <w:lang w:val="es-CR"/>
        </w:rPr>
      </w:pPr>
    </w:p>
    <w:p w14:paraId="42164BF1" w14:textId="77777777" w:rsidR="00442595" w:rsidRPr="009A04B1" w:rsidRDefault="00442595" w:rsidP="00442595">
      <w:pPr>
        <w:ind w:left="426"/>
        <w:jc w:val="both"/>
        <w:rPr>
          <w:rFonts w:cs="Arial"/>
          <w:sz w:val="22"/>
          <w:szCs w:val="22"/>
          <w:lang w:val="es-CR"/>
        </w:rPr>
      </w:pPr>
      <w:r w:rsidRPr="009A04B1">
        <w:rPr>
          <w:rFonts w:cs="Arial"/>
          <w:sz w:val="22"/>
          <w:szCs w:val="22"/>
          <w:lang w:val="es-CR"/>
        </w:rPr>
        <w:t>En cuanto al que no se mencionara en el informe de recomendación del financiamiento que se puso a conocimiento de la junta directiva del BANHVI lo del costo de mantenimiento de la PTAR no tiene incidencia en el valor cancelado por los lotes en el programa LTU, pues al final, el precio de venta fue establecido por el mismo desarrollador en su opción de venta y ese fue el monto cancelado, el análisis que está en el informe 275 del departamento técnico, únicamente corresponde a un informe preparatorio que se utilizó para determinar si el valor en que se estaban ofreciendo los lotes era o no razonable.</w:t>
      </w:r>
    </w:p>
    <w:p w14:paraId="6C6C2275" w14:textId="77777777" w:rsidR="00442595" w:rsidRPr="009A04B1" w:rsidRDefault="00442595" w:rsidP="00442595">
      <w:pPr>
        <w:jc w:val="both"/>
        <w:rPr>
          <w:rFonts w:cs="Arial"/>
          <w:sz w:val="22"/>
          <w:szCs w:val="22"/>
          <w:lang w:val="es-CR"/>
        </w:rPr>
      </w:pPr>
    </w:p>
    <w:p w14:paraId="0B72CE67" w14:textId="77777777" w:rsidR="00442595" w:rsidRDefault="00442595" w:rsidP="00442595">
      <w:pPr>
        <w:jc w:val="both"/>
        <w:rPr>
          <w:rFonts w:cs="Arial"/>
          <w:sz w:val="22"/>
          <w:szCs w:val="22"/>
          <w:lang w:val="es-CR"/>
        </w:rPr>
      </w:pPr>
      <w:r w:rsidRPr="009A04B1">
        <w:rPr>
          <w:rFonts w:cs="Arial"/>
          <w:sz w:val="22"/>
          <w:szCs w:val="22"/>
          <w:lang w:val="es-CR"/>
        </w:rPr>
        <w:t xml:space="preserve">Con lo anterior, se espera dar por satisfechas las consultas de esa Subgerencia de Operaciones relacionadas con la recomendación de rechazar las pretensiones de la empresa que desarrolló el proyecto Villa Bonita en el cantón de Siquirres de que se les reconozca los gastos adicionales relacionados con la PTAR de la citada urbanización. Con lo anterior se ratifica el criterio emitido por el Departamento Técnico mediante oficio DF-DT-OF-0876-2021, donde se indicó que no se presentan argumentos técnicos adicionales que hagan pesar </w:t>
      </w:r>
      <w:r>
        <w:rPr>
          <w:rFonts w:cs="Arial"/>
          <w:sz w:val="22"/>
          <w:szCs w:val="22"/>
          <w:lang w:val="es-CR"/>
        </w:rPr>
        <w:t xml:space="preserve">(sic) </w:t>
      </w:r>
      <w:r w:rsidRPr="009A04B1">
        <w:rPr>
          <w:rFonts w:cs="Arial"/>
          <w:sz w:val="22"/>
          <w:szCs w:val="22"/>
          <w:lang w:val="es-CR"/>
        </w:rPr>
        <w:t>el modificar la valoración que ya ha realizado este departamento, en los documentos DF-DT-IN-0405-2016, DF-DT-ME-0411-2016 y DF-DT-OF-0442-2018</w:t>
      </w:r>
      <w:r>
        <w:rPr>
          <w:rFonts w:cs="Arial"/>
          <w:sz w:val="22"/>
          <w:szCs w:val="22"/>
          <w:lang w:val="es-CR"/>
        </w:rPr>
        <w:t>.</w:t>
      </w:r>
    </w:p>
    <w:p w14:paraId="4E650E79" w14:textId="77777777" w:rsidR="00442595" w:rsidRDefault="00442595" w:rsidP="00442595">
      <w:pPr>
        <w:jc w:val="both"/>
        <w:rPr>
          <w:rFonts w:cs="Arial"/>
          <w:sz w:val="22"/>
          <w:szCs w:val="22"/>
          <w:lang w:val="es-CR"/>
        </w:rPr>
      </w:pPr>
    </w:p>
    <w:p w14:paraId="15E9159F" w14:textId="77777777" w:rsidR="00442595" w:rsidRPr="009A04B1" w:rsidRDefault="00442595" w:rsidP="00442595">
      <w:pPr>
        <w:jc w:val="both"/>
        <w:rPr>
          <w:rFonts w:cs="Arial"/>
          <w:b/>
          <w:bCs/>
          <w:sz w:val="22"/>
          <w:szCs w:val="22"/>
          <w:u w:val="single"/>
          <w:lang w:val="es-CR"/>
        </w:rPr>
      </w:pPr>
      <w:r w:rsidRPr="009A04B1">
        <w:rPr>
          <w:rFonts w:cs="Arial"/>
          <w:b/>
          <w:bCs/>
          <w:sz w:val="22"/>
          <w:szCs w:val="22"/>
          <w:u w:val="single"/>
          <w:lang w:val="es-CR"/>
        </w:rPr>
        <w:t>Criterio y recomendación legal</w:t>
      </w:r>
    </w:p>
    <w:p w14:paraId="29EF2A30" w14:textId="77777777" w:rsidR="00442595" w:rsidRPr="009A04B1" w:rsidRDefault="00442595" w:rsidP="00442595">
      <w:pPr>
        <w:jc w:val="both"/>
        <w:rPr>
          <w:rFonts w:cs="Arial"/>
          <w:sz w:val="22"/>
          <w:szCs w:val="22"/>
          <w:lang w:val="es-CR"/>
        </w:rPr>
      </w:pPr>
    </w:p>
    <w:p w14:paraId="57323A78" w14:textId="77777777" w:rsidR="00442595" w:rsidRPr="009A04B1" w:rsidRDefault="00442595" w:rsidP="00442595">
      <w:pPr>
        <w:jc w:val="both"/>
        <w:rPr>
          <w:rFonts w:cs="Arial"/>
          <w:sz w:val="22"/>
          <w:szCs w:val="22"/>
          <w:lang w:val="es-CR"/>
        </w:rPr>
      </w:pPr>
      <w:r w:rsidRPr="002E7307">
        <w:rPr>
          <w:rFonts w:cs="Arial"/>
          <w:sz w:val="22"/>
          <w:szCs w:val="22"/>
          <w:lang w:val="es-CR"/>
        </w:rPr>
        <w:t>1.</w:t>
      </w:r>
      <w:r>
        <w:rPr>
          <w:rFonts w:cs="Arial"/>
          <w:b/>
          <w:bCs/>
          <w:sz w:val="22"/>
          <w:szCs w:val="22"/>
          <w:lang w:val="es-CR"/>
        </w:rPr>
        <w:t xml:space="preserve"> </w:t>
      </w:r>
      <w:r w:rsidRPr="009A04B1">
        <w:rPr>
          <w:rFonts w:cs="Arial"/>
          <w:b/>
          <w:bCs/>
          <w:sz w:val="22"/>
          <w:szCs w:val="22"/>
          <w:lang w:val="es-CR"/>
        </w:rPr>
        <w:t>Respecto de los informes técnicos</w:t>
      </w:r>
      <w:r w:rsidRPr="009A04B1">
        <w:rPr>
          <w:rFonts w:cs="Arial"/>
          <w:sz w:val="22"/>
          <w:szCs w:val="22"/>
          <w:lang w:val="es-CR"/>
        </w:rPr>
        <w:t>: La función de los informes técnicos, por consecuencia, es de carácter técnico- auxiliar y tiene por fin guiar y aclarar a otros órganos, en especial los jerárquicos, sobre los fundamentos y el contenido de sus decisiones. Respecto a esa función consultiva desempeñada por diferentes órganos administrativos</w:t>
      </w:r>
      <w:r>
        <w:rPr>
          <w:rFonts w:cs="Arial"/>
          <w:sz w:val="22"/>
          <w:szCs w:val="22"/>
          <w:lang w:val="es-CR"/>
        </w:rPr>
        <w:t xml:space="preserve"> </w:t>
      </w:r>
      <w:r w:rsidRPr="009A04B1">
        <w:rPr>
          <w:rFonts w:cs="Arial"/>
          <w:sz w:val="22"/>
          <w:szCs w:val="22"/>
          <w:lang w:val="es-CR"/>
        </w:rPr>
        <w:t xml:space="preserve">-en el caso particular FOSUVI- ha sido de profundo estudio por parte de la Procuraduría, indicando: </w:t>
      </w:r>
    </w:p>
    <w:p w14:paraId="3CF9EEED" w14:textId="77777777" w:rsidR="00442595" w:rsidRPr="009A04B1" w:rsidRDefault="00442595" w:rsidP="00442595">
      <w:pPr>
        <w:jc w:val="both"/>
        <w:rPr>
          <w:rFonts w:cs="Arial"/>
          <w:sz w:val="22"/>
          <w:szCs w:val="22"/>
          <w:lang w:val="es-CR"/>
        </w:rPr>
      </w:pPr>
    </w:p>
    <w:p w14:paraId="5B4FD210" w14:textId="77777777" w:rsidR="00442595" w:rsidRPr="009A04B1" w:rsidRDefault="00442595" w:rsidP="00442595">
      <w:pPr>
        <w:jc w:val="both"/>
        <w:rPr>
          <w:rFonts w:cs="Arial"/>
          <w:i/>
          <w:iCs/>
          <w:sz w:val="22"/>
          <w:szCs w:val="22"/>
          <w:lang w:val="es-CR"/>
        </w:rPr>
      </w:pPr>
      <w:r w:rsidRPr="009A04B1">
        <w:rPr>
          <w:rFonts w:cs="Arial"/>
          <w:i/>
          <w:iCs/>
          <w:sz w:val="22"/>
          <w:szCs w:val="22"/>
          <w:lang w:val="es-MX"/>
        </w:rPr>
        <w:tab/>
        <w:t>"Los órganos activos necesitan, en muchas ocasiones, para llegar a una adecuada formación de la voluntad administrativa, el asesoramiento de otros órganos, especialmente capacitados para ello, por su estructura y por la preparación de sus elementos personales.</w:t>
      </w:r>
    </w:p>
    <w:p w14:paraId="203A9318" w14:textId="77777777" w:rsidR="00442595" w:rsidRPr="009A04B1" w:rsidRDefault="00442595" w:rsidP="00442595">
      <w:pPr>
        <w:jc w:val="both"/>
        <w:rPr>
          <w:rFonts w:cs="Arial"/>
          <w:i/>
          <w:iCs/>
          <w:sz w:val="22"/>
          <w:szCs w:val="22"/>
          <w:lang w:val="es-CR"/>
        </w:rPr>
      </w:pPr>
    </w:p>
    <w:p w14:paraId="0229CD0D" w14:textId="77777777" w:rsidR="00442595" w:rsidRPr="009A04B1" w:rsidRDefault="00442595" w:rsidP="00442595">
      <w:pPr>
        <w:jc w:val="both"/>
        <w:rPr>
          <w:rFonts w:cs="Arial"/>
          <w:i/>
          <w:iCs/>
          <w:sz w:val="22"/>
          <w:szCs w:val="22"/>
          <w:lang w:val="es-MX"/>
        </w:rPr>
      </w:pPr>
      <w:r w:rsidRPr="009A04B1">
        <w:rPr>
          <w:rFonts w:cs="Arial"/>
          <w:i/>
          <w:iCs/>
          <w:sz w:val="22"/>
          <w:szCs w:val="22"/>
          <w:lang w:val="es-MX"/>
        </w:rPr>
        <w:t>Tales órganos son denominados consultivos, y su labor la realizan mediante la emisión de dictámenes o informes, verbalmente o por escrito, de carácter jurídico o técnico." (Entrena Cuesta, Rafael. Curso de Derecho Administrativo)</w:t>
      </w:r>
    </w:p>
    <w:p w14:paraId="18AC0A39" w14:textId="77777777" w:rsidR="00442595" w:rsidRPr="009A04B1" w:rsidRDefault="00442595" w:rsidP="00442595">
      <w:pPr>
        <w:jc w:val="both"/>
        <w:rPr>
          <w:rFonts w:cs="Arial"/>
          <w:i/>
          <w:iCs/>
          <w:sz w:val="22"/>
          <w:szCs w:val="22"/>
          <w:lang w:val="es-MX"/>
        </w:rPr>
      </w:pPr>
    </w:p>
    <w:p w14:paraId="1B10DD6A" w14:textId="77777777" w:rsidR="00442595" w:rsidRPr="009A04B1" w:rsidRDefault="00442595" w:rsidP="00442595">
      <w:pPr>
        <w:jc w:val="both"/>
        <w:rPr>
          <w:rFonts w:cs="Arial"/>
          <w:sz w:val="22"/>
          <w:szCs w:val="22"/>
          <w:lang w:val="es-CR"/>
        </w:rPr>
      </w:pPr>
      <w:r w:rsidRPr="009A04B1">
        <w:rPr>
          <w:rFonts w:cs="Arial"/>
          <w:i/>
          <w:iCs/>
          <w:sz w:val="22"/>
          <w:szCs w:val="22"/>
          <w:lang w:val="es-MX"/>
        </w:rPr>
        <w:t>En concordancia con lo anterior, los órganos consultivos se han definido como aquellos que "desarrollan una función consultiva asesorando a los órganos activos, preparando así la acción de éstos, facilitándoles elementos de juicio que sirvan de base para la formación de la voluntad del órgano llamado a actuar."</w:t>
      </w:r>
    </w:p>
    <w:p w14:paraId="710AF888" w14:textId="77777777" w:rsidR="00442595" w:rsidRPr="009A04B1" w:rsidRDefault="00442595" w:rsidP="00442595">
      <w:pPr>
        <w:jc w:val="both"/>
        <w:rPr>
          <w:rFonts w:cs="Arial"/>
          <w:sz w:val="22"/>
          <w:szCs w:val="22"/>
          <w:lang w:val="es-CR"/>
        </w:rPr>
      </w:pPr>
    </w:p>
    <w:p w14:paraId="4CED6F1E" w14:textId="77777777" w:rsidR="00442595" w:rsidRPr="009A04B1" w:rsidRDefault="00442595" w:rsidP="00442595">
      <w:pPr>
        <w:jc w:val="both"/>
        <w:rPr>
          <w:rFonts w:cs="Arial"/>
          <w:sz w:val="22"/>
          <w:szCs w:val="22"/>
          <w:lang w:val="es-CR"/>
        </w:rPr>
      </w:pPr>
      <w:r w:rsidRPr="009A04B1">
        <w:rPr>
          <w:rFonts w:cs="Arial"/>
          <w:i/>
          <w:iCs/>
          <w:sz w:val="22"/>
          <w:szCs w:val="22"/>
          <w:lang w:val="es-MX"/>
        </w:rPr>
        <w:t>(Alessi, Renato. Instituciones de Derecho Administrativo, Tomo I, Bosch Editorial, Barcelona, 1970, pág. 128).</w:t>
      </w:r>
    </w:p>
    <w:p w14:paraId="4BCCB986" w14:textId="77777777" w:rsidR="00442595" w:rsidRPr="009A04B1" w:rsidRDefault="00442595" w:rsidP="00442595">
      <w:pPr>
        <w:jc w:val="both"/>
        <w:rPr>
          <w:rFonts w:cs="Arial"/>
          <w:sz w:val="22"/>
          <w:szCs w:val="22"/>
          <w:lang w:val="es-CR"/>
        </w:rPr>
      </w:pPr>
    </w:p>
    <w:p w14:paraId="07F62B8A" w14:textId="77777777" w:rsidR="00442595" w:rsidRPr="009A04B1" w:rsidRDefault="00442595" w:rsidP="00442595">
      <w:pPr>
        <w:jc w:val="both"/>
        <w:rPr>
          <w:rFonts w:cs="Arial"/>
          <w:sz w:val="22"/>
          <w:szCs w:val="22"/>
          <w:lang w:val="es-CR"/>
        </w:rPr>
      </w:pPr>
      <w:r w:rsidRPr="009A04B1">
        <w:rPr>
          <w:rFonts w:cs="Arial"/>
          <w:i/>
          <w:iCs/>
          <w:sz w:val="22"/>
          <w:szCs w:val="22"/>
          <w:lang w:val="es-MX"/>
        </w:rPr>
        <w:t>Asimismo, cabe señalar que la actividad de dichos órganos se desarrolla de manera previa a la decisión de la Administración activa, pues si la decisión ya ha sido tomada sería inútil que el órgano consultivo emita su parecer. A la vez, tal actividad no se ejerce de oficio, sino que debe ser promovida por los órganos activos, y es de naturaleza interna, de suerte que en la formación del criterio técnico- jurídico no intervienen los interesados en el asunto que pende en el reparto administrativo correspondiente. (…)</w:t>
      </w:r>
    </w:p>
    <w:p w14:paraId="09F10927" w14:textId="77777777" w:rsidR="00442595" w:rsidRPr="009A04B1" w:rsidRDefault="00442595" w:rsidP="00442595">
      <w:pPr>
        <w:jc w:val="both"/>
        <w:rPr>
          <w:rFonts w:cs="Arial"/>
          <w:sz w:val="22"/>
          <w:szCs w:val="22"/>
          <w:lang w:val="es-CR"/>
        </w:rPr>
      </w:pPr>
    </w:p>
    <w:p w14:paraId="7EF8E399" w14:textId="77777777" w:rsidR="00442595" w:rsidRPr="009A04B1" w:rsidRDefault="00442595" w:rsidP="00442595">
      <w:pPr>
        <w:jc w:val="both"/>
        <w:rPr>
          <w:rFonts w:cs="Arial"/>
          <w:sz w:val="22"/>
          <w:szCs w:val="22"/>
          <w:lang w:val="es-CR"/>
        </w:rPr>
      </w:pPr>
      <w:r w:rsidRPr="009A04B1">
        <w:rPr>
          <w:rFonts w:cs="Arial"/>
          <w:sz w:val="22"/>
          <w:szCs w:val="22"/>
          <w:lang w:val="es-CR"/>
        </w:rPr>
        <w:t xml:space="preserve">En resumen, los informes técnicos de la Dirección Fosuvi y su Departamento Técnico son actos preparatorios de las decisiones finales del BANHVI. Es la Junta Directiva del BANHVI quien los aprueba o rechaza. Tan es así que la Junta Directiva del BANHVI, de previo a conocer y resolver las solicitudes de la Administración, requiere que sus órganos o dependencias se manifiesten. De ahí que surgen los informes DF-DT-IN-0405-2016 y DF-OF-0592-2016, y otros de la Dirección FOSUVI, sobre los cuales la Junta Directiva emite el acuerdo número 7 de la sesión 33-2018, y acuerda rechazar, conforme los argumentos técnicos y jurídicos que se mencionan en los documentos adjuntos al oficio GG-ME- 0468-2018 de la Gerencia General, la solicitud de la empresa. Este es el acto administrativo final, </w:t>
      </w:r>
      <w:r w:rsidRPr="009A04B1">
        <w:rPr>
          <w:rFonts w:cs="Arial"/>
          <w:sz w:val="22"/>
          <w:szCs w:val="22"/>
          <w:lang w:val="es-CR"/>
        </w:rPr>
        <w:lastRenderedPageBreak/>
        <w:t xml:space="preserve">que rechaza, lo solicitado por la empresa Mar Azul y acoge la recomendación de Administración. Ese acto final de la Administración es el que debió haber ser </w:t>
      </w:r>
      <w:r>
        <w:rPr>
          <w:rFonts w:cs="Arial"/>
          <w:sz w:val="22"/>
          <w:szCs w:val="22"/>
          <w:lang w:val="es-CR"/>
        </w:rPr>
        <w:t xml:space="preserve">(sic) </w:t>
      </w:r>
      <w:r w:rsidRPr="009A04B1">
        <w:rPr>
          <w:rFonts w:cs="Arial"/>
          <w:sz w:val="22"/>
          <w:szCs w:val="22"/>
          <w:lang w:val="es-CR"/>
        </w:rPr>
        <w:t xml:space="preserve">recurrido por la desarrolladora Mar Azul, dentro del plazo establecido por ley pero el Desarrollador interpone recurso “de reconsideración” contra dicho acto hasta el 18 de setiembre de 2021, de manera extemporánea. Por el contrario, se impugnan oficios de la Administración, que como dijimos son actos preparatorios, no impugnables por no ser actos finales de la administración. Este es el acto administrativo final, que rechaza, lo solicitado por la citada empresa y acoge la recomendación de Administración. Ese acto final de la Administración es el que debió haber ser </w:t>
      </w:r>
      <w:r>
        <w:rPr>
          <w:rFonts w:cs="Arial"/>
          <w:sz w:val="22"/>
          <w:szCs w:val="22"/>
          <w:lang w:val="es-CR"/>
        </w:rPr>
        <w:t xml:space="preserve">(sic) </w:t>
      </w:r>
      <w:r w:rsidRPr="009A04B1">
        <w:rPr>
          <w:rFonts w:cs="Arial"/>
          <w:sz w:val="22"/>
          <w:szCs w:val="22"/>
          <w:lang w:val="es-CR"/>
        </w:rPr>
        <w:t xml:space="preserve">recurrido por </w:t>
      </w:r>
      <w:r>
        <w:rPr>
          <w:rFonts w:cs="Arial"/>
          <w:sz w:val="22"/>
          <w:szCs w:val="22"/>
          <w:lang w:val="es-CR"/>
        </w:rPr>
        <w:t xml:space="preserve">(sic) </w:t>
      </w:r>
      <w:r w:rsidRPr="009A04B1">
        <w:rPr>
          <w:rFonts w:cs="Arial"/>
          <w:sz w:val="22"/>
          <w:szCs w:val="22"/>
          <w:lang w:val="es-CR"/>
        </w:rPr>
        <w:t>en tiempo y forma, pero se hace de manera extemporánea, por el contrario, se continúan impugnando oficios de la Administración, que como dijimos son actos preparatorios, no impugnables por no ser actos finales de la Administración.</w:t>
      </w:r>
    </w:p>
    <w:p w14:paraId="2D405AE5" w14:textId="77777777" w:rsidR="00442595" w:rsidRPr="009A04B1" w:rsidRDefault="00442595" w:rsidP="00442595">
      <w:pPr>
        <w:jc w:val="both"/>
        <w:rPr>
          <w:rFonts w:cs="Arial"/>
          <w:sz w:val="22"/>
          <w:szCs w:val="22"/>
          <w:lang w:val="es-CR"/>
        </w:rPr>
      </w:pPr>
    </w:p>
    <w:p w14:paraId="18EBD5D7" w14:textId="77777777" w:rsidR="00442595" w:rsidRPr="009A04B1" w:rsidRDefault="00442595" w:rsidP="00442595">
      <w:pPr>
        <w:jc w:val="both"/>
        <w:rPr>
          <w:rFonts w:cs="Arial"/>
          <w:sz w:val="22"/>
          <w:szCs w:val="22"/>
          <w:lang w:val="es-CR"/>
        </w:rPr>
      </w:pPr>
      <w:r w:rsidRPr="009A04B1">
        <w:rPr>
          <w:rFonts w:cs="Arial"/>
          <w:sz w:val="22"/>
          <w:szCs w:val="22"/>
          <w:lang w:val="es-CR"/>
        </w:rPr>
        <w:t xml:space="preserve">Aunado a lo anterior, tanto la Dirección Fosuvi, Departamento Técnico y Legal, así como la Junta Directiva dieron por atendida la consulta en el 2018 mediante los oficios supra citados y mediante el acuerdo del 2018. </w:t>
      </w:r>
    </w:p>
    <w:p w14:paraId="2A7759FF" w14:textId="77777777" w:rsidR="00442595" w:rsidRPr="009A04B1" w:rsidRDefault="00442595" w:rsidP="00442595">
      <w:pPr>
        <w:jc w:val="both"/>
        <w:rPr>
          <w:rFonts w:cs="Arial"/>
          <w:sz w:val="22"/>
          <w:szCs w:val="22"/>
          <w:lang w:val="es-CR"/>
        </w:rPr>
      </w:pPr>
    </w:p>
    <w:p w14:paraId="3FC44AA7" w14:textId="77777777" w:rsidR="00442595" w:rsidRPr="009A04B1" w:rsidRDefault="00442595" w:rsidP="00442595">
      <w:pPr>
        <w:jc w:val="both"/>
        <w:rPr>
          <w:rFonts w:cs="Arial"/>
          <w:sz w:val="22"/>
          <w:szCs w:val="22"/>
          <w:lang w:val="es-CR"/>
        </w:rPr>
      </w:pPr>
      <w:r w:rsidRPr="009A04B1">
        <w:rPr>
          <w:rFonts w:cs="Arial"/>
          <w:sz w:val="22"/>
          <w:szCs w:val="22"/>
          <w:lang w:val="es-CR"/>
        </w:rPr>
        <w:t xml:space="preserve">En virtud de lo expuesto, según el análisis y recomendación del Departamento Técnico este </w:t>
      </w:r>
      <w:r>
        <w:rPr>
          <w:rFonts w:cs="Arial"/>
          <w:sz w:val="22"/>
          <w:szCs w:val="22"/>
          <w:lang w:val="es-CR"/>
        </w:rPr>
        <w:t xml:space="preserve">(sic) </w:t>
      </w:r>
      <w:r w:rsidRPr="009A04B1">
        <w:rPr>
          <w:rFonts w:cs="Arial"/>
          <w:sz w:val="22"/>
          <w:szCs w:val="22"/>
          <w:lang w:val="es-CR"/>
        </w:rPr>
        <w:t>Asesoría avala lo señalado por ese Departamento y mantiene criterio del año 2016, emitido mediante oficio AL-OF-0127-2016.</w:t>
      </w:r>
      <w:r>
        <w:rPr>
          <w:rFonts w:cs="Arial"/>
          <w:sz w:val="22"/>
          <w:szCs w:val="22"/>
          <w:lang w:val="es-CR"/>
        </w:rPr>
        <w:t>(…)”</w:t>
      </w:r>
    </w:p>
    <w:p w14:paraId="6870B94A" w14:textId="77777777" w:rsidR="00442595" w:rsidRDefault="00442595" w:rsidP="00442595">
      <w:pPr>
        <w:spacing w:line="360" w:lineRule="auto"/>
        <w:jc w:val="both"/>
        <w:rPr>
          <w:rFonts w:cs="Arial"/>
          <w:sz w:val="22"/>
          <w:szCs w:val="22"/>
          <w:lang w:val="es-CR"/>
        </w:rPr>
      </w:pPr>
    </w:p>
    <w:p w14:paraId="7C277872" w14:textId="0A27CE15" w:rsidR="008E0768" w:rsidRDefault="00442595" w:rsidP="00442595">
      <w:pPr>
        <w:spacing w:line="360" w:lineRule="auto"/>
        <w:jc w:val="both"/>
        <w:rPr>
          <w:rFonts w:cs="Arial"/>
          <w:sz w:val="22"/>
          <w:lang w:val="es-ES_tradnl"/>
        </w:rPr>
      </w:pPr>
      <w:r w:rsidRPr="00A25DB7">
        <w:rPr>
          <w:rFonts w:cs="Arial"/>
          <w:sz w:val="22"/>
          <w:u w:val="single"/>
          <w:lang w:val="es-ES_tradnl"/>
        </w:rPr>
        <w:t xml:space="preserve">Minuto </w:t>
      </w:r>
      <w:r w:rsidR="008E0768">
        <w:rPr>
          <w:rFonts w:cs="Arial"/>
          <w:sz w:val="22"/>
          <w:u w:val="single"/>
          <w:lang w:val="es-ES_tradnl"/>
        </w:rPr>
        <w:t>172</w:t>
      </w:r>
      <w:r w:rsidRPr="00A25DB7">
        <w:rPr>
          <w:rFonts w:cs="Arial"/>
          <w:sz w:val="22"/>
          <w:u w:val="single"/>
          <w:lang w:val="es-ES_tradnl"/>
        </w:rPr>
        <w:t>:</w:t>
      </w:r>
      <w:r w:rsidR="008E0768">
        <w:rPr>
          <w:rFonts w:cs="Arial"/>
          <w:sz w:val="22"/>
          <w:u w:val="single"/>
          <w:lang w:val="es-ES_tradnl"/>
        </w:rPr>
        <w:t>15</w:t>
      </w:r>
      <w:r>
        <w:rPr>
          <w:rFonts w:cs="Arial"/>
          <w:sz w:val="22"/>
          <w:lang w:val="es-ES_tradnl"/>
        </w:rPr>
        <w:t xml:space="preserve"> </w:t>
      </w:r>
      <w:r w:rsidR="008E0768">
        <w:rPr>
          <w:rFonts w:cs="Arial"/>
          <w:sz w:val="22"/>
          <w:lang w:val="es-ES_tradnl"/>
        </w:rPr>
        <w:t>La licenciada Masís Calderón atiende varias consultas del Director Alvarado Herrera</w:t>
      </w:r>
      <w:r w:rsidR="00750EFF">
        <w:rPr>
          <w:rFonts w:cs="Arial"/>
          <w:sz w:val="22"/>
          <w:lang w:val="es-ES_tradnl"/>
        </w:rPr>
        <w:t>,</w:t>
      </w:r>
      <w:r w:rsidR="008E0768">
        <w:rPr>
          <w:rFonts w:cs="Arial"/>
          <w:sz w:val="22"/>
          <w:lang w:val="es-ES_tradnl"/>
        </w:rPr>
        <w:t xml:space="preserve"> sobre el criterio jurídico del tema, en relación con lo señalado por la </w:t>
      </w:r>
      <w:r w:rsidR="008E0768" w:rsidRPr="008E0768">
        <w:rPr>
          <w:rFonts w:cs="Arial"/>
          <w:sz w:val="22"/>
          <w:szCs w:val="22"/>
          <w:lang w:val="es-CR"/>
        </w:rPr>
        <w:t>Contraloría General de la República</w:t>
      </w:r>
      <w:r w:rsidR="008E0768">
        <w:rPr>
          <w:rFonts w:cs="Arial"/>
          <w:sz w:val="22"/>
          <w:szCs w:val="22"/>
          <w:lang w:val="es-CR"/>
        </w:rPr>
        <w:t xml:space="preserve"> en el informe </w:t>
      </w:r>
      <w:r w:rsidR="00750EFF">
        <w:rPr>
          <w:rFonts w:cs="Arial"/>
          <w:sz w:val="22"/>
          <w:szCs w:val="22"/>
          <w:lang w:val="es-CR"/>
        </w:rPr>
        <w:t>N° 18708 (DCA-4516) del 21 de diciembre de 2018, referido al tratamiento del rubro de imprevistos en los proyectos de vivienda financiados por el BANHVI.</w:t>
      </w:r>
    </w:p>
    <w:p w14:paraId="6EB52C84" w14:textId="3779C3AB" w:rsidR="008E0768" w:rsidRDefault="008E0768" w:rsidP="00442595">
      <w:pPr>
        <w:spacing w:line="360" w:lineRule="auto"/>
        <w:jc w:val="both"/>
        <w:rPr>
          <w:rFonts w:cs="Arial"/>
          <w:sz w:val="22"/>
          <w:lang w:val="es-ES_tradnl"/>
        </w:rPr>
      </w:pPr>
    </w:p>
    <w:p w14:paraId="0F9BC77A" w14:textId="685D9791" w:rsidR="00D601D2" w:rsidRDefault="00750EFF" w:rsidP="00442595">
      <w:pPr>
        <w:spacing w:line="360" w:lineRule="auto"/>
        <w:jc w:val="both"/>
        <w:rPr>
          <w:rFonts w:cs="Arial"/>
          <w:sz w:val="22"/>
          <w:szCs w:val="22"/>
          <w:lang w:val="es-CR"/>
        </w:rPr>
      </w:pPr>
      <w:r w:rsidRPr="00A25DB7">
        <w:rPr>
          <w:rFonts w:cs="Arial"/>
          <w:sz w:val="22"/>
          <w:u w:val="single"/>
          <w:lang w:val="es-ES_tradnl"/>
        </w:rPr>
        <w:t xml:space="preserve">Minuto </w:t>
      </w:r>
      <w:r>
        <w:rPr>
          <w:rFonts w:cs="Arial"/>
          <w:sz w:val="22"/>
          <w:u w:val="single"/>
          <w:lang w:val="es-ES_tradnl"/>
        </w:rPr>
        <w:t>198</w:t>
      </w:r>
      <w:r w:rsidRPr="00A25DB7">
        <w:rPr>
          <w:rFonts w:cs="Arial"/>
          <w:sz w:val="22"/>
          <w:u w:val="single"/>
          <w:lang w:val="es-ES_tradnl"/>
        </w:rPr>
        <w:t>:</w:t>
      </w:r>
      <w:r>
        <w:rPr>
          <w:rFonts w:cs="Arial"/>
          <w:sz w:val="22"/>
          <w:u w:val="single"/>
          <w:lang w:val="es-ES_tradnl"/>
        </w:rPr>
        <w:t>40</w:t>
      </w:r>
      <w:r>
        <w:rPr>
          <w:rFonts w:cs="Arial"/>
          <w:sz w:val="22"/>
          <w:szCs w:val="22"/>
        </w:rPr>
        <w:t xml:space="preserve"> De conformidad con el análisis realizado a los documentos suministrados por la </w:t>
      </w:r>
      <w:r w:rsidRPr="00750EFF">
        <w:rPr>
          <w:rFonts w:cs="Arial"/>
          <w:sz w:val="22"/>
          <w:szCs w:val="22"/>
          <w:lang w:val="es-ES_tradnl"/>
        </w:rPr>
        <w:t>Administración</w:t>
      </w:r>
      <w:r>
        <w:rPr>
          <w:rFonts w:cs="Arial"/>
          <w:sz w:val="22"/>
          <w:szCs w:val="22"/>
          <w:lang w:val="es-ES_tradnl"/>
        </w:rPr>
        <w:t xml:space="preserve">, los señores Directores </w:t>
      </w:r>
      <w:r w:rsidR="00D601D2">
        <w:rPr>
          <w:rFonts w:cs="Arial"/>
          <w:sz w:val="22"/>
          <w:szCs w:val="22"/>
          <w:lang w:val="es-ES_tradnl"/>
        </w:rPr>
        <w:t xml:space="preserve">acogen </w:t>
      </w:r>
      <w:r w:rsidR="00442595">
        <w:rPr>
          <w:rFonts w:cs="Arial"/>
          <w:sz w:val="22"/>
          <w:szCs w:val="22"/>
          <w:lang w:val="es-ES_tradnl"/>
        </w:rPr>
        <w:t>los argumentos técnicos y jurídicos expuestos por el Departamento Técnico y la Asesoría Legal</w:t>
      </w:r>
      <w:r w:rsidR="00442595">
        <w:rPr>
          <w:rFonts w:cs="Arial"/>
          <w:sz w:val="22"/>
          <w:szCs w:val="22"/>
          <w:lang w:val="es-CR"/>
        </w:rPr>
        <w:t xml:space="preserve">, </w:t>
      </w:r>
      <w:r w:rsidR="00D601D2">
        <w:rPr>
          <w:rFonts w:cs="Arial"/>
          <w:sz w:val="22"/>
          <w:szCs w:val="22"/>
          <w:lang w:val="es-CR"/>
        </w:rPr>
        <w:t xml:space="preserve">y por consiguiente, se resuelve rechazar </w:t>
      </w:r>
      <w:r w:rsidR="00D601D2">
        <w:rPr>
          <w:rFonts w:cs="Arial"/>
          <w:sz w:val="22"/>
          <w:szCs w:val="22"/>
        </w:rPr>
        <w:t xml:space="preserve">el recurso de reconsideración planteado y confirmar el acto recurrido.  Lo anterior, según se consigna en el </w:t>
      </w:r>
      <w:r w:rsidR="00D601D2" w:rsidRPr="00D601D2">
        <w:rPr>
          <w:rFonts w:cs="Arial"/>
          <w:b/>
          <w:bCs/>
          <w:sz w:val="22"/>
          <w:szCs w:val="22"/>
        </w:rPr>
        <w:t>Acuerdo N° 2</w:t>
      </w:r>
      <w:r w:rsidR="00D601D2">
        <w:rPr>
          <w:rFonts w:cs="Arial"/>
          <w:sz w:val="22"/>
          <w:szCs w:val="22"/>
        </w:rPr>
        <w:t xml:space="preserve"> que se anexa a esta minuta.</w:t>
      </w:r>
    </w:p>
    <w:p w14:paraId="6AE7FA32" w14:textId="77777777" w:rsidR="009D03FE" w:rsidRPr="00D14EAF" w:rsidRDefault="009D03FE" w:rsidP="009D03FE">
      <w:pPr>
        <w:spacing w:line="360" w:lineRule="auto"/>
        <w:jc w:val="both"/>
        <w:rPr>
          <w:rFonts w:cs="Arial"/>
          <w:b/>
          <w:sz w:val="22"/>
        </w:rPr>
      </w:pPr>
      <w:r w:rsidRPr="00D14EAF">
        <w:rPr>
          <w:rFonts w:cs="Arial"/>
          <w:b/>
          <w:sz w:val="22"/>
        </w:rPr>
        <w:t>************</w:t>
      </w:r>
    </w:p>
    <w:p w14:paraId="60764041" w14:textId="77777777" w:rsidR="009D03FE" w:rsidRDefault="009D03FE" w:rsidP="009D03FE">
      <w:pPr>
        <w:spacing w:line="360" w:lineRule="auto"/>
        <w:jc w:val="both"/>
        <w:rPr>
          <w:rFonts w:cs="Arial"/>
          <w:b/>
          <w:bCs/>
          <w:sz w:val="22"/>
          <w:szCs w:val="22"/>
          <w:u w:val="single"/>
          <w:lang w:val="es-ES_tradnl"/>
        </w:rPr>
      </w:pPr>
    </w:p>
    <w:p w14:paraId="338BF3A0" w14:textId="7743213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716174" w:rsidRPr="00716174">
        <w:rPr>
          <w:rFonts w:cs="Arial"/>
          <w:b/>
          <w:bCs/>
          <w:sz w:val="22"/>
          <w:u w:val="single"/>
          <w:lang w:val="es-ES_tradnl"/>
        </w:rPr>
        <w:t>Informe sobre la situación de los proyectos Ivannia y La Flor</w:t>
      </w:r>
    </w:p>
    <w:p w14:paraId="1B0E1E30" w14:textId="77777777" w:rsidR="009D03FE" w:rsidRDefault="009D03FE" w:rsidP="009D03FE">
      <w:pPr>
        <w:spacing w:line="360" w:lineRule="auto"/>
        <w:jc w:val="both"/>
        <w:rPr>
          <w:rFonts w:cs="Arial"/>
          <w:sz w:val="22"/>
          <w:szCs w:val="22"/>
        </w:rPr>
      </w:pPr>
    </w:p>
    <w:p w14:paraId="47CAF3C7" w14:textId="1A8705A6" w:rsidR="00D601D2" w:rsidRDefault="009D03FE" w:rsidP="00D601D2">
      <w:pPr>
        <w:spacing w:line="360" w:lineRule="auto"/>
        <w:jc w:val="both"/>
        <w:rPr>
          <w:rFonts w:cs="Arial"/>
          <w:sz w:val="22"/>
          <w:szCs w:val="22"/>
        </w:rPr>
      </w:pPr>
      <w:r w:rsidRPr="0039311E">
        <w:rPr>
          <w:rFonts w:cs="Arial"/>
          <w:sz w:val="22"/>
          <w:u w:val="single"/>
          <w:lang w:val="es-ES_tradnl"/>
        </w:rPr>
        <w:t xml:space="preserve">Minuto </w:t>
      </w:r>
      <w:r w:rsidR="00D601D2">
        <w:rPr>
          <w:rFonts w:cs="Arial"/>
          <w:sz w:val="22"/>
          <w:u w:val="single"/>
          <w:lang w:val="es-ES_tradnl"/>
        </w:rPr>
        <w:t>203</w:t>
      </w:r>
      <w:r w:rsidRPr="0039311E">
        <w:rPr>
          <w:rFonts w:cs="Arial"/>
          <w:sz w:val="22"/>
          <w:u w:val="single"/>
          <w:lang w:val="es-ES_tradnl"/>
        </w:rPr>
        <w:t>:</w:t>
      </w:r>
      <w:r w:rsidR="00D601D2">
        <w:rPr>
          <w:rFonts w:cs="Arial"/>
          <w:sz w:val="22"/>
          <w:u w:val="single"/>
          <w:lang w:val="es-ES_tradnl"/>
        </w:rPr>
        <w:t>25</w:t>
      </w:r>
      <w:r>
        <w:rPr>
          <w:rFonts w:cs="Arial"/>
          <w:sz w:val="22"/>
          <w:lang w:val="es-ES_tradnl"/>
        </w:rPr>
        <w:t xml:space="preserve"> Se conoce el oficio </w:t>
      </w:r>
      <w:r w:rsidR="00D601D2">
        <w:rPr>
          <w:rFonts w:cs="Arial"/>
          <w:sz w:val="22"/>
          <w:lang w:val="es-ES_tradnl"/>
        </w:rPr>
        <w:t xml:space="preserve">SO-OF-0020-2022 del 19 de enero de 2022, mediante el cual, la Subgerencia de Operaciones somete a la consideración de esta </w:t>
      </w:r>
      <w:r w:rsidR="00D601D2" w:rsidRPr="00D601D2">
        <w:rPr>
          <w:rFonts w:cs="Arial"/>
          <w:sz w:val="22"/>
          <w:lang w:val="es-ES_tradnl"/>
        </w:rPr>
        <w:t>Junta Directiva</w:t>
      </w:r>
      <w:r w:rsidR="00D601D2">
        <w:rPr>
          <w:rFonts w:cs="Arial"/>
          <w:sz w:val="22"/>
          <w:lang w:val="es-ES_tradnl"/>
        </w:rPr>
        <w:t xml:space="preserve">, </w:t>
      </w:r>
      <w:r w:rsidR="00242E9C">
        <w:rPr>
          <w:rFonts w:cs="Arial"/>
          <w:sz w:val="22"/>
          <w:lang w:val="es-ES_tradnl"/>
        </w:rPr>
        <w:t xml:space="preserve">un informe y recomendaciones dirigidas a atender </w:t>
      </w:r>
      <w:r w:rsidR="00D601D2" w:rsidRPr="00D601D2">
        <w:rPr>
          <w:rFonts w:cs="Arial"/>
          <w:sz w:val="22"/>
          <w:szCs w:val="22"/>
          <w:lang w:val="es-CR"/>
        </w:rPr>
        <w:t>la problemática de los proyectos de</w:t>
      </w:r>
      <w:r w:rsidR="00242E9C">
        <w:rPr>
          <w:rFonts w:cs="Arial"/>
          <w:sz w:val="22"/>
          <w:szCs w:val="22"/>
          <w:lang w:val="es-CR"/>
        </w:rPr>
        <w:t xml:space="preserve"> vivienda </w:t>
      </w:r>
      <w:r w:rsidR="00D601D2" w:rsidRPr="00D601D2">
        <w:rPr>
          <w:rFonts w:cs="Arial"/>
          <w:sz w:val="22"/>
          <w:szCs w:val="22"/>
          <w:lang w:val="es-CR"/>
        </w:rPr>
        <w:t>La Flor</w:t>
      </w:r>
      <w:r w:rsidR="00242E9C">
        <w:rPr>
          <w:rFonts w:cs="Arial"/>
          <w:sz w:val="22"/>
          <w:szCs w:val="22"/>
          <w:lang w:val="es-CR"/>
        </w:rPr>
        <w:t xml:space="preserve"> e Ivannia</w:t>
      </w:r>
      <w:r w:rsidR="00D601D2" w:rsidRPr="00D601D2">
        <w:rPr>
          <w:rFonts w:cs="Arial"/>
          <w:sz w:val="22"/>
          <w:szCs w:val="22"/>
          <w:lang w:val="es-CR"/>
        </w:rPr>
        <w:t xml:space="preserve">, </w:t>
      </w:r>
      <w:r w:rsidR="00242E9C">
        <w:rPr>
          <w:rFonts w:cs="Arial"/>
          <w:sz w:val="22"/>
          <w:szCs w:val="22"/>
          <w:lang w:val="es-CR"/>
        </w:rPr>
        <w:t xml:space="preserve">ubicados </w:t>
      </w:r>
      <w:r w:rsidR="00D601D2" w:rsidRPr="00D601D2">
        <w:rPr>
          <w:rFonts w:cs="Arial"/>
          <w:sz w:val="22"/>
          <w:szCs w:val="22"/>
          <w:lang w:val="es-CR"/>
        </w:rPr>
        <w:t>en Matina</w:t>
      </w:r>
      <w:r w:rsidR="00242E9C">
        <w:rPr>
          <w:rFonts w:cs="Arial"/>
          <w:sz w:val="22"/>
          <w:szCs w:val="22"/>
          <w:lang w:val="es-CR"/>
        </w:rPr>
        <w:t xml:space="preserve"> y</w:t>
      </w:r>
      <w:r w:rsidR="00D601D2" w:rsidRPr="00D601D2">
        <w:rPr>
          <w:rFonts w:cs="Arial"/>
          <w:sz w:val="22"/>
          <w:szCs w:val="22"/>
          <w:lang w:val="es-CR"/>
        </w:rPr>
        <w:t xml:space="preserve"> Sixaola</w:t>
      </w:r>
      <w:r w:rsidR="00242E9C">
        <w:rPr>
          <w:rFonts w:cs="Arial"/>
          <w:sz w:val="22"/>
          <w:szCs w:val="22"/>
          <w:lang w:val="es-CR"/>
        </w:rPr>
        <w:t xml:space="preserve"> respectivamente</w:t>
      </w:r>
      <w:r w:rsidR="00D601D2" w:rsidRPr="00D601D2">
        <w:rPr>
          <w:rFonts w:cs="Arial"/>
          <w:sz w:val="22"/>
          <w:szCs w:val="22"/>
          <w:lang w:val="es-CR"/>
        </w:rPr>
        <w:t>, de la provincia de Limón</w:t>
      </w:r>
      <w:r w:rsidR="00242E9C">
        <w:rPr>
          <w:rFonts w:cs="Arial"/>
          <w:sz w:val="22"/>
          <w:szCs w:val="22"/>
          <w:lang w:val="es-CR"/>
        </w:rPr>
        <w:t xml:space="preserve">, </w:t>
      </w:r>
      <w:r w:rsidR="00242E9C">
        <w:rPr>
          <w:rFonts w:cs="Arial"/>
          <w:sz w:val="22"/>
          <w:szCs w:val="22"/>
          <w:lang w:val="es-CR"/>
        </w:rPr>
        <w:lastRenderedPageBreak/>
        <w:t xml:space="preserve">tramitados </w:t>
      </w:r>
      <w:r w:rsidR="00D601D2" w:rsidRPr="00D601D2">
        <w:rPr>
          <w:rFonts w:cs="Arial"/>
          <w:sz w:val="22"/>
          <w:szCs w:val="22"/>
          <w:lang w:val="es-CR"/>
        </w:rPr>
        <w:t>por medio del Banco de Costa Rica</w:t>
      </w:r>
      <w:r w:rsidR="00242E9C">
        <w:rPr>
          <w:rFonts w:cs="Arial"/>
          <w:sz w:val="22"/>
          <w:szCs w:val="22"/>
          <w:lang w:val="es-CR"/>
        </w:rPr>
        <w:t>.  Dicho documento se adjunta al expediente del acta.</w:t>
      </w:r>
    </w:p>
    <w:p w14:paraId="4ECEDD0D" w14:textId="474D1D49" w:rsidR="00D601D2" w:rsidRDefault="00D601D2" w:rsidP="009D03FE">
      <w:pPr>
        <w:spacing w:line="360" w:lineRule="auto"/>
        <w:jc w:val="both"/>
        <w:rPr>
          <w:rFonts w:cs="Arial"/>
          <w:sz w:val="22"/>
          <w:szCs w:val="22"/>
        </w:rPr>
      </w:pPr>
    </w:p>
    <w:p w14:paraId="74694F9C" w14:textId="5080CE0C" w:rsidR="00D601D2" w:rsidRDefault="00D601D2" w:rsidP="009D03FE">
      <w:pPr>
        <w:spacing w:line="360" w:lineRule="auto"/>
        <w:jc w:val="both"/>
        <w:rPr>
          <w:rFonts w:cs="Arial"/>
          <w:sz w:val="22"/>
          <w:szCs w:val="22"/>
        </w:rPr>
      </w:pPr>
      <w:r>
        <w:rPr>
          <w:rFonts w:cs="Arial"/>
          <w:sz w:val="22"/>
          <w:szCs w:val="22"/>
        </w:rPr>
        <w:t xml:space="preserve">Para </w:t>
      </w:r>
      <w:r w:rsidR="00521086">
        <w:rPr>
          <w:rFonts w:cs="Arial"/>
          <w:sz w:val="22"/>
          <w:szCs w:val="22"/>
        </w:rPr>
        <w:t xml:space="preserve">exponer el contenido del citado informe y atender eventuales consultas de carácter técnico sobre el tema, se incorpora a la sesión el ingeniero </w:t>
      </w:r>
      <w:r>
        <w:rPr>
          <w:rFonts w:cs="Arial"/>
          <w:sz w:val="22"/>
          <w:szCs w:val="22"/>
        </w:rPr>
        <w:t>Franco Mendoza Alfaro</w:t>
      </w:r>
      <w:r w:rsidR="00242E9C">
        <w:rPr>
          <w:rFonts w:cs="Arial"/>
          <w:sz w:val="22"/>
          <w:szCs w:val="22"/>
        </w:rPr>
        <w:t>, asistente la Dirección FOSUVI</w:t>
      </w:r>
      <w:r w:rsidR="00521086">
        <w:rPr>
          <w:rFonts w:cs="Arial"/>
          <w:sz w:val="22"/>
          <w:szCs w:val="22"/>
        </w:rPr>
        <w:t>, quien se refiere a los antecedentes y a la situación actual de los referidos proyectos de vivienda, así como a las acciones y valoraciones realizadas en los últimos meses</w:t>
      </w:r>
      <w:r w:rsidR="00056B9F">
        <w:rPr>
          <w:rFonts w:cs="Arial"/>
          <w:sz w:val="22"/>
          <w:szCs w:val="22"/>
        </w:rPr>
        <w:t xml:space="preserve"> y que llevan </w:t>
      </w:r>
      <w:r w:rsidR="00521086">
        <w:rPr>
          <w:rFonts w:cs="Arial"/>
          <w:sz w:val="22"/>
          <w:szCs w:val="22"/>
        </w:rPr>
        <w:t>a recomendar lo siguiente:</w:t>
      </w:r>
    </w:p>
    <w:p w14:paraId="1E3B4237" w14:textId="4E85EF0F" w:rsidR="00521086" w:rsidRPr="00521086" w:rsidRDefault="00521086" w:rsidP="00521086">
      <w:pPr>
        <w:numPr>
          <w:ilvl w:val="0"/>
          <w:numId w:val="23"/>
        </w:numPr>
        <w:spacing w:line="360" w:lineRule="auto"/>
        <w:jc w:val="both"/>
        <w:rPr>
          <w:rFonts w:cs="Arial"/>
          <w:sz w:val="22"/>
          <w:szCs w:val="22"/>
          <w:lang w:val="es-CR"/>
        </w:rPr>
      </w:pPr>
      <w:r w:rsidRPr="00521086">
        <w:rPr>
          <w:rFonts w:cs="Arial"/>
          <w:sz w:val="22"/>
          <w:szCs w:val="22"/>
          <w:lang w:val="es-CR"/>
        </w:rPr>
        <w:t>a) A</w:t>
      </w:r>
      <w:r w:rsidR="00056B9F">
        <w:rPr>
          <w:rFonts w:cs="Arial"/>
          <w:sz w:val="22"/>
          <w:szCs w:val="22"/>
          <w:lang w:val="es-CR"/>
        </w:rPr>
        <w:t xml:space="preserve">utorizar </w:t>
      </w:r>
      <w:r w:rsidRPr="00521086">
        <w:rPr>
          <w:rFonts w:cs="Arial"/>
          <w:sz w:val="22"/>
          <w:szCs w:val="22"/>
          <w:lang w:val="es-CR"/>
        </w:rPr>
        <w:t xml:space="preserve">a las familias de los proyectos La Flor e Ivannia, para que gestionen un segundo bono vía excepcionalidad, en donde la solución habitacional no supere los </w:t>
      </w:r>
      <w:r w:rsidRPr="00521086">
        <w:rPr>
          <w:rFonts w:cs="Arial"/>
          <w:b/>
          <w:bCs/>
          <w:sz w:val="22"/>
          <w:szCs w:val="22"/>
          <w:lang w:val="es-CR"/>
        </w:rPr>
        <w:t xml:space="preserve">₡20.000.000,00 </w:t>
      </w:r>
      <w:r w:rsidRPr="00521086">
        <w:rPr>
          <w:rFonts w:cs="Arial"/>
          <w:sz w:val="22"/>
          <w:szCs w:val="22"/>
          <w:lang w:val="es-CR"/>
        </w:rPr>
        <w:t xml:space="preserve">para las familias del proyecto La Flor y </w:t>
      </w:r>
      <w:r w:rsidRPr="00521086">
        <w:rPr>
          <w:rFonts w:cs="Arial"/>
          <w:b/>
          <w:bCs/>
          <w:sz w:val="22"/>
          <w:szCs w:val="22"/>
          <w:lang w:val="es-CR"/>
        </w:rPr>
        <w:t xml:space="preserve">₡17.000.000,00 </w:t>
      </w:r>
      <w:r w:rsidRPr="00521086">
        <w:rPr>
          <w:rFonts w:cs="Arial"/>
          <w:sz w:val="22"/>
          <w:szCs w:val="22"/>
          <w:lang w:val="es-CR"/>
        </w:rPr>
        <w:t xml:space="preserve">para las familias del proyecto Ivannia, en cualquiera de sus modalidades. </w:t>
      </w:r>
    </w:p>
    <w:p w14:paraId="47F476D9" w14:textId="77777777" w:rsidR="00521086" w:rsidRPr="00521086" w:rsidRDefault="00521086" w:rsidP="00521086">
      <w:pPr>
        <w:numPr>
          <w:ilvl w:val="0"/>
          <w:numId w:val="24"/>
        </w:numPr>
        <w:spacing w:line="360" w:lineRule="auto"/>
        <w:jc w:val="both"/>
        <w:rPr>
          <w:rFonts w:cs="Arial"/>
          <w:sz w:val="22"/>
          <w:szCs w:val="22"/>
          <w:lang w:val="es-CR"/>
        </w:rPr>
      </w:pPr>
      <w:r w:rsidRPr="00521086">
        <w:rPr>
          <w:rFonts w:cs="Arial"/>
          <w:sz w:val="22"/>
          <w:szCs w:val="22"/>
          <w:lang w:val="es-CR"/>
        </w:rPr>
        <w:t xml:space="preserve">b) Las viviendas existentes deberán ser demolidas y las propiedades trasladadas al BANHVI. </w:t>
      </w:r>
    </w:p>
    <w:p w14:paraId="3AF4E089" w14:textId="1F73D628" w:rsidR="00521086" w:rsidRPr="00521086" w:rsidRDefault="00521086" w:rsidP="00521086">
      <w:pPr>
        <w:numPr>
          <w:ilvl w:val="0"/>
          <w:numId w:val="25"/>
        </w:numPr>
        <w:spacing w:line="360" w:lineRule="auto"/>
        <w:jc w:val="both"/>
        <w:rPr>
          <w:rFonts w:cs="Arial"/>
          <w:sz w:val="22"/>
          <w:szCs w:val="22"/>
          <w:lang w:val="es-CR"/>
        </w:rPr>
      </w:pPr>
      <w:r w:rsidRPr="00521086">
        <w:rPr>
          <w:rFonts w:cs="Arial"/>
          <w:sz w:val="22"/>
          <w:szCs w:val="22"/>
          <w:lang w:val="es-CR"/>
        </w:rPr>
        <w:t xml:space="preserve">c) En el proyecto Ivannia en Sixaola, </w:t>
      </w:r>
      <w:r w:rsidR="008B46FC">
        <w:rPr>
          <w:rFonts w:cs="Arial"/>
          <w:sz w:val="22"/>
          <w:szCs w:val="22"/>
          <w:lang w:val="es-CR"/>
        </w:rPr>
        <w:t xml:space="preserve">a </w:t>
      </w:r>
      <w:r w:rsidRPr="00521086">
        <w:rPr>
          <w:rFonts w:cs="Arial"/>
          <w:sz w:val="22"/>
          <w:szCs w:val="22"/>
          <w:lang w:val="es-CR"/>
        </w:rPr>
        <w:t>las familias que decidan quedarse en el proyecto, se les habilitar</w:t>
      </w:r>
      <w:r w:rsidR="008B46FC">
        <w:rPr>
          <w:rFonts w:cs="Arial"/>
          <w:sz w:val="22"/>
          <w:szCs w:val="22"/>
          <w:lang w:val="es-CR"/>
        </w:rPr>
        <w:t>á</w:t>
      </w:r>
      <w:r w:rsidRPr="00521086">
        <w:rPr>
          <w:rFonts w:cs="Arial"/>
          <w:sz w:val="22"/>
          <w:szCs w:val="22"/>
          <w:lang w:val="es-CR"/>
        </w:rPr>
        <w:t xml:space="preserve"> el lote contiguo (de ser posible)</w:t>
      </w:r>
      <w:r w:rsidR="008B46FC">
        <w:rPr>
          <w:rFonts w:cs="Arial"/>
          <w:sz w:val="22"/>
          <w:szCs w:val="22"/>
          <w:lang w:val="es-CR"/>
        </w:rPr>
        <w:t>,</w:t>
      </w:r>
      <w:r w:rsidRPr="00521086">
        <w:rPr>
          <w:rFonts w:cs="Arial"/>
          <w:sz w:val="22"/>
          <w:szCs w:val="22"/>
          <w:lang w:val="es-CR"/>
        </w:rPr>
        <w:t xml:space="preserve"> con el fin que se utilice el espacio disponible que deja</w:t>
      </w:r>
      <w:r w:rsidR="008B46FC">
        <w:rPr>
          <w:rFonts w:cs="Arial"/>
          <w:sz w:val="22"/>
          <w:szCs w:val="22"/>
          <w:lang w:val="es-CR"/>
        </w:rPr>
        <w:t>rían</w:t>
      </w:r>
      <w:r w:rsidRPr="00521086">
        <w:rPr>
          <w:rFonts w:cs="Arial"/>
          <w:sz w:val="22"/>
          <w:szCs w:val="22"/>
          <w:lang w:val="es-CR"/>
        </w:rPr>
        <w:t xml:space="preserve"> las familias que </w:t>
      </w:r>
      <w:r w:rsidR="008B46FC">
        <w:rPr>
          <w:rFonts w:cs="Arial"/>
          <w:sz w:val="22"/>
          <w:szCs w:val="22"/>
          <w:lang w:val="es-CR"/>
        </w:rPr>
        <w:t xml:space="preserve">tramitarán un </w:t>
      </w:r>
      <w:r w:rsidRPr="00521086">
        <w:rPr>
          <w:rFonts w:cs="Arial"/>
          <w:sz w:val="22"/>
          <w:szCs w:val="22"/>
          <w:lang w:val="es-CR"/>
        </w:rPr>
        <w:t>segundo bono individual</w:t>
      </w:r>
      <w:r w:rsidR="008B46FC">
        <w:rPr>
          <w:rFonts w:cs="Arial"/>
          <w:sz w:val="22"/>
          <w:szCs w:val="22"/>
          <w:lang w:val="es-CR"/>
        </w:rPr>
        <w:t xml:space="preserve"> en otro sitio</w:t>
      </w:r>
      <w:r w:rsidRPr="00521086">
        <w:rPr>
          <w:rFonts w:cs="Arial"/>
          <w:sz w:val="22"/>
          <w:szCs w:val="22"/>
          <w:lang w:val="es-CR"/>
        </w:rPr>
        <w:t xml:space="preserve">, para </w:t>
      </w:r>
      <w:r w:rsidR="008B46FC">
        <w:rPr>
          <w:rFonts w:cs="Arial"/>
          <w:sz w:val="22"/>
          <w:szCs w:val="22"/>
          <w:lang w:val="es-CR"/>
        </w:rPr>
        <w:t xml:space="preserve">desarrollar </w:t>
      </w:r>
      <w:r>
        <w:rPr>
          <w:rFonts w:cs="Arial"/>
          <w:sz w:val="22"/>
          <w:szCs w:val="22"/>
          <w:lang w:val="es-CR"/>
        </w:rPr>
        <w:t>b</w:t>
      </w:r>
      <w:r w:rsidRPr="00521086">
        <w:rPr>
          <w:rFonts w:cs="Arial"/>
          <w:sz w:val="22"/>
          <w:szCs w:val="22"/>
          <w:lang w:val="es-CR"/>
        </w:rPr>
        <w:t xml:space="preserve">iojardineras o algún otro sistema de tratamiento de aguas residuales y evitar así la compra de terreno y construcción de una PTAR. </w:t>
      </w:r>
    </w:p>
    <w:p w14:paraId="1E3190A4" w14:textId="0330DFDB" w:rsidR="00521086" w:rsidRPr="00521086" w:rsidRDefault="00521086" w:rsidP="00521086">
      <w:pPr>
        <w:numPr>
          <w:ilvl w:val="0"/>
          <w:numId w:val="26"/>
        </w:numPr>
        <w:spacing w:line="360" w:lineRule="auto"/>
        <w:jc w:val="both"/>
        <w:rPr>
          <w:rFonts w:cs="Arial"/>
          <w:sz w:val="22"/>
          <w:szCs w:val="22"/>
          <w:lang w:val="es-CR"/>
        </w:rPr>
      </w:pPr>
      <w:r w:rsidRPr="00521086">
        <w:rPr>
          <w:rFonts w:cs="Arial"/>
          <w:sz w:val="22"/>
          <w:szCs w:val="22"/>
          <w:lang w:val="es-CR"/>
        </w:rPr>
        <w:t>d) Para el trámite de bono</w:t>
      </w:r>
      <w:r w:rsidR="008B46FC">
        <w:rPr>
          <w:rFonts w:cs="Arial"/>
          <w:sz w:val="22"/>
          <w:szCs w:val="22"/>
          <w:lang w:val="es-CR"/>
        </w:rPr>
        <w:t>,</w:t>
      </w:r>
      <w:r w:rsidRPr="00521086">
        <w:rPr>
          <w:rFonts w:cs="Arial"/>
          <w:sz w:val="22"/>
          <w:szCs w:val="22"/>
          <w:lang w:val="es-CR"/>
        </w:rPr>
        <w:t xml:space="preserve"> se considerará</w:t>
      </w:r>
      <w:r w:rsidR="00056B9F">
        <w:rPr>
          <w:rFonts w:cs="Arial"/>
          <w:sz w:val="22"/>
          <w:szCs w:val="22"/>
          <w:lang w:val="es-CR"/>
        </w:rPr>
        <w:t>n</w:t>
      </w:r>
      <w:r w:rsidRPr="00521086">
        <w:rPr>
          <w:rFonts w:cs="Arial"/>
          <w:sz w:val="22"/>
          <w:szCs w:val="22"/>
          <w:lang w:val="es-CR"/>
        </w:rPr>
        <w:t xml:space="preserve"> las características con las que inicialmente se postularon las familias. </w:t>
      </w:r>
    </w:p>
    <w:p w14:paraId="1BD2BA25" w14:textId="5D579FDE" w:rsidR="00521086" w:rsidRPr="00521086" w:rsidRDefault="00521086" w:rsidP="00521086">
      <w:pPr>
        <w:numPr>
          <w:ilvl w:val="0"/>
          <w:numId w:val="27"/>
        </w:numPr>
        <w:spacing w:line="360" w:lineRule="auto"/>
        <w:jc w:val="both"/>
        <w:rPr>
          <w:rFonts w:cs="Arial"/>
          <w:sz w:val="22"/>
          <w:szCs w:val="22"/>
          <w:lang w:val="es-CR"/>
        </w:rPr>
      </w:pPr>
      <w:r>
        <w:rPr>
          <w:rFonts w:cs="Arial"/>
          <w:sz w:val="22"/>
          <w:szCs w:val="22"/>
          <w:lang w:val="es-CR"/>
        </w:rPr>
        <w:t xml:space="preserve">e) </w:t>
      </w:r>
      <w:r w:rsidRPr="00521086">
        <w:rPr>
          <w:rFonts w:cs="Arial"/>
          <w:sz w:val="22"/>
          <w:szCs w:val="22"/>
          <w:lang w:val="es-CR"/>
        </w:rPr>
        <w:t xml:space="preserve">No se tramitarán segundos bonos para las familias que actualmente no habiten los proyectos, alquilen o vendieran sus viviendas sin el permiso respectivo. </w:t>
      </w:r>
    </w:p>
    <w:p w14:paraId="57E19802" w14:textId="1A9801A7" w:rsidR="00521086" w:rsidRPr="00521086" w:rsidRDefault="00521086" w:rsidP="00521086">
      <w:pPr>
        <w:numPr>
          <w:ilvl w:val="0"/>
          <w:numId w:val="28"/>
        </w:numPr>
        <w:spacing w:line="360" w:lineRule="auto"/>
        <w:jc w:val="both"/>
        <w:rPr>
          <w:rFonts w:cs="Arial"/>
          <w:sz w:val="22"/>
          <w:szCs w:val="22"/>
          <w:lang w:val="es-CR"/>
        </w:rPr>
      </w:pPr>
      <w:r w:rsidRPr="00521086">
        <w:rPr>
          <w:rFonts w:cs="Arial"/>
          <w:sz w:val="22"/>
          <w:szCs w:val="22"/>
          <w:lang w:val="es-CR"/>
        </w:rPr>
        <w:t xml:space="preserve">f) Comunicar a las </w:t>
      </w:r>
      <w:r w:rsidR="008B46FC">
        <w:rPr>
          <w:rFonts w:cs="Arial"/>
          <w:sz w:val="22"/>
          <w:szCs w:val="22"/>
          <w:lang w:val="es-CR"/>
        </w:rPr>
        <w:t>f</w:t>
      </w:r>
      <w:r w:rsidRPr="00521086">
        <w:rPr>
          <w:rFonts w:cs="Arial"/>
          <w:sz w:val="22"/>
          <w:szCs w:val="22"/>
          <w:lang w:val="es-CR"/>
        </w:rPr>
        <w:t xml:space="preserve">amilias y a los diferentes actores interesados lo acordado por la Junta Directiva del BANHVI. </w:t>
      </w:r>
    </w:p>
    <w:p w14:paraId="130093C3" w14:textId="18315963" w:rsidR="00521086" w:rsidRDefault="00521086" w:rsidP="009D03FE">
      <w:pPr>
        <w:spacing w:line="360" w:lineRule="auto"/>
        <w:jc w:val="both"/>
        <w:rPr>
          <w:rFonts w:cs="Arial"/>
          <w:sz w:val="22"/>
          <w:szCs w:val="22"/>
        </w:rPr>
      </w:pPr>
    </w:p>
    <w:p w14:paraId="7C3F4F6D" w14:textId="6FE767DD" w:rsidR="007A36D6" w:rsidRDefault="00056B9F" w:rsidP="007A36D6">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23</w:t>
      </w:r>
      <w:r w:rsidR="007E5F9D">
        <w:rPr>
          <w:rFonts w:cs="Arial"/>
          <w:sz w:val="22"/>
          <w:u w:val="single"/>
          <w:lang w:val="es-ES_tradnl"/>
        </w:rPr>
        <w:t>5</w:t>
      </w:r>
      <w:r w:rsidRPr="00A25DB7">
        <w:rPr>
          <w:rFonts w:cs="Arial"/>
          <w:sz w:val="22"/>
          <w:u w:val="single"/>
          <w:lang w:val="es-ES_tradnl"/>
        </w:rPr>
        <w:t>:</w:t>
      </w:r>
      <w:r w:rsidR="007E5F9D">
        <w:rPr>
          <w:rFonts w:cs="Arial"/>
          <w:sz w:val="22"/>
          <w:u w:val="single"/>
          <w:lang w:val="es-ES_tradnl"/>
        </w:rPr>
        <w:t>40</w:t>
      </w:r>
      <w:r>
        <w:rPr>
          <w:rFonts w:cs="Arial"/>
          <w:sz w:val="22"/>
          <w:lang w:val="es-ES_tradnl"/>
        </w:rPr>
        <w:t xml:space="preserve"> </w:t>
      </w:r>
      <w:r w:rsidR="007E5F9D">
        <w:rPr>
          <w:rFonts w:cs="Arial"/>
          <w:sz w:val="22"/>
          <w:lang w:val="es-ES_tradnl"/>
        </w:rPr>
        <w:t xml:space="preserve">Los señores Directores proceden a analizar la propuesta de la </w:t>
      </w:r>
      <w:r w:rsidR="007E5F9D" w:rsidRPr="007E5F9D">
        <w:rPr>
          <w:rFonts w:cs="Arial"/>
          <w:sz w:val="22"/>
          <w:szCs w:val="22"/>
          <w:lang w:val="es-ES_tradnl"/>
        </w:rPr>
        <w:t>Administración</w:t>
      </w:r>
      <w:r w:rsidR="007E5F9D">
        <w:rPr>
          <w:rFonts w:cs="Arial"/>
          <w:sz w:val="22"/>
          <w:szCs w:val="22"/>
          <w:lang w:val="es-ES_tradnl"/>
        </w:rPr>
        <w:t xml:space="preserve">, coincidiendo en la pertinencia de actuar de la forma recomendada, </w:t>
      </w:r>
      <w:r w:rsidR="007A36D6">
        <w:rPr>
          <w:rFonts w:cs="Arial"/>
          <w:sz w:val="22"/>
          <w:szCs w:val="22"/>
          <w:lang w:val="es-ES_tradnl"/>
        </w:rPr>
        <w:t xml:space="preserve">estableciendo una instrucción para asegurar el acompañamiento permanente </w:t>
      </w:r>
      <w:r w:rsidR="007A36D6">
        <w:rPr>
          <w:rFonts w:cs="Arial"/>
          <w:sz w:val="22"/>
          <w:szCs w:val="22"/>
        </w:rPr>
        <w:t>a las familias, así como para que a los casos de bono que gestionen las familias de estos proyectos, sean tramitados y resueltos con agilidad en la entidad autorizada y en el BANHVI.</w:t>
      </w:r>
    </w:p>
    <w:p w14:paraId="540FFC8F" w14:textId="23D70BB9" w:rsidR="0008285F" w:rsidRDefault="0008285F" w:rsidP="00056B9F">
      <w:pPr>
        <w:spacing w:line="360" w:lineRule="auto"/>
        <w:jc w:val="both"/>
        <w:rPr>
          <w:rFonts w:cs="Arial"/>
          <w:sz w:val="22"/>
          <w:szCs w:val="22"/>
          <w:lang w:val="es-ES_tradnl"/>
        </w:rPr>
      </w:pPr>
    </w:p>
    <w:p w14:paraId="4BE478AA" w14:textId="3F70340F" w:rsidR="00094FF8" w:rsidRDefault="007A36D6" w:rsidP="00056B9F">
      <w:pPr>
        <w:spacing w:line="360" w:lineRule="auto"/>
        <w:jc w:val="both"/>
        <w:rPr>
          <w:rFonts w:cs="Arial"/>
          <w:sz w:val="22"/>
          <w:szCs w:val="22"/>
          <w:lang w:val="es-ES_tradnl"/>
        </w:rPr>
      </w:pPr>
      <w:r>
        <w:rPr>
          <w:rFonts w:cs="Arial"/>
          <w:sz w:val="22"/>
          <w:szCs w:val="22"/>
          <w:lang w:val="es-ES_tradnl"/>
        </w:rPr>
        <w:t xml:space="preserve">Adicionalmente, el </w:t>
      </w:r>
      <w:r w:rsidR="0058368A">
        <w:rPr>
          <w:rFonts w:cs="Arial"/>
          <w:sz w:val="22"/>
          <w:szCs w:val="22"/>
          <w:lang w:val="es-ES_tradnl"/>
        </w:rPr>
        <w:t xml:space="preserve">Director Alvarado Herrera deja constancia de su preocupación por el hecho de que el convenio con el Banco de Costa Rica, para resolver la problemática de </w:t>
      </w:r>
      <w:r w:rsidR="0058368A">
        <w:rPr>
          <w:rFonts w:cs="Arial"/>
          <w:sz w:val="22"/>
          <w:szCs w:val="22"/>
          <w:lang w:val="es-ES_tradnl"/>
        </w:rPr>
        <w:lastRenderedPageBreak/>
        <w:t>estos proyectos de vivienda, se aprobó desde enero de 2018 y, por consiguiente, se han tardado cuatro año</w:t>
      </w:r>
      <w:r w:rsidR="0008285F">
        <w:rPr>
          <w:rFonts w:cs="Arial"/>
          <w:sz w:val="22"/>
          <w:szCs w:val="22"/>
          <w:lang w:val="es-ES_tradnl"/>
        </w:rPr>
        <w:t>s</w:t>
      </w:r>
      <w:r w:rsidR="0058368A">
        <w:rPr>
          <w:rFonts w:cs="Arial"/>
          <w:sz w:val="22"/>
          <w:szCs w:val="22"/>
          <w:lang w:val="es-ES_tradnl"/>
        </w:rPr>
        <w:t xml:space="preserve"> para llegar a esta propuesta definitiva. </w:t>
      </w:r>
      <w:r>
        <w:rPr>
          <w:rFonts w:cs="Arial"/>
          <w:sz w:val="22"/>
          <w:szCs w:val="22"/>
          <w:lang w:val="es-ES_tradnl"/>
        </w:rPr>
        <w:t xml:space="preserve">El señor Subgerente de Operaciones explica las situaciones que han impedido una solución más rápida para estos proyectos y, además, </w:t>
      </w:r>
      <w:r w:rsidR="00094FF8">
        <w:rPr>
          <w:rFonts w:cs="Arial"/>
          <w:sz w:val="22"/>
          <w:szCs w:val="22"/>
          <w:lang w:val="es-ES_tradnl"/>
        </w:rPr>
        <w:t xml:space="preserve">se comentan otras opciones de solución que se han discutido en años anteriores y sobre la posibilidad de que en el caso del proyecto Ivannia, </w:t>
      </w:r>
      <w:r w:rsidR="004364C6">
        <w:rPr>
          <w:rFonts w:cs="Arial"/>
          <w:sz w:val="22"/>
          <w:szCs w:val="22"/>
          <w:lang w:val="es-ES_tradnl"/>
        </w:rPr>
        <w:t xml:space="preserve">también </w:t>
      </w:r>
      <w:r w:rsidR="00094FF8">
        <w:rPr>
          <w:rFonts w:cs="Arial"/>
          <w:sz w:val="22"/>
          <w:szCs w:val="22"/>
          <w:lang w:val="es-ES_tradnl"/>
        </w:rPr>
        <w:t>se hagan estudios de suelos para procurar su rehabilitación</w:t>
      </w:r>
      <w:r w:rsidR="004364C6">
        <w:rPr>
          <w:rFonts w:cs="Arial"/>
          <w:sz w:val="22"/>
          <w:szCs w:val="22"/>
          <w:lang w:val="es-ES_tradnl"/>
        </w:rPr>
        <w:t>, con el concurso de empresas de la zona,</w:t>
      </w:r>
      <w:r w:rsidR="00094FF8">
        <w:rPr>
          <w:rFonts w:cs="Arial"/>
          <w:sz w:val="22"/>
          <w:szCs w:val="22"/>
          <w:lang w:val="es-ES_tradnl"/>
        </w:rPr>
        <w:t xml:space="preserve"> </w:t>
      </w:r>
      <w:r w:rsidR="004364C6">
        <w:rPr>
          <w:rFonts w:cs="Arial"/>
          <w:sz w:val="22"/>
          <w:szCs w:val="22"/>
          <w:lang w:val="es-ES_tradnl"/>
        </w:rPr>
        <w:t>mediante el</w:t>
      </w:r>
      <w:r w:rsidR="00094FF8">
        <w:rPr>
          <w:rFonts w:cs="Arial"/>
          <w:sz w:val="22"/>
          <w:szCs w:val="22"/>
          <w:lang w:val="es-ES_tradnl"/>
        </w:rPr>
        <w:t xml:space="preserve"> desarrollo de una planta de tratamiento.</w:t>
      </w:r>
    </w:p>
    <w:p w14:paraId="73593E61" w14:textId="77777777" w:rsidR="00094FF8" w:rsidRDefault="00094FF8" w:rsidP="00056B9F">
      <w:pPr>
        <w:spacing w:line="360" w:lineRule="auto"/>
        <w:jc w:val="both"/>
        <w:rPr>
          <w:rFonts w:cs="Arial"/>
          <w:sz w:val="22"/>
          <w:szCs w:val="22"/>
          <w:lang w:val="es-ES_tradnl"/>
        </w:rPr>
      </w:pPr>
    </w:p>
    <w:p w14:paraId="06D82914" w14:textId="54BF4242" w:rsidR="00C715AA" w:rsidRDefault="00C715AA" w:rsidP="00C715AA">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15</w:t>
      </w:r>
      <w:r w:rsidRPr="00A25DB7">
        <w:rPr>
          <w:rFonts w:cs="Arial"/>
          <w:sz w:val="22"/>
          <w:u w:val="single"/>
          <w:lang w:val="es-ES_tradnl"/>
        </w:rPr>
        <w:t>:</w:t>
      </w:r>
      <w:r w:rsidRPr="00C715AA">
        <w:rPr>
          <w:rFonts w:cs="Arial"/>
          <w:sz w:val="22"/>
          <w:u w:val="single"/>
          <w:lang w:val="es-ES_tradnl"/>
        </w:rPr>
        <w:t>35 (grabación B)</w:t>
      </w:r>
      <w:r>
        <w:rPr>
          <w:rFonts w:cs="Arial"/>
          <w:sz w:val="22"/>
          <w:lang w:val="es-ES_tradnl"/>
        </w:rPr>
        <w:t xml:space="preserve">  La licenciada Masís Calderón atiende una consulta de la Directora Presidenta sobre las acciones judiciales que se han tomado para sentar responsabilidades y procurar la recuperación de los recursos de estos proyectos de vivienda.</w:t>
      </w:r>
      <w:r w:rsidR="00872BF0">
        <w:rPr>
          <w:rFonts w:cs="Arial"/>
          <w:sz w:val="22"/>
          <w:lang w:val="es-ES_tradnl"/>
        </w:rPr>
        <w:t xml:space="preserve">  Sobre este aspecto se pronuncia también el señor Gerente General.</w:t>
      </w:r>
    </w:p>
    <w:p w14:paraId="4EE5FD6F" w14:textId="77777777" w:rsidR="007A36D6" w:rsidRDefault="007A36D6" w:rsidP="00056B9F">
      <w:pPr>
        <w:spacing w:line="360" w:lineRule="auto"/>
        <w:jc w:val="both"/>
        <w:rPr>
          <w:rFonts w:cs="Arial"/>
          <w:sz w:val="22"/>
          <w:szCs w:val="22"/>
          <w:lang w:val="es-ES_tradnl"/>
        </w:rPr>
      </w:pPr>
    </w:p>
    <w:p w14:paraId="4D1A9BE6" w14:textId="1DFC074A" w:rsidR="008F5868" w:rsidRDefault="00922951" w:rsidP="00922951">
      <w:pPr>
        <w:spacing w:line="360" w:lineRule="auto"/>
        <w:jc w:val="both"/>
        <w:rPr>
          <w:rFonts w:cs="Arial"/>
          <w:sz w:val="22"/>
          <w:szCs w:val="22"/>
          <w:lang w:val="es-ES_tradnl"/>
        </w:rPr>
      </w:pPr>
      <w:r>
        <w:rPr>
          <w:rFonts w:cs="Arial"/>
          <w:sz w:val="22"/>
          <w:u w:val="single"/>
          <w:lang w:val="es-ES_tradnl"/>
        </w:rPr>
        <w:t>Minuto 25</w:t>
      </w:r>
      <w:r w:rsidRPr="0039311E">
        <w:rPr>
          <w:rFonts w:cs="Arial"/>
          <w:sz w:val="22"/>
          <w:u w:val="single"/>
          <w:lang w:val="es-ES_tradnl"/>
        </w:rPr>
        <w:t>:</w:t>
      </w:r>
      <w:r>
        <w:rPr>
          <w:rFonts w:cs="Arial"/>
          <w:sz w:val="22"/>
          <w:u w:val="single"/>
          <w:lang w:val="es-ES_tradnl"/>
        </w:rPr>
        <w:t xml:space="preserve">47 </w:t>
      </w:r>
      <w:r w:rsidRPr="00C715AA">
        <w:rPr>
          <w:rFonts w:cs="Arial"/>
          <w:sz w:val="22"/>
          <w:u w:val="single"/>
          <w:lang w:val="es-ES_tradnl"/>
        </w:rPr>
        <w:t>(grabación B)</w:t>
      </w:r>
      <w:r>
        <w:rPr>
          <w:rFonts w:cs="Arial"/>
          <w:sz w:val="22"/>
          <w:lang w:val="es-ES_tradnl"/>
        </w:rPr>
        <w:t xml:space="preserve">  De conformidad con el análisis realizado a la información suministrada por la </w:t>
      </w:r>
      <w:r w:rsidRPr="00922951">
        <w:rPr>
          <w:rFonts w:cs="Arial"/>
          <w:sz w:val="22"/>
          <w:szCs w:val="22"/>
          <w:lang w:val="es-ES_tradnl"/>
        </w:rPr>
        <w:t>Administración</w:t>
      </w:r>
      <w:r>
        <w:rPr>
          <w:rFonts w:cs="Arial"/>
          <w:sz w:val="22"/>
          <w:szCs w:val="22"/>
          <w:lang w:val="es-ES_tradnl"/>
        </w:rPr>
        <w:t xml:space="preserve">, la </w:t>
      </w:r>
      <w:r w:rsidRPr="00922951">
        <w:rPr>
          <w:rFonts w:cs="Arial"/>
          <w:sz w:val="22"/>
          <w:szCs w:val="22"/>
          <w:lang w:val="es-ES_tradnl"/>
        </w:rPr>
        <w:t>Junta Directiva</w:t>
      </w:r>
      <w:r>
        <w:rPr>
          <w:rFonts w:cs="Arial"/>
          <w:sz w:val="22"/>
          <w:szCs w:val="22"/>
          <w:lang w:val="es-ES_tradnl"/>
        </w:rPr>
        <w:t xml:space="preserve"> resuelva actuar de la forma recomendada, </w:t>
      </w:r>
      <w:r w:rsidR="00C5120C">
        <w:rPr>
          <w:rFonts w:cs="Arial"/>
          <w:sz w:val="22"/>
          <w:szCs w:val="22"/>
          <w:lang w:val="es-ES_tradnl"/>
        </w:rPr>
        <w:t xml:space="preserve">adicionando </w:t>
      </w:r>
      <w:r w:rsidR="008F5868">
        <w:rPr>
          <w:rFonts w:cs="Arial"/>
          <w:sz w:val="22"/>
          <w:szCs w:val="22"/>
          <w:lang w:val="es-ES_tradnl"/>
        </w:rPr>
        <w:t xml:space="preserve">una instrucción para </w:t>
      </w:r>
      <w:r w:rsidR="00C5120C">
        <w:rPr>
          <w:rFonts w:cs="Arial"/>
          <w:sz w:val="22"/>
          <w:szCs w:val="22"/>
          <w:lang w:val="es-ES_tradnl"/>
        </w:rPr>
        <w:t xml:space="preserve">que </w:t>
      </w:r>
      <w:r w:rsidR="008F5868">
        <w:rPr>
          <w:rFonts w:cs="Arial"/>
          <w:sz w:val="22"/>
          <w:szCs w:val="22"/>
          <w:lang w:val="es-ES_tradnl"/>
        </w:rPr>
        <w:t xml:space="preserve">se </w:t>
      </w:r>
      <w:r w:rsidR="0097322A">
        <w:rPr>
          <w:rFonts w:cs="Arial"/>
          <w:sz w:val="22"/>
          <w:szCs w:val="22"/>
          <w:lang w:val="es-ES_tradnl"/>
        </w:rPr>
        <w:t>prepare</w:t>
      </w:r>
      <w:r w:rsidR="008F5868">
        <w:rPr>
          <w:rFonts w:cs="Arial"/>
          <w:sz w:val="22"/>
          <w:szCs w:val="22"/>
          <w:lang w:val="es-ES_tradnl"/>
        </w:rPr>
        <w:t xml:space="preserve"> un expediente con toda la información disponible </w:t>
      </w:r>
      <w:r w:rsidR="0097322A">
        <w:rPr>
          <w:rFonts w:cs="Arial"/>
          <w:sz w:val="22"/>
          <w:szCs w:val="22"/>
          <w:lang w:val="es-ES_tradnl"/>
        </w:rPr>
        <w:t xml:space="preserve">sobre ambos proyectos de vivienda </w:t>
      </w:r>
      <w:r w:rsidR="008F5868">
        <w:rPr>
          <w:rFonts w:cs="Arial"/>
          <w:sz w:val="22"/>
          <w:szCs w:val="22"/>
          <w:lang w:val="es-ES_tradnl"/>
        </w:rPr>
        <w:t xml:space="preserve">y </w:t>
      </w:r>
      <w:r w:rsidR="0097322A">
        <w:rPr>
          <w:rFonts w:cs="Arial"/>
          <w:sz w:val="22"/>
          <w:szCs w:val="22"/>
          <w:lang w:val="es-ES_tradnl"/>
        </w:rPr>
        <w:t xml:space="preserve">se </w:t>
      </w:r>
      <w:r w:rsidR="008F5868">
        <w:rPr>
          <w:rFonts w:cs="Arial"/>
          <w:sz w:val="22"/>
          <w:szCs w:val="22"/>
          <w:lang w:val="es-ES_tradnl"/>
        </w:rPr>
        <w:t>desarroll</w:t>
      </w:r>
      <w:r w:rsidR="0097322A">
        <w:rPr>
          <w:rFonts w:cs="Arial"/>
          <w:sz w:val="22"/>
          <w:szCs w:val="22"/>
          <w:lang w:val="es-ES_tradnl"/>
        </w:rPr>
        <w:t>en</w:t>
      </w:r>
      <w:r w:rsidR="008F5868">
        <w:rPr>
          <w:rFonts w:cs="Arial"/>
          <w:sz w:val="22"/>
          <w:szCs w:val="22"/>
          <w:lang w:val="es-ES_tradnl"/>
        </w:rPr>
        <w:t xml:space="preserve"> los estudios que adicionalmente se estimen pertinentes, </w:t>
      </w:r>
      <w:r w:rsidR="0097322A">
        <w:rPr>
          <w:rFonts w:cs="Arial"/>
          <w:sz w:val="22"/>
          <w:szCs w:val="22"/>
          <w:lang w:val="es-ES_tradnl"/>
        </w:rPr>
        <w:t xml:space="preserve">con el propósito de </w:t>
      </w:r>
      <w:r w:rsidR="008F5868">
        <w:rPr>
          <w:rFonts w:cs="Arial"/>
          <w:sz w:val="22"/>
          <w:szCs w:val="22"/>
          <w:lang w:val="es-ES_tradnl"/>
        </w:rPr>
        <w:t xml:space="preserve">sentar eventuales responsabilidades en cuanto al desarrollo de estos proyectos de vivienda y se procure la recuperación de los recursos </w:t>
      </w:r>
      <w:r w:rsidR="0097322A">
        <w:rPr>
          <w:rFonts w:cs="Arial"/>
          <w:sz w:val="22"/>
          <w:szCs w:val="22"/>
          <w:lang w:val="es-ES_tradnl"/>
        </w:rPr>
        <w:t xml:space="preserve">del Estado que no se hayan </w:t>
      </w:r>
      <w:r w:rsidR="008F5868">
        <w:rPr>
          <w:rFonts w:cs="Arial"/>
          <w:sz w:val="22"/>
          <w:szCs w:val="22"/>
          <w:lang w:val="es-ES_tradnl"/>
        </w:rPr>
        <w:t>invertido</w:t>
      </w:r>
      <w:r w:rsidR="0097322A">
        <w:rPr>
          <w:rFonts w:cs="Arial"/>
          <w:sz w:val="22"/>
          <w:szCs w:val="22"/>
          <w:lang w:val="es-ES_tradnl"/>
        </w:rPr>
        <w:t xml:space="preserve"> adecuadamente</w:t>
      </w:r>
      <w:r w:rsidR="008F5868">
        <w:rPr>
          <w:rFonts w:cs="Arial"/>
          <w:sz w:val="22"/>
          <w:szCs w:val="22"/>
          <w:lang w:val="es-ES_tradnl"/>
        </w:rPr>
        <w:t>.</w:t>
      </w:r>
      <w:r w:rsidR="0097322A">
        <w:rPr>
          <w:rFonts w:cs="Arial"/>
          <w:sz w:val="22"/>
          <w:szCs w:val="22"/>
          <w:lang w:val="es-ES_tradnl"/>
        </w:rPr>
        <w:t xml:space="preserve">  Lo anterior, según se indica en el </w:t>
      </w:r>
      <w:r w:rsidR="0097322A" w:rsidRPr="0097322A">
        <w:rPr>
          <w:rFonts w:cs="Arial"/>
          <w:b/>
          <w:bCs/>
          <w:sz w:val="22"/>
          <w:szCs w:val="22"/>
          <w:lang w:val="es-ES_tradnl"/>
        </w:rPr>
        <w:t>Acuerdo N° 3</w:t>
      </w:r>
      <w:r w:rsidR="0097322A">
        <w:rPr>
          <w:rFonts w:cs="Arial"/>
          <w:sz w:val="22"/>
          <w:szCs w:val="22"/>
          <w:lang w:val="es-ES_tradnl"/>
        </w:rPr>
        <w:t xml:space="preserve"> que se anexa a esta minuta.</w:t>
      </w:r>
    </w:p>
    <w:p w14:paraId="43370ABD" w14:textId="77777777" w:rsidR="009D03FE" w:rsidRPr="00D14EAF" w:rsidRDefault="009D03FE" w:rsidP="009D03FE">
      <w:pPr>
        <w:spacing w:line="360" w:lineRule="auto"/>
        <w:jc w:val="both"/>
        <w:rPr>
          <w:rFonts w:cs="Arial"/>
          <w:b/>
          <w:sz w:val="22"/>
        </w:rPr>
      </w:pPr>
      <w:r w:rsidRPr="00D14EAF">
        <w:rPr>
          <w:rFonts w:cs="Arial"/>
          <w:b/>
          <w:sz w:val="22"/>
        </w:rPr>
        <w:t>************</w:t>
      </w:r>
    </w:p>
    <w:p w14:paraId="31A3BF11" w14:textId="77777777" w:rsidR="009D03FE" w:rsidRDefault="009D03FE" w:rsidP="009D03FE">
      <w:pPr>
        <w:spacing w:line="360" w:lineRule="auto"/>
        <w:jc w:val="both"/>
        <w:rPr>
          <w:rFonts w:cs="Arial"/>
          <w:b/>
          <w:sz w:val="22"/>
          <w:szCs w:val="22"/>
          <w:u w:val="single"/>
          <w:lang w:val="es-ES_tradnl"/>
        </w:rPr>
      </w:pPr>
    </w:p>
    <w:p w14:paraId="71E5B0CF" w14:textId="4689E0B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716174" w:rsidRPr="00716174">
        <w:rPr>
          <w:rFonts w:cs="Arial"/>
          <w:b/>
          <w:bCs/>
          <w:sz w:val="22"/>
          <w:u w:val="single"/>
          <w:lang w:val="es-ES_tradnl"/>
        </w:rPr>
        <w:t>Continuación de análisis del criterio jurídico sobre el reclamo presentado por la Constructora ROVI S.A., en relación con las multas del proyecto Loma Linda</w:t>
      </w:r>
    </w:p>
    <w:p w14:paraId="13BCF9E6" w14:textId="77777777" w:rsidR="009D03FE" w:rsidRDefault="009D03FE" w:rsidP="009D03FE">
      <w:pPr>
        <w:spacing w:line="360" w:lineRule="auto"/>
        <w:jc w:val="both"/>
        <w:rPr>
          <w:rFonts w:cs="Arial"/>
          <w:sz w:val="22"/>
          <w:szCs w:val="22"/>
        </w:rPr>
      </w:pPr>
    </w:p>
    <w:p w14:paraId="15D7BE66" w14:textId="6358D905" w:rsidR="00332277" w:rsidRDefault="0097322A" w:rsidP="0097322A">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28</w:t>
      </w:r>
      <w:r w:rsidRPr="0039311E">
        <w:rPr>
          <w:rFonts w:cs="Arial"/>
          <w:sz w:val="22"/>
          <w:u w:val="single"/>
          <w:lang w:val="es-ES_tradnl"/>
        </w:rPr>
        <w:t>:</w:t>
      </w:r>
      <w:r>
        <w:rPr>
          <w:rFonts w:cs="Arial"/>
          <w:sz w:val="22"/>
          <w:u w:val="single"/>
          <w:lang w:val="es-ES_tradnl"/>
        </w:rPr>
        <w:t>07 (grabación B)</w:t>
      </w:r>
      <w:r>
        <w:rPr>
          <w:rFonts w:cs="Arial"/>
          <w:sz w:val="22"/>
          <w:lang w:val="es-ES_tradnl"/>
        </w:rPr>
        <w:t xml:space="preserve"> A partir</w:t>
      </w:r>
      <w:r>
        <w:rPr>
          <w:rFonts w:cs="Arial"/>
          <w:sz w:val="22"/>
          <w:szCs w:val="22"/>
        </w:rPr>
        <w:t xml:space="preserve"> de este momento, </w:t>
      </w:r>
      <w:r w:rsidR="00332277">
        <w:rPr>
          <w:rFonts w:cs="Arial"/>
          <w:sz w:val="22"/>
          <w:szCs w:val="22"/>
        </w:rPr>
        <w:t xml:space="preserve">según lo discutido en punto 2° de la presente sesión,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sidR="00332277">
        <w:rPr>
          <w:rFonts w:cs="Arial"/>
          <w:color w:val="000000"/>
          <w:sz w:val="22"/>
          <w:szCs w:val="22"/>
        </w:rPr>
        <w:t xml:space="preserve"> y de conformidad con lo establecido en la Ley General de Control Interno</w:t>
      </w:r>
      <w:r>
        <w:rPr>
          <w:rFonts w:cs="Arial"/>
          <w:color w:val="000000"/>
          <w:sz w:val="22"/>
          <w:szCs w:val="22"/>
        </w:rPr>
        <w:t>, la Junta Directiva sesiona únicamente con sus miembros</w:t>
      </w:r>
      <w:r w:rsidR="00332277">
        <w:rPr>
          <w:rFonts w:cs="Arial"/>
          <w:color w:val="000000"/>
          <w:sz w:val="22"/>
          <w:szCs w:val="22"/>
        </w:rPr>
        <w:t xml:space="preserve"> y el</w:t>
      </w:r>
      <w:r>
        <w:rPr>
          <w:rFonts w:cs="Arial"/>
          <w:color w:val="000000"/>
          <w:sz w:val="22"/>
          <w:szCs w:val="22"/>
        </w:rPr>
        <w:t xml:space="preserve"> señor Gerente General,</w:t>
      </w:r>
      <w:r w:rsidRPr="00354E8F">
        <w:rPr>
          <w:rFonts w:cs="Arial"/>
          <w:color w:val="000000"/>
          <w:sz w:val="22"/>
          <w:szCs w:val="22"/>
        </w:rPr>
        <w:t xml:space="preserve"> </w:t>
      </w:r>
      <w:r>
        <w:rPr>
          <w:rFonts w:cs="Arial"/>
          <w:color w:val="000000"/>
          <w:sz w:val="22"/>
          <w:szCs w:val="22"/>
        </w:rPr>
        <w:t xml:space="preserve">con el propósito de </w:t>
      </w:r>
      <w:r w:rsidR="00332277">
        <w:rPr>
          <w:rFonts w:cs="Arial"/>
          <w:color w:val="000000"/>
          <w:sz w:val="22"/>
          <w:szCs w:val="22"/>
        </w:rPr>
        <w:t xml:space="preserve">continuar conociendo </w:t>
      </w:r>
      <w:r w:rsidR="00332277">
        <w:rPr>
          <w:rFonts w:cs="Arial"/>
          <w:sz w:val="22"/>
          <w:lang w:val="es-ES_tradnl"/>
        </w:rPr>
        <w:t xml:space="preserve">el oficio </w:t>
      </w:r>
      <w:r w:rsidR="00332277">
        <w:rPr>
          <w:rFonts w:cs="Arial"/>
          <w:sz w:val="22"/>
          <w:szCs w:val="22"/>
        </w:rPr>
        <w:t xml:space="preserve">GG-ME-1859-2022 del 22 de diciembre de 2021, mediante el cual, la </w:t>
      </w:r>
      <w:r w:rsidR="00332277" w:rsidRPr="0027797F">
        <w:rPr>
          <w:rFonts w:cs="Arial"/>
          <w:sz w:val="22"/>
          <w:szCs w:val="22"/>
          <w:lang w:val="es-CR"/>
        </w:rPr>
        <w:t>Gerencia General</w:t>
      </w:r>
      <w:r w:rsidR="00332277">
        <w:rPr>
          <w:rFonts w:cs="Arial"/>
          <w:sz w:val="22"/>
          <w:szCs w:val="22"/>
          <w:lang w:val="es-CR"/>
        </w:rPr>
        <w:t xml:space="preserve"> remite y avala los informes DF-OF-1816-2021/SO-OF-0207-2021 de la Dirección FOSUVI y la Subgerencia de Operaciones, y DF-DT-OF-1059-2021 del Departamento Técnico, que contienen los resultados del estudio efectuado </w:t>
      </w:r>
      <w:r w:rsidR="00332277">
        <w:rPr>
          <w:rFonts w:cs="Arial"/>
          <w:sz w:val="22"/>
          <w:szCs w:val="22"/>
          <w:lang w:val="es-CR"/>
        </w:rPr>
        <w:lastRenderedPageBreak/>
        <w:t xml:space="preserve">a la solicitud de Coocique R.L., para suspender temporalmente el cobro de multas del proyecto </w:t>
      </w:r>
      <w:r w:rsidR="00332277">
        <w:rPr>
          <w:rFonts w:cs="Arial"/>
          <w:sz w:val="22"/>
          <w:szCs w:val="22"/>
          <w:lang w:val="es-CR" w:eastAsia="es-CR"/>
        </w:rPr>
        <w:t>Loma Linda, ubicado el distrito 27 de Abril del cantón de Santa Cruz, provincia de Guanacaste.</w:t>
      </w:r>
    </w:p>
    <w:p w14:paraId="4F3AC097" w14:textId="77777777" w:rsidR="00332277" w:rsidRDefault="00332277" w:rsidP="0097322A">
      <w:pPr>
        <w:spacing w:line="360" w:lineRule="auto"/>
        <w:jc w:val="both"/>
        <w:rPr>
          <w:rFonts w:cs="Arial"/>
          <w:color w:val="000000"/>
          <w:sz w:val="22"/>
          <w:szCs w:val="22"/>
        </w:rPr>
      </w:pPr>
    </w:p>
    <w:p w14:paraId="0203A213" w14:textId="04C0B3D6" w:rsidR="0097322A" w:rsidRDefault="0097322A" w:rsidP="0097322A">
      <w:pPr>
        <w:spacing w:line="360" w:lineRule="auto"/>
        <w:jc w:val="both"/>
        <w:rPr>
          <w:rFonts w:cs="Arial"/>
          <w:sz w:val="22"/>
          <w:szCs w:val="22"/>
        </w:rPr>
      </w:pPr>
      <w:r>
        <w:rPr>
          <w:rFonts w:cs="Arial"/>
          <w:color w:val="000000"/>
          <w:sz w:val="22"/>
          <w:szCs w:val="22"/>
        </w:rPr>
        <w:t>Por consiguiente, se retiran de la sesión los funcionarios</w:t>
      </w:r>
      <w:r>
        <w:rPr>
          <w:rFonts w:cs="Arial"/>
          <w:sz w:val="22"/>
        </w:rPr>
        <w:t xml:space="preserve"> Barrantes Villarevia, </w:t>
      </w:r>
      <w:r w:rsidR="00332277">
        <w:rPr>
          <w:rFonts w:cs="Arial"/>
          <w:sz w:val="22"/>
        </w:rPr>
        <w:t>Sibaja Garbanzo</w:t>
      </w:r>
      <w:r>
        <w:rPr>
          <w:rFonts w:cs="Arial"/>
          <w:sz w:val="22"/>
        </w:rPr>
        <w:t xml:space="preserve"> y López Pacheco,</w:t>
      </w:r>
      <w:r>
        <w:rPr>
          <w:sz w:val="22"/>
          <w:szCs w:val="22"/>
        </w:rPr>
        <w:t xml:space="preserve"> suspendiéndose la grabación de la sesión.</w:t>
      </w:r>
    </w:p>
    <w:p w14:paraId="606D754A" w14:textId="77777777" w:rsidR="0097322A" w:rsidRDefault="0097322A" w:rsidP="0097322A">
      <w:pPr>
        <w:spacing w:line="360" w:lineRule="auto"/>
        <w:jc w:val="both"/>
        <w:rPr>
          <w:rFonts w:cs="Arial"/>
          <w:sz w:val="22"/>
          <w:szCs w:val="22"/>
        </w:rPr>
      </w:pPr>
    </w:p>
    <w:p w14:paraId="62397D8C" w14:textId="0EFB6B80" w:rsidR="0097322A" w:rsidRDefault="0097322A" w:rsidP="0097322A">
      <w:pPr>
        <w:spacing w:line="360" w:lineRule="auto"/>
        <w:jc w:val="both"/>
        <w:rPr>
          <w:rFonts w:cs="Arial"/>
          <w:sz w:val="22"/>
          <w:szCs w:val="22"/>
        </w:rPr>
      </w:pPr>
      <w:r>
        <w:rPr>
          <w:rFonts w:cs="Arial"/>
          <w:sz w:val="22"/>
          <w:szCs w:val="22"/>
        </w:rPr>
        <w:t xml:space="preserve">De conformidad con el análisis que se realiza en torno al tema, la </w:t>
      </w:r>
      <w:r w:rsidRPr="00D92F55">
        <w:rPr>
          <w:rFonts w:cs="Arial"/>
          <w:sz w:val="22"/>
          <w:szCs w:val="22"/>
          <w:lang w:val="es-ES_tradnl"/>
        </w:rPr>
        <w:t>Junta Directiva</w:t>
      </w:r>
      <w:r>
        <w:rPr>
          <w:rFonts w:cs="Arial"/>
          <w:sz w:val="22"/>
          <w:szCs w:val="22"/>
          <w:lang w:val="es-ES_tradnl"/>
        </w:rPr>
        <w:t xml:space="preserve"> toma el </w:t>
      </w:r>
      <w:r w:rsidRPr="00D92F55">
        <w:rPr>
          <w:rFonts w:cs="Arial"/>
          <w:b/>
          <w:bCs/>
          <w:sz w:val="22"/>
          <w:szCs w:val="22"/>
          <w:lang w:val="es-ES_tradnl"/>
        </w:rPr>
        <w:t xml:space="preserve">Acuerdo N° </w:t>
      </w:r>
      <w:r w:rsidR="00332277">
        <w:rPr>
          <w:rFonts w:cs="Arial"/>
          <w:b/>
          <w:bCs/>
          <w:sz w:val="22"/>
          <w:szCs w:val="22"/>
          <w:lang w:val="es-ES_tradnl"/>
        </w:rPr>
        <w:t>4</w:t>
      </w:r>
      <w:r>
        <w:rPr>
          <w:rFonts w:cs="Arial"/>
          <w:sz w:val="22"/>
          <w:szCs w:val="22"/>
          <w:lang w:val="es-ES_tradnl"/>
        </w:rPr>
        <w:t xml:space="preserve"> que se anexa a esta minuta.</w:t>
      </w:r>
    </w:p>
    <w:p w14:paraId="11948AFF" w14:textId="77777777" w:rsidR="009D03FE" w:rsidRPr="00D14EAF" w:rsidRDefault="009D03FE" w:rsidP="009D03FE">
      <w:pPr>
        <w:spacing w:line="360" w:lineRule="auto"/>
        <w:jc w:val="both"/>
        <w:rPr>
          <w:rFonts w:cs="Arial"/>
          <w:b/>
          <w:sz w:val="22"/>
        </w:rPr>
      </w:pPr>
      <w:r w:rsidRPr="00D14EAF">
        <w:rPr>
          <w:rFonts w:cs="Arial"/>
          <w:b/>
          <w:sz w:val="22"/>
        </w:rPr>
        <w:t>************</w:t>
      </w:r>
    </w:p>
    <w:p w14:paraId="383AC630" w14:textId="77777777" w:rsidR="00E97960" w:rsidRDefault="00E97960" w:rsidP="00E97960">
      <w:pPr>
        <w:spacing w:line="360" w:lineRule="auto"/>
        <w:jc w:val="both"/>
        <w:rPr>
          <w:rFonts w:cs="Arial"/>
          <w:sz w:val="22"/>
          <w:szCs w:val="22"/>
        </w:rPr>
      </w:pPr>
    </w:p>
    <w:p w14:paraId="41D1E0C6" w14:textId="5ED3D40E" w:rsidR="00FA4CCB" w:rsidRPr="00AB2826" w:rsidRDefault="00FA4CCB" w:rsidP="002D0146">
      <w:pPr>
        <w:pStyle w:val="Textoindependiente"/>
        <w:ind w:right="0"/>
        <w:rPr>
          <w:rFonts w:cs="Arial"/>
          <w:szCs w:val="22"/>
        </w:rPr>
      </w:pPr>
      <w:r w:rsidRPr="00AB2826">
        <w:rPr>
          <w:rFonts w:cs="Arial"/>
          <w:szCs w:val="22"/>
        </w:rPr>
        <w:t xml:space="preserve">Siendo las </w:t>
      </w:r>
      <w:r w:rsidR="002579C3">
        <w:rPr>
          <w:rFonts w:cs="Arial"/>
          <w:szCs w:val="22"/>
        </w:rPr>
        <w:t xml:space="preserve">veintidós </w:t>
      </w:r>
      <w:r w:rsidRPr="00AB2826">
        <w:rPr>
          <w:rFonts w:cs="Arial"/>
          <w:szCs w:val="22"/>
        </w:rPr>
        <w:t>horas</w:t>
      </w:r>
      <w:r w:rsidR="00EC7E01">
        <w:rPr>
          <w:rFonts w:cs="Arial"/>
          <w:szCs w:val="22"/>
        </w:rPr>
        <w:t xml:space="preserve"> </w:t>
      </w:r>
      <w:r w:rsidR="006A779D">
        <w:rPr>
          <w:rFonts w:cs="Arial"/>
          <w:szCs w:val="22"/>
        </w:rPr>
        <w:t xml:space="preserve">con </w:t>
      </w:r>
      <w:r w:rsidR="002579C3">
        <w:rPr>
          <w:rFonts w:cs="Arial"/>
          <w:szCs w:val="22"/>
        </w:rPr>
        <w:t>quince</w:t>
      </w:r>
      <w:r w:rsidR="00EC7E01">
        <w:rPr>
          <w:rFonts w:cs="Arial"/>
          <w:szCs w:val="22"/>
        </w:rPr>
        <w:t xml:space="preserve"> minutos</w:t>
      </w:r>
      <w:r w:rsidRPr="00AB2826">
        <w:rPr>
          <w:rFonts w:cs="Arial"/>
          <w:szCs w:val="22"/>
        </w:rPr>
        <w:t>, se levanta la sesión.</w:t>
      </w:r>
    </w:p>
    <w:p w14:paraId="2BA8F4C2" w14:textId="77777777" w:rsidR="006321F4" w:rsidRPr="00D14EAF" w:rsidRDefault="006321F4" w:rsidP="002D0146">
      <w:pPr>
        <w:spacing w:line="360" w:lineRule="auto"/>
        <w:jc w:val="both"/>
        <w:rPr>
          <w:rFonts w:cs="Arial"/>
          <w:b/>
          <w:sz w:val="22"/>
        </w:rPr>
      </w:pPr>
      <w:r w:rsidRPr="00D14EAF">
        <w:rPr>
          <w:rFonts w:cs="Arial"/>
          <w:b/>
          <w:sz w:val="22"/>
        </w:rPr>
        <w:t>************</w:t>
      </w:r>
    </w:p>
    <w:p w14:paraId="0BC26E60" w14:textId="77777777" w:rsidR="002B71CC" w:rsidRDefault="002B71CC">
      <w:pPr>
        <w:rPr>
          <w:rFonts w:cs="Arial"/>
          <w:sz w:val="22"/>
          <w:szCs w:val="22"/>
        </w:rPr>
      </w:pPr>
      <w:r>
        <w:rPr>
          <w:rFonts w:cs="Arial"/>
          <w:sz w:val="22"/>
          <w:szCs w:val="22"/>
        </w:rPr>
        <w:br w:type="page"/>
      </w:r>
    </w:p>
    <w:p w14:paraId="3D111FAF" w14:textId="77777777" w:rsidR="00FA4CCB" w:rsidRDefault="00FA4CCB" w:rsidP="00AB2826">
      <w:pPr>
        <w:spacing w:line="360" w:lineRule="auto"/>
        <w:jc w:val="both"/>
        <w:rPr>
          <w:rFonts w:cs="Arial"/>
          <w:sz w:val="22"/>
          <w:szCs w:val="22"/>
        </w:rPr>
      </w:pPr>
    </w:p>
    <w:p w14:paraId="54F94900" w14:textId="77777777" w:rsidR="002B71CC" w:rsidRDefault="002B71CC" w:rsidP="00AB2826">
      <w:pPr>
        <w:spacing w:line="360" w:lineRule="auto"/>
        <w:jc w:val="both"/>
        <w:rPr>
          <w:rFonts w:cs="Arial"/>
          <w:sz w:val="22"/>
          <w:szCs w:val="22"/>
        </w:rPr>
      </w:pPr>
    </w:p>
    <w:p w14:paraId="7A726953" w14:textId="77777777" w:rsidR="002B71CC" w:rsidRDefault="002B71CC" w:rsidP="002B71CC">
      <w:pPr>
        <w:pStyle w:val="Ttulo"/>
        <w:ind w:right="51"/>
        <w:rPr>
          <w:rFonts w:cs="Arial"/>
        </w:rPr>
      </w:pPr>
      <w:r>
        <w:rPr>
          <w:rFonts w:cs="Arial"/>
        </w:rPr>
        <w:t>BANCO HIPOTECARIO DE LA VIVIENDA</w:t>
      </w:r>
    </w:p>
    <w:p w14:paraId="123F9DAD"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2D90A787" w14:textId="77777777" w:rsidR="002B71CC" w:rsidRDefault="002B71CC" w:rsidP="002B71CC">
      <w:pPr>
        <w:spacing w:line="360" w:lineRule="auto"/>
        <w:ind w:right="51"/>
        <w:jc w:val="center"/>
        <w:rPr>
          <w:rFonts w:cs="Arial"/>
          <w:b/>
          <w:sz w:val="22"/>
          <w:u w:val="single"/>
        </w:rPr>
      </w:pPr>
    </w:p>
    <w:p w14:paraId="2177A9EE" w14:textId="1A78AFE1"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7C7C3A">
        <w:rPr>
          <w:rFonts w:cs="Arial"/>
          <w:b/>
          <w:sz w:val="22"/>
          <w:u w:val="single"/>
        </w:rPr>
        <w:t>EXTRA</w:t>
      </w:r>
      <w:r>
        <w:rPr>
          <w:rFonts w:cs="Arial"/>
          <w:b/>
          <w:sz w:val="22"/>
          <w:u w:val="single"/>
        </w:rPr>
        <w:t xml:space="preserve">ORDINARIA N° </w:t>
      </w:r>
      <w:r w:rsidR="007C7C3A">
        <w:rPr>
          <w:rFonts w:cs="Arial"/>
          <w:b/>
          <w:sz w:val="22"/>
          <w:u w:val="single"/>
        </w:rPr>
        <w:t>05</w:t>
      </w:r>
      <w:r>
        <w:rPr>
          <w:rFonts w:cs="Arial"/>
          <w:b/>
          <w:sz w:val="22"/>
          <w:u w:val="single"/>
        </w:rPr>
        <w:t>-</w:t>
      </w:r>
      <w:r w:rsidR="005F2BC7">
        <w:rPr>
          <w:rFonts w:cs="Arial"/>
          <w:b/>
          <w:sz w:val="22"/>
          <w:u w:val="single"/>
        </w:rPr>
        <w:t>2022</w:t>
      </w:r>
    </w:p>
    <w:p w14:paraId="06BED8AB" w14:textId="266BCFC9" w:rsidR="002B71CC" w:rsidRDefault="002B71CC" w:rsidP="002B71CC">
      <w:pPr>
        <w:spacing w:line="360" w:lineRule="auto"/>
        <w:ind w:right="51"/>
        <w:jc w:val="center"/>
        <w:rPr>
          <w:rFonts w:cs="Arial"/>
          <w:b/>
          <w:sz w:val="22"/>
          <w:u w:val="single"/>
        </w:rPr>
      </w:pPr>
      <w:r>
        <w:rPr>
          <w:rFonts w:cs="Arial"/>
          <w:b/>
          <w:sz w:val="22"/>
          <w:u w:val="single"/>
        </w:rPr>
        <w:t xml:space="preserve">DEL </w:t>
      </w:r>
      <w:r w:rsidR="007C7C3A">
        <w:rPr>
          <w:rFonts w:cs="Arial"/>
          <w:b/>
          <w:sz w:val="22"/>
          <w:u w:val="single"/>
        </w:rPr>
        <w:t xml:space="preserve">20 </w:t>
      </w:r>
      <w:r>
        <w:rPr>
          <w:rFonts w:cs="Arial"/>
          <w:b/>
          <w:sz w:val="22"/>
          <w:u w:val="single"/>
        </w:rPr>
        <w:t xml:space="preserve">DE </w:t>
      </w:r>
      <w:r w:rsidR="007C7C3A">
        <w:rPr>
          <w:rFonts w:cs="Arial"/>
          <w:b/>
          <w:sz w:val="22"/>
          <w:u w:val="single"/>
        </w:rPr>
        <w:t>ENERO</w:t>
      </w:r>
      <w:r>
        <w:rPr>
          <w:rFonts w:cs="Arial"/>
          <w:b/>
          <w:sz w:val="22"/>
          <w:u w:val="single"/>
        </w:rPr>
        <w:t xml:space="preserve"> DE </w:t>
      </w:r>
      <w:r w:rsidR="005F2BC7">
        <w:rPr>
          <w:rFonts w:cs="Arial"/>
          <w:b/>
          <w:sz w:val="22"/>
          <w:u w:val="single"/>
        </w:rPr>
        <w:t>2022</w:t>
      </w:r>
    </w:p>
    <w:p w14:paraId="628ADD5A" w14:textId="77777777" w:rsidR="002B71CC" w:rsidRDefault="002B71CC" w:rsidP="00AB2826">
      <w:pPr>
        <w:spacing w:line="360" w:lineRule="auto"/>
        <w:jc w:val="both"/>
        <w:rPr>
          <w:rFonts w:cs="Arial"/>
          <w:sz w:val="22"/>
          <w:szCs w:val="22"/>
        </w:rPr>
      </w:pPr>
    </w:p>
    <w:p w14:paraId="045ABF9C" w14:textId="77777777" w:rsidR="002B71CC" w:rsidRDefault="002B71CC" w:rsidP="002B71CC">
      <w:pPr>
        <w:spacing w:line="360" w:lineRule="auto"/>
        <w:jc w:val="both"/>
        <w:rPr>
          <w:rFonts w:cs="Arial"/>
          <w:sz w:val="22"/>
          <w:lang w:val="es-ES_tradnl"/>
        </w:rPr>
      </w:pPr>
    </w:p>
    <w:p w14:paraId="2875651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3A735F01" w14:textId="63826277" w:rsidR="002F589A" w:rsidRDefault="002F589A" w:rsidP="002B71CC">
      <w:pPr>
        <w:spacing w:line="360" w:lineRule="auto"/>
        <w:jc w:val="both"/>
        <w:rPr>
          <w:rFonts w:cs="Arial"/>
          <w:sz w:val="22"/>
          <w:lang w:val="es-ES_tradnl"/>
        </w:rPr>
      </w:pPr>
      <w:r>
        <w:rPr>
          <w:rFonts w:cs="Arial"/>
          <w:sz w:val="22"/>
          <w:szCs w:val="22"/>
        </w:rPr>
        <w:t xml:space="preserve">Instruir a la </w:t>
      </w:r>
      <w:r w:rsidRPr="009208A9">
        <w:rPr>
          <w:rFonts w:cs="Arial"/>
          <w:sz w:val="22"/>
          <w:szCs w:val="22"/>
          <w:lang w:val="es-ES_tradnl"/>
        </w:rPr>
        <w:t>Administración</w:t>
      </w:r>
      <w:r>
        <w:rPr>
          <w:rFonts w:cs="Arial"/>
          <w:sz w:val="22"/>
          <w:szCs w:val="22"/>
          <w:lang w:val="es-ES_tradnl"/>
        </w:rPr>
        <w:t xml:space="preserve">, para que elabore y someta a la </w:t>
      </w:r>
      <w:r>
        <w:rPr>
          <w:rFonts w:cs="Arial"/>
          <w:sz w:val="22"/>
          <w:lang w:val="es-ES_tradnl"/>
        </w:rPr>
        <w:t xml:space="preserve">consideración de esta </w:t>
      </w:r>
      <w:r w:rsidRPr="00713A41">
        <w:rPr>
          <w:rFonts w:cs="Arial"/>
          <w:sz w:val="22"/>
          <w:lang w:val="es-ES_tradnl"/>
        </w:rPr>
        <w:t>Junta Directiva</w:t>
      </w:r>
      <w:r>
        <w:rPr>
          <w:rFonts w:cs="Arial"/>
          <w:sz w:val="22"/>
          <w:lang w:val="es-ES_tradnl"/>
        </w:rPr>
        <w:t xml:space="preserve">, a más tardar el próximo 07 de marzo, una propuesta </w:t>
      </w:r>
      <w:r w:rsidR="00B942CF">
        <w:rPr>
          <w:rFonts w:cs="Arial"/>
          <w:sz w:val="22"/>
          <w:lang w:val="es-ES_tradnl"/>
        </w:rPr>
        <w:t xml:space="preserve">de </w:t>
      </w:r>
      <w:r>
        <w:rPr>
          <w:rFonts w:cs="Arial"/>
          <w:sz w:val="22"/>
          <w:lang w:val="es-ES_tradnl"/>
        </w:rPr>
        <w:t>un nuevo programa de financiamiento con recursos del FOSUVI, con base en los resultados de la ejecución del plan piloto del Programa de Vivienda Urbana, Inclusiva y Sostenible, incluyendo los términos y condiciones técnicas, financieras y legales, para lograr su implementación efectiva.</w:t>
      </w:r>
    </w:p>
    <w:p w14:paraId="4CA094EE" w14:textId="77777777" w:rsidR="002F589A" w:rsidRDefault="002F589A" w:rsidP="002B71CC">
      <w:pPr>
        <w:spacing w:line="360" w:lineRule="auto"/>
        <w:jc w:val="both"/>
        <w:rPr>
          <w:rFonts w:cs="Arial"/>
          <w:sz w:val="22"/>
          <w:lang w:val="es-ES_tradnl"/>
        </w:rPr>
      </w:pPr>
    </w:p>
    <w:p w14:paraId="35801ECB" w14:textId="605B373E" w:rsidR="002B71CC" w:rsidRDefault="002F589A" w:rsidP="002B71CC">
      <w:pPr>
        <w:spacing w:line="360" w:lineRule="auto"/>
        <w:jc w:val="both"/>
        <w:rPr>
          <w:rFonts w:cs="Arial"/>
          <w:sz w:val="22"/>
          <w:szCs w:val="22"/>
        </w:rPr>
      </w:pPr>
      <w:r>
        <w:rPr>
          <w:rFonts w:cs="Arial"/>
          <w:sz w:val="22"/>
          <w:lang w:val="es-ES_tradnl"/>
        </w:rPr>
        <w:t xml:space="preserve">Complementariamente, se solicita a la </w:t>
      </w:r>
      <w:r w:rsidRPr="002722B9">
        <w:rPr>
          <w:rFonts w:cs="Arial"/>
          <w:sz w:val="22"/>
          <w:szCs w:val="22"/>
          <w:lang w:val="es-ES_tradnl"/>
        </w:rPr>
        <w:t>Administración</w:t>
      </w:r>
      <w:r>
        <w:rPr>
          <w:rFonts w:cs="Arial"/>
          <w:sz w:val="22"/>
          <w:szCs w:val="22"/>
          <w:lang w:val="es-ES_tradnl"/>
        </w:rPr>
        <w:t xml:space="preserve"> que analice la relación </w:t>
      </w:r>
      <w:r>
        <w:rPr>
          <w:rFonts w:cs="Arial"/>
          <w:sz w:val="22"/>
          <w:lang w:val="es-ES_tradnl"/>
        </w:rPr>
        <w:t xml:space="preserve">de costos constructivos </w:t>
      </w:r>
      <w:r w:rsidR="00F02C3D">
        <w:rPr>
          <w:rFonts w:cs="Arial"/>
          <w:sz w:val="22"/>
          <w:lang w:val="es-ES_tradnl"/>
        </w:rPr>
        <w:t xml:space="preserve">de las viviendas financiadas bajo el </w:t>
      </w:r>
      <w:r>
        <w:rPr>
          <w:rFonts w:cs="Arial"/>
          <w:sz w:val="22"/>
          <w:lang w:val="es-ES_tradnl"/>
        </w:rPr>
        <w:t xml:space="preserve">plan piloto del Programa de Vivienda Urbana, Inclusiva y Sostenible, con respecto a otros proyectos </w:t>
      </w:r>
      <w:r w:rsidR="00F02C3D">
        <w:rPr>
          <w:rFonts w:cs="Arial"/>
          <w:sz w:val="22"/>
          <w:lang w:val="es-ES_tradnl"/>
        </w:rPr>
        <w:t xml:space="preserve">de vivienda </w:t>
      </w:r>
      <w:r>
        <w:rPr>
          <w:rFonts w:cs="Arial"/>
          <w:sz w:val="22"/>
          <w:lang w:val="es-ES_tradnl"/>
        </w:rPr>
        <w:t>financiados por el BANHVI en el Área Metropolitana, incluyendo la valoración de los beneficios sociales.</w:t>
      </w:r>
    </w:p>
    <w:p w14:paraId="0F2A2EB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04FA5BB" w14:textId="77777777" w:rsidR="002B71CC" w:rsidRPr="00D14EAF" w:rsidRDefault="002B71CC" w:rsidP="002B71CC">
      <w:pPr>
        <w:spacing w:line="360" w:lineRule="auto"/>
        <w:jc w:val="both"/>
        <w:rPr>
          <w:rFonts w:cs="Arial"/>
          <w:b/>
          <w:sz w:val="22"/>
        </w:rPr>
      </w:pPr>
      <w:r w:rsidRPr="00D14EAF">
        <w:rPr>
          <w:rFonts w:cs="Arial"/>
          <w:b/>
          <w:sz w:val="22"/>
        </w:rPr>
        <w:t>************</w:t>
      </w:r>
    </w:p>
    <w:p w14:paraId="6A95E30E" w14:textId="77777777" w:rsidR="002B71CC" w:rsidRDefault="002B71CC" w:rsidP="002B71CC">
      <w:pPr>
        <w:spacing w:line="360" w:lineRule="auto"/>
        <w:jc w:val="both"/>
        <w:rPr>
          <w:rFonts w:cs="Arial"/>
          <w:sz w:val="22"/>
          <w:lang w:val="es-ES_tradnl"/>
        </w:rPr>
      </w:pPr>
    </w:p>
    <w:p w14:paraId="13346E0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D6E93A8" w14:textId="7A01D743" w:rsidR="002B71CC" w:rsidRPr="00DE339C" w:rsidRDefault="008F5B5D" w:rsidP="002B71CC">
      <w:pPr>
        <w:spacing w:line="360" w:lineRule="auto"/>
        <w:jc w:val="both"/>
        <w:rPr>
          <w:rFonts w:cs="Arial"/>
          <w:b/>
          <w:bCs/>
          <w:sz w:val="22"/>
          <w:szCs w:val="22"/>
        </w:rPr>
      </w:pPr>
      <w:r w:rsidRPr="00DE339C">
        <w:rPr>
          <w:rFonts w:cs="Arial"/>
          <w:b/>
          <w:bCs/>
          <w:sz w:val="22"/>
          <w:szCs w:val="22"/>
        </w:rPr>
        <w:t>CONSIDERANDO:</w:t>
      </w:r>
    </w:p>
    <w:p w14:paraId="785C0A5F" w14:textId="15CA9789" w:rsidR="009414E2" w:rsidRDefault="009414E2" w:rsidP="002B71CC">
      <w:pPr>
        <w:spacing w:line="360" w:lineRule="auto"/>
        <w:jc w:val="both"/>
        <w:rPr>
          <w:rFonts w:cs="Arial"/>
          <w:sz w:val="22"/>
          <w:szCs w:val="22"/>
        </w:rPr>
      </w:pPr>
      <w:r w:rsidRPr="00DE339C">
        <w:rPr>
          <w:rFonts w:cs="Arial"/>
          <w:b/>
          <w:bCs/>
          <w:sz w:val="22"/>
          <w:szCs w:val="22"/>
        </w:rPr>
        <w:t>Primero:</w:t>
      </w:r>
      <w:r>
        <w:rPr>
          <w:rFonts w:cs="Arial"/>
          <w:sz w:val="22"/>
          <w:szCs w:val="22"/>
        </w:rPr>
        <w:t xml:space="preserve"> Que </w:t>
      </w:r>
      <w:r w:rsidR="00822E64">
        <w:rPr>
          <w:rFonts w:cs="Arial"/>
          <w:sz w:val="22"/>
          <w:szCs w:val="22"/>
        </w:rPr>
        <w:t>mediante acuerdo</w:t>
      </w:r>
      <w:r w:rsidR="001C17AB">
        <w:rPr>
          <w:rFonts w:cs="Arial"/>
          <w:sz w:val="22"/>
          <w:szCs w:val="22"/>
        </w:rPr>
        <w:t xml:space="preserve"> número</w:t>
      </w:r>
      <w:r w:rsidR="00822E64">
        <w:rPr>
          <w:rFonts w:cs="Arial"/>
          <w:sz w:val="22"/>
          <w:szCs w:val="22"/>
        </w:rPr>
        <w:t xml:space="preserve"> 7 de la sesión 33-2018 del 09 de julio de 2018, esta </w:t>
      </w:r>
      <w:r w:rsidR="00822E64" w:rsidRPr="00822E64">
        <w:rPr>
          <w:rFonts w:cs="Arial"/>
          <w:sz w:val="22"/>
          <w:szCs w:val="22"/>
          <w:lang w:val="es-ES_tradnl"/>
        </w:rPr>
        <w:t>Junta Directiva</w:t>
      </w:r>
      <w:r w:rsidR="00822E64">
        <w:rPr>
          <w:rFonts w:cs="Arial"/>
          <w:sz w:val="22"/>
          <w:szCs w:val="22"/>
          <w:lang w:val="es-ES_tradnl"/>
        </w:rPr>
        <w:t xml:space="preserve"> resolvió, en lo que ahora interés, lo siguiente:</w:t>
      </w:r>
    </w:p>
    <w:p w14:paraId="7D46C937" w14:textId="0BC0D2FC" w:rsidR="009414E2" w:rsidRDefault="009414E2" w:rsidP="001C17AB">
      <w:pPr>
        <w:ind w:left="284" w:right="335"/>
        <w:jc w:val="both"/>
        <w:rPr>
          <w:rFonts w:cs="Arial"/>
          <w:sz w:val="22"/>
          <w:szCs w:val="22"/>
        </w:rPr>
      </w:pPr>
    </w:p>
    <w:p w14:paraId="35FBAC85" w14:textId="351EBA14" w:rsidR="00822E64" w:rsidRDefault="00822E64" w:rsidP="001C17AB">
      <w:pPr>
        <w:ind w:left="284" w:right="335"/>
        <w:jc w:val="both"/>
        <w:rPr>
          <w:rFonts w:cs="Arial"/>
          <w:sz w:val="22"/>
          <w:szCs w:val="22"/>
        </w:rPr>
      </w:pPr>
      <w:r>
        <w:rPr>
          <w:rFonts w:cs="Arial"/>
          <w:sz w:val="22"/>
          <w:szCs w:val="22"/>
        </w:rPr>
        <w:t>“</w:t>
      </w:r>
      <w:r w:rsidR="001C17AB">
        <w:rPr>
          <w:rFonts w:cs="Arial"/>
          <w:sz w:val="22"/>
          <w:szCs w:val="22"/>
        </w:rPr>
        <w:t>…</w:t>
      </w:r>
      <w:r w:rsidRPr="00822E64">
        <w:rPr>
          <w:rFonts w:cs="Arial"/>
          <w:sz w:val="22"/>
          <w:szCs w:val="22"/>
        </w:rPr>
        <w:t xml:space="preserve">Rechazar, conforme los argumentos técnicos y jurídicos que se mencionan en los documentos adjuntos al oficio GG-ME-0468-2018 de la Gerencia General, la solicitud de la empresa </w:t>
      </w:r>
      <w:r w:rsidRPr="00822E64">
        <w:rPr>
          <w:rFonts w:cs="Arial"/>
          <w:bCs/>
          <w:sz w:val="22"/>
          <w:szCs w:val="22"/>
          <w:lang w:val="es-CR"/>
        </w:rPr>
        <w:t>Consultoría Mar Azul S.A.,</w:t>
      </w:r>
      <w:r w:rsidRPr="00822E64">
        <w:rPr>
          <w:rFonts w:cs="Arial"/>
          <w:sz w:val="22"/>
          <w:szCs w:val="22"/>
          <w:lang w:val="es-CR"/>
        </w:rPr>
        <w:t xml:space="preserve"> sobre el reintegro de costos para el proyecto habitacional Villa Bonita, relacionada específicamente con los costos operativos de su planta de tratamiento de aguas residuales</w:t>
      </w:r>
      <w:r>
        <w:rPr>
          <w:rFonts w:cs="Arial"/>
          <w:sz w:val="22"/>
          <w:szCs w:val="22"/>
          <w:lang w:val="es-CR"/>
        </w:rPr>
        <w:t>.”</w:t>
      </w:r>
    </w:p>
    <w:p w14:paraId="2C9F6EED" w14:textId="7B6F4C5E" w:rsidR="009414E2" w:rsidRDefault="009414E2" w:rsidP="002B71CC">
      <w:pPr>
        <w:spacing w:line="360" w:lineRule="auto"/>
        <w:jc w:val="both"/>
        <w:rPr>
          <w:rFonts w:cs="Arial"/>
          <w:sz w:val="22"/>
          <w:szCs w:val="22"/>
        </w:rPr>
      </w:pPr>
    </w:p>
    <w:p w14:paraId="20DC7382" w14:textId="1AACD8EF" w:rsidR="00356486" w:rsidRDefault="00C86A5F" w:rsidP="00822E64">
      <w:pPr>
        <w:spacing w:line="360" w:lineRule="auto"/>
        <w:jc w:val="both"/>
        <w:rPr>
          <w:rFonts w:cs="Arial"/>
          <w:sz w:val="22"/>
          <w:szCs w:val="22"/>
        </w:rPr>
      </w:pPr>
      <w:r w:rsidRPr="00DE339C">
        <w:rPr>
          <w:rFonts w:cs="Arial"/>
          <w:b/>
          <w:bCs/>
          <w:sz w:val="22"/>
          <w:szCs w:val="22"/>
        </w:rPr>
        <w:lastRenderedPageBreak/>
        <w:t>Segundo</w:t>
      </w:r>
      <w:r w:rsidRPr="009A451E">
        <w:rPr>
          <w:rFonts w:cs="Arial"/>
          <w:b/>
          <w:bCs/>
          <w:sz w:val="22"/>
          <w:szCs w:val="22"/>
        </w:rPr>
        <w:t>:</w:t>
      </w:r>
      <w:r w:rsidRPr="009A451E">
        <w:rPr>
          <w:rFonts w:cs="Arial"/>
          <w:sz w:val="22"/>
          <w:szCs w:val="22"/>
        </w:rPr>
        <w:t xml:space="preserve"> </w:t>
      </w:r>
      <w:r w:rsidR="009A451E">
        <w:rPr>
          <w:rFonts w:cs="Arial"/>
          <w:sz w:val="22"/>
          <w:szCs w:val="22"/>
        </w:rPr>
        <w:t xml:space="preserve">Que </w:t>
      </w:r>
      <w:r w:rsidR="00356486">
        <w:rPr>
          <w:rFonts w:cs="Arial"/>
          <w:sz w:val="22"/>
          <w:szCs w:val="22"/>
        </w:rPr>
        <w:t xml:space="preserve">este acuerdo </w:t>
      </w:r>
      <w:r w:rsidR="009A451E">
        <w:rPr>
          <w:rFonts w:cs="Arial"/>
          <w:sz w:val="22"/>
          <w:szCs w:val="22"/>
        </w:rPr>
        <w:t>fue notificad</w:t>
      </w:r>
      <w:r w:rsidR="00356486">
        <w:rPr>
          <w:rFonts w:cs="Arial"/>
          <w:sz w:val="22"/>
          <w:szCs w:val="22"/>
        </w:rPr>
        <w:t>o</w:t>
      </w:r>
      <w:r w:rsidR="009A451E">
        <w:rPr>
          <w:rFonts w:cs="Arial"/>
          <w:sz w:val="22"/>
          <w:szCs w:val="22"/>
        </w:rPr>
        <w:t xml:space="preserve"> a la empresa Consultoría Mar Azul S.A., por medio del oficio JD-368-2018 del 23 de julio de 2018</w:t>
      </w:r>
      <w:r w:rsidR="00356486">
        <w:rPr>
          <w:rFonts w:cs="Arial"/>
          <w:sz w:val="22"/>
          <w:szCs w:val="22"/>
        </w:rPr>
        <w:t>.</w:t>
      </w:r>
    </w:p>
    <w:p w14:paraId="6E48325B" w14:textId="77777777" w:rsidR="00356486" w:rsidRDefault="00356486" w:rsidP="00822E64">
      <w:pPr>
        <w:spacing w:line="360" w:lineRule="auto"/>
        <w:jc w:val="both"/>
        <w:rPr>
          <w:rFonts w:cs="Arial"/>
          <w:sz w:val="22"/>
          <w:szCs w:val="22"/>
        </w:rPr>
      </w:pPr>
    </w:p>
    <w:p w14:paraId="4A74DBF5" w14:textId="26F9F349" w:rsidR="00BC7CA2" w:rsidRDefault="00356486" w:rsidP="00822E64">
      <w:pPr>
        <w:spacing w:line="360" w:lineRule="auto"/>
        <w:jc w:val="both"/>
        <w:rPr>
          <w:rFonts w:cs="Arial"/>
          <w:sz w:val="22"/>
          <w:szCs w:val="22"/>
          <w:lang w:val="es-CR"/>
        </w:rPr>
      </w:pPr>
      <w:r w:rsidRPr="00356486">
        <w:rPr>
          <w:rFonts w:cs="Arial"/>
          <w:b/>
          <w:bCs/>
          <w:sz w:val="22"/>
          <w:szCs w:val="22"/>
        </w:rPr>
        <w:t>Tercero:</w:t>
      </w:r>
      <w:r w:rsidR="00C86A5F">
        <w:rPr>
          <w:rFonts w:cs="Arial"/>
          <w:sz w:val="22"/>
          <w:szCs w:val="22"/>
        </w:rPr>
        <w:t xml:space="preserve"> </w:t>
      </w:r>
      <w:r w:rsidR="009414E2">
        <w:rPr>
          <w:rFonts w:cs="Arial"/>
          <w:sz w:val="22"/>
          <w:szCs w:val="22"/>
        </w:rPr>
        <w:t xml:space="preserve">Que </w:t>
      </w:r>
      <w:r w:rsidR="001C17AB">
        <w:rPr>
          <w:rFonts w:cs="Arial"/>
          <w:sz w:val="22"/>
          <w:szCs w:val="22"/>
        </w:rPr>
        <w:t xml:space="preserve">contra dicha resolución y por medio de escrito del </w:t>
      </w:r>
      <w:r w:rsidR="00822E64" w:rsidRPr="00822E64">
        <w:rPr>
          <w:rFonts w:cs="Arial"/>
          <w:sz w:val="22"/>
          <w:szCs w:val="22"/>
        </w:rPr>
        <w:t xml:space="preserve">11 de setiembre de 2018, la empresa </w:t>
      </w:r>
      <w:r w:rsidR="00822E64" w:rsidRPr="00822E64">
        <w:rPr>
          <w:rFonts w:cs="Arial"/>
          <w:sz w:val="22"/>
          <w:szCs w:val="22"/>
          <w:lang w:val="es-CR"/>
        </w:rPr>
        <w:t>Consultoría Mar Azul S.A., interpone</w:t>
      </w:r>
      <w:r w:rsidR="00BC7CA2">
        <w:rPr>
          <w:rFonts w:cs="Arial"/>
          <w:sz w:val="22"/>
          <w:szCs w:val="22"/>
          <w:lang w:val="es-CR"/>
        </w:rPr>
        <w:t xml:space="preserve"> </w:t>
      </w:r>
      <w:r w:rsidR="00822E64" w:rsidRPr="00822E64">
        <w:rPr>
          <w:rFonts w:cs="Arial"/>
          <w:sz w:val="22"/>
          <w:szCs w:val="22"/>
          <w:lang w:val="es-CR"/>
        </w:rPr>
        <w:t>recurso de reconsideraci</w:t>
      </w:r>
      <w:r w:rsidR="00BC7CA2">
        <w:rPr>
          <w:rFonts w:cs="Arial"/>
          <w:sz w:val="22"/>
          <w:szCs w:val="22"/>
          <w:lang w:val="es-CR"/>
        </w:rPr>
        <w:t>ó</w:t>
      </w:r>
      <w:r w:rsidR="00822E64" w:rsidRPr="00822E64">
        <w:rPr>
          <w:rFonts w:cs="Arial"/>
          <w:sz w:val="22"/>
          <w:szCs w:val="22"/>
          <w:lang w:val="es-CR"/>
        </w:rPr>
        <w:t>n</w:t>
      </w:r>
      <w:r w:rsidR="001C17AB">
        <w:rPr>
          <w:rFonts w:cs="Arial"/>
          <w:sz w:val="22"/>
          <w:szCs w:val="22"/>
          <w:lang w:val="es-CR"/>
        </w:rPr>
        <w:t>, ampliando sus argumentos con el</w:t>
      </w:r>
      <w:r w:rsidR="00BC7CA2">
        <w:rPr>
          <w:rFonts w:cs="Arial"/>
          <w:sz w:val="22"/>
          <w:szCs w:val="22"/>
          <w:lang w:val="es-CR"/>
        </w:rPr>
        <w:t xml:space="preserve"> oficio DT-OCH-</w:t>
      </w:r>
      <w:r w:rsidR="00EB3D73">
        <w:rPr>
          <w:rFonts w:cs="Arial"/>
          <w:sz w:val="22"/>
          <w:szCs w:val="22"/>
          <w:lang w:val="es-CR"/>
        </w:rPr>
        <w:t>01-2020</w:t>
      </w:r>
      <w:r w:rsidR="001C17AB">
        <w:rPr>
          <w:rFonts w:cs="Arial"/>
          <w:sz w:val="22"/>
          <w:szCs w:val="22"/>
          <w:lang w:val="es-CR"/>
        </w:rPr>
        <w:t>,</w:t>
      </w:r>
      <w:r w:rsidR="00EB3D73">
        <w:rPr>
          <w:rFonts w:cs="Arial"/>
          <w:sz w:val="22"/>
          <w:szCs w:val="22"/>
          <w:lang w:val="es-CR"/>
        </w:rPr>
        <w:t xml:space="preserve"> del 24 de febrero de 2020, y oficio sin número del 04 de junio de 2021</w:t>
      </w:r>
      <w:r w:rsidR="001C17AB">
        <w:rPr>
          <w:rFonts w:cs="Arial"/>
          <w:sz w:val="22"/>
          <w:szCs w:val="22"/>
          <w:lang w:val="es-CR"/>
        </w:rPr>
        <w:t xml:space="preserve">.  En este último </w:t>
      </w:r>
      <w:r w:rsidR="004A2175">
        <w:rPr>
          <w:rFonts w:cs="Arial"/>
          <w:sz w:val="22"/>
          <w:szCs w:val="22"/>
          <w:lang w:val="es-CR"/>
        </w:rPr>
        <w:t xml:space="preserve">documento </w:t>
      </w:r>
      <w:r w:rsidR="001C17AB">
        <w:rPr>
          <w:rFonts w:cs="Arial"/>
          <w:sz w:val="22"/>
          <w:szCs w:val="22"/>
          <w:lang w:val="es-CR"/>
        </w:rPr>
        <w:t xml:space="preserve">y con base en los argumentos que se exponen, dicha empresa solicita </w:t>
      </w:r>
      <w:r w:rsidR="004A2175">
        <w:rPr>
          <w:rFonts w:cs="Arial"/>
          <w:sz w:val="22"/>
          <w:szCs w:val="22"/>
          <w:lang w:val="es-CR"/>
        </w:rPr>
        <w:t xml:space="preserve">a esta </w:t>
      </w:r>
      <w:r w:rsidR="004A2175" w:rsidRPr="004A2175">
        <w:rPr>
          <w:rFonts w:cs="Arial"/>
          <w:sz w:val="22"/>
          <w:szCs w:val="22"/>
          <w:lang w:val="es-ES_tradnl"/>
        </w:rPr>
        <w:t>Junta Directiva</w:t>
      </w:r>
      <w:r w:rsidR="004A2175">
        <w:rPr>
          <w:rFonts w:cs="Arial"/>
          <w:sz w:val="22"/>
          <w:szCs w:val="22"/>
          <w:lang w:val="es-ES_tradnl"/>
        </w:rPr>
        <w:t xml:space="preserve"> </w:t>
      </w:r>
      <w:r w:rsidR="001C17AB">
        <w:rPr>
          <w:rFonts w:cs="Arial"/>
          <w:sz w:val="22"/>
          <w:szCs w:val="22"/>
          <w:lang w:val="es-CR"/>
        </w:rPr>
        <w:t>lo siguiente:</w:t>
      </w:r>
    </w:p>
    <w:p w14:paraId="731B1D9F" w14:textId="77777777" w:rsidR="00A30EF5" w:rsidRDefault="00A30EF5" w:rsidP="00A30EF5">
      <w:pPr>
        <w:jc w:val="both"/>
        <w:rPr>
          <w:rFonts w:cs="Arial"/>
          <w:sz w:val="22"/>
          <w:szCs w:val="22"/>
        </w:rPr>
      </w:pPr>
    </w:p>
    <w:p w14:paraId="2B28F553" w14:textId="24D50EE8" w:rsidR="001C17AB" w:rsidRDefault="001C17AB" w:rsidP="00A30EF5">
      <w:pPr>
        <w:ind w:left="142" w:right="193"/>
        <w:jc w:val="both"/>
        <w:rPr>
          <w:rFonts w:cs="Arial"/>
          <w:sz w:val="22"/>
          <w:szCs w:val="22"/>
          <w:lang w:val="es-CR"/>
        </w:rPr>
      </w:pPr>
      <w:r>
        <w:rPr>
          <w:rFonts w:cs="Arial"/>
          <w:sz w:val="22"/>
          <w:szCs w:val="22"/>
          <w:lang w:val="es-CR"/>
        </w:rPr>
        <w:t>“</w:t>
      </w:r>
      <w:r w:rsidRPr="001C17AB">
        <w:rPr>
          <w:rFonts w:cs="Arial"/>
          <w:sz w:val="22"/>
          <w:szCs w:val="22"/>
          <w:lang w:val="es-CR"/>
        </w:rPr>
        <w:t>1.-) Anular o revocar en todos sus extrem</w:t>
      </w:r>
      <w:r>
        <w:rPr>
          <w:rFonts w:cs="Arial"/>
          <w:sz w:val="22"/>
          <w:szCs w:val="22"/>
          <w:lang w:val="es-CR"/>
        </w:rPr>
        <w:t>o</w:t>
      </w:r>
      <w:r w:rsidRPr="001C17AB">
        <w:rPr>
          <w:rFonts w:cs="Arial"/>
          <w:sz w:val="22"/>
          <w:szCs w:val="22"/>
          <w:lang w:val="es-CR"/>
        </w:rPr>
        <w:t>s el acuerdo n</w:t>
      </w:r>
      <w:r>
        <w:rPr>
          <w:rFonts w:cs="Arial"/>
          <w:sz w:val="22"/>
          <w:szCs w:val="22"/>
          <w:lang w:val="es-CR"/>
        </w:rPr>
        <w:t>ú</w:t>
      </w:r>
      <w:r w:rsidRPr="001C17AB">
        <w:rPr>
          <w:rFonts w:cs="Arial"/>
          <w:sz w:val="22"/>
          <w:szCs w:val="22"/>
          <w:lang w:val="es-CR"/>
        </w:rPr>
        <w:t xml:space="preserve">mero 7 de </w:t>
      </w:r>
      <w:r>
        <w:rPr>
          <w:rFonts w:cs="Arial"/>
          <w:sz w:val="22"/>
          <w:szCs w:val="22"/>
          <w:lang w:val="es-CR"/>
        </w:rPr>
        <w:t>l</w:t>
      </w:r>
      <w:r w:rsidRPr="001C17AB">
        <w:rPr>
          <w:rFonts w:cs="Arial"/>
          <w:sz w:val="22"/>
          <w:szCs w:val="22"/>
          <w:lang w:val="es-CR"/>
        </w:rPr>
        <w:t>a sesi</w:t>
      </w:r>
      <w:r>
        <w:rPr>
          <w:rFonts w:cs="Arial"/>
          <w:sz w:val="22"/>
          <w:szCs w:val="22"/>
          <w:lang w:val="es-CR"/>
        </w:rPr>
        <w:t>ó</w:t>
      </w:r>
      <w:r w:rsidRPr="001C17AB">
        <w:rPr>
          <w:rFonts w:cs="Arial"/>
          <w:sz w:val="22"/>
          <w:szCs w:val="22"/>
          <w:lang w:val="es-CR"/>
        </w:rPr>
        <w:t>n</w:t>
      </w:r>
      <w:r>
        <w:rPr>
          <w:rFonts w:cs="Arial"/>
          <w:sz w:val="22"/>
          <w:szCs w:val="22"/>
          <w:lang w:val="es-CR"/>
        </w:rPr>
        <w:t xml:space="preserve"> </w:t>
      </w:r>
      <w:r w:rsidRPr="001C17AB">
        <w:rPr>
          <w:rFonts w:cs="Arial"/>
          <w:sz w:val="22"/>
          <w:szCs w:val="22"/>
          <w:lang w:val="es-CR"/>
        </w:rPr>
        <w:t xml:space="preserve">numero 33-2018 del 9 de </w:t>
      </w:r>
      <w:r>
        <w:rPr>
          <w:rFonts w:cs="Arial"/>
          <w:sz w:val="22"/>
          <w:szCs w:val="22"/>
          <w:lang w:val="es-CR"/>
        </w:rPr>
        <w:t>j</w:t>
      </w:r>
      <w:r w:rsidRPr="001C17AB">
        <w:rPr>
          <w:rFonts w:cs="Arial"/>
          <w:sz w:val="22"/>
          <w:szCs w:val="22"/>
          <w:lang w:val="es-CR"/>
        </w:rPr>
        <w:t>ulio del 2018.</w:t>
      </w:r>
    </w:p>
    <w:p w14:paraId="1CA9B087" w14:textId="77777777" w:rsidR="004A2175" w:rsidRPr="001C17AB" w:rsidRDefault="004A2175" w:rsidP="00A30EF5">
      <w:pPr>
        <w:ind w:left="142" w:right="193"/>
        <w:jc w:val="both"/>
        <w:rPr>
          <w:rFonts w:cs="Arial"/>
          <w:sz w:val="22"/>
          <w:szCs w:val="22"/>
          <w:lang w:val="es-CR"/>
        </w:rPr>
      </w:pPr>
    </w:p>
    <w:p w14:paraId="6B1D9430" w14:textId="34E5E124" w:rsidR="001C17AB" w:rsidRDefault="001C17AB" w:rsidP="004A2175">
      <w:pPr>
        <w:ind w:left="142" w:right="193"/>
        <w:jc w:val="both"/>
        <w:rPr>
          <w:rFonts w:cs="Arial"/>
          <w:sz w:val="22"/>
          <w:szCs w:val="22"/>
          <w:lang w:val="es-CR"/>
        </w:rPr>
      </w:pPr>
      <w:r w:rsidRPr="001C17AB">
        <w:rPr>
          <w:rFonts w:cs="Arial"/>
          <w:sz w:val="22"/>
          <w:szCs w:val="22"/>
          <w:lang w:val="es-CR"/>
        </w:rPr>
        <w:t xml:space="preserve">2.-) Dar a </w:t>
      </w:r>
      <w:r>
        <w:rPr>
          <w:rFonts w:cs="Arial"/>
          <w:sz w:val="22"/>
          <w:szCs w:val="22"/>
          <w:lang w:val="es-CR"/>
        </w:rPr>
        <w:t>l</w:t>
      </w:r>
      <w:r w:rsidRPr="001C17AB">
        <w:rPr>
          <w:rFonts w:cs="Arial"/>
          <w:sz w:val="22"/>
          <w:szCs w:val="22"/>
          <w:lang w:val="es-CR"/>
        </w:rPr>
        <w:t>a PTAR del proyecto de vivienda Villa Bonita, el mismo tratamiento</w:t>
      </w:r>
      <w:r>
        <w:rPr>
          <w:rFonts w:cs="Arial"/>
          <w:sz w:val="22"/>
          <w:szCs w:val="22"/>
          <w:lang w:val="es-CR"/>
        </w:rPr>
        <w:t xml:space="preserve"> </w:t>
      </w:r>
      <w:r w:rsidRPr="001C17AB">
        <w:rPr>
          <w:rFonts w:cs="Arial"/>
          <w:sz w:val="22"/>
          <w:szCs w:val="22"/>
          <w:lang w:val="es-CR"/>
        </w:rPr>
        <w:t>otorgado p</w:t>
      </w:r>
      <w:r>
        <w:rPr>
          <w:rFonts w:cs="Arial"/>
          <w:sz w:val="22"/>
          <w:szCs w:val="22"/>
          <w:lang w:val="es-CR"/>
        </w:rPr>
        <w:t>o</w:t>
      </w:r>
      <w:r w:rsidRPr="001C17AB">
        <w:rPr>
          <w:rFonts w:cs="Arial"/>
          <w:sz w:val="22"/>
          <w:szCs w:val="22"/>
          <w:lang w:val="es-CR"/>
        </w:rPr>
        <w:t>r esa Junta Directiva a las plantas de tratamiento de todos los otros</w:t>
      </w:r>
      <w:r>
        <w:rPr>
          <w:rFonts w:cs="Arial"/>
          <w:sz w:val="22"/>
          <w:szCs w:val="22"/>
          <w:lang w:val="es-CR"/>
        </w:rPr>
        <w:t xml:space="preserve"> </w:t>
      </w:r>
      <w:r w:rsidRPr="001C17AB">
        <w:rPr>
          <w:rFonts w:cs="Arial"/>
          <w:sz w:val="22"/>
          <w:szCs w:val="22"/>
          <w:lang w:val="es-CR"/>
        </w:rPr>
        <w:t>proyectos que cuentan con esa obra y, p</w:t>
      </w:r>
      <w:r>
        <w:rPr>
          <w:rFonts w:cs="Arial"/>
          <w:sz w:val="22"/>
          <w:szCs w:val="22"/>
          <w:lang w:val="es-CR"/>
        </w:rPr>
        <w:t>o</w:t>
      </w:r>
      <w:r w:rsidRPr="001C17AB">
        <w:rPr>
          <w:rFonts w:cs="Arial"/>
          <w:sz w:val="22"/>
          <w:szCs w:val="22"/>
          <w:lang w:val="es-CR"/>
        </w:rPr>
        <w:t>r consiguiente, autorizar el financiamiento</w:t>
      </w:r>
      <w:r>
        <w:rPr>
          <w:rFonts w:cs="Arial"/>
          <w:sz w:val="22"/>
          <w:szCs w:val="22"/>
          <w:lang w:val="es-CR"/>
        </w:rPr>
        <w:t xml:space="preserve"> </w:t>
      </w:r>
      <w:r w:rsidRPr="001C17AB">
        <w:rPr>
          <w:rFonts w:cs="Arial"/>
          <w:sz w:val="22"/>
          <w:szCs w:val="22"/>
          <w:lang w:val="es-CR"/>
        </w:rPr>
        <w:t>adicional para su mantenimiento, m</w:t>
      </w:r>
      <w:r w:rsidR="004A2175">
        <w:rPr>
          <w:rFonts w:cs="Arial"/>
          <w:sz w:val="22"/>
          <w:szCs w:val="22"/>
          <w:lang w:val="es-CR"/>
        </w:rPr>
        <w:t>á</w:t>
      </w:r>
      <w:r w:rsidRPr="001C17AB">
        <w:rPr>
          <w:rFonts w:cs="Arial"/>
          <w:sz w:val="22"/>
          <w:szCs w:val="22"/>
          <w:lang w:val="es-CR"/>
        </w:rPr>
        <w:t>s a</w:t>
      </w:r>
      <w:r w:rsidR="004A2175">
        <w:rPr>
          <w:rFonts w:cs="Arial"/>
          <w:sz w:val="22"/>
          <w:szCs w:val="22"/>
          <w:lang w:val="es-CR"/>
        </w:rPr>
        <w:t xml:space="preserve">llá </w:t>
      </w:r>
      <w:r w:rsidRPr="001C17AB">
        <w:rPr>
          <w:rFonts w:cs="Arial"/>
          <w:sz w:val="22"/>
          <w:szCs w:val="22"/>
          <w:lang w:val="es-CR"/>
        </w:rPr>
        <w:t>de los 12 meses iniciales que ya fueron</w:t>
      </w:r>
      <w:r w:rsidR="004A2175">
        <w:rPr>
          <w:rFonts w:cs="Arial"/>
          <w:sz w:val="22"/>
          <w:szCs w:val="22"/>
          <w:lang w:val="es-CR"/>
        </w:rPr>
        <w:t xml:space="preserve"> </w:t>
      </w:r>
      <w:r w:rsidRPr="001C17AB">
        <w:rPr>
          <w:rFonts w:cs="Arial"/>
          <w:sz w:val="22"/>
          <w:szCs w:val="22"/>
          <w:lang w:val="es-CR"/>
        </w:rPr>
        <w:t>cubiertos con financiamiento del FOSUVI.</w:t>
      </w:r>
    </w:p>
    <w:p w14:paraId="71FB0176" w14:textId="77777777" w:rsidR="004A2175" w:rsidRPr="001C17AB" w:rsidRDefault="004A2175" w:rsidP="004A2175">
      <w:pPr>
        <w:ind w:left="142" w:right="193"/>
        <w:jc w:val="both"/>
        <w:rPr>
          <w:rFonts w:cs="Arial"/>
          <w:sz w:val="22"/>
          <w:szCs w:val="22"/>
          <w:lang w:val="es-CR"/>
        </w:rPr>
      </w:pPr>
    </w:p>
    <w:p w14:paraId="2D7AFC65" w14:textId="41284532" w:rsidR="00822E64" w:rsidRDefault="001C17AB" w:rsidP="004A2175">
      <w:pPr>
        <w:ind w:left="142" w:right="193"/>
        <w:jc w:val="both"/>
        <w:rPr>
          <w:rFonts w:cs="Arial"/>
          <w:sz w:val="22"/>
          <w:szCs w:val="22"/>
        </w:rPr>
      </w:pPr>
      <w:r w:rsidRPr="001C17AB">
        <w:rPr>
          <w:rFonts w:cs="Arial"/>
          <w:sz w:val="22"/>
          <w:szCs w:val="22"/>
          <w:lang w:val="es-CR"/>
        </w:rPr>
        <w:t>3.-) Acoger nuestro reclamo y, p</w:t>
      </w:r>
      <w:r w:rsidR="004A2175">
        <w:rPr>
          <w:rFonts w:cs="Arial"/>
          <w:sz w:val="22"/>
          <w:szCs w:val="22"/>
          <w:lang w:val="es-CR"/>
        </w:rPr>
        <w:t>o</w:t>
      </w:r>
      <w:r w:rsidRPr="001C17AB">
        <w:rPr>
          <w:rFonts w:cs="Arial"/>
          <w:sz w:val="22"/>
          <w:szCs w:val="22"/>
          <w:lang w:val="es-CR"/>
        </w:rPr>
        <w:t>r consiguiente, autorizar el pago de los costos de</w:t>
      </w:r>
      <w:r w:rsidR="004A2175">
        <w:rPr>
          <w:rFonts w:cs="Arial"/>
          <w:sz w:val="22"/>
          <w:szCs w:val="22"/>
          <w:lang w:val="es-CR"/>
        </w:rPr>
        <w:t xml:space="preserve"> </w:t>
      </w:r>
      <w:r w:rsidRPr="001C17AB">
        <w:rPr>
          <w:rFonts w:cs="Arial"/>
          <w:sz w:val="22"/>
          <w:szCs w:val="22"/>
          <w:lang w:val="es-CR"/>
        </w:rPr>
        <w:t>operaci</w:t>
      </w:r>
      <w:r w:rsidR="004A2175">
        <w:rPr>
          <w:rFonts w:cs="Arial"/>
          <w:sz w:val="22"/>
          <w:szCs w:val="22"/>
          <w:lang w:val="es-CR"/>
        </w:rPr>
        <w:t>ó</w:t>
      </w:r>
      <w:r w:rsidRPr="001C17AB">
        <w:rPr>
          <w:rFonts w:cs="Arial"/>
          <w:sz w:val="22"/>
          <w:szCs w:val="22"/>
          <w:lang w:val="es-CR"/>
        </w:rPr>
        <w:t xml:space="preserve">n de </w:t>
      </w:r>
      <w:r w:rsidR="004A2175">
        <w:rPr>
          <w:rFonts w:cs="Arial"/>
          <w:sz w:val="22"/>
          <w:szCs w:val="22"/>
          <w:lang w:val="es-CR"/>
        </w:rPr>
        <w:t>l</w:t>
      </w:r>
      <w:r w:rsidRPr="001C17AB">
        <w:rPr>
          <w:rFonts w:cs="Arial"/>
          <w:sz w:val="22"/>
          <w:szCs w:val="22"/>
          <w:lang w:val="es-CR"/>
        </w:rPr>
        <w:t>a PTAR del proyecto Villa Bonita en Siquirres, conforme consta en</w:t>
      </w:r>
      <w:r w:rsidR="004A2175">
        <w:rPr>
          <w:rFonts w:cs="Arial"/>
          <w:sz w:val="22"/>
          <w:szCs w:val="22"/>
          <w:lang w:val="es-CR"/>
        </w:rPr>
        <w:t xml:space="preserve"> </w:t>
      </w:r>
      <w:r w:rsidRPr="001C17AB">
        <w:rPr>
          <w:rFonts w:cs="Arial"/>
          <w:sz w:val="22"/>
          <w:szCs w:val="22"/>
          <w:lang w:val="es-CR"/>
        </w:rPr>
        <w:t xml:space="preserve">nuestro reclamo del escrito de fecha 18 de </w:t>
      </w:r>
      <w:r w:rsidR="004A2175">
        <w:rPr>
          <w:rFonts w:cs="Arial"/>
          <w:sz w:val="22"/>
          <w:szCs w:val="22"/>
          <w:lang w:val="es-CR"/>
        </w:rPr>
        <w:t>j</w:t>
      </w:r>
      <w:r w:rsidRPr="001C17AB">
        <w:rPr>
          <w:rFonts w:cs="Arial"/>
          <w:sz w:val="22"/>
          <w:szCs w:val="22"/>
          <w:lang w:val="es-CR"/>
        </w:rPr>
        <w:t>ulio del 2017, actualizando los montos</w:t>
      </w:r>
      <w:r w:rsidR="004A2175">
        <w:rPr>
          <w:rFonts w:cs="Arial"/>
          <w:sz w:val="22"/>
          <w:szCs w:val="22"/>
          <w:lang w:val="es-CR"/>
        </w:rPr>
        <w:t xml:space="preserve"> </w:t>
      </w:r>
      <w:r w:rsidRPr="001C17AB">
        <w:rPr>
          <w:rFonts w:cs="Arial"/>
          <w:sz w:val="22"/>
          <w:szCs w:val="22"/>
          <w:lang w:val="es-CR"/>
        </w:rPr>
        <w:t>a esta fecha.</w:t>
      </w:r>
      <w:r w:rsidR="004A2175">
        <w:rPr>
          <w:rFonts w:cs="Arial"/>
          <w:sz w:val="22"/>
          <w:szCs w:val="22"/>
          <w:lang w:val="es-CR"/>
        </w:rPr>
        <w:t>”</w:t>
      </w:r>
    </w:p>
    <w:p w14:paraId="34FD9C23" w14:textId="005BC8E7" w:rsidR="009414E2" w:rsidRDefault="009414E2" w:rsidP="002B71CC">
      <w:pPr>
        <w:spacing w:line="360" w:lineRule="auto"/>
        <w:jc w:val="both"/>
        <w:rPr>
          <w:rFonts w:cs="Arial"/>
          <w:sz w:val="22"/>
          <w:szCs w:val="22"/>
        </w:rPr>
      </w:pPr>
    </w:p>
    <w:p w14:paraId="5C3705C1" w14:textId="5A118788" w:rsidR="009414E2" w:rsidRDefault="00356486" w:rsidP="002B71CC">
      <w:pPr>
        <w:spacing w:line="360" w:lineRule="auto"/>
        <w:jc w:val="both"/>
        <w:rPr>
          <w:rFonts w:cs="Arial"/>
          <w:sz w:val="22"/>
          <w:szCs w:val="22"/>
          <w:lang w:val="es-CR"/>
        </w:rPr>
      </w:pPr>
      <w:r>
        <w:rPr>
          <w:rFonts w:cs="Arial"/>
          <w:b/>
          <w:bCs/>
          <w:sz w:val="22"/>
          <w:szCs w:val="22"/>
        </w:rPr>
        <w:t>Cuarto</w:t>
      </w:r>
      <w:r w:rsidR="009414E2" w:rsidRPr="00DE339C">
        <w:rPr>
          <w:rFonts w:cs="Arial"/>
          <w:b/>
          <w:bCs/>
          <w:sz w:val="22"/>
          <w:szCs w:val="22"/>
        </w:rPr>
        <w:t>:</w:t>
      </w:r>
      <w:r w:rsidR="009414E2">
        <w:rPr>
          <w:rFonts w:cs="Arial"/>
          <w:sz w:val="22"/>
          <w:szCs w:val="22"/>
        </w:rPr>
        <w:t xml:space="preserve"> Que </w:t>
      </w:r>
      <w:r w:rsidR="00A30EF5">
        <w:rPr>
          <w:rFonts w:cs="Arial"/>
          <w:sz w:val="22"/>
          <w:szCs w:val="22"/>
        </w:rPr>
        <w:t xml:space="preserve">para resolver el referido </w:t>
      </w:r>
      <w:r w:rsidR="00A30EF5" w:rsidRPr="00822E64">
        <w:rPr>
          <w:rFonts w:cs="Arial"/>
          <w:sz w:val="22"/>
          <w:szCs w:val="22"/>
          <w:lang w:val="es-CR"/>
        </w:rPr>
        <w:t>recurso de reconsideraci</w:t>
      </w:r>
      <w:r w:rsidR="00A30EF5">
        <w:rPr>
          <w:rFonts w:cs="Arial"/>
          <w:sz w:val="22"/>
          <w:szCs w:val="22"/>
          <w:lang w:val="es-CR"/>
        </w:rPr>
        <w:t>ó</w:t>
      </w:r>
      <w:r w:rsidR="00A30EF5" w:rsidRPr="00822E64">
        <w:rPr>
          <w:rFonts w:cs="Arial"/>
          <w:sz w:val="22"/>
          <w:szCs w:val="22"/>
          <w:lang w:val="es-CR"/>
        </w:rPr>
        <w:t>n</w:t>
      </w:r>
      <w:r w:rsidR="00A30EF5">
        <w:rPr>
          <w:rFonts w:cs="Arial"/>
          <w:sz w:val="22"/>
          <w:szCs w:val="22"/>
          <w:lang w:val="es-CR"/>
        </w:rPr>
        <w:t xml:space="preserve">, la Subgerencia de Operaciones, mediante oficio SO-ME-0021-2022 del 20 de enero de 2022, </w:t>
      </w:r>
      <w:r w:rsidR="008E2637">
        <w:rPr>
          <w:rFonts w:cs="Arial"/>
          <w:sz w:val="22"/>
          <w:szCs w:val="22"/>
          <w:lang w:val="es-CR"/>
        </w:rPr>
        <w:t>somete a la consideración de este Órgano Colegiado el informe DF-DT-OF-0048-2022/AL-OF-014-2022, de</w:t>
      </w:r>
      <w:r w:rsidR="0083505E">
        <w:rPr>
          <w:rFonts w:cs="Arial"/>
          <w:sz w:val="22"/>
          <w:szCs w:val="22"/>
          <w:lang w:val="es-CR"/>
        </w:rPr>
        <w:t>l Departamento Técnico de</w:t>
      </w:r>
      <w:r w:rsidR="008E2637">
        <w:rPr>
          <w:rFonts w:cs="Arial"/>
          <w:sz w:val="22"/>
          <w:szCs w:val="22"/>
          <w:lang w:val="es-CR"/>
        </w:rPr>
        <w:t xml:space="preserve"> la Dirección FOSUVI y </w:t>
      </w:r>
      <w:r w:rsidR="0083505E">
        <w:rPr>
          <w:rFonts w:cs="Arial"/>
          <w:sz w:val="22"/>
          <w:szCs w:val="22"/>
          <w:lang w:val="es-CR"/>
        </w:rPr>
        <w:t xml:space="preserve">de </w:t>
      </w:r>
      <w:r w:rsidR="008E2637">
        <w:rPr>
          <w:rFonts w:cs="Arial"/>
          <w:sz w:val="22"/>
          <w:szCs w:val="22"/>
          <w:lang w:val="es-CR"/>
        </w:rPr>
        <w:t>la Asesoría Legal, el cual indica y concluye, en lo conducente, lo siguiente:</w:t>
      </w:r>
    </w:p>
    <w:p w14:paraId="20A2345E" w14:textId="234B4625" w:rsidR="008E2637" w:rsidRDefault="008E2637" w:rsidP="006A2929">
      <w:pPr>
        <w:jc w:val="both"/>
        <w:rPr>
          <w:rFonts w:cs="Arial"/>
          <w:sz w:val="22"/>
          <w:szCs w:val="22"/>
          <w:lang w:val="es-CR"/>
        </w:rPr>
      </w:pPr>
    </w:p>
    <w:p w14:paraId="0234D12E" w14:textId="0F430E60" w:rsidR="009A04B1" w:rsidRPr="009A04B1" w:rsidRDefault="009A04B1" w:rsidP="006A2929">
      <w:pPr>
        <w:jc w:val="both"/>
        <w:rPr>
          <w:rFonts w:cs="Arial"/>
          <w:b/>
          <w:bCs/>
          <w:sz w:val="22"/>
          <w:szCs w:val="22"/>
          <w:lang w:val="es-CR"/>
        </w:rPr>
      </w:pPr>
      <w:r>
        <w:rPr>
          <w:rFonts w:cs="Arial"/>
          <w:sz w:val="22"/>
          <w:szCs w:val="22"/>
          <w:lang w:val="es-CR"/>
        </w:rPr>
        <w:t xml:space="preserve">“(…) </w:t>
      </w:r>
      <w:r w:rsidRPr="009A04B1">
        <w:rPr>
          <w:rFonts w:cs="Arial"/>
          <w:b/>
          <w:bCs/>
          <w:sz w:val="22"/>
          <w:szCs w:val="22"/>
          <w:lang w:val="es-CR"/>
        </w:rPr>
        <w:t>Análisis histórico</w:t>
      </w:r>
    </w:p>
    <w:p w14:paraId="3F49917A" w14:textId="77777777" w:rsidR="009A04B1" w:rsidRPr="009A04B1" w:rsidRDefault="009A04B1" w:rsidP="006A2929">
      <w:pPr>
        <w:jc w:val="both"/>
        <w:rPr>
          <w:rFonts w:cs="Arial"/>
          <w:sz w:val="22"/>
          <w:szCs w:val="22"/>
          <w:lang w:val="es-CR"/>
        </w:rPr>
      </w:pPr>
    </w:p>
    <w:p w14:paraId="045EBEE8" w14:textId="18E3ED25" w:rsidR="009A04B1" w:rsidRDefault="009A04B1" w:rsidP="006A2929">
      <w:pPr>
        <w:jc w:val="both"/>
        <w:rPr>
          <w:rFonts w:cs="Arial"/>
          <w:sz w:val="22"/>
          <w:szCs w:val="22"/>
          <w:lang w:val="es-CR"/>
        </w:rPr>
      </w:pPr>
      <w:r w:rsidRPr="009A04B1">
        <w:rPr>
          <w:rFonts w:cs="Arial"/>
          <w:sz w:val="22"/>
          <w:szCs w:val="22"/>
          <w:lang w:val="es-CR"/>
        </w:rPr>
        <w:t xml:space="preserve">Tal y como se ha indicado en informes previos, el proyecto Villa Bonita, ubicado en el cantón de Siquirres, provincia de Limón fue desarrollado bajo dos modalidades de ejecución: </w:t>
      </w:r>
      <w:bookmarkStart w:id="0" w:name="_Hlk93586324"/>
      <w:r w:rsidRPr="009A04B1">
        <w:rPr>
          <w:rFonts w:cs="Arial"/>
          <w:sz w:val="22"/>
          <w:szCs w:val="22"/>
          <w:lang w:val="es-CR"/>
        </w:rPr>
        <w:t>una primera etapa como proyecto LTU (modalidad que existía en aquél entonces, y que consistía en la compra de lotes totalmente urbanizados y construcción de viviendas, hoy en día se le conoce como proyectos tipo S-002) y las restantes etapas como compra de vivienda existente (modalidad conocida como llave en mano).</w:t>
      </w:r>
    </w:p>
    <w:p w14:paraId="7B0D6075" w14:textId="63188A9E" w:rsidR="009A04B1" w:rsidRDefault="009A04B1" w:rsidP="006A2929">
      <w:pPr>
        <w:jc w:val="both"/>
        <w:rPr>
          <w:rFonts w:cs="Arial"/>
          <w:sz w:val="22"/>
          <w:szCs w:val="22"/>
          <w:lang w:val="es-CR"/>
        </w:rPr>
      </w:pPr>
    </w:p>
    <w:p w14:paraId="3F8AB8E6" w14:textId="18201ED3" w:rsidR="009A04B1" w:rsidRPr="009A04B1" w:rsidRDefault="009A04B1" w:rsidP="006A2929">
      <w:pPr>
        <w:jc w:val="both"/>
        <w:rPr>
          <w:rFonts w:cs="Arial"/>
          <w:sz w:val="22"/>
          <w:szCs w:val="22"/>
          <w:lang w:val="es-CR"/>
        </w:rPr>
      </w:pPr>
      <w:r>
        <w:rPr>
          <w:rFonts w:cs="Arial"/>
          <w:sz w:val="22"/>
          <w:szCs w:val="22"/>
          <w:lang w:val="es-CR"/>
        </w:rPr>
        <w:t>(…)</w:t>
      </w:r>
    </w:p>
    <w:bookmarkEnd w:id="0"/>
    <w:p w14:paraId="41CE7CA2" w14:textId="77777777" w:rsidR="009A04B1" w:rsidRPr="009A04B1" w:rsidRDefault="009A04B1" w:rsidP="006A2929">
      <w:pPr>
        <w:jc w:val="both"/>
        <w:rPr>
          <w:rFonts w:cs="Arial"/>
          <w:sz w:val="22"/>
          <w:szCs w:val="22"/>
          <w:lang w:val="es-CR"/>
        </w:rPr>
      </w:pPr>
    </w:p>
    <w:p w14:paraId="4E55868C" w14:textId="77777777" w:rsidR="009A04B1" w:rsidRPr="009A04B1" w:rsidRDefault="009A04B1" w:rsidP="006A2929">
      <w:pPr>
        <w:jc w:val="both"/>
        <w:rPr>
          <w:rFonts w:cs="Arial"/>
          <w:sz w:val="22"/>
          <w:szCs w:val="22"/>
          <w:lang w:val="es-CR"/>
        </w:rPr>
      </w:pPr>
      <w:r w:rsidRPr="009A04B1">
        <w:rPr>
          <w:rFonts w:cs="Arial"/>
          <w:sz w:val="22"/>
          <w:szCs w:val="22"/>
          <w:lang w:val="es-CR"/>
        </w:rPr>
        <w:t xml:space="preserve">Como bien lo indicó la ingeniera Castro Morales en su informe del año 2016 cuando analizó la pretensión del desarrollador para que le reconocieran el importe que ha denominado “gastos adicionales” por concepto de la PTAR, que las modalidades de financiamiento mediante las cuales se tramitó el proyecto Villa Bonita tienen un común un aspecto relevante que debe ser recalcado nuevamente: en ambas modalidades lo que el banco </w:t>
      </w:r>
      <w:r w:rsidRPr="009A04B1">
        <w:rPr>
          <w:rFonts w:cs="Arial"/>
          <w:sz w:val="22"/>
          <w:szCs w:val="22"/>
          <w:lang w:val="es-CR"/>
        </w:rPr>
        <w:lastRenderedPageBreak/>
        <w:t>financió fue la compra de un inmueble que estaba totalmente urbanizado (en el caso de la etapa bajo la modalidad de LTU se compraron lotes y se financió la construcción de las casas; y en el caso de las etapas conocidas como llave en mano, lo que se financió fue la compra de las casas ya totalmente terminadas, lo que lógicamente incluye el terreno con los servicios asociados a este).</w:t>
      </w:r>
    </w:p>
    <w:p w14:paraId="42178565" w14:textId="77777777" w:rsidR="009A04B1" w:rsidRPr="009A04B1" w:rsidRDefault="009A04B1" w:rsidP="006A2929">
      <w:pPr>
        <w:jc w:val="both"/>
        <w:rPr>
          <w:rFonts w:cs="Arial"/>
          <w:sz w:val="22"/>
          <w:szCs w:val="22"/>
          <w:lang w:val="es-CR"/>
        </w:rPr>
      </w:pPr>
    </w:p>
    <w:p w14:paraId="1B655A0C" w14:textId="77777777" w:rsidR="009A04B1" w:rsidRPr="009A04B1" w:rsidRDefault="009A04B1" w:rsidP="006A2929">
      <w:pPr>
        <w:jc w:val="both"/>
        <w:rPr>
          <w:rFonts w:cs="Arial"/>
          <w:sz w:val="22"/>
          <w:szCs w:val="22"/>
          <w:lang w:val="es-CR"/>
        </w:rPr>
      </w:pPr>
      <w:r w:rsidRPr="009A04B1">
        <w:rPr>
          <w:rFonts w:cs="Arial"/>
          <w:sz w:val="22"/>
          <w:szCs w:val="22"/>
          <w:lang w:val="es-CR"/>
        </w:rPr>
        <w:t>Como en cualquier otra urbanización en donde se compren lotes en el precio pagado por el inmueble va implícito la obra de infraestructura que habilita los lotes conforme con el reglamento urbano vigente al momento que se aprobaron y construyeron, es decir, pavimentos, aceras, cordón y caño, áreas públicas, el acueducto, red de energía eléctrica, alcantarillado pluvial y alcantarillado sanitario, entre otros.</w:t>
      </w:r>
    </w:p>
    <w:p w14:paraId="1A3C367C" w14:textId="77777777" w:rsidR="009A04B1" w:rsidRPr="009A04B1" w:rsidRDefault="009A04B1" w:rsidP="006A2929">
      <w:pPr>
        <w:jc w:val="both"/>
        <w:rPr>
          <w:rFonts w:cs="Arial"/>
          <w:sz w:val="22"/>
          <w:szCs w:val="22"/>
          <w:lang w:val="es-CR"/>
        </w:rPr>
      </w:pPr>
    </w:p>
    <w:p w14:paraId="1302E866" w14:textId="77777777" w:rsidR="009A04B1" w:rsidRPr="009A04B1" w:rsidRDefault="009A04B1" w:rsidP="006A2929">
      <w:pPr>
        <w:jc w:val="both"/>
        <w:rPr>
          <w:rFonts w:cs="Arial"/>
          <w:sz w:val="22"/>
          <w:szCs w:val="22"/>
          <w:lang w:val="es-CR"/>
        </w:rPr>
      </w:pPr>
      <w:r w:rsidRPr="009A04B1">
        <w:rPr>
          <w:rFonts w:cs="Arial"/>
          <w:sz w:val="22"/>
          <w:szCs w:val="22"/>
          <w:lang w:val="es-CR"/>
        </w:rPr>
        <w:t>El diseño y con ello, el cumplimiento de los requisitos legales y técnicos es responsabilidad de la empresa desarrolladora la cual tiene amplia experiencia en el desarrollo de proyectos y no podría alegar desconocerlos pues también están publicados en los distintos sitios.</w:t>
      </w:r>
    </w:p>
    <w:p w14:paraId="719A511E" w14:textId="77777777" w:rsidR="009A04B1" w:rsidRPr="009A04B1" w:rsidRDefault="009A04B1" w:rsidP="006A2929">
      <w:pPr>
        <w:jc w:val="both"/>
        <w:rPr>
          <w:rFonts w:cs="Arial"/>
          <w:sz w:val="22"/>
          <w:szCs w:val="22"/>
          <w:lang w:val="es-CR"/>
        </w:rPr>
      </w:pPr>
    </w:p>
    <w:p w14:paraId="4826D15A" w14:textId="77777777" w:rsidR="009A04B1" w:rsidRPr="009A04B1" w:rsidRDefault="009A04B1" w:rsidP="006A2929">
      <w:pPr>
        <w:jc w:val="both"/>
        <w:rPr>
          <w:rFonts w:cs="Arial"/>
          <w:sz w:val="22"/>
          <w:szCs w:val="22"/>
          <w:lang w:val="es-CR"/>
        </w:rPr>
      </w:pPr>
      <w:r w:rsidRPr="009A04B1">
        <w:rPr>
          <w:rFonts w:cs="Arial"/>
          <w:sz w:val="22"/>
          <w:szCs w:val="22"/>
          <w:lang w:val="es-CR"/>
        </w:rPr>
        <w:t>Es de todos conocido que el visado municipal para segregación de los lotes se otorga cuando un proyecto urbanístico ha cumplido con todos los requisitos con que se aprobó.</w:t>
      </w:r>
    </w:p>
    <w:p w14:paraId="143A4170" w14:textId="77777777" w:rsidR="009A04B1" w:rsidRPr="009A04B1" w:rsidRDefault="009A04B1" w:rsidP="006A2929">
      <w:pPr>
        <w:jc w:val="both"/>
        <w:rPr>
          <w:rFonts w:cs="Arial"/>
          <w:sz w:val="22"/>
          <w:szCs w:val="22"/>
          <w:lang w:val="es-CR"/>
        </w:rPr>
      </w:pPr>
    </w:p>
    <w:p w14:paraId="19ED3411" w14:textId="77777777" w:rsidR="009A04B1" w:rsidRPr="009A04B1" w:rsidRDefault="009A04B1" w:rsidP="006A2929">
      <w:pPr>
        <w:jc w:val="both"/>
        <w:rPr>
          <w:rFonts w:cs="Arial"/>
          <w:sz w:val="22"/>
          <w:szCs w:val="22"/>
          <w:lang w:val="es-CR"/>
        </w:rPr>
      </w:pPr>
      <w:r w:rsidRPr="009A04B1">
        <w:rPr>
          <w:rFonts w:cs="Arial"/>
          <w:sz w:val="22"/>
          <w:szCs w:val="22"/>
          <w:lang w:val="es-CR"/>
        </w:rPr>
        <w:t>Para el caso del proyecto Villa Bonita, por las condiciones técnicas presentes en la finca y en la zona, la urbanización se tuvo que construir con una PTAR. Pero debe quedar claro que, el BANHVI nunca financió un proyecto de construcción de infraestructura urbanística, sino, que compró lotes (o casas en lotes) totalmente urbanizados, razón por la cual, no puede asumir costos de mantenimiento ni gastos adicionales por una obra que no financió su construcción ni desarrollo.</w:t>
      </w:r>
    </w:p>
    <w:p w14:paraId="3BF32381" w14:textId="77777777" w:rsidR="009A04B1" w:rsidRPr="009A04B1" w:rsidRDefault="009A04B1" w:rsidP="006A2929">
      <w:pPr>
        <w:jc w:val="both"/>
        <w:rPr>
          <w:rFonts w:cs="Arial"/>
          <w:sz w:val="22"/>
          <w:szCs w:val="22"/>
          <w:lang w:val="es-CR"/>
        </w:rPr>
      </w:pPr>
    </w:p>
    <w:p w14:paraId="79A5CF98" w14:textId="77777777" w:rsidR="009A04B1" w:rsidRPr="009A04B1" w:rsidRDefault="009A04B1" w:rsidP="006A2929">
      <w:pPr>
        <w:jc w:val="both"/>
        <w:rPr>
          <w:rFonts w:cs="Arial"/>
          <w:sz w:val="22"/>
          <w:szCs w:val="22"/>
          <w:lang w:val="es-CR"/>
        </w:rPr>
      </w:pPr>
      <w:r w:rsidRPr="009A04B1">
        <w:rPr>
          <w:rFonts w:cs="Arial"/>
          <w:sz w:val="22"/>
          <w:szCs w:val="22"/>
          <w:lang w:val="es-CR"/>
        </w:rPr>
        <w:t>Inclusive a modo de ejemplo, planteando la situación hipotética de que la PTAR no opere correctamente, podría ser entonces que el BANHVI resulte afectado en caso de que se suscite una situación sanitaria que termine afectando a las familias. Ello por cuanto el producto que se financió y por el que pagó, no estaría cumpliendo con las condiciones ofrecidas: la de ser lotes totalmente urbanizados, lo que implica que, todos los servicios e infraestructura están en condiciones operativas. De ser así, el BANHVI más bien debería analizar la situación y determinar si cabe la posibilidad de emprender acciones legales contra el vendedor de los inmuebles por no entregar las obras terminadas y en operación acorde con la normativa vigente, la que se recalca, era de conocimiento del desarrollador desde que comenzó el proceso de construcción del proyecto.</w:t>
      </w:r>
    </w:p>
    <w:p w14:paraId="691A0236" w14:textId="77777777" w:rsidR="009A04B1" w:rsidRPr="009A04B1" w:rsidRDefault="009A04B1" w:rsidP="006A2929">
      <w:pPr>
        <w:jc w:val="both"/>
        <w:rPr>
          <w:rFonts w:cs="Arial"/>
          <w:sz w:val="22"/>
          <w:szCs w:val="22"/>
          <w:lang w:val="es-CR"/>
        </w:rPr>
      </w:pPr>
    </w:p>
    <w:p w14:paraId="25D3C588" w14:textId="77777777" w:rsidR="009A04B1" w:rsidRPr="009A04B1" w:rsidRDefault="009A04B1" w:rsidP="006A2929">
      <w:pPr>
        <w:jc w:val="both"/>
        <w:rPr>
          <w:rFonts w:cs="Arial"/>
          <w:sz w:val="22"/>
          <w:szCs w:val="22"/>
          <w:lang w:val="es-CR"/>
        </w:rPr>
      </w:pPr>
      <w:r w:rsidRPr="009A04B1">
        <w:rPr>
          <w:rFonts w:cs="Arial"/>
          <w:sz w:val="22"/>
          <w:szCs w:val="22"/>
          <w:lang w:val="es-CR"/>
        </w:rPr>
        <w:t>Si el desarrollador se siente afectado por el actuar de otro entre del Estado, pues debería ser a dicho ente al que debe reclamar los perjuicios y no al BANHVI a quien no le compete acción alguna con respecto a la PTAR y más bien, podría resultar afectado.</w:t>
      </w:r>
    </w:p>
    <w:p w14:paraId="484DCC2C" w14:textId="77777777" w:rsidR="009A04B1" w:rsidRPr="009A04B1" w:rsidRDefault="009A04B1" w:rsidP="006A2929">
      <w:pPr>
        <w:jc w:val="both"/>
        <w:rPr>
          <w:rFonts w:cs="Arial"/>
          <w:sz w:val="22"/>
          <w:szCs w:val="22"/>
          <w:lang w:val="es-CR"/>
        </w:rPr>
      </w:pPr>
    </w:p>
    <w:p w14:paraId="6B9E7EB0" w14:textId="77777777" w:rsidR="009A04B1" w:rsidRPr="009A04B1" w:rsidRDefault="009A04B1" w:rsidP="006A2929">
      <w:pPr>
        <w:jc w:val="both"/>
        <w:rPr>
          <w:rFonts w:cs="Arial"/>
          <w:b/>
          <w:bCs/>
          <w:sz w:val="22"/>
          <w:szCs w:val="22"/>
          <w:lang w:val="es-CR"/>
        </w:rPr>
      </w:pPr>
      <w:r w:rsidRPr="009A04B1">
        <w:rPr>
          <w:rFonts w:cs="Arial"/>
          <w:b/>
          <w:bCs/>
          <w:sz w:val="22"/>
          <w:szCs w:val="22"/>
          <w:lang w:val="es-CR"/>
        </w:rPr>
        <w:t>Consultas específicas</w:t>
      </w:r>
    </w:p>
    <w:p w14:paraId="3A6F0373" w14:textId="77777777" w:rsidR="009A04B1" w:rsidRPr="009A04B1" w:rsidRDefault="009A04B1" w:rsidP="006A2929">
      <w:pPr>
        <w:jc w:val="both"/>
        <w:rPr>
          <w:rFonts w:cs="Arial"/>
          <w:b/>
          <w:bCs/>
          <w:sz w:val="22"/>
          <w:szCs w:val="22"/>
          <w:lang w:val="es-CR"/>
        </w:rPr>
      </w:pPr>
    </w:p>
    <w:p w14:paraId="4FE420A1" w14:textId="77777777" w:rsidR="009A04B1" w:rsidRPr="009A04B1" w:rsidRDefault="009A04B1" w:rsidP="006A2929">
      <w:pPr>
        <w:jc w:val="both"/>
        <w:rPr>
          <w:rFonts w:cs="Arial"/>
          <w:sz w:val="22"/>
          <w:szCs w:val="22"/>
          <w:lang w:val="es-CR"/>
        </w:rPr>
      </w:pPr>
      <w:r w:rsidRPr="009A04B1">
        <w:rPr>
          <w:rFonts w:cs="Arial"/>
          <w:sz w:val="22"/>
          <w:szCs w:val="22"/>
          <w:lang w:val="es-CR"/>
        </w:rPr>
        <w:t>En cuanto a las consultas específicas de esa Subgerencia de Operaciones a continuación se hace referencia a ellas:</w:t>
      </w:r>
    </w:p>
    <w:p w14:paraId="7DC48FC2" w14:textId="77777777" w:rsidR="009A04B1" w:rsidRPr="009A04B1" w:rsidRDefault="009A04B1" w:rsidP="006A2929">
      <w:pPr>
        <w:jc w:val="both"/>
        <w:rPr>
          <w:rFonts w:cs="Arial"/>
          <w:b/>
          <w:bCs/>
          <w:sz w:val="22"/>
          <w:szCs w:val="22"/>
          <w:lang w:val="es-CR"/>
        </w:rPr>
      </w:pPr>
    </w:p>
    <w:p w14:paraId="78CC0C6B" w14:textId="77777777" w:rsidR="009A04B1" w:rsidRPr="009A04B1" w:rsidRDefault="009A04B1" w:rsidP="006A2929">
      <w:pPr>
        <w:numPr>
          <w:ilvl w:val="0"/>
          <w:numId w:val="19"/>
        </w:numPr>
        <w:ind w:left="426" w:hanging="426"/>
        <w:jc w:val="both"/>
        <w:rPr>
          <w:rFonts w:cs="Arial"/>
          <w:b/>
          <w:bCs/>
          <w:i/>
          <w:iCs/>
          <w:sz w:val="22"/>
          <w:szCs w:val="22"/>
          <w:lang w:val="es-CR"/>
        </w:rPr>
      </w:pPr>
      <w:r w:rsidRPr="009A04B1">
        <w:rPr>
          <w:rFonts w:cs="Arial"/>
          <w:b/>
          <w:bCs/>
          <w:i/>
          <w:iCs/>
          <w:sz w:val="22"/>
          <w:szCs w:val="22"/>
          <w:lang w:val="es-CR"/>
        </w:rPr>
        <w:t>Aclaración de la fecha de los oficios</w:t>
      </w:r>
    </w:p>
    <w:p w14:paraId="3C14280B" w14:textId="77777777" w:rsidR="00A35032" w:rsidRDefault="00A35032" w:rsidP="006A2929">
      <w:pPr>
        <w:ind w:left="426"/>
        <w:jc w:val="both"/>
        <w:rPr>
          <w:rFonts w:cs="Arial"/>
          <w:sz w:val="22"/>
          <w:szCs w:val="22"/>
          <w:lang w:val="es-CR"/>
        </w:rPr>
      </w:pPr>
    </w:p>
    <w:p w14:paraId="47056A51" w14:textId="582C71BC" w:rsidR="009A04B1" w:rsidRPr="009A04B1" w:rsidRDefault="009A04B1" w:rsidP="006A2929">
      <w:pPr>
        <w:ind w:left="426"/>
        <w:jc w:val="both"/>
        <w:rPr>
          <w:rFonts w:cs="Arial"/>
          <w:sz w:val="22"/>
          <w:szCs w:val="22"/>
          <w:lang w:val="es-CR"/>
        </w:rPr>
      </w:pPr>
      <w:r w:rsidRPr="009A04B1">
        <w:rPr>
          <w:rFonts w:cs="Arial"/>
          <w:sz w:val="22"/>
          <w:szCs w:val="22"/>
          <w:lang w:val="es-CR"/>
        </w:rPr>
        <w:t xml:space="preserve">La confusión de fechas en los informes técnicos </w:t>
      </w:r>
      <w:bookmarkStart w:id="1" w:name="_Hlk93586505"/>
      <w:r w:rsidRPr="009A04B1">
        <w:rPr>
          <w:rFonts w:cs="Arial"/>
          <w:sz w:val="22"/>
          <w:szCs w:val="22"/>
          <w:lang w:val="es-CR"/>
        </w:rPr>
        <w:t xml:space="preserve">DF-UT-IN-0215-2009 y DF-UT-IN-0275-2009 </w:t>
      </w:r>
      <w:bookmarkEnd w:id="1"/>
      <w:r w:rsidRPr="009A04B1">
        <w:rPr>
          <w:rFonts w:cs="Arial"/>
          <w:sz w:val="22"/>
          <w:szCs w:val="22"/>
          <w:lang w:val="es-CR"/>
        </w:rPr>
        <w:t xml:space="preserve">en donde en el primero se hace referencia al segundo, siendo que el primero </w:t>
      </w:r>
      <w:r w:rsidRPr="009A04B1">
        <w:rPr>
          <w:rFonts w:cs="Arial"/>
          <w:sz w:val="22"/>
          <w:szCs w:val="22"/>
          <w:lang w:val="es-CR"/>
        </w:rPr>
        <w:lastRenderedPageBreak/>
        <w:t>tiene indicada una fecha anterior a la indicada en el segundo informe definitivamente obedece a un error material.</w:t>
      </w:r>
    </w:p>
    <w:p w14:paraId="35CC9299" w14:textId="77777777" w:rsidR="009A04B1" w:rsidRPr="009A04B1" w:rsidRDefault="009A04B1" w:rsidP="006A2929">
      <w:pPr>
        <w:ind w:left="426"/>
        <w:jc w:val="both"/>
        <w:rPr>
          <w:rFonts w:cs="Arial"/>
          <w:sz w:val="22"/>
          <w:szCs w:val="22"/>
          <w:lang w:val="es-CR"/>
        </w:rPr>
      </w:pPr>
    </w:p>
    <w:p w14:paraId="0420C403" w14:textId="77777777" w:rsidR="009A04B1" w:rsidRPr="009A04B1" w:rsidRDefault="009A04B1" w:rsidP="006A2929">
      <w:pPr>
        <w:ind w:left="426"/>
        <w:jc w:val="both"/>
        <w:rPr>
          <w:rFonts w:cs="Arial"/>
          <w:sz w:val="22"/>
          <w:szCs w:val="22"/>
          <w:lang w:val="es-CR"/>
        </w:rPr>
      </w:pPr>
      <w:r w:rsidRPr="009A04B1">
        <w:rPr>
          <w:rFonts w:cs="Arial"/>
          <w:sz w:val="22"/>
          <w:szCs w:val="22"/>
          <w:lang w:val="es-CR"/>
        </w:rPr>
        <w:t xml:space="preserve">Se presume que el primer informe estaba listo (con número de consecutivo registrado) y se pidió complementar con la información sobre el análisis de la razonabilidad del valor de los lotes que, es a lo que se hace referencia en el segundo informe, motivo por el cual, el segundo informe tiene un número posterior de consecutivo. </w:t>
      </w:r>
    </w:p>
    <w:p w14:paraId="780C650D" w14:textId="77777777" w:rsidR="009A04B1" w:rsidRPr="009A04B1" w:rsidRDefault="009A04B1" w:rsidP="006A2929">
      <w:pPr>
        <w:ind w:left="426"/>
        <w:jc w:val="both"/>
        <w:rPr>
          <w:rFonts w:cs="Arial"/>
          <w:sz w:val="22"/>
          <w:szCs w:val="22"/>
          <w:lang w:val="es-CR"/>
        </w:rPr>
      </w:pPr>
    </w:p>
    <w:p w14:paraId="0E8DAC3F" w14:textId="77777777" w:rsidR="009A04B1" w:rsidRPr="009A04B1" w:rsidRDefault="009A04B1" w:rsidP="006A2929">
      <w:pPr>
        <w:ind w:left="426"/>
        <w:jc w:val="both"/>
        <w:rPr>
          <w:rFonts w:cs="Arial"/>
          <w:sz w:val="22"/>
          <w:szCs w:val="22"/>
          <w:lang w:val="es-CR"/>
        </w:rPr>
      </w:pPr>
      <w:r w:rsidRPr="009A04B1">
        <w:rPr>
          <w:rFonts w:cs="Arial"/>
          <w:sz w:val="22"/>
          <w:szCs w:val="22"/>
          <w:lang w:val="es-CR"/>
        </w:rPr>
        <w:t>En cuanto a las fechas, se presume también que, fue un error involuntario que, al estar el informe 215 elaborado ya tenía indicada la fecha y no se tuvo el cuidado de actualizar la fecha al día en que fue entregado, sino que se mantuvo en tanto que se elaboró el informe 275 con la fecha correspondiente, pero ambos se entregaron simultáneamente.</w:t>
      </w:r>
    </w:p>
    <w:p w14:paraId="6C159E90" w14:textId="77777777" w:rsidR="009A04B1" w:rsidRPr="009A04B1" w:rsidRDefault="009A04B1" w:rsidP="006A2929">
      <w:pPr>
        <w:ind w:left="426"/>
        <w:jc w:val="both"/>
        <w:rPr>
          <w:rFonts w:cs="Arial"/>
          <w:sz w:val="22"/>
          <w:szCs w:val="22"/>
          <w:lang w:val="es-CR"/>
        </w:rPr>
      </w:pPr>
    </w:p>
    <w:p w14:paraId="1470E490" w14:textId="77777777" w:rsidR="009A04B1" w:rsidRPr="009A04B1" w:rsidRDefault="009A04B1" w:rsidP="006A2929">
      <w:pPr>
        <w:ind w:left="426"/>
        <w:jc w:val="both"/>
        <w:rPr>
          <w:rFonts w:cs="Arial"/>
          <w:sz w:val="22"/>
          <w:szCs w:val="22"/>
          <w:lang w:val="es-CR"/>
        </w:rPr>
      </w:pPr>
      <w:r w:rsidRPr="009A04B1">
        <w:rPr>
          <w:rFonts w:cs="Arial"/>
          <w:sz w:val="22"/>
          <w:szCs w:val="22"/>
          <w:lang w:val="es-CR"/>
        </w:rPr>
        <w:t>La presunción se sustenta al verificar las propiedades de los dos archivos. El archivo que contiene el informe DF-UT-IN-0215-2009 en las propiedades se puede ver que la última modificación fue el 21-de julio de 2009 a las 17:03 horas, por su parte, el informe DF-UT-IN-0275-2009, la última modificación fue ese mismo día, pero a las 15:53 horas. O sea, el informe 275 se elaboró y luego se actualizó el informe 215. Se adjuntan imágenes de las propiedades de ambos archivos.</w:t>
      </w:r>
    </w:p>
    <w:p w14:paraId="49FD31AB" w14:textId="77777777" w:rsidR="009A04B1" w:rsidRPr="009A04B1" w:rsidRDefault="009A04B1" w:rsidP="006A2929">
      <w:pPr>
        <w:ind w:left="426"/>
        <w:jc w:val="both"/>
        <w:rPr>
          <w:rFonts w:cs="Arial"/>
          <w:b/>
          <w:bCs/>
          <w:sz w:val="22"/>
          <w:szCs w:val="22"/>
          <w:lang w:val="es-CR"/>
        </w:rPr>
      </w:pPr>
    </w:p>
    <w:p w14:paraId="1167404B" w14:textId="77777777" w:rsidR="009A04B1" w:rsidRPr="009A04B1" w:rsidRDefault="009A04B1" w:rsidP="006A2929">
      <w:pPr>
        <w:numPr>
          <w:ilvl w:val="0"/>
          <w:numId w:val="19"/>
        </w:numPr>
        <w:ind w:left="426" w:hanging="426"/>
        <w:jc w:val="both"/>
        <w:rPr>
          <w:rFonts w:cs="Arial"/>
          <w:b/>
          <w:bCs/>
          <w:i/>
          <w:iCs/>
          <w:sz w:val="22"/>
          <w:szCs w:val="22"/>
          <w:lang w:val="es-CR"/>
        </w:rPr>
      </w:pPr>
      <w:r w:rsidRPr="009A04B1">
        <w:rPr>
          <w:rFonts w:cs="Arial"/>
          <w:b/>
          <w:bCs/>
          <w:i/>
          <w:iCs/>
          <w:sz w:val="22"/>
          <w:szCs w:val="22"/>
          <w:lang w:val="es-CR"/>
        </w:rPr>
        <w:t>El precio menor del lote</w:t>
      </w:r>
    </w:p>
    <w:p w14:paraId="1E338BE2" w14:textId="77777777" w:rsidR="00595DB0" w:rsidRDefault="00595DB0" w:rsidP="006A2929">
      <w:pPr>
        <w:ind w:left="426"/>
        <w:jc w:val="both"/>
        <w:rPr>
          <w:rFonts w:cs="Arial"/>
          <w:sz w:val="22"/>
          <w:szCs w:val="22"/>
          <w:lang w:val="es-CR"/>
        </w:rPr>
      </w:pPr>
    </w:p>
    <w:p w14:paraId="411A488D" w14:textId="60C2ACA3" w:rsidR="009A04B1" w:rsidRPr="009A04B1" w:rsidRDefault="009A04B1" w:rsidP="006A2929">
      <w:pPr>
        <w:ind w:left="426"/>
        <w:jc w:val="both"/>
        <w:rPr>
          <w:rFonts w:cs="Arial"/>
          <w:sz w:val="22"/>
          <w:szCs w:val="22"/>
          <w:lang w:val="es-CR"/>
        </w:rPr>
      </w:pPr>
      <w:r w:rsidRPr="009A04B1">
        <w:rPr>
          <w:rFonts w:cs="Arial"/>
          <w:sz w:val="22"/>
          <w:szCs w:val="22"/>
          <w:lang w:val="es-CR"/>
        </w:rPr>
        <w:t xml:space="preserve">Sobre el precio menor del lote pagado con respecto al indicado en el análisis de razonabilidad de la ingeniera Castro Morales se debe aclarar cual </w:t>
      </w:r>
      <w:r w:rsidR="00595DB0">
        <w:rPr>
          <w:rFonts w:cs="Arial"/>
          <w:sz w:val="22"/>
          <w:szCs w:val="22"/>
          <w:lang w:val="es-CR"/>
        </w:rPr>
        <w:t xml:space="preserve">(sic) </w:t>
      </w:r>
      <w:r w:rsidRPr="009A04B1">
        <w:rPr>
          <w:rFonts w:cs="Arial"/>
          <w:sz w:val="22"/>
          <w:szCs w:val="22"/>
          <w:lang w:val="es-CR"/>
        </w:rPr>
        <w:t>es la práctica que se aplica en esos análisis por el departamento técnico.</w:t>
      </w:r>
    </w:p>
    <w:p w14:paraId="285E11C1" w14:textId="77777777" w:rsidR="009A04B1" w:rsidRPr="009A04B1" w:rsidRDefault="009A04B1" w:rsidP="006A2929">
      <w:pPr>
        <w:ind w:left="426"/>
        <w:jc w:val="both"/>
        <w:rPr>
          <w:rFonts w:cs="Arial"/>
          <w:sz w:val="22"/>
          <w:szCs w:val="22"/>
          <w:lang w:val="es-CR"/>
        </w:rPr>
      </w:pPr>
    </w:p>
    <w:p w14:paraId="3BDBEC5C" w14:textId="58820555" w:rsidR="009A04B1" w:rsidRPr="009A04B1" w:rsidRDefault="009A04B1" w:rsidP="006A2929">
      <w:pPr>
        <w:ind w:left="426"/>
        <w:jc w:val="both"/>
        <w:rPr>
          <w:rFonts w:cs="Arial"/>
          <w:sz w:val="22"/>
          <w:szCs w:val="22"/>
          <w:lang w:val="es-CR"/>
        </w:rPr>
      </w:pPr>
      <w:r w:rsidRPr="009A04B1">
        <w:rPr>
          <w:rFonts w:cs="Arial"/>
          <w:sz w:val="22"/>
          <w:szCs w:val="22"/>
          <w:lang w:val="es-CR"/>
        </w:rPr>
        <w:t xml:space="preserve">En todo proyecto, sea que se deba valorar una finca para desarrollo de infraestructura, o en este caso, una </w:t>
      </w:r>
      <w:r w:rsidR="00595DB0">
        <w:rPr>
          <w:rFonts w:cs="Arial"/>
          <w:sz w:val="22"/>
          <w:szCs w:val="22"/>
          <w:lang w:val="es-CR"/>
        </w:rPr>
        <w:t xml:space="preserve">(sic) </w:t>
      </w:r>
      <w:r w:rsidRPr="009A04B1">
        <w:rPr>
          <w:rFonts w:cs="Arial"/>
          <w:sz w:val="22"/>
          <w:szCs w:val="22"/>
          <w:lang w:val="es-CR"/>
        </w:rPr>
        <w:t>grupo de inmuebles (lotes en el caso de la etapa tramitada como LTU o de casas construidas, como es el caso de las etapas tramitadas como llave en mano), se tiene tres datos o referencias de valor de los inmuebles a saber: el monto pretendido por el desarrollador (monto consignado en la oferta de venta de cada inmuebles), el valor dado por el fiscal de la entidad autorizada en su informe de avalúo y por último, el análisis de razonabilidad de valor que realiza el departamento técnico del BANHVI, para cada uno de los inmuebles que se analiza financiar.</w:t>
      </w:r>
    </w:p>
    <w:p w14:paraId="7F0757B1" w14:textId="77777777" w:rsidR="009A04B1" w:rsidRPr="009A04B1" w:rsidRDefault="009A04B1" w:rsidP="006A2929">
      <w:pPr>
        <w:ind w:left="426"/>
        <w:jc w:val="both"/>
        <w:rPr>
          <w:rFonts w:cs="Arial"/>
          <w:sz w:val="22"/>
          <w:szCs w:val="22"/>
          <w:lang w:val="es-CR"/>
        </w:rPr>
      </w:pPr>
    </w:p>
    <w:p w14:paraId="57BC0C13" w14:textId="375841C2" w:rsidR="009A04B1" w:rsidRPr="009A04B1" w:rsidRDefault="009A04B1" w:rsidP="006A2929">
      <w:pPr>
        <w:ind w:left="426"/>
        <w:jc w:val="both"/>
        <w:rPr>
          <w:rFonts w:cs="Arial"/>
          <w:sz w:val="22"/>
          <w:szCs w:val="22"/>
          <w:lang w:val="es-CR"/>
        </w:rPr>
      </w:pPr>
      <w:r w:rsidRPr="009A04B1">
        <w:rPr>
          <w:rFonts w:cs="Arial"/>
          <w:sz w:val="22"/>
          <w:szCs w:val="22"/>
          <w:lang w:val="es-CR"/>
        </w:rPr>
        <w:t xml:space="preserve">Posteriormente se hace una revisión de los datos antes indicados (en el caso de los LTU y llave en mano) para cada uno de los inmuebles, donde se va a seleccionar el menor entre lo indicado en la opción de venta, el informe de avalúo del profesional de la entidad autorizada y el valor de razonabilidad dictaminado por el </w:t>
      </w:r>
      <w:r w:rsidR="00595DB0">
        <w:rPr>
          <w:rFonts w:cs="Arial"/>
          <w:sz w:val="22"/>
          <w:szCs w:val="22"/>
          <w:lang w:val="es-CR"/>
        </w:rPr>
        <w:t xml:space="preserve">ingeniero del </w:t>
      </w:r>
      <w:r w:rsidRPr="009A04B1">
        <w:rPr>
          <w:rFonts w:cs="Arial"/>
          <w:sz w:val="22"/>
          <w:szCs w:val="22"/>
          <w:lang w:val="es-CR"/>
        </w:rPr>
        <w:t>departamento técnico. En el caso de los inmuebles de Villa Bonita, resultó que el valor menor fue el indicado en la opción de venta, razón por la cual, el valor pagado es menor al indicado en el informe técnico de la ingeniera Castro Morales.</w:t>
      </w:r>
    </w:p>
    <w:p w14:paraId="64280898" w14:textId="77777777" w:rsidR="009A04B1" w:rsidRPr="009A04B1" w:rsidRDefault="009A04B1" w:rsidP="006A2929">
      <w:pPr>
        <w:ind w:left="426"/>
        <w:jc w:val="both"/>
        <w:rPr>
          <w:rFonts w:cs="Arial"/>
          <w:sz w:val="22"/>
          <w:szCs w:val="22"/>
          <w:lang w:val="es-CR"/>
        </w:rPr>
      </w:pPr>
    </w:p>
    <w:p w14:paraId="6EDEAB4C" w14:textId="77777777" w:rsidR="009A04B1" w:rsidRPr="009A04B1" w:rsidRDefault="009A04B1" w:rsidP="006A2929">
      <w:pPr>
        <w:numPr>
          <w:ilvl w:val="0"/>
          <w:numId w:val="19"/>
        </w:numPr>
        <w:ind w:left="426" w:hanging="426"/>
        <w:jc w:val="both"/>
        <w:rPr>
          <w:rFonts w:cs="Arial"/>
          <w:b/>
          <w:bCs/>
          <w:i/>
          <w:iCs/>
          <w:sz w:val="22"/>
          <w:szCs w:val="22"/>
          <w:lang w:val="es-CR"/>
        </w:rPr>
      </w:pPr>
      <w:r w:rsidRPr="009A04B1">
        <w:rPr>
          <w:rFonts w:cs="Arial"/>
          <w:b/>
          <w:bCs/>
          <w:i/>
          <w:iCs/>
          <w:sz w:val="22"/>
          <w:szCs w:val="22"/>
          <w:lang w:val="es-CR"/>
        </w:rPr>
        <w:t>La no inclusión del costo del mantenimiento de la PTAR.</w:t>
      </w:r>
    </w:p>
    <w:p w14:paraId="4B705372" w14:textId="77777777" w:rsidR="00595DB0" w:rsidRDefault="00595DB0" w:rsidP="006A2929">
      <w:pPr>
        <w:ind w:left="426"/>
        <w:jc w:val="both"/>
        <w:rPr>
          <w:rFonts w:cs="Arial"/>
          <w:sz w:val="22"/>
          <w:szCs w:val="22"/>
          <w:lang w:val="es-CR"/>
        </w:rPr>
      </w:pPr>
    </w:p>
    <w:p w14:paraId="6F5E7B04" w14:textId="4FDF7AA1" w:rsidR="009A04B1" w:rsidRPr="009A04B1" w:rsidRDefault="009A04B1" w:rsidP="006A2929">
      <w:pPr>
        <w:ind w:left="426"/>
        <w:jc w:val="both"/>
        <w:rPr>
          <w:rFonts w:cs="Arial"/>
          <w:sz w:val="22"/>
          <w:szCs w:val="22"/>
          <w:lang w:val="es-CR"/>
        </w:rPr>
      </w:pPr>
      <w:r w:rsidRPr="009A04B1">
        <w:rPr>
          <w:rFonts w:cs="Arial"/>
          <w:sz w:val="22"/>
          <w:szCs w:val="22"/>
          <w:lang w:val="es-CR"/>
        </w:rPr>
        <w:t xml:space="preserve">La diferencia sustancial entre los proyectos con desarrollo de infraestructura (los llamados S-001) y los LTU (hoy en día S-002) y los “Llave en Mano” es precisamente la modalidad de ejecución. En los primeros, el financiamiento de la compra del terreno (finca), financiamiento de la construcción de la infraestructura y la construcción de las viviendas. En las otras modalidades lo que se financia, como ya se ha indicado en este oficio y varios más que se han emitido relacionados con este caso, lo que el banco </w:t>
      </w:r>
      <w:r w:rsidRPr="009A04B1">
        <w:rPr>
          <w:rFonts w:cs="Arial"/>
          <w:sz w:val="22"/>
          <w:szCs w:val="22"/>
          <w:lang w:val="es-CR"/>
        </w:rPr>
        <w:lastRenderedPageBreak/>
        <w:t>financia, es la compra de lotes urbanizados (donde los servicios ya fueron provistos por el constructor). En estas últimas modalidades, el banco no tiene por qué asumir los costos adicionales relacionados con la construcción de la infraestructura dado que como ya se indicó, el banco nunca financió su construcción.</w:t>
      </w:r>
    </w:p>
    <w:p w14:paraId="16A244C3" w14:textId="77777777" w:rsidR="009A04B1" w:rsidRPr="009A04B1" w:rsidRDefault="009A04B1" w:rsidP="006A2929">
      <w:pPr>
        <w:ind w:left="426"/>
        <w:jc w:val="both"/>
        <w:rPr>
          <w:rFonts w:cs="Arial"/>
          <w:sz w:val="22"/>
          <w:szCs w:val="22"/>
          <w:lang w:val="es-CR"/>
        </w:rPr>
      </w:pPr>
    </w:p>
    <w:p w14:paraId="6A34AD80" w14:textId="77777777" w:rsidR="009A04B1" w:rsidRPr="009A04B1" w:rsidRDefault="009A04B1" w:rsidP="006A2929">
      <w:pPr>
        <w:ind w:left="426"/>
        <w:jc w:val="both"/>
        <w:rPr>
          <w:rFonts w:cs="Arial"/>
          <w:sz w:val="22"/>
          <w:szCs w:val="22"/>
          <w:lang w:val="es-CR"/>
        </w:rPr>
      </w:pPr>
      <w:r w:rsidRPr="009A04B1">
        <w:rPr>
          <w:rFonts w:cs="Arial"/>
          <w:sz w:val="22"/>
          <w:szCs w:val="22"/>
          <w:lang w:val="es-CR"/>
        </w:rPr>
        <w:t>La construcción de la infraestructura fue obra ejecutada por el desarrollador y para ello contó con la asesoría de un profesional responsable que conoce o debe conocer bien, toda la normativa relacionada que debe ser cumplida para que los elementos sean recibidos por las autoridades competentes y como tal, tuvo que tomar las previsiones para que la obra fuera recibida en su momento por las instituciones, como sería el caso de la PTAR, que debía ser recibida por el Instituto Costarricense de Acueductos y Alcantarillados, como es sabido, por lo que se tuvieron que tomar las previsiones del caso.</w:t>
      </w:r>
    </w:p>
    <w:p w14:paraId="01F0FE57" w14:textId="77777777" w:rsidR="009A04B1" w:rsidRPr="009A04B1" w:rsidRDefault="009A04B1" w:rsidP="006A2929">
      <w:pPr>
        <w:ind w:left="426"/>
        <w:jc w:val="both"/>
        <w:rPr>
          <w:rFonts w:cs="Arial"/>
          <w:sz w:val="22"/>
          <w:szCs w:val="22"/>
          <w:lang w:val="es-CR"/>
        </w:rPr>
      </w:pPr>
    </w:p>
    <w:p w14:paraId="155A063B" w14:textId="77777777" w:rsidR="009A04B1" w:rsidRPr="009A04B1" w:rsidRDefault="009A04B1" w:rsidP="006A2929">
      <w:pPr>
        <w:ind w:left="426"/>
        <w:jc w:val="both"/>
        <w:rPr>
          <w:rFonts w:cs="Arial"/>
          <w:sz w:val="22"/>
          <w:szCs w:val="22"/>
          <w:lang w:val="es-CR"/>
        </w:rPr>
      </w:pPr>
      <w:r w:rsidRPr="009A04B1">
        <w:rPr>
          <w:rFonts w:cs="Arial"/>
          <w:sz w:val="22"/>
          <w:szCs w:val="22"/>
          <w:lang w:val="es-CR"/>
        </w:rPr>
        <w:t>En cuanto al que no se mencionara en el informe de recomendación del financiamiento que se puso a conocimiento de la junta directiva del BANHVI lo del costo de mantenimiento de la PTAR no tiene incidencia en el valor cancelado por los lotes en el programa LTU, pues al final, el precio de venta fue establecido por el mismo desarrollador en su opción de venta y ese fue el monto cancelado, el análisis que está en el informe 275 del departamento técnico, únicamente corresponde a un informe preparatorio que se utilizó para determinar si el valor en que se estaban ofreciendo los lotes era o no razonable.</w:t>
      </w:r>
    </w:p>
    <w:p w14:paraId="51EBEB92" w14:textId="77777777" w:rsidR="009A04B1" w:rsidRPr="009A04B1" w:rsidRDefault="009A04B1" w:rsidP="006A2929">
      <w:pPr>
        <w:jc w:val="both"/>
        <w:rPr>
          <w:rFonts w:cs="Arial"/>
          <w:sz w:val="22"/>
          <w:szCs w:val="22"/>
          <w:lang w:val="es-CR"/>
        </w:rPr>
      </w:pPr>
    </w:p>
    <w:p w14:paraId="029A155A" w14:textId="1B437E03" w:rsidR="002928AF" w:rsidRDefault="009A04B1" w:rsidP="006A2929">
      <w:pPr>
        <w:jc w:val="both"/>
        <w:rPr>
          <w:rFonts w:cs="Arial"/>
          <w:sz w:val="22"/>
          <w:szCs w:val="22"/>
          <w:lang w:val="es-CR"/>
        </w:rPr>
      </w:pPr>
      <w:r w:rsidRPr="009A04B1">
        <w:rPr>
          <w:rFonts w:cs="Arial"/>
          <w:sz w:val="22"/>
          <w:szCs w:val="22"/>
          <w:lang w:val="es-CR"/>
        </w:rPr>
        <w:t xml:space="preserve">Con lo anterior, se espera dar por satisfechas las consultas de esa Subgerencia de Operaciones relacionadas con la recomendación de rechazar las pretensiones de la empresa que desarrolló el proyecto Villa Bonita en el cantón de Siquirres de que se les reconozca los gastos adicionales relacionados con la PTAR de la citada urbanización. Con lo anterior se ratifica el criterio emitido por el Departamento Técnico mediante oficio DF-DT-OF-0876-2021, donde se indicó que no se presentan argumentos técnicos adicionales que hagan pesar </w:t>
      </w:r>
      <w:r w:rsidR="002928AF">
        <w:rPr>
          <w:rFonts w:cs="Arial"/>
          <w:sz w:val="22"/>
          <w:szCs w:val="22"/>
          <w:lang w:val="es-CR"/>
        </w:rPr>
        <w:t xml:space="preserve">(sic) </w:t>
      </w:r>
      <w:r w:rsidRPr="009A04B1">
        <w:rPr>
          <w:rFonts w:cs="Arial"/>
          <w:sz w:val="22"/>
          <w:szCs w:val="22"/>
          <w:lang w:val="es-CR"/>
        </w:rPr>
        <w:t>el modificar la valoración que ya ha realizado este departamento, en los documentos DF-DT-IN-0405-2016, DF-DT-ME-0411-2016 y DF-DT-OF-0442-2018</w:t>
      </w:r>
      <w:r w:rsidR="002E7307">
        <w:rPr>
          <w:rFonts w:cs="Arial"/>
          <w:sz w:val="22"/>
          <w:szCs w:val="22"/>
          <w:lang w:val="es-CR"/>
        </w:rPr>
        <w:t>.</w:t>
      </w:r>
    </w:p>
    <w:p w14:paraId="4BFEF002" w14:textId="77777777" w:rsidR="002928AF" w:rsidRDefault="002928AF" w:rsidP="006A2929">
      <w:pPr>
        <w:jc w:val="both"/>
        <w:rPr>
          <w:rFonts w:cs="Arial"/>
          <w:sz w:val="22"/>
          <w:szCs w:val="22"/>
          <w:lang w:val="es-CR"/>
        </w:rPr>
      </w:pPr>
    </w:p>
    <w:p w14:paraId="1E39F33B" w14:textId="77777777" w:rsidR="009A04B1" w:rsidRPr="009A04B1" w:rsidRDefault="009A04B1" w:rsidP="006A2929">
      <w:pPr>
        <w:jc w:val="both"/>
        <w:rPr>
          <w:rFonts w:cs="Arial"/>
          <w:b/>
          <w:bCs/>
          <w:sz w:val="22"/>
          <w:szCs w:val="22"/>
          <w:u w:val="single"/>
          <w:lang w:val="es-CR"/>
        </w:rPr>
      </w:pPr>
      <w:r w:rsidRPr="009A04B1">
        <w:rPr>
          <w:rFonts w:cs="Arial"/>
          <w:b/>
          <w:bCs/>
          <w:sz w:val="22"/>
          <w:szCs w:val="22"/>
          <w:u w:val="single"/>
          <w:lang w:val="es-CR"/>
        </w:rPr>
        <w:t>Criterio y recomendación legal</w:t>
      </w:r>
    </w:p>
    <w:p w14:paraId="3034CDCA" w14:textId="77777777" w:rsidR="009A04B1" w:rsidRPr="009A04B1" w:rsidRDefault="009A04B1" w:rsidP="006A2929">
      <w:pPr>
        <w:jc w:val="both"/>
        <w:rPr>
          <w:rFonts w:cs="Arial"/>
          <w:sz w:val="22"/>
          <w:szCs w:val="22"/>
          <w:lang w:val="es-CR"/>
        </w:rPr>
      </w:pPr>
    </w:p>
    <w:p w14:paraId="74C7906D" w14:textId="3AF1F717" w:rsidR="009A04B1" w:rsidRPr="009A04B1" w:rsidRDefault="002E7307" w:rsidP="006A2929">
      <w:pPr>
        <w:jc w:val="both"/>
        <w:rPr>
          <w:rFonts w:cs="Arial"/>
          <w:sz w:val="22"/>
          <w:szCs w:val="22"/>
          <w:lang w:val="es-CR"/>
        </w:rPr>
      </w:pPr>
      <w:r w:rsidRPr="002E7307">
        <w:rPr>
          <w:rFonts w:cs="Arial"/>
          <w:sz w:val="22"/>
          <w:szCs w:val="22"/>
          <w:lang w:val="es-CR"/>
        </w:rPr>
        <w:t>1.</w:t>
      </w:r>
      <w:r>
        <w:rPr>
          <w:rFonts w:cs="Arial"/>
          <w:b/>
          <w:bCs/>
          <w:sz w:val="22"/>
          <w:szCs w:val="22"/>
          <w:lang w:val="es-CR"/>
        </w:rPr>
        <w:t xml:space="preserve"> </w:t>
      </w:r>
      <w:r w:rsidR="009A04B1" w:rsidRPr="009A04B1">
        <w:rPr>
          <w:rFonts w:cs="Arial"/>
          <w:b/>
          <w:bCs/>
          <w:sz w:val="22"/>
          <w:szCs w:val="22"/>
          <w:lang w:val="es-CR"/>
        </w:rPr>
        <w:t>Respecto de los informes técnicos</w:t>
      </w:r>
      <w:r w:rsidR="009A04B1" w:rsidRPr="009A04B1">
        <w:rPr>
          <w:rFonts w:cs="Arial"/>
          <w:sz w:val="22"/>
          <w:szCs w:val="22"/>
          <w:lang w:val="es-CR"/>
        </w:rPr>
        <w:t>: La función de los informes técnicos, por consecuencia, es de carácter técnico- auxiliar y tiene por fin guiar y aclarar a otros órganos, en especial los jerárquicos, sobre los fundamentos y el contenido de sus decisiones. Respecto a esa función consultiva desempeñada por diferentes órganos administrativos</w:t>
      </w:r>
      <w:r>
        <w:rPr>
          <w:rFonts w:cs="Arial"/>
          <w:sz w:val="22"/>
          <w:szCs w:val="22"/>
          <w:lang w:val="es-CR"/>
        </w:rPr>
        <w:t xml:space="preserve"> </w:t>
      </w:r>
      <w:r w:rsidR="009A04B1" w:rsidRPr="009A04B1">
        <w:rPr>
          <w:rFonts w:cs="Arial"/>
          <w:sz w:val="22"/>
          <w:szCs w:val="22"/>
          <w:lang w:val="es-CR"/>
        </w:rPr>
        <w:t xml:space="preserve">-en el caso particular FOSUVI- ha sido de profundo estudio por parte de la Procuraduría, indicando: </w:t>
      </w:r>
    </w:p>
    <w:p w14:paraId="26FCA1D5" w14:textId="77777777" w:rsidR="009A04B1" w:rsidRPr="009A04B1" w:rsidRDefault="009A04B1" w:rsidP="006A2929">
      <w:pPr>
        <w:jc w:val="both"/>
        <w:rPr>
          <w:rFonts w:cs="Arial"/>
          <w:sz w:val="22"/>
          <w:szCs w:val="22"/>
          <w:lang w:val="es-CR"/>
        </w:rPr>
      </w:pPr>
    </w:p>
    <w:p w14:paraId="44D92226" w14:textId="77777777" w:rsidR="009A04B1" w:rsidRPr="009A04B1" w:rsidRDefault="009A04B1" w:rsidP="006A2929">
      <w:pPr>
        <w:jc w:val="both"/>
        <w:rPr>
          <w:rFonts w:cs="Arial"/>
          <w:i/>
          <w:iCs/>
          <w:sz w:val="22"/>
          <w:szCs w:val="22"/>
          <w:lang w:val="es-CR"/>
        </w:rPr>
      </w:pPr>
      <w:r w:rsidRPr="009A04B1">
        <w:rPr>
          <w:rFonts w:cs="Arial"/>
          <w:i/>
          <w:iCs/>
          <w:sz w:val="22"/>
          <w:szCs w:val="22"/>
          <w:lang w:val="es-MX"/>
        </w:rPr>
        <w:tab/>
        <w:t>"Los órganos activos necesitan, en muchas ocasiones, para llegar a una adecuada formación de la voluntad administrativa, el asesoramiento de otros órganos, especialmente capacitados para ello, por su estructura y por la preparación de sus elementos personales.</w:t>
      </w:r>
    </w:p>
    <w:p w14:paraId="58FFE75E" w14:textId="77777777" w:rsidR="009A04B1" w:rsidRPr="009A04B1" w:rsidRDefault="009A04B1" w:rsidP="006A2929">
      <w:pPr>
        <w:jc w:val="both"/>
        <w:rPr>
          <w:rFonts w:cs="Arial"/>
          <w:i/>
          <w:iCs/>
          <w:sz w:val="22"/>
          <w:szCs w:val="22"/>
          <w:lang w:val="es-CR"/>
        </w:rPr>
      </w:pPr>
    </w:p>
    <w:p w14:paraId="6C5BD9A3" w14:textId="77777777" w:rsidR="009A04B1" w:rsidRPr="009A04B1" w:rsidRDefault="009A04B1" w:rsidP="006A2929">
      <w:pPr>
        <w:jc w:val="both"/>
        <w:rPr>
          <w:rFonts w:cs="Arial"/>
          <w:i/>
          <w:iCs/>
          <w:sz w:val="22"/>
          <w:szCs w:val="22"/>
          <w:lang w:val="es-MX"/>
        </w:rPr>
      </w:pPr>
      <w:r w:rsidRPr="009A04B1">
        <w:rPr>
          <w:rFonts w:cs="Arial"/>
          <w:i/>
          <w:iCs/>
          <w:sz w:val="22"/>
          <w:szCs w:val="22"/>
          <w:lang w:val="es-MX"/>
        </w:rPr>
        <w:t>Tales órganos son denominados consultivos, y su labor la realizan mediante la emisión de dictámenes o informes, verbalmente o por escrito, de carácter jurídico o técnico." (Entrena Cuesta, Rafael. Curso de Derecho Administrativo)</w:t>
      </w:r>
    </w:p>
    <w:p w14:paraId="1AB92FEA" w14:textId="77777777" w:rsidR="009A04B1" w:rsidRPr="009A04B1" w:rsidRDefault="009A04B1" w:rsidP="006A2929">
      <w:pPr>
        <w:jc w:val="both"/>
        <w:rPr>
          <w:rFonts w:cs="Arial"/>
          <w:i/>
          <w:iCs/>
          <w:sz w:val="22"/>
          <w:szCs w:val="22"/>
          <w:lang w:val="es-MX"/>
        </w:rPr>
      </w:pPr>
    </w:p>
    <w:p w14:paraId="4D6FD47C" w14:textId="77777777" w:rsidR="009A04B1" w:rsidRPr="009A04B1" w:rsidRDefault="009A04B1" w:rsidP="006A2929">
      <w:pPr>
        <w:jc w:val="both"/>
        <w:rPr>
          <w:rFonts w:cs="Arial"/>
          <w:sz w:val="22"/>
          <w:szCs w:val="22"/>
          <w:lang w:val="es-CR"/>
        </w:rPr>
      </w:pPr>
      <w:r w:rsidRPr="009A04B1">
        <w:rPr>
          <w:rFonts w:cs="Arial"/>
          <w:i/>
          <w:iCs/>
          <w:sz w:val="22"/>
          <w:szCs w:val="22"/>
          <w:lang w:val="es-MX"/>
        </w:rPr>
        <w:t xml:space="preserve">En concordancia con lo anterior, los órganos consultivos se han definido como aquellos que "desarrollan una función consultiva asesorando a los órganos activos, preparando así la </w:t>
      </w:r>
      <w:r w:rsidRPr="009A04B1">
        <w:rPr>
          <w:rFonts w:cs="Arial"/>
          <w:i/>
          <w:iCs/>
          <w:sz w:val="22"/>
          <w:szCs w:val="22"/>
          <w:lang w:val="es-MX"/>
        </w:rPr>
        <w:lastRenderedPageBreak/>
        <w:t>acción de éstos, facilitándoles elementos de juicio que sirvan de base para la formación de la voluntad del órgano llamado a actuar."</w:t>
      </w:r>
    </w:p>
    <w:p w14:paraId="563786E4" w14:textId="77777777" w:rsidR="009A04B1" w:rsidRPr="009A04B1" w:rsidRDefault="009A04B1" w:rsidP="006A2929">
      <w:pPr>
        <w:jc w:val="both"/>
        <w:rPr>
          <w:rFonts w:cs="Arial"/>
          <w:sz w:val="22"/>
          <w:szCs w:val="22"/>
          <w:lang w:val="es-CR"/>
        </w:rPr>
      </w:pPr>
    </w:p>
    <w:p w14:paraId="2B3EBD9C" w14:textId="77777777" w:rsidR="009A04B1" w:rsidRPr="009A04B1" w:rsidRDefault="009A04B1" w:rsidP="006A2929">
      <w:pPr>
        <w:jc w:val="both"/>
        <w:rPr>
          <w:rFonts w:cs="Arial"/>
          <w:sz w:val="22"/>
          <w:szCs w:val="22"/>
          <w:lang w:val="es-CR"/>
        </w:rPr>
      </w:pPr>
      <w:r w:rsidRPr="009A04B1">
        <w:rPr>
          <w:rFonts w:cs="Arial"/>
          <w:i/>
          <w:iCs/>
          <w:sz w:val="22"/>
          <w:szCs w:val="22"/>
          <w:lang w:val="es-MX"/>
        </w:rPr>
        <w:t>(Alessi, Renato. Instituciones de Derecho Administrativo, Tomo I, Bosch Editorial, Barcelona, 1970, pág. 128).</w:t>
      </w:r>
    </w:p>
    <w:p w14:paraId="20FCC8EA" w14:textId="77777777" w:rsidR="009A04B1" w:rsidRPr="009A04B1" w:rsidRDefault="009A04B1" w:rsidP="006A2929">
      <w:pPr>
        <w:jc w:val="both"/>
        <w:rPr>
          <w:rFonts w:cs="Arial"/>
          <w:sz w:val="22"/>
          <w:szCs w:val="22"/>
          <w:lang w:val="es-CR"/>
        </w:rPr>
      </w:pPr>
    </w:p>
    <w:p w14:paraId="1CB4782D" w14:textId="77777777" w:rsidR="009A04B1" w:rsidRPr="009A04B1" w:rsidRDefault="009A04B1" w:rsidP="006A2929">
      <w:pPr>
        <w:jc w:val="both"/>
        <w:rPr>
          <w:rFonts w:cs="Arial"/>
          <w:sz w:val="22"/>
          <w:szCs w:val="22"/>
          <w:lang w:val="es-CR"/>
        </w:rPr>
      </w:pPr>
      <w:r w:rsidRPr="009A04B1">
        <w:rPr>
          <w:rFonts w:cs="Arial"/>
          <w:i/>
          <w:iCs/>
          <w:sz w:val="22"/>
          <w:szCs w:val="22"/>
          <w:lang w:val="es-MX"/>
        </w:rPr>
        <w:t>Asimismo, cabe señalar que la actividad de dichos órganos se desarrolla de manera previa a la decisión de la Administración activa, pues si la decisión ya ha sido tomada sería inútil que el órgano consultivo emita su parecer. A la vez, tal actividad no se ejerce de oficio, sino que debe ser promovida por los órganos activos, y es de naturaleza interna, de suerte que en la formación del criterio técnico- jurídico no intervienen los interesados en el asunto que pende en el reparto administrativo correspondiente. (…)</w:t>
      </w:r>
    </w:p>
    <w:p w14:paraId="52730E8B" w14:textId="77777777" w:rsidR="009A04B1" w:rsidRPr="009A04B1" w:rsidRDefault="009A04B1" w:rsidP="006A2929">
      <w:pPr>
        <w:jc w:val="both"/>
        <w:rPr>
          <w:rFonts w:cs="Arial"/>
          <w:sz w:val="22"/>
          <w:szCs w:val="22"/>
          <w:lang w:val="es-CR"/>
        </w:rPr>
      </w:pPr>
    </w:p>
    <w:p w14:paraId="2301CD2E" w14:textId="43A3EB9C" w:rsidR="009A04B1" w:rsidRPr="009A04B1" w:rsidRDefault="009A04B1" w:rsidP="006A2929">
      <w:pPr>
        <w:jc w:val="both"/>
        <w:rPr>
          <w:rFonts w:cs="Arial"/>
          <w:sz w:val="22"/>
          <w:szCs w:val="22"/>
          <w:lang w:val="es-CR"/>
        </w:rPr>
      </w:pPr>
      <w:r w:rsidRPr="009A04B1">
        <w:rPr>
          <w:rFonts w:cs="Arial"/>
          <w:sz w:val="22"/>
          <w:szCs w:val="22"/>
          <w:lang w:val="es-CR"/>
        </w:rPr>
        <w:t xml:space="preserve">En resumen, los informes técnicos de la Dirección Fosuvi y su Departamento Técnico son actos preparatorios de las decisiones finales del BANHVI. Es la Junta Directiva del BANHVI quien los aprueba o rechaza. Tan es así que la Junta Directiva del BANHVI, de previo a conocer y resolver las solicitudes de la Administración, requiere que sus órganos o dependencias se manifiesten. De ahí que surgen los informes DF-DT-IN-0405-2016 y DF-OF-0592-2016, y otros de la Dirección FOSUVI, sobre los cuales la Junta Directiva emite el acuerdo número 7 de la sesión 33-2018, y acuerda rechazar, conforme los argumentos técnicos y jurídicos que se mencionan en los documentos adjuntos al oficio GG-ME- 0468-2018 de la Gerencia General, la solicitud de la empresa. Este es el acto administrativo final, que rechaza, lo solicitado por la empresa Mar Azul y acoge la recomendación de Administración. Ese acto final de la Administración es el que debió haber ser </w:t>
      </w:r>
      <w:r w:rsidR="006A2929">
        <w:rPr>
          <w:rFonts w:cs="Arial"/>
          <w:sz w:val="22"/>
          <w:szCs w:val="22"/>
          <w:lang w:val="es-CR"/>
        </w:rPr>
        <w:t xml:space="preserve">(sic) </w:t>
      </w:r>
      <w:r w:rsidRPr="009A04B1">
        <w:rPr>
          <w:rFonts w:cs="Arial"/>
          <w:sz w:val="22"/>
          <w:szCs w:val="22"/>
          <w:lang w:val="es-CR"/>
        </w:rPr>
        <w:t xml:space="preserve">recurrido por la desarrolladora Mar Azul, dentro del plazo establecido por ley pero el Desarrollador interpone recurso “de reconsideración” contra dicho acto hasta el 18 de setiembre de 2021, de manera extemporánea. Por el contrario, se impugnan oficios de la Administración, que como dijimos son actos preparatorios, no impugnables por no ser actos finales de la administración. Este es el acto administrativo final, que rechaza, lo solicitado por la citada empresa y acoge la recomendación de Administración. Ese acto final de la Administración es el que debió haber ser </w:t>
      </w:r>
      <w:r w:rsidR="006A2929">
        <w:rPr>
          <w:rFonts w:cs="Arial"/>
          <w:sz w:val="22"/>
          <w:szCs w:val="22"/>
          <w:lang w:val="es-CR"/>
        </w:rPr>
        <w:t xml:space="preserve">(sic) </w:t>
      </w:r>
      <w:r w:rsidRPr="009A04B1">
        <w:rPr>
          <w:rFonts w:cs="Arial"/>
          <w:sz w:val="22"/>
          <w:szCs w:val="22"/>
          <w:lang w:val="es-CR"/>
        </w:rPr>
        <w:t xml:space="preserve">recurrido por </w:t>
      </w:r>
      <w:r w:rsidR="006A2929">
        <w:rPr>
          <w:rFonts w:cs="Arial"/>
          <w:sz w:val="22"/>
          <w:szCs w:val="22"/>
          <w:lang w:val="es-CR"/>
        </w:rPr>
        <w:t xml:space="preserve">(sic) </w:t>
      </w:r>
      <w:r w:rsidRPr="009A04B1">
        <w:rPr>
          <w:rFonts w:cs="Arial"/>
          <w:sz w:val="22"/>
          <w:szCs w:val="22"/>
          <w:lang w:val="es-CR"/>
        </w:rPr>
        <w:t>en tiempo y forma, pero se hace de manera extemporánea, por el contrario, se continúan impugnando oficios de la Administración, que como dijimos son actos preparatorios, no impugnables por no ser actos finales de la Administración.</w:t>
      </w:r>
    </w:p>
    <w:p w14:paraId="172919A8" w14:textId="77777777" w:rsidR="009A04B1" w:rsidRPr="009A04B1" w:rsidRDefault="009A04B1" w:rsidP="006A2929">
      <w:pPr>
        <w:jc w:val="both"/>
        <w:rPr>
          <w:rFonts w:cs="Arial"/>
          <w:sz w:val="22"/>
          <w:szCs w:val="22"/>
          <w:lang w:val="es-CR"/>
        </w:rPr>
      </w:pPr>
    </w:p>
    <w:p w14:paraId="1ECA017F" w14:textId="77777777" w:rsidR="009A04B1" w:rsidRPr="009A04B1" w:rsidRDefault="009A04B1" w:rsidP="006A2929">
      <w:pPr>
        <w:jc w:val="both"/>
        <w:rPr>
          <w:rFonts w:cs="Arial"/>
          <w:sz w:val="22"/>
          <w:szCs w:val="22"/>
          <w:lang w:val="es-CR"/>
        </w:rPr>
      </w:pPr>
      <w:r w:rsidRPr="009A04B1">
        <w:rPr>
          <w:rFonts w:cs="Arial"/>
          <w:sz w:val="22"/>
          <w:szCs w:val="22"/>
          <w:lang w:val="es-CR"/>
        </w:rPr>
        <w:t xml:space="preserve">Aunado a lo anterior, tanto la Dirección Fosuvi, Departamento Técnico y Legal, así como la Junta Directiva dieron por atendida la consulta en el 2018 mediante los oficios supra citados y mediante el acuerdo del 2018. </w:t>
      </w:r>
    </w:p>
    <w:p w14:paraId="46A83935" w14:textId="77777777" w:rsidR="009A04B1" w:rsidRPr="009A04B1" w:rsidRDefault="009A04B1" w:rsidP="006A2929">
      <w:pPr>
        <w:jc w:val="both"/>
        <w:rPr>
          <w:rFonts w:cs="Arial"/>
          <w:sz w:val="22"/>
          <w:szCs w:val="22"/>
          <w:lang w:val="es-CR"/>
        </w:rPr>
      </w:pPr>
    </w:p>
    <w:p w14:paraId="3EA77873" w14:textId="1E3E17D4" w:rsidR="009A04B1" w:rsidRPr="009A04B1" w:rsidRDefault="009A04B1" w:rsidP="006A2929">
      <w:pPr>
        <w:jc w:val="both"/>
        <w:rPr>
          <w:rFonts w:cs="Arial"/>
          <w:sz w:val="22"/>
          <w:szCs w:val="22"/>
          <w:lang w:val="es-CR"/>
        </w:rPr>
      </w:pPr>
      <w:r w:rsidRPr="009A04B1">
        <w:rPr>
          <w:rFonts w:cs="Arial"/>
          <w:sz w:val="22"/>
          <w:szCs w:val="22"/>
          <w:lang w:val="es-CR"/>
        </w:rPr>
        <w:t xml:space="preserve">En virtud de lo expuesto, según el análisis y recomendación del Departamento Técnico este </w:t>
      </w:r>
      <w:r w:rsidR="006A2929">
        <w:rPr>
          <w:rFonts w:cs="Arial"/>
          <w:sz w:val="22"/>
          <w:szCs w:val="22"/>
          <w:lang w:val="es-CR"/>
        </w:rPr>
        <w:t xml:space="preserve">(sic) </w:t>
      </w:r>
      <w:r w:rsidRPr="009A04B1">
        <w:rPr>
          <w:rFonts w:cs="Arial"/>
          <w:sz w:val="22"/>
          <w:szCs w:val="22"/>
          <w:lang w:val="es-CR"/>
        </w:rPr>
        <w:t xml:space="preserve">Asesoría avala lo señalado por ese Departamento y </w:t>
      </w:r>
      <w:bookmarkStart w:id="2" w:name="_Hlk93559434"/>
      <w:r w:rsidRPr="009A04B1">
        <w:rPr>
          <w:rFonts w:cs="Arial"/>
          <w:sz w:val="22"/>
          <w:szCs w:val="22"/>
          <w:lang w:val="es-CR"/>
        </w:rPr>
        <w:t>mantiene criterio del año 2016, emitido mediante oficio AL-OF-0127-2016.</w:t>
      </w:r>
      <w:r>
        <w:rPr>
          <w:rFonts w:cs="Arial"/>
          <w:sz w:val="22"/>
          <w:szCs w:val="22"/>
          <w:lang w:val="es-CR"/>
        </w:rPr>
        <w:t>(…)”</w:t>
      </w:r>
    </w:p>
    <w:bookmarkEnd w:id="2"/>
    <w:p w14:paraId="1AE1B460" w14:textId="5FD1879D" w:rsidR="008E2637" w:rsidRDefault="008E2637" w:rsidP="002B71CC">
      <w:pPr>
        <w:spacing w:line="360" w:lineRule="auto"/>
        <w:jc w:val="both"/>
        <w:rPr>
          <w:rFonts w:cs="Arial"/>
          <w:sz w:val="22"/>
          <w:szCs w:val="22"/>
          <w:lang w:val="es-CR"/>
        </w:rPr>
      </w:pPr>
    </w:p>
    <w:p w14:paraId="4456613C" w14:textId="4392343F" w:rsidR="003470C4" w:rsidRDefault="00356486" w:rsidP="003470C4">
      <w:pPr>
        <w:spacing w:line="360" w:lineRule="auto"/>
        <w:jc w:val="both"/>
        <w:rPr>
          <w:rFonts w:cs="Arial"/>
          <w:sz w:val="22"/>
          <w:szCs w:val="22"/>
          <w:lang w:val="es-CR"/>
        </w:rPr>
      </w:pPr>
      <w:r>
        <w:rPr>
          <w:rFonts w:cs="Arial"/>
          <w:b/>
          <w:bCs/>
          <w:sz w:val="22"/>
          <w:szCs w:val="22"/>
        </w:rPr>
        <w:t>Quinto</w:t>
      </w:r>
      <w:r w:rsidR="009414E2" w:rsidRPr="00DE339C">
        <w:rPr>
          <w:rFonts w:cs="Arial"/>
          <w:b/>
          <w:bCs/>
          <w:sz w:val="22"/>
          <w:szCs w:val="22"/>
        </w:rPr>
        <w:t>:</w:t>
      </w:r>
      <w:r w:rsidR="009414E2">
        <w:rPr>
          <w:rFonts w:cs="Arial"/>
          <w:sz w:val="22"/>
          <w:szCs w:val="22"/>
        </w:rPr>
        <w:t xml:space="preserve"> Que </w:t>
      </w:r>
      <w:r w:rsidR="000937FA">
        <w:rPr>
          <w:rFonts w:cs="Arial"/>
          <w:sz w:val="22"/>
          <w:szCs w:val="22"/>
        </w:rPr>
        <w:t xml:space="preserve">esta </w:t>
      </w:r>
      <w:r w:rsidR="000937FA" w:rsidRPr="000937FA">
        <w:rPr>
          <w:rFonts w:cs="Arial"/>
          <w:sz w:val="22"/>
          <w:szCs w:val="22"/>
          <w:lang w:val="es-ES_tradnl"/>
        </w:rPr>
        <w:t>Junta Directiva</w:t>
      </w:r>
      <w:r w:rsidR="000937FA">
        <w:rPr>
          <w:rFonts w:cs="Arial"/>
          <w:sz w:val="22"/>
          <w:szCs w:val="22"/>
          <w:lang w:val="es-ES_tradnl"/>
        </w:rPr>
        <w:t xml:space="preserve"> concuerda con los </w:t>
      </w:r>
      <w:r w:rsidR="00361D8B">
        <w:rPr>
          <w:rFonts w:cs="Arial"/>
          <w:sz w:val="22"/>
          <w:szCs w:val="22"/>
          <w:lang w:val="es-ES_tradnl"/>
        </w:rPr>
        <w:t xml:space="preserve">anteriores </w:t>
      </w:r>
      <w:r w:rsidR="000937FA">
        <w:rPr>
          <w:rFonts w:cs="Arial"/>
          <w:sz w:val="22"/>
          <w:szCs w:val="22"/>
          <w:lang w:val="es-ES_tradnl"/>
        </w:rPr>
        <w:t xml:space="preserve">argumentos técnicos y </w:t>
      </w:r>
      <w:r w:rsidR="00897167">
        <w:rPr>
          <w:rFonts w:cs="Arial"/>
          <w:sz w:val="22"/>
          <w:szCs w:val="22"/>
          <w:lang w:val="es-ES_tradnl"/>
        </w:rPr>
        <w:t xml:space="preserve">jurídicos </w:t>
      </w:r>
      <w:r w:rsidR="000937FA">
        <w:rPr>
          <w:rFonts w:cs="Arial"/>
          <w:sz w:val="22"/>
          <w:szCs w:val="22"/>
          <w:lang w:val="es-ES_tradnl"/>
        </w:rPr>
        <w:t xml:space="preserve">expuestos </w:t>
      </w:r>
      <w:r w:rsidR="00897167">
        <w:rPr>
          <w:rFonts w:cs="Arial"/>
          <w:sz w:val="22"/>
          <w:szCs w:val="22"/>
          <w:lang w:val="es-ES_tradnl"/>
        </w:rPr>
        <w:t>por el Departamento Técnico y la Asesoría Legal</w:t>
      </w:r>
      <w:r w:rsidR="000937FA">
        <w:rPr>
          <w:rFonts w:cs="Arial"/>
          <w:sz w:val="22"/>
          <w:szCs w:val="22"/>
          <w:lang w:val="es-CR"/>
        </w:rPr>
        <w:t xml:space="preserve">, </w:t>
      </w:r>
      <w:r w:rsidR="00897167">
        <w:rPr>
          <w:rFonts w:cs="Arial"/>
          <w:sz w:val="22"/>
          <w:szCs w:val="22"/>
          <w:lang w:val="es-CR"/>
        </w:rPr>
        <w:t>entre otros, los</w:t>
      </w:r>
      <w:r w:rsidR="003470C4">
        <w:rPr>
          <w:rFonts w:cs="Arial"/>
          <w:sz w:val="22"/>
          <w:szCs w:val="22"/>
          <w:lang w:val="es-CR"/>
        </w:rPr>
        <w:t xml:space="preserve"> siguientes:</w:t>
      </w:r>
    </w:p>
    <w:p w14:paraId="588FCC55" w14:textId="17C7AC28" w:rsidR="008F5B5D" w:rsidRPr="009A04B1" w:rsidRDefault="008F5B5D" w:rsidP="003470C4">
      <w:pPr>
        <w:spacing w:line="360" w:lineRule="auto"/>
        <w:jc w:val="both"/>
        <w:rPr>
          <w:rFonts w:cs="Arial"/>
          <w:sz w:val="22"/>
          <w:szCs w:val="22"/>
          <w:lang w:val="es-CR"/>
        </w:rPr>
      </w:pPr>
      <w:r>
        <w:rPr>
          <w:rFonts w:cs="Arial"/>
          <w:sz w:val="22"/>
          <w:szCs w:val="22"/>
          <w:lang w:val="es-CR"/>
        </w:rPr>
        <w:t xml:space="preserve">A.-) </w:t>
      </w:r>
      <w:r w:rsidRPr="009A04B1">
        <w:rPr>
          <w:rFonts w:cs="Arial"/>
          <w:sz w:val="22"/>
          <w:szCs w:val="22"/>
          <w:lang w:val="es-CR"/>
        </w:rPr>
        <w:t>Para el caso del proyecto Villa Bonita, por las condiciones técnicas presentes en la finca y en la zona, la urbanización se tuvo que construir con una P</w:t>
      </w:r>
      <w:r w:rsidR="0065688D">
        <w:rPr>
          <w:rFonts w:cs="Arial"/>
          <w:sz w:val="22"/>
          <w:szCs w:val="22"/>
          <w:lang w:val="es-CR"/>
        </w:rPr>
        <w:t xml:space="preserve">lanta de Tratamiento de </w:t>
      </w:r>
      <w:r w:rsidR="0065688D">
        <w:rPr>
          <w:rFonts w:cs="Arial"/>
          <w:sz w:val="22"/>
          <w:szCs w:val="22"/>
          <w:lang w:val="es-CR"/>
        </w:rPr>
        <w:lastRenderedPageBreak/>
        <w:t>Aguas Residuales (P</w:t>
      </w:r>
      <w:r w:rsidRPr="009A04B1">
        <w:rPr>
          <w:rFonts w:cs="Arial"/>
          <w:sz w:val="22"/>
          <w:szCs w:val="22"/>
          <w:lang w:val="es-CR"/>
        </w:rPr>
        <w:t>TAR</w:t>
      </w:r>
      <w:r w:rsidR="0065688D">
        <w:rPr>
          <w:rFonts w:cs="Arial"/>
          <w:sz w:val="22"/>
          <w:szCs w:val="22"/>
          <w:lang w:val="es-CR"/>
        </w:rPr>
        <w:t>)</w:t>
      </w:r>
      <w:r w:rsidRPr="009A04B1">
        <w:rPr>
          <w:rFonts w:cs="Arial"/>
          <w:sz w:val="22"/>
          <w:szCs w:val="22"/>
          <w:lang w:val="es-CR"/>
        </w:rPr>
        <w:t xml:space="preserve">. Pero el BANHVI nunca financió un proyecto de construcción de infraestructura urbanística, sino, que compró lotes (o casas en lotes) totalmente urbanizados, razón por la cual, no puede asumir costos de mantenimiento ni gastos adicionales por una obra </w:t>
      </w:r>
      <w:r w:rsidR="00FB5CD6">
        <w:rPr>
          <w:rFonts w:cs="Arial"/>
          <w:sz w:val="22"/>
          <w:szCs w:val="22"/>
          <w:lang w:val="es-CR"/>
        </w:rPr>
        <w:t xml:space="preserve">de la </w:t>
      </w:r>
      <w:r w:rsidRPr="009A04B1">
        <w:rPr>
          <w:rFonts w:cs="Arial"/>
          <w:sz w:val="22"/>
          <w:szCs w:val="22"/>
          <w:lang w:val="es-CR"/>
        </w:rPr>
        <w:t>que no financió su construcción ni desarrollo.</w:t>
      </w:r>
    </w:p>
    <w:p w14:paraId="1F9EBDE2" w14:textId="77777777" w:rsidR="008F5B5D" w:rsidRPr="009A04B1" w:rsidRDefault="008F5B5D" w:rsidP="003470C4">
      <w:pPr>
        <w:spacing w:line="360" w:lineRule="auto"/>
        <w:jc w:val="both"/>
        <w:rPr>
          <w:rFonts w:cs="Arial"/>
          <w:sz w:val="22"/>
          <w:szCs w:val="22"/>
          <w:lang w:val="es-CR"/>
        </w:rPr>
      </w:pPr>
    </w:p>
    <w:p w14:paraId="6AA27354" w14:textId="4FD96A2D" w:rsidR="003470C4" w:rsidRPr="003470C4" w:rsidRDefault="00897167" w:rsidP="003470C4">
      <w:pPr>
        <w:spacing w:line="360" w:lineRule="auto"/>
        <w:jc w:val="both"/>
        <w:rPr>
          <w:rFonts w:cs="Arial"/>
          <w:sz w:val="22"/>
          <w:szCs w:val="22"/>
          <w:lang w:val="es-CR"/>
        </w:rPr>
      </w:pPr>
      <w:r>
        <w:rPr>
          <w:rFonts w:cs="Arial"/>
          <w:sz w:val="22"/>
          <w:szCs w:val="22"/>
          <w:lang w:val="es-CR"/>
        </w:rPr>
        <w:t xml:space="preserve">B.-) </w:t>
      </w:r>
      <w:r w:rsidR="003470C4" w:rsidRPr="003470C4">
        <w:rPr>
          <w:rFonts w:cs="Arial"/>
          <w:sz w:val="22"/>
          <w:szCs w:val="22"/>
          <w:lang w:val="es-CR"/>
        </w:rPr>
        <w:t>La construcción de la infraestructura fue obra ejecutada por el desarrollador y para ello contó con la asesoría de un profesional responsable que conoce o debe conocer bien, toda la normativa relacionada que debe cumpli</w:t>
      </w:r>
      <w:r w:rsidR="00FB5CD6">
        <w:rPr>
          <w:rFonts w:cs="Arial"/>
          <w:sz w:val="22"/>
          <w:szCs w:val="22"/>
          <w:lang w:val="es-CR"/>
        </w:rPr>
        <w:t>rse</w:t>
      </w:r>
      <w:r w:rsidR="003470C4" w:rsidRPr="003470C4">
        <w:rPr>
          <w:rFonts w:cs="Arial"/>
          <w:sz w:val="22"/>
          <w:szCs w:val="22"/>
          <w:lang w:val="es-CR"/>
        </w:rPr>
        <w:t xml:space="preserve"> para que los elementos sean recibidos por las autoridades competentes y</w:t>
      </w:r>
      <w:r w:rsidR="00FB5CD6">
        <w:rPr>
          <w:rFonts w:cs="Arial"/>
          <w:sz w:val="22"/>
          <w:szCs w:val="22"/>
          <w:lang w:val="es-CR"/>
        </w:rPr>
        <w:t>,</w:t>
      </w:r>
      <w:r w:rsidR="003470C4" w:rsidRPr="003470C4">
        <w:rPr>
          <w:rFonts w:cs="Arial"/>
          <w:sz w:val="22"/>
          <w:szCs w:val="22"/>
          <w:lang w:val="es-CR"/>
        </w:rPr>
        <w:t xml:space="preserve"> como tal, tuvo que tomar las previsiones para que la obra fuera recibida en su momento por las </w:t>
      </w:r>
      <w:r>
        <w:rPr>
          <w:rFonts w:cs="Arial"/>
          <w:sz w:val="22"/>
          <w:szCs w:val="22"/>
          <w:lang w:val="es-CR"/>
        </w:rPr>
        <w:t xml:space="preserve">respectivas </w:t>
      </w:r>
      <w:r w:rsidR="003470C4" w:rsidRPr="003470C4">
        <w:rPr>
          <w:rFonts w:cs="Arial"/>
          <w:sz w:val="22"/>
          <w:szCs w:val="22"/>
          <w:lang w:val="es-CR"/>
        </w:rPr>
        <w:t>instituciones</w:t>
      </w:r>
      <w:r>
        <w:rPr>
          <w:rFonts w:cs="Arial"/>
          <w:sz w:val="22"/>
          <w:szCs w:val="22"/>
          <w:lang w:val="es-CR"/>
        </w:rPr>
        <w:t>;</w:t>
      </w:r>
      <w:r w:rsidR="003470C4" w:rsidRPr="003470C4">
        <w:rPr>
          <w:rFonts w:cs="Arial"/>
          <w:sz w:val="22"/>
          <w:szCs w:val="22"/>
          <w:lang w:val="es-CR"/>
        </w:rPr>
        <w:t xml:space="preserve"> </w:t>
      </w:r>
      <w:r>
        <w:rPr>
          <w:rFonts w:cs="Arial"/>
          <w:sz w:val="22"/>
          <w:szCs w:val="22"/>
          <w:lang w:val="es-CR"/>
        </w:rPr>
        <w:t xml:space="preserve">y en </w:t>
      </w:r>
      <w:r w:rsidR="003470C4" w:rsidRPr="003470C4">
        <w:rPr>
          <w:rFonts w:cs="Arial"/>
          <w:sz w:val="22"/>
          <w:szCs w:val="22"/>
          <w:lang w:val="es-CR"/>
        </w:rPr>
        <w:t xml:space="preserve">caso de la PTAR, </w:t>
      </w:r>
      <w:r>
        <w:rPr>
          <w:rFonts w:cs="Arial"/>
          <w:sz w:val="22"/>
          <w:szCs w:val="22"/>
          <w:lang w:val="es-CR"/>
        </w:rPr>
        <w:t xml:space="preserve">siendo que, como es sabido, </w:t>
      </w:r>
      <w:r w:rsidR="003470C4" w:rsidRPr="003470C4">
        <w:rPr>
          <w:rFonts w:cs="Arial"/>
          <w:sz w:val="22"/>
          <w:szCs w:val="22"/>
          <w:lang w:val="es-CR"/>
        </w:rPr>
        <w:t>debía ser recibida por el Instituto Costarricense de Acueductos y Alcantarillados, tuvo que tomar las previsiones del caso.</w:t>
      </w:r>
    </w:p>
    <w:p w14:paraId="752F5313" w14:textId="77777777" w:rsidR="003470C4" w:rsidRPr="003470C4" w:rsidRDefault="003470C4" w:rsidP="003470C4">
      <w:pPr>
        <w:spacing w:line="360" w:lineRule="auto"/>
        <w:jc w:val="both"/>
        <w:rPr>
          <w:rFonts w:cs="Arial"/>
          <w:sz w:val="22"/>
          <w:szCs w:val="22"/>
          <w:lang w:val="es-CR"/>
        </w:rPr>
      </w:pPr>
    </w:p>
    <w:p w14:paraId="52F63548" w14:textId="3D370DD5" w:rsidR="003470C4" w:rsidRPr="003470C4" w:rsidRDefault="00897167" w:rsidP="003470C4">
      <w:pPr>
        <w:spacing w:line="360" w:lineRule="auto"/>
        <w:jc w:val="both"/>
        <w:rPr>
          <w:rFonts w:cs="Arial"/>
          <w:sz w:val="22"/>
          <w:szCs w:val="22"/>
          <w:lang w:val="es-CR"/>
        </w:rPr>
      </w:pPr>
      <w:r>
        <w:rPr>
          <w:rFonts w:cs="Arial"/>
          <w:sz w:val="22"/>
          <w:szCs w:val="22"/>
          <w:lang w:val="es-CR"/>
        </w:rPr>
        <w:t>C.-) Los</w:t>
      </w:r>
      <w:r w:rsidR="003470C4" w:rsidRPr="003470C4">
        <w:rPr>
          <w:rFonts w:cs="Arial"/>
          <w:sz w:val="22"/>
          <w:szCs w:val="22"/>
          <w:lang w:val="es-CR"/>
        </w:rPr>
        <w:t xml:space="preserve"> informes técnicos de la Dirección </w:t>
      </w:r>
      <w:r>
        <w:rPr>
          <w:rFonts w:cs="Arial"/>
          <w:sz w:val="22"/>
          <w:szCs w:val="22"/>
          <w:lang w:val="es-CR"/>
        </w:rPr>
        <w:t>FOSUVI</w:t>
      </w:r>
      <w:r w:rsidR="003470C4" w:rsidRPr="003470C4">
        <w:rPr>
          <w:rFonts w:cs="Arial"/>
          <w:sz w:val="22"/>
          <w:szCs w:val="22"/>
          <w:lang w:val="es-CR"/>
        </w:rPr>
        <w:t xml:space="preserve"> y su Departamento Técnico son actos preparatorios de las decisiones finales del BANHVI. Es la Junta Directiva del BANHVI </w:t>
      </w:r>
      <w:r>
        <w:rPr>
          <w:rFonts w:cs="Arial"/>
          <w:sz w:val="22"/>
          <w:szCs w:val="22"/>
          <w:lang w:val="es-CR"/>
        </w:rPr>
        <w:t xml:space="preserve">la que </w:t>
      </w:r>
      <w:r w:rsidR="003470C4" w:rsidRPr="003470C4">
        <w:rPr>
          <w:rFonts w:cs="Arial"/>
          <w:sz w:val="22"/>
          <w:szCs w:val="22"/>
          <w:lang w:val="es-CR"/>
        </w:rPr>
        <w:t xml:space="preserve">los aprueba o </w:t>
      </w:r>
      <w:r>
        <w:rPr>
          <w:rFonts w:cs="Arial"/>
          <w:sz w:val="22"/>
          <w:szCs w:val="22"/>
          <w:lang w:val="es-CR"/>
        </w:rPr>
        <w:t xml:space="preserve">los </w:t>
      </w:r>
      <w:r w:rsidR="003470C4" w:rsidRPr="003470C4">
        <w:rPr>
          <w:rFonts w:cs="Arial"/>
          <w:sz w:val="22"/>
          <w:szCs w:val="22"/>
          <w:lang w:val="es-CR"/>
        </w:rPr>
        <w:t xml:space="preserve">rechaza. De ahí que surgen los informes </w:t>
      </w:r>
      <w:r>
        <w:rPr>
          <w:rFonts w:cs="Arial"/>
          <w:sz w:val="22"/>
          <w:szCs w:val="22"/>
          <w:lang w:val="es-CR"/>
        </w:rPr>
        <w:t>de</w:t>
      </w:r>
      <w:r w:rsidR="003470C4" w:rsidRPr="003470C4">
        <w:rPr>
          <w:rFonts w:cs="Arial"/>
          <w:sz w:val="22"/>
          <w:szCs w:val="22"/>
          <w:lang w:val="es-CR"/>
        </w:rPr>
        <w:t xml:space="preserve"> la Dirección FOSUVI sobre los cuales la Junta Directiva emit</w:t>
      </w:r>
      <w:r>
        <w:rPr>
          <w:rFonts w:cs="Arial"/>
          <w:sz w:val="22"/>
          <w:szCs w:val="22"/>
          <w:lang w:val="es-CR"/>
        </w:rPr>
        <w:t>ió</w:t>
      </w:r>
      <w:r w:rsidR="003470C4" w:rsidRPr="003470C4">
        <w:rPr>
          <w:rFonts w:cs="Arial"/>
          <w:sz w:val="22"/>
          <w:szCs w:val="22"/>
          <w:lang w:val="es-CR"/>
        </w:rPr>
        <w:t xml:space="preserve"> el acuerdo número 7 de la sesión 33-2018, y acuerda rechazar, conforme los argumentos técnicos y jurídicos que se mencionan en los documentos adjuntos al oficio GG-ME- 0468-2018 de la Gerencia General, la solicitud de la empresa. Este es el acto administrativo final, </w:t>
      </w:r>
      <w:r>
        <w:rPr>
          <w:rFonts w:cs="Arial"/>
          <w:sz w:val="22"/>
          <w:szCs w:val="22"/>
          <w:lang w:val="es-CR"/>
        </w:rPr>
        <w:t xml:space="preserve">según el cual, se </w:t>
      </w:r>
      <w:r w:rsidR="003470C4" w:rsidRPr="003470C4">
        <w:rPr>
          <w:rFonts w:cs="Arial"/>
          <w:sz w:val="22"/>
          <w:szCs w:val="22"/>
          <w:lang w:val="es-CR"/>
        </w:rPr>
        <w:t xml:space="preserve">rechaza lo solicitado por la empresa </w:t>
      </w:r>
      <w:r>
        <w:rPr>
          <w:rFonts w:cs="Arial"/>
          <w:sz w:val="22"/>
          <w:szCs w:val="22"/>
          <w:lang w:val="es-CR"/>
        </w:rPr>
        <w:t xml:space="preserve">Consultoría </w:t>
      </w:r>
      <w:r w:rsidR="003470C4" w:rsidRPr="003470C4">
        <w:rPr>
          <w:rFonts w:cs="Arial"/>
          <w:sz w:val="22"/>
          <w:szCs w:val="22"/>
          <w:lang w:val="es-CR"/>
        </w:rPr>
        <w:t xml:space="preserve">Mar Azul </w:t>
      </w:r>
      <w:r>
        <w:rPr>
          <w:rFonts w:cs="Arial"/>
          <w:sz w:val="22"/>
          <w:szCs w:val="22"/>
          <w:lang w:val="es-CR"/>
        </w:rPr>
        <w:t>S.A.</w:t>
      </w:r>
      <w:r w:rsidR="003470C4" w:rsidRPr="003470C4">
        <w:rPr>
          <w:rFonts w:cs="Arial"/>
          <w:sz w:val="22"/>
          <w:szCs w:val="22"/>
          <w:lang w:val="es-CR"/>
        </w:rPr>
        <w:t xml:space="preserve"> </w:t>
      </w:r>
      <w:r w:rsidR="00BC5131">
        <w:rPr>
          <w:rFonts w:cs="Arial"/>
          <w:sz w:val="22"/>
          <w:szCs w:val="22"/>
          <w:lang w:val="es-CR"/>
        </w:rPr>
        <w:t>y es e</w:t>
      </w:r>
      <w:r w:rsidR="003470C4" w:rsidRPr="003470C4">
        <w:rPr>
          <w:rFonts w:cs="Arial"/>
          <w:sz w:val="22"/>
          <w:szCs w:val="22"/>
          <w:lang w:val="es-CR"/>
        </w:rPr>
        <w:t>s</w:t>
      </w:r>
      <w:r w:rsidR="00BC5131">
        <w:rPr>
          <w:rFonts w:cs="Arial"/>
          <w:sz w:val="22"/>
          <w:szCs w:val="22"/>
          <w:lang w:val="es-CR"/>
        </w:rPr>
        <w:t>t</w:t>
      </w:r>
      <w:r w:rsidR="003470C4" w:rsidRPr="003470C4">
        <w:rPr>
          <w:rFonts w:cs="Arial"/>
          <w:sz w:val="22"/>
          <w:szCs w:val="22"/>
          <w:lang w:val="es-CR"/>
        </w:rPr>
        <w:t xml:space="preserve">e acto final de la Administración el que </w:t>
      </w:r>
      <w:r w:rsidR="00BC5131">
        <w:rPr>
          <w:rFonts w:cs="Arial"/>
          <w:sz w:val="22"/>
          <w:szCs w:val="22"/>
          <w:lang w:val="es-CR"/>
        </w:rPr>
        <w:t>pudo haber sido</w:t>
      </w:r>
      <w:r w:rsidR="003470C4" w:rsidRPr="003470C4">
        <w:rPr>
          <w:rFonts w:cs="Arial"/>
          <w:sz w:val="22"/>
          <w:szCs w:val="22"/>
          <w:lang w:val="es-CR"/>
        </w:rPr>
        <w:t xml:space="preserve"> recurrido por </w:t>
      </w:r>
      <w:r w:rsidR="00BC5131">
        <w:rPr>
          <w:rFonts w:cs="Arial"/>
          <w:sz w:val="22"/>
          <w:szCs w:val="22"/>
          <w:lang w:val="es-CR"/>
        </w:rPr>
        <w:t>dicha empresa</w:t>
      </w:r>
      <w:r w:rsidR="003470C4" w:rsidRPr="003470C4">
        <w:rPr>
          <w:rFonts w:cs="Arial"/>
          <w:sz w:val="22"/>
          <w:szCs w:val="22"/>
          <w:lang w:val="es-CR"/>
        </w:rPr>
        <w:t>, dentro del plazo establecido por ley</w:t>
      </w:r>
      <w:r w:rsidR="00BC5131">
        <w:rPr>
          <w:rFonts w:cs="Arial"/>
          <w:sz w:val="22"/>
          <w:szCs w:val="22"/>
          <w:lang w:val="es-CR"/>
        </w:rPr>
        <w:t xml:space="preserve">.  Pero la empresa </w:t>
      </w:r>
      <w:r w:rsidR="003470C4" w:rsidRPr="003470C4">
        <w:rPr>
          <w:rFonts w:cs="Arial"/>
          <w:sz w:val="22"/>
          <w:szCs w:val="22"/>
          <w:lang w:val="es-CR"/>
        </w:rPr>
        <w:t>interpone recurso “de reconsideración” contra dicho acto hasta el 18 de setiembre de 2021, de manera extemporánea</w:t>
      </w:r>
      <w:r w:rsidR="00BC5131">
        <w:rPr>
          <w:rFonts w:cs="Arial"/>
          <w:sz w:val="22"/>
          <w:szCs w:val="22"/>
          <w:lang w:val="es-CR"/>
        </w:rPr>
        <w:t xml:space="preserve"> y, además, </w:t>
      </w:r>
      <w:r w:rsidR="003470C4" w:rsidRPr="003470C4">
        <w:rPr>
          <w:rFonts w:cs="Arial"/>
          <w:sz w:val="22"/>
          <w:szCs w:val="22"/>
          <w:lang w:val="es-CR"/>
        </w:rPr>
        <w:t>impugna oficios de la Administración que</w:t>
      </w:r>
      <w:r w:rsidR="00BC5131">
        <w:rPr>
          <w:rFonts w:cs="Arial"/>
          <w:sz w:val="22"/>
          <w:szCs w:val="22"/>
          <w:lang w:val="es-CR"/>
        </w:rPr>
        <w:t xml:space="preserve">, como se ha indicado, son </w:t>
      </w:r>
      <w:r w:rsidR="003470C4" w:rsidRPr="003470C4">
        <w:rPr>
          <w:rFonts w:cs="Arial"/>
          <w:sz w:val="22"/>
          <w:szCs w:val="22"/>
          <w:lang w:val="es-CR"/>
        </w:rPr>
        <w:t>actos preparatorios, no impugnables</w:t>
      </w:r>
      <w:r w:rsidR="00BC5131">
        <w:rPr>
          <w:rFonts w:cs="Arial"/>
          <w:sz w:val="22"/>
          <w:szCs w:val="22"/>
          <w:lang w:val="es-CR"/>
        </w:rPr>
        <w:t>,</w:t>
      </w:r>
      <w:r w:rsidR="003470C4" w:rsidRPr="003470C4">
        <w:rPr>
          <w:rFonts w:cs="Arial"/>
          <w:sz w:val="22"/>
          <w:szCs w:val="22"/>
          <w:lang w:val="es-CR"/>
        </w:rPr>
        <w:t xml:space="preserve"> por no ser actos finales de la </w:t>
      </w:r>
      <w:r w:rsidR="00BC5131">
        <w:rPr>
          <w:rFonts w:cs="Arial"/>
          <w:sz w:val="22"/>
          <w:szCs w:val="22"/>
          <w:lang w:val="es-CR"/>
        </w:rPr>
        <w:t>A</w:t>
      </w:r>
      <w:r w:rsidR="003470C4" w:rsidRPr="003470C4">
        <w:rPr>
          <w:rFonts w:cs="Arial"/>
          <w:sz w:val="22"/>
          <w:szCs w:val="22"/>
          <w:lang w:val="es-CR"/>
        </w:rPr>
        <w:t>dministración.</w:t>
      </w:r>
    </w:p>
    <w:p w14:paraId="09F2BFBD" w14:textId="40B277F9" w:rsidR="008F5B5D" w:rsidRDefault="008F5B5D" w:rsidP="003470C4">
      <w:pPr>
        <w:spacing w:line="360" w:lineRule="auto"/>
        <w:jc w:val="both"/>
        <w:rPr>
          <w:rFonts w:cs="Arial"/>
          <w:sz w:val="22"/>
          <w:szCs w:val="22"/>
        </w:rPr>
      </w:pPr>
    </w:p>
    <w:p w14:paraId="3A0C340F" w14:textId="758DD344" w:rsidR="00D5011C" w:rsidRDefault="00356486" w:rsidP="00BC5131">
      <w:pPr>
        <w:spacing w:line="360" w:lineRule="auto"/>
        <w:jc w:val="both"/>
        <w:rPr>
          <w:rFonts w:cs="Arial"/>
          <w:sz w:val="22"/>
          <w:szCs w:val="22"/>
        </w:rPr>
      </w:pPr>
      <w:r>
        <w:rPr>
          <w:rFonts w:cs="Arial"/>
          <w:b/>
          <w:sz w:val="22"/>
          <w:szCs w:val="22"/>
        </w:rPr>
        <w:t>Sexto</w:t>
      </w:r>
      <w:r w:rsidR="00BC5131" w:rsidRPr="00BC5131">
        <w:rPr>
          <w:rFonts w:cs="Arial"/>
          <w:b/>
          <w:sz w:val="22"/>
          <w:szCs w:val="22"/>
        </w:rPr>
        <w:t>:</w:t>
      </w:r>
      <w:r w:rsidR="00BC5131" w:rsidRPr="00BC5131">
        <w:rPr>
          <w:rFonts w:cs="Arial"/>
          <w:sz w:val="22"/>
          <w:szCs w:val="22"/>
        </w:rPr>
        <w:t xml:space="preserve"> Que por los argumentos señalados, los fundamentos de hecho y de derecho indicados, así como en razón de la jurisprudencia citada en el dictamen presentado</w:t>
      </w:r>
      <w:r w:rsidR="00D5011C">
        <w:rPr>
          <w:rFonts w:cs="Arial"/>
          <w:sz w:val="22"/>
          <w:szCs w:val="22"/>
        </w:rPr>
        <w:t xml:space="preserve"> por el Departamento Técnico y la Asesoría Legal</w:t>
      </w:r>
      <w:r w:rsidR="00BC5131" w:rsidRPr="00BC5131">
        <w:rPr>
          <w:rFonts w:cs="Arial"/>
          <w:sz w:val="22"/>
          <w:szCs w:val="22"/>
        </w:rPr>
        <w:t xml:space="preserve">, esta Junta Directiva concuerda </w:t>
      </w:r>
      <w:r w:rsidR="00D5011C">
        <w:rPr>
          <w:rFonts w:cs="Arial"/>
          <w:sz w:val="22"/>
          <w:szCs w:val="22"/>
        </w:rPr>
        <w:t>que el recurso de reconsideración planteado debe ser</w:t>
      </w:r>
      <w:r w:rsidR="00BC5131" w:rsidRPr="00BC5131">
        <w:rPr>
          <w:rFonts w:cs="Arial"/>
          <w:sz w:val="22"/>
          <w:szCs w:val="22"/>
        </w:rPr>
        <w:t xml:space="preserve"> </w:t>
      </w:r>
      <w:r w:rsidR="00D5011C">
        <w:rPr>
          <w:rFonts w:cs="Arial"/>
          <w:sz w:val="22"/>
          <w:szCs w:val="22"/>
        </w:rPr>
        <w:t>rechazado y debe confirmarse el acto recurrido.</w:t>
      </w:r>
    </w:p>
    <w:p w14:paraId="0CD30D9F" w14:textId="77777777" w:rsidR="00D5011C" w:rsidRDefault="00D5011C" w:rsidP="00BC5131">
      <w:pPr>
        <w:spacing w:line="360" w:lineRule="auto"/>
        <w:jc w:val="both"/>
        <w:rPr>
          <w:rFonts w:cs="Arial"/>
          <w:sz w:val="22"/>
          <w:szCs w:val="22"/>
        </w:rPr>
      </w:pPr>
    </w:p>
    <w:p w14:paraId="3D6B698E" w14:textId="1F63F896" w:rsidR="002B71CC" w:rsidRDefault="008F5B5D" w:rsidP="008F5B5D">
      <w:pPr>
        <w:spacing w:line="360" w:lineRule="auto"/>
        <w:jc w:val="both"/>
        <w:rPr>
          <w:rFonts w:cs="Arial"/>
          <w:sz w:val="22"/>
          <w:szCs w:val="22"/>
        </w:rPr>
      </w:pPr>
      <w:r w:rsidRPr="004C245E">
        <w:rPr>
          <w:rFonts w:cs="Arial"/>
          <w:b/>
          <w:sz w:val="22"/>
          <w:szCs w:val="22"/>
        </w:rPr>
        <w:lastRenderedPageBreak/>
        <w:t>POR TANTO</w:t>
      </w:r>
      <w:r w:rsidRPr="004C245E">
        <w:rPr>
          <w:rFonts w:cs="Arial"/>
          <w:sz w:val="22"/>
          <w:szCs w:val="22"/>
        </w:rPr>
        <w:t>: de acuerdo con lo expuesto, se rechaza el recurso presentado</w:t>
      </w:r>
      <w:r>
        <w:rPr>
          <w:rFonts w:cs="Arial"/>
          <w:sz w:val="22"/>
          <w:szCs w:val="22"/>
        </w:rPr>
        <w:t xml:space="preserve"> por la empresa Consultoría Mar Azul S</w:t>
      </w:r>
      <w:r w:rsidR="00D5011C">
        <w:rPr>
          <w:rFonts w:cs="Arial"/>
          <w:sz w:val="22"/>
          <w:szCs w:val="22"/>
        </w:rPr>
        <w:t>.</w:t>
      </w:r>
      <w:r>
        <w:rPr>
          <w:rFonts w:cs="Arial"/>
          <w:sz w:val="22"/>
          <w:szCs w:val="22"/>
        </w:rPr>
        <w:t>A., se confirma el acto recurrido</w:t>
      </w:r>
      <w:r w:rsidRPr="004C245E">
        <w:rPr>
          <w:rFonts w:cs="Arial"/>
          <w:sz w:val="22"/>
          <w:szCs w:val="22"/>
        </w:rPr>
        <w:t xml:space="preserve"> y se da por agotada la vía administrativa. Notifíquese al interesado.</w:t>
      </w:r>
    </w:p>
    <w:p w14:paraId="5CBD512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5DEA2C6" w14:textId="77777777" w:rsidR="002B71CC" w:rsidRPr="00D14EAF" w:rsidRDefault="002B71CC" w:rsidP="002B71CC">
      <w:pPr>
        <w:spacing w:line="360" w:lineRule="auto"/>
        <w:jc w:val="both"/>
        <w:rPr>
          <w:rFonts w:cs="Arial"/>
          <w:b/>
          <w:sz w:val="22"/>
        </w:rPr>
      </w:pPr>
      <w:r w:rsidRPr="00D14EAF">
        <w:rPr>
          <w:rFonts w:cs="Arial"/>
          <w:b/>
          <w:sz w:val="22"/>
        </w:rPr>
        <w:t>************</w:t>
      </w:r>
    </w:p>
    <w:p w14:paraId="291777D3" w14:textId="77777777" w:rsidR="002B71CC" w:rsidRDefault="002B71CC" w:rsidP="002B71CC">
      <w:pPr>
        <w:spacing w:line="360" w:lineRule="auto"/>
        <w:jc w:val="both"/>
        <w:rPr>
          <w:rFonts w:cs="Arial"/>
          <w:sz w:val="22"/>
          <w:lang w:val="es-ES_tradnl"/>
        </w:rPr>
      </w:pPr>
    </w:p>
    <w:p w14:paraId="045C90B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6E28F673" w14:textId="70F0B155" w:rsidR="002B71CC" w:rsidRPr="004901AD" w:rsidRDefault="0027797F" w:rsidP="002B71CC">
      <w:pPr>
        <w:spacing w:line="360" w:lineRule="auto"/>
        <w:jc w:val="both"/>
        <w:rPr>
          <w:rFonts w:cs="Arial"/>
          <w:b/>
          <w:bCs/>
          <w:sz w:val="22"/>
          <w:szCs w:val="22"/>
        </w:rPr>
      </w:pPr>
      <w:r w:rsidRPr="004901AD">
        <w:rPr>
          <w:rFonts w:cs="Arial"/>
          <w:b/>
          <w:bCs/>
          <w:sz w:val="22"/>
          <w:szCs w:val="22"/>
        </w:rPr>
        <w:t>Considerando:</w:t>
      </w:r>
    </w:p>
    <w:p w14:paraId="34839389" w14:textId="1070C4E8" w:rsidR="002B71CC" w:rsidRDefault="004901AD" w:rsidP="002B71CC">
      <w:pPr>
        <w:spacing w:line="360" w:lineRule="auto"/>
        <w:jc w:val="both"/>
        <w:rPr>
          <w:rFonts w:cs="Arial"/>
          <w:sz w:val="22"/>
          <w:szCs w:val="22"/>
        </w:rPr>
      </w:pPr>
      <w:r w:rsidRPr="004901AD">
        <w:rPr>
          <w:rFonts w:cs="Arial"/>
          <w:b/>
          <w:bCs/>
          <w:sz w:val="22"/>
          <w:lang w:val="es-ES_tradnl"/>
        </w:rPr>
        <w:t>Primero:</w:t>
      </w:r>
      <w:r>
        <w:rPr>
          <w:rFonts w:cs="Arial"/>
          <w:sz w:val="22"/>
          <w:lang w:val="es-ES_tradnl"/>
        </w:rPr>
        <w:t xml:space="preserve"> Que por medio del oficio SO-OF-0020-2022 del 19 de enero de 2022, la Subgerencia de Operaciones somete a la consideración de esta </w:t>
      </w:r>
      <w:r w:rsidRPr="00D601D2">
        <w:rPr>
          <w:rFonts w:cs="Arial"/>
          <w:sz w:val="22"/>
          <w:lang w:val="es-ES_tradnl"/>
        </w:rPr>
        <w:t>Junta Directiva</w:t>
      </w:r>
      <w:r>
        <w:rPr>
          <w:rFonts w:cs="Arial"/>
          <w:sz w:val="22"/>
          <w:lang w:val="es-ES_tradnl"/>
        </w:rPr>
        <w:t xml:space="preserve">, un informe y recomendaciones dirigidas a atender </w:t>
      </w:r>
      <w:r w:rsidRPr="00D601D2">
        <w:rPr>
          <w:rFonts w:cs="Arial"/>
          <w:sz w:val="22"/>
          <w:szCs w:val="22"/>
          <w:lang w:val="es-CR"/>
        </w:rPr>
        <w:t>la problemática de los proyectos de</w:t>
      </w:r>
      <w:r>
        <w:rPr>
          <w:rFonts w:cs="Arial"/>
          <w:sz w:val="22"/>
          <w:szCs w:val="22"/>
          <w:lang w:val="es-CR"/>
        </w:rPr>
        <w:t xml:space="preserve"> vivienda </w:t>
      </w:r>
      <w:r w:rsidRPr="00D601D2">
        <w:rPr>
          <w:rFonts w:cs="Arial"/>
          <w:sz w:val="22"/>
          <w:szCs w:val="22"/>
          <w:lang w:val="es-CR"/>
        </w:rPr>
        <w:t>La Flor</w:t>
      </w:r>
      <w:r>
        <w:rPr>
          <w:rFonts w:cs="Arial"/>
          <w:sz w:val="22"/>
          <w:szCs w:val="22"/>
          <w:lang w:val="es-CR"/>
        </w:rPr>
        <w:t xml:space="preserve"> e Ivannia</w:t>
      </w:r>
      <w:r w:rsidRPr="00D601D2">
        <w:rPr>
          <w:rFonts w:cs="Arial"/>
          <w:sz w:val="22"/>
          <w:szCs w:val="22"/>
          <w:lang w:val="es-CR"/>
        </w:rPr>
        <w:t xml:space="preserve">, </w:t>
      </w:r>
      <w:r>
        <w:rPr>
          <w:rFonts w:cs="Arial"/>
          <w:sz w:val="22"/>
          <w:szCs w:val="22"/>
          <w:lang w:val="es-CR"/>
        </w:rPr>
        <w:t xml:space="preserve">ubicados </w:t>
      </w:r>
      <w:r w:rsidRPr="00D601D2">
        <w:rPr>
          <w:rFonts w:cs="Arial"/>
          <w:sz w:val="22"/>
          <w:szCs w:val="22"/>
          <w:lang w:val="es-CR"/>
        </w:rPr>
        <w:t>en Matina</w:t>
      </w:r>
      <w:r>
        <w:rPr>
          <w:rFonts w:cs="Arial"/>
          <w:sz w:val="22"/>
          <w:szCs w:val="22"/>
          <w:lang w:val="es-CR"/>
        </w:rPr>
        <w:t xml:space="preserve"> y</w:t>
      </w:r>
      <w:r w:rsidRPr="00D601D2">
        <w:rPr>
          <w:rFonts w:cs="Arial"/>
          <w:sz w:val="22"/>
          <w:szCs w:val="22"/>
          <w:lang w:val="es-CR"/>
        </w:rPr>
        <w:t xml:space="preserve"> Sixaola</w:t>
      </w:r>
      <w:r>
        <w:rPr>
          <w:rFonts w:cs="Arial"/>
          <w:sz w:val="22"/>
          <w:szCs w:val="22"/>
          <w:lang w:val="es-CR"/>
        </w:rPr>
        <w:t xml:space="preserve"> respectivamente</w:t>
      </w:r>
      <w:r w:rsidRPr="00D601D2">
        <w:rPr>
          <w:rFonts w:cs="Arial"/>
          <w:sz w:val="22"/>
          <w:szCs w:val="22"/>
          <w:lang w:val="es-CR"/>
        </w:rPr>
        <w:t>, de la provincia de Limón</w:t>
      </w:r>
      <w:r>
        <w:rPr>
          <w:rFonts w:cs="Arial"/>
          <w:sz w:val="22"/>
          <w:szCs w:val="22"/>
          <w:lang w:val="es-CR"/>
        </w:rPr>
        <w:t xml:space="preserve">, tramitados </w:t>
      </w:r>
      <w:r w:rsidRPr="00D601D2">
        <w:rPr>
          <w:rFonts w:cs="Arial"/>
          <w:sz w:val="22"/>
          <w:szCs w:val="22"/>
          <w:lang w:val="es-CR"/>
        </w:rPr>
        <w:t>por medio del Banco de Costa Rica</w:t>
      </w:r>
      <w:r>
        <w:rPr>
          <w:rFonts w:cs="Arial"/>
          <w:sz w:val="22"/>
          <w:szCs w:val="22"/>
          <w:lang w:val="es-CR"/>
        </w:rPr>
        <w:t>.</w:t>
      </w:r>
    </w:p>
    <w:p w14:paraId="36BFCF0E" w14:textId="513EA709" w:rsidR="002B71CC" w:rsidRDefault="002B71CC" w:rsidP="002B71CC">
      <w:pPr>
        <w:spacing w:line="360" w:lineRule="auto"/>
        <w:jc w:val="both"/>
        <w:rPr>
          <w:rFonts w:cs="Arial"/>
          <w:sz w:val="22"/>
          <w:szCs w:val="22"/>
        </w:rPr>
      </w:pPr>
    </w:p>
    <w:p w14:paraId="6B9AEB4B" w14:textId="5891A233" w:rsidR="004901AD" w:rsidRDefault="004901AD" w:rsidP="002B71CC">
      <w:pPr>
        <w:spacing w:line="360" w:lineRule="auto"/>
        <w:jc w:val="both"/>
        <w:rPr>
          <w:rFonts w:cs="Arial"/>
          <w:sz w:val="22"/>
          <w:szCs w:val="22"/>
        </w:rPr>
      </w:pPr>
      <w:r w:rsidRPr="004901AD">
        <w:rPr>
          <w:rFonts w:cs="Arial"/>
          <w:b/>
          <w:bCs/>
          <w:sz w:val="22"/>
          <w:szCs w:val="22"/>
        </w:rPr>
        <w:t>Segundo:</w:t>
      </w:r>
      <w:r>
        <w:rPr>
          <w:rFonts w:cs="Arial"/>
          <w:sz w:val="22"/>
          <w:szCs w:val="22"/>
        </w:rPr>
        <w:t xml:space="preserve"> Que con base en el análisis realizado en torno a dicha propuesta, esta </w:t>
      </w:r>
      <w:r w:rsidRPr="004901AD">
        <w:rPr>
          <w:rFonts w:cs="Arial"/>
          <w:sz w:val="22"/>
          <w:szCs w:val="22"/>
          <w:lang w:val="es-ES_tradnl"/>
        </w:rPr>
        <w:t>Junta Directiva</w:t>
      </w:r>
      <w:r>
        <w:rPr>
          <w:rFonts w:cs="Arial"/>
          <w:sz w:val="22"/>
          <w:szCs w:val="22"/>
          <w:lang w:val="es-ES_tradnl"/>
        </w:rPr>
        <w:t xml:space="preserve"> estima pertinente actuar de la forma que recomienda la </w:t>
      </w:r>
      <w:r w:rsidRPr="004901AD">
        <w:rPr>
          <w:rFonts w:cs="Arial"/>
          <w:sz w:val="22"/>
          <w:szCs w:val="22"/>
          <w:lang w:val="es-ES_tradnl"/>
        </w:rPr>
        <w:t>Administración</w:t>
      </w:r>
      <w:r>
        <w:rPr>
          <w:rFonts w:cs="Arial"/>
          <w:sz w:val="22"/>
          <w:szCs w:val="22"/>
          <w:lang w:val="es-ES_tradnl"/>
        </w:rPr>
        <w:t>, con el propósito de resolver, en forma definitiva, la problemática de dichos proyectos y de sus familias, adicionando una instrucción para que se prepare un expediente con toda la información disponible sobre ambos proyectos de vivienda y se desarrollen los estudios que adicionalmente se estimen pertinentes, con el propósito de sentar eventuales responsabilidades en cuanto al desarrollo de estos proyectos de vivienda y se procure la recuperación de los recursos del Estado que no se hayan invertido adecuadamente.</w:t>
      </w:r>
    </w:p>
    <w:p w14:paraId="3BB469C4" w14:textId="134A5594" w:rsidR="004901AD" w:rsidRDefault="004901AD" w:rsidP="002B71CC">
      <w:pPr>
        <w:spacing w:line="360" w:lineRule="auto"/>
        <w:jc w:val="both"/>
        <w:rPr>
          <w:rFonts w:cs="Arial"/>
          <w:sz w:val="22"/>
          <w:szCs w:val="22"/>
        </w:rPr>
      </w:pPr>
    </w:p>
    <w:p w14:paraId="25C1CC49" w14:textId="2C6E28B1" w:rsidR="004901AD" w:rsidRPr="004901AD" w:rsidRDefault="004901AD" w:rsidP="002B71CC">
      <w:pPr>
        <w:spacing w:line="360" w:lineRule="auto"/>
        <w:jc w:val="both"/>
        <w:rPr>
          <w:rFonts w:cs="Arial"/>
          <w:b/>
          <w:bCs/>
          <w:sz w:val="22"/>
          <w:szCs w:val="22"/>
        </w:rPr>
      </w:pPr>
      <w:r w:rsidRPr="004901AD">
        <w:rPr>
          <w:rFonts w:cs="Arial"/>
          <w:b/>
          <w:bCs/>
          <w:sz w:val="22"/>
          <w:szCs w:val="22"/>
        </w:rPr>
        <w:t>Por tanto, se acuerda:</w:t>
      </w:r>
    </w:p>
    <w:p w14:paraId="5461DB4A" w14:textId="136C0027" w:rsidR="004901AD" w:rsidRDefault="004901AD" w:rsidP="004901AD">
      <w:pPr>
        <w:numPr>
          <w:ilvl w:val="0"/>
          <w:numId w:val="23"/>
        </w:numPr>
        <w:spacing w:line="360" w:lineRule="auto"/>
        <w:jc w:val="both"/>
        <w:rPr>
          <w:rFonts w:cs="Arial"/>
          <w:sz w:val="22"/>
          <w:szCs w:val="22"/>
          <w:lang w:val="es-CR"/>
        </w:rPr>
      </w:pPr>
      <w:r w:rsidRPr="004901AD">
        <w:rPr>
          <w:rFonts w:cs="Arial"/>
          <w:b/>
          <w:bCs/>
          <w:sz w:val="22"/>
          <w:szCs w:val="22"/>
          <w:lang w:val="es-CR"/>
        </w:rPr>
        <w:t>1</w:t>
      </w:r>
      <w:r w:rsidRPr="00521086">
        <w:rPr>
          <w:rFonts w:cs="Arial"/>
          <w:b/>
          <w:bCs/>
          <w:sz w:val="22"/>
          <w:szCs w:val="22"/>
          <w:lang w:val="es-CR"/>
        </w:rPr>
        <w:t>)</w:t>
      </w:r>
      <w:r w:rsidRPr="00521086">
        <w:rPr>
          <w:rFonts w:cs="Arial"/>
          <w:sz w:val="22"/>
          <w:szCs w:val="22"/>
          <w:lang w:val="es-CR"/>
        </w:rPr>
        <w:t xml:space="preserve"> A</w:t>
      </w:r>
      <w:r>
        <w:rPr>
          <w:rFonts w:cs="Arial"/>
          <w:sz w:val="22"/>
          <w:szCs w:val="22"/>
          <w:lang w:val="es-CR"/>
        </w:rPr>
        <w:t xml:space="preserve">utorizar </w:t>
      </w:r>
      <w:r w:rsidRPr="00521086">
        <w:rPr>
          <w:rFonts w:cs="Arial"/>
          <w:sz w:val="22"/>
          <w:szCs w:val="22"/>
          <w:lang w:val="es-CR"/>
        </w:rPr>
        <w:t xml:space="preserve">a las familias de los proyectos La Flor e Ivannia, para que gestionen un segundo bono vía excepcionalidad, en donde la solución habitacional no supere los </w:t>
      </w:r>
      <w:r w:rsidRPr="00521086">
        <w:rPr>
          <w:rFonts w:cs="Arial"/>
          <w:b/>
          <w:bCs/>
          <w:sz w:val="22"/>
          <w:szCs w:val="22"/>
          <w:lang w:val="es-CR"/>
        </w:rPr>
        <w:t xml:space="preserve">₡20.000.000,00 </w:t>
      </w:r>
      <w:r w:rsidRPr="00521086">
        <w:rPr>
          <w:rFonts w:cs="Arial"/>
          <w:sz w:val="22"/>
          <w:szCs w:val="22"/>
          <w:lang w:val="es-CR"/>
        </w:rPr>
        <w:t xml:space="preserve">para las familias del proyecto La Flor y </w:t>
      </w:r>
      <w:r w:rsidRPr="00521086">
        <w:rPr>
          <w:rFonts w:cs="Arial"/>
          <w:b/>
          <w:bCs/>
          <w:sz w:val="22"/>
          <w:szCs w:val="22"/>
          <w:lang w:val="es-CR"/>
        </w:rPr>
        <w:t xml:space="preserve">₡17.000.000,00 </w:t>
      </w:r>
      <w:r w:rsidRPr="00521086">
        <w:rPr>
          <w:rFonts w:cs="Arial"/>
          <w:sz w:val="22"/>
          <w:szCs w:val="22"/>
          <w:lang w:val="es-CR"/>
        </w:rPr>
        <w:t>para las familias del proyecto Ivannia, en cualquiera de sus modalidades.</w:t>
      </w:r>
    </w:p>
    <w:p w14:paraId="314E8E1E" w14:textId="77777777" w:rsidR="004901AD" w:rsidRPr="00521086" w:rsidRDefault="004901AD" w:rsidP="004901AD">
      <w:pPr>
        <w:numPr>
          <w:ilvl w:val="0"/>
          <w:numId w:val="23"/>
        </w:numPr>
        <w:spacing w:line="360" w:lineRule="auto"/>
        <w:jc w:val="both"/>
        <w:rPr>
          <w:rFonts w:cs="Arial"/>
          <w:sz w:val="22"/>
          <w:szCs w:val="22"/>
          <w:lang w:val="es-CR"/>
        </w:rPr>
      </w:pPr>
    </w:p>
    <w:p w14:paraId="492682B8" w14:textId="29C7A8D1" w:rsidR="004901AD" w:rsidRDefault="004901AD" w:rsidP="004901AD">
      <w:pPr>
        <w:numPr>
          <w:ilvl w:val="0"/>
          <w:numId w:val="24"/>
        </w:numPr>
        <w:spacing w:line="360" w:lineRule="auto"/>
        <w:jc w:val="both"/>
        <w:rPr>
          <w:rFonts w:cs="Arial"/>
          <w:sz w:val="22"/>
          <w:szCs w:val="22"/>
          <w:lang w:val="es-CR"/>
        </w:rPr>
      </w:pPr>
      <w:r w:rsidRPr="00FE6199">
        <w:rPr>
          <w:rFonts w:cs="Arial"/>
          <w:b/>
          <w:bCs/>
          <w:sz w:val="22"/>
          <w:szCs w:val="22"/>
          <w:lang w:val="es-CR"/>
        </w:rPr>
        <w:t>2</w:t>
      </w:r>
      <w:r w:rsidRPr="00521086">
        <w:rPr>
          <w:rFonts w:cs="Arial"/>
          <w:b/>
          <w:bCs/>
          <w:sz w:val="22"/>
          <w:szCs w:val="22"/>
          <w:lang w:val="es-CR"/>
        </w:rPr>
        <w:t>)</w:t>
      </w:r>
      <w:r w:rsidRPr="00521086">
        <w:rPr>
          <w:rFonts w:cs="Arial"/>
          <w:sz w:val="22"/>
          <w:szCs w:val="22"/>
          <w:lang w:val="es-CR"/>
        </w:rPr>
        <w:t xml:space="preserve"> Las viviendas existentes deberán ser demolidas y las propiedades trasladadas al BANHVI.</w:t>
      </w:r>
    </w:p>
    <w:p w14:paraId="4311E6EA" w14:textId="77777777" w:rsidR="004901AD" w:rsidRPr="00521086" w:rsidRDefault="004901AD" w:rsidP="004901AD">
      <w:pPr>
        <w:numPr>
          <w:ilvl w:val="0"/>
          <w:numId w:val="24"/>
        </w:numPr>
        <w:spacing w:line="360" w:lineRule="auto"/>
        <w:jc w:val="both"/>
        <w:rPr>
          <w:rFonts w:cs="Arial"/>
          <w:sz w:val="22"/>
          <w:szCs w:val="22"/>
          <w:lang w:val="es-CR"/>
        </w:rPr>
      </w:pPr>
    </w:p>
    <w:p w14:paraId="6571A8B4" w14:textId="5AC1ACD1" w:rsidR="004901AD" w:rsidRDefault="00FE6199" w:rsidP="004901AD">
      <w:pPr>
        <w:numPr>
          <w:ilvl w:val="0"/>
          <w:numId w:val="25"/>
        </w:numPr>
        <w:spacing w:line="360" w:lineRule="auto"/>
        <w:jc w:val="both"/>
        <w:rPr>
          <w:rFonts w:cs="Arial"/>
          <w:sz w:val="22"/>
          <w:szCs w:val="22"/>
          <w:lang w:val="es-CR"/>
        </w:rPr>
      </w:pPr>
      <w:r w:rsidRPr="00FE6199">
        <w:rPr>
          <w:rFonts w:cs="Arial"/>
          <w:b/>
          <w:bCs/>
          <w:sz w:val="22"/>
          <w:szCs w:val="22"/>
          <w:lang w:val="es-CR"/>
        </w:rPr>
        <w:t>3</w:t>
      </w:r>
      <w:r w:rsidR="004901AD" w:rsidRPr="00521086">
        <w:rPr>
          <w:rFonts w:cs="Arial"/>
          <w:b/>
          <w:bCs/>
          <w:sz w:val="22"/>
          <w:szCs w:val="22"/>
          <w:lang w:val="es-CR"/>
        </w:rPr>
        <w:t>)</w:t>
      </w:r>
      <w:r w:rsidR="004901AD" w:rsidRPr="00521086">
        <w:rPr>
          <w:rFonts w:cs="Arial"/>
          <w:sz w:val="22"/>
          <w:szCs w:val="22"/>
          <w:lang w:val="es-CR"/>
        </w:rPr>
        <w:t xml:space="preserve"> En el proyecto Ivannia en Sixaola, </w:t>
      </w:r>
      <w:r w:rsidR="004901AD">
        <w:rPr>
          <w:rFonts w:cs="Arial"/>
          <w:sz w:val="22"/>
          <w:szCs w:val="22"/>
          <w:lang w:val="es-CR"/>
        </w:rPr>
        <w:t xml:space="preserve">a </w:t>
      </w:r>
      <w:r w:rsidR="004901AD" w:rsidRPr="00521086">
        <w:rPr>
          <w:rFonts w:cs="Arial"/>
          <w:sz w:val="22"/>
          <w:szCs w:val="22"/>
          <w:lang w:val="es-CR"/>
        </w:rPr>
        <w:t>las familias que decidan quedarse en el proyecto, se les habilitar</w:t>
      </w:r>
      <w:r w:rsidR="004901AD">
        <w:rPr>
          <w:rFonts w:cs="Arial"/>
          <w:sz w:val="22"/>
          <w:szCs w:val="22"/>
          <w:lang w:val="es-CR"/>
        </w:rPr>
        <w:t>á</w:t>
      </w:r>
      <w:r w:rsidR="004901AD" w:rsidRPr="00521086">
        <w:rPr>
          <w:rFonts w:cs="Arial"/>
          <w:sz w:val="22"/>
          <w:szCs w:val="22"/>
          <w:lang w:val="es-CR"/>
        </w:rPr>
        <w:t xml:space="preserve"> el lote contiguo (de ser posible)</w:t>
      </w:r>
      <w:r w:rsidR="004901AD">
        <w:rPr>
          <w:rFonts w:cs="Arial"/>
          <w:sz w:val="22"/>
          <w:szCs w:val="22"/>
          <w:lang w:val="es-CR"/>
        </w:rPr>
        <w:t>,</w:t>
      </w:r>
      <w:r w:rsidR="004901AD" w:rsidRPr="00521086">
        <w:rPr>
          <w:rFonts w:cs="Arial"/>
          <w:sz w:val="22"/>
          <w:szCs w:val="22"/>
          <w:lang w:val="es-CR"/>
        </w:rPr>
        <w:t xml:space="preserve"> con el fin que se utilice el espacio disponible </w:t>
      </w:r>
      <w:r w:rsidR="004901AD" w:rsidRPr="00521086">
        <w:rPr>
          <w:rFonts w:cs="Arial"/>
          <w:sz w:val="22"/>
          <w:szCs w:val="22"/>
          <w:lang w:val="es-CR"/>
        </w:rPr>
        <w:lastRenderedPageBreak/>
        <w:t>que deja</w:t>
      </w:r>
      <w:r w:rsidR="004901AD">
        <w:rPr>
          <w:rFonts w:cs="Arial"/>
          <w:sz w:val="22"/>
          <w:szCs w:val="22"/>
          <w:lang w:val="es-CR"/>
        </w:rPr>
        <w:t>rían</w:t>
      </w:r>
      <w:r w:rsidR="004901AD" w:rsidRPr="00521086">
        <w:rPr>
          <w:rFonts w:cs="Arial"/>
          <w:sz w:val="22"/>
          <w:szCs w:val="22"/>
          <w:lang w:val="es-CR"/>
        </w:rPr>
        <w:t xml:space="preserve"> las familias que </w:t>
      </w:r>
      <w:r w:rsidR="004901AD">
        <w:rPr>
          <w:rFonts w:cs="Arial"/>
          <w:sz w:val="22"/>
          <w:szCs w:val="22"/>
          <w:lang w:val="es-CR"/>
        </w:rPr>
        <w:t xml:space="preserve">tramitarán un </w:t>
      </w:r>
      <w:r w:rsidR="004901AD" w:rsidRPr="00521086">
        <w:rPr>
          <w:rFonts w:cs="Arial"/>
          <w:sz w:val="22"/>
          <w:szCs w:val="22"/>
          <w:lang w:val="es-CR"/>
        </w:rPr>
        <w:t>segundo bono individual</w:t>
      </w:r>
      <w:r w:rsidR="004901AD">
        <w:rPr>
          <w:rFonts w:cs="Arial"/>
          <w:sz w:val="22"/>
          <w:szCs w:val="22"/>
          <w:lang w:val="es-CR"/>
        </w:rPr>
        <w:t xml:space="preserve"> en otro sitio</w:t>
      </w:r>
      <w:r w:rsidR="004901AD" w:rsidRPr="00521086">
        <w:rPr>
          <w:rFonts w:cs="Arial"/>
          <w:sz w:val="22"/>
          <w:szCs w:val="22"/>
          <w:lang w:val="es-CR"/>
        </w:rPr>
        <w:t xml:space="preserve">, para </w:t>
      </w:r>
      <w:r w:rsidR="004901AD">
        <w:rPr>
          <w:rFonts w:cs="Arial"/>
          <w:sz w:val="22"/>
          <w:szCs w:val="22"/>
          <w:lang w:val="es-CR"/>
        </w:rPr>
        <w:t>desarrollar b</w:t>
      </w:r>
      <w:r w:rsidR="004901AD" w:rsidRPr="00521086">
        <w:rPr>
          <w:rFonts w:cs="Arial"/>
          <w:sz w:val="22"/>
          <w:szCs w:val="22"/>
          <w:lang w:val="es-CR"/>
        </w:rPr>
        <w:t xml:space="preserve">iojardineras o algún otro sistema de tratamiento de aguas residuales y evitar así la compra de terreno y construcción de una PTAR. </w:t>
      </w:r>
    </w:p>
    <w:p w14:paraId="530FB7E0" w14:textId="77777777" w:rsidR="00FE6199" w:rsidRPr="00521086" w:rsidRDefault="00FE6199" w:rsidP="004901AD">
      <w:pPr>
        <w:numPr>
          <w:ilvl w:val="0"/>
          <w:numId w:val="25"/>
        </w:numPr>
        <w:spacing w:line="360" w:lineRule="auto"/>
        <w:jc w:val="both"/>
        <w:rPr>
          <w:rFonts w:cs="Arial"/>
          <w:sz w:val="22"/>
          <w:szCs w:val="22"/>
          <w:lang w:val="es-CR"/>
        </w:rPr>
      </w:pPr>
    </w:p>
    <w:p w14:paraId="5461F5C1" w14:textId="343F668B" w:rsidR="004901AD" w:rsidRDefault="00FE6199" w:rsidP="004901AD">
      <w:pPr>
        <w:numPr>
          <w:ilvl w:val="0"/>
          <w:numId w:val="26"/>
        </w:numPr>
        <w:spacing w:line="360" w:lineRule="auto"/>
        <w:jc w:val="both"/>
        <w:rPr>
          <w:rFonts w:cs="Arial"/>
          <w:sz w:val="22"/>
          <w:szCs w:val="22"/>
          <w:lang w:val="es-CR"/>
        </w:rPr>
      </w:pPr>
      <w:r w:rsidRPr="00FE6199">
        <w:rPr>
          <w:rFonts w:cs="Arial"/>
          <w:b/>
          <w:bCs/>
          <w:sz w:val="22"/>
          <w:szCs w:val="22"/>
          <w:lang w:val="es-CR"/>
        </w:rPr>
        <w:t>4</w:t>
      </w:r>
      <w:r w:rsidR="004901AD" w:rsidRPr="00521086">
        <w:rPr>
          <w:rFonts w:cs="Arial"/>
          <w:b/>
          <w:bCs/>
          <w:sz w:val="22"/>
          <w:szCs w:val="22"/>
          <w:lang w:val="es-CR"/>
        </w:rPr>
        <w:t>)</w:t>
      </w:r>
      <w:r w:rsidR="004901AD" w:rsidRPr="00521086">
        <w:rPr>
          <w:rFonts w:cs="Arial"/>
          <w:sz w:val="22"/>
          <w:szCs w:val="22"/>
          <w:lang w:val="es-CR"/>
        </w:rPr>
        <w:t xml:space="preserve"> Para el trámite de </w:t>
      </w:r>
      <w:r w:rsidR="00A25BF3">
        <w:rPr>
          <w:rFonts w:cs="Arial"/>
          <w:sz w:val="22"/>
          <w:szCs w:val="22"/>
          <w:lang w:val="es-CR"/>
        </w:rPr>
        <w:t xml:space="preserve">los </w:t>
      </w:r>
      <w:r w:rsidR="004901AD" w:rsidRPr="00521086">
        <w:rPr>
          <w:rFonts w:cs="Arial"/>
          <w:sz w:val="22"/>
          <w:szCs w:val="22"/>
          <w:lang w:val="es-CR"/>
        </w:rPr>
        <w:t>bono</w:t>
      </w:r>
      <w:r w:rsidR="00A25BF3">
        <w:rPr>
          <w:rFonts w:cs="Arial"/>
          <w:sz w:val="22"/>
          <w:szCs w:val="22"/>
          <w:lang w:val="es-CR"/>
        </w:rPr>
        <w:t>s</w:t>
      </w:r>
      <w:r w:rsidR="004901AD">
        <w:rPr>
          <w:rFonts w:cs="Arial"/>
          <w:sz w:val="22"/>
          <w:szCs w:val="22"/>
          <w:lang w:val="es-CR"/>
        </w:rPr>
        <w:t>,</w:t>
      </w:r>
      <w:r w:rsidR="004901AD" w:rsidRPr="00521086">
        <w:rPr>
          <w:rFonts w:cs="Arial"/>
          <w:sz w:val="22"/>
          <w:szCs w:val="22"/>
          <w:lang w:val="es-CR"/>
        </w:rPr>
        <w:t xml:space="preserve"> se considerará</w:t>
      </w:r>
      <w:r w:rsidR="004901AD">
        <w:rPr>
          <w:rFonts w:cs="Arial"/>
          <w:sz w:val="22"/>
          <w:szCs w:val="22"/>
          <w:lang w:val="es-CR"/>
        </w:rPr>
        <w:t>n</w:t>
      </w:r>
      <w:r w:rsidR="004901AD" w:rsidRPr="00521086">
        <w:rPr>
          <w:rFonts w:cs="Arial"/>
          <w:sz w:val="22"/>
          <w:szCs w:val="22"/>
          <w:lang w:val="es-CR"/>
        </w:rPr>
        <w:t xml:space="preserve"> las características con las que inicialmente se postularon las familias.</w:t>
      </w:r>
    </w:p>
    <w:p w14:paraId="5B28667E" w14:textId="77777777" w:rsidR="00FE6199" w:rsidRPr="00521086" w:rsidRDefault="00FE6199" w:rsidP="004901AD">
      <w:pPr>
        <w:numPr>
          <w:ilvl w:val="0"/>
          <w:numId w:val="26"/>
        </w:numPr>
        <w:spacing w:line="360" w:lineRule="auto"/>
        <w:jc w:val="both"/>
        <w:rPr>
          <w:rFonts w:cs="Arial"/>
          <w:sz w:val="22"/>
          <w:szCs w:val="22"/>
          <w:lang w:val="es-CR"/>
        </w:rPr>
      </w:pPr>
    </w:p>
    <w:p w14:paraId="4D1DCA53" w14:textId="5FA60854" w:rsidR="004901AD" w:rsidRDefault="00FE6199" w:rsidP="00FE6199">
      <w:pPr>
        <w:spacing w:line="360" w:lineRule="auto"/>
        <w:jc w:val="both"/>
        <w:rPr>
          <w:rFonts w:cs="Arial"/>
          <w:sz w:val="22"/>
          <w:szCs w:val="22"/>
          <w:lang w:val="es-CR"/>
        </w:rPr>
      </w:pPr>
      <w:r w:rsidRPr="00FE6199">
        <w:rPr>
          <w:rFonts w:cs="Arial"/>
          <w:b/>
          <w:bCs/>
          <w:sz w:val="22"/>
          <w:szCs w:val="22"/>
          <w:lang w:val="es-CR"/>
        </w:rPr>
        <w:t>5</w:t>
      </w:r>
      <w:r w:rsidR="004901AD" w:rsidRPr="00FE6199">
        <w:rPr>
          <w:rFonts w:cs="Arial"/>
          <w:b/>
          <w:bCs/>
          <w:sz w:val="22"/>
          <w:szCs w:val="22"/>
          <w:lang w:val="es-CR"/>
        </w:rPr>
        <w:t>)</w:t>
      </w:r>
      <w:r w:rsidR="004901AD">
        <w:rPr>
          <w:rFonts w:cs="Arial"/>
          <w:sz w:val="22"/>
          <w:szCs w:val="22"/>
          <w:lang w:val="es-CR"/>
        </w:rPr>
        <w:t xml:space="preserve"> </w:t>
      </w:r>
      <w:r w:rsidR="004901AD" w:rsidRPr="00521086">
        <w:rPr>
          <w:rFonts w:cs="Arial"/>
          <w:sz w:val="22"/>
          <w:szCs w:val="22"/>
          <w:lang w:val="es-CR"/>
        </w:rPr>
        <w:t>No se tramitarán segundos bonos para las familias que actualmente no habiten los proyectos, alquilen o vendieran sus viviendas sin el permiso respectivo.</w:t>
      </w:r>
    </w:p>
    <w:p w14:paraId="7F9A6C6F" w14:textId="77777777" w:rsidR="00FE6199" w:rsidRPr="00521086" w:rsidRDefault="00FE6199" w:rsidP="00FE6199">
      <w:pPr>
        <w:spacing w:line="360" w:lineRule="auto"/>
        <w:jc w:val="both"/>
        <w:rPr>
          <w:rFonts w:cs="Arial"/>
          <w:sz w:val="22"/>
          <w:szCs w:val="22"/>
          <w:lang w:val="es-CR"/>
        </w:rPr>
      </w:pPr>
    </w:p>
    <w:p w14:paraId="0AE7AA7F" w14:textId="7C2BF10A" w:rsidR="004901AD" w:rsidRPr="00521086" w:rsidRDefault="00FE6199" w:rsidP="004901AD">
      <w:pPr>
        <w:numPr>
          <w:ilvl w:val="0"/>
          <w:numId w:val="28"/>
        </w:numPr>
        <w:spacing w:line="360" w:lineRule="auto"/>
        <w:jc w:val="both"/>
        <w:rPr>
          <w:rFonts w:cs="Arial"/>
          <w:sz w:val="22"/>
          <w:szCs w:val="22"/>
          <w:lang w:val="es-CR"/>
        </w:rPr>
      </w:pPr>
      <w:r w:rsidRPr="00FE6199">
        <w:rPr>
          <w:rFonts w:cs="Arial"/>
          <w:b/>
          <w:bCs/>
          <w:sz w:val="22"/>
          <w:szCs w:val="22"/>
          <w:lang w:val="es-CR"/>
        </w:rPr>
        <w:t>6</w:t>
      </w:r>
      <w:r w:rsidR="004901AD" w:rsidRPr="00521086">
        <w:rPr>
          <w:rFonts w:cs="Arial"/>
          <w:b/>
          <w:bCs/>
          <w:sz w:val="22"/>
          <w:szCs w:val="22"/>
          <w:lang w:val="es-CR"/>
        </w:rPr>
        <w:t>)</w:t>
      </w:r>
      <w:r w:rsidR="004901AD" w:rsidRPr="00521086">
        <w:rPr>
          <w:rFonts w:cs="Arial"/>
          <w:sz w:val="22"/>
          <w:szCs w:val="22"/>
          <w:lang w:val="es-CR"/>
        </w:rPr>
        <w:t xml:space="preserve"> </w:t>
      </w:r>
      <w:r w:rsidR="00A25BF3">
        <w:rPr>
          <w:rFonts w:cs="Arial"/>
          <w:sz w:val="22"/>
          <w:szCs w:val="22"/>
          <w:lang w:val="es-CR"/>
        </w:rPr>
        <w:t xml:space="preserve">Deberán comunicarse los alcances del presente acuerdo, tanto a </w:t>
      </w:r>
      <w:r w:rsidR="004901AD" w:rsidRPr="00521086">
        <w:rPr>
          <w:rFonts w:cs="Arial"/>
          <w:sz w:val="22"/>
          <w:szCs w:val="22"/>
          <w:lang w:val="es-CR"/>
        </w:rPr>
        <w:t xml:space="preserve">las </w:t>
      </w:r>
      <w:r w:rsidR="004901AD">
        <w:rPr>
          <w:rFonts w:cs="Arial"/>
          <w:sz w:val="22"/>
          <w:szCs w:val="22"/>
          <w:lang w:val="es-CR"/>
        </w:rPr>
        <w:t>f</w:t>
      </w:r>
      <w:r w:rsidR="004901AD" w:rsidRPr="00521086">
        <w:rPr>
          <w:rFonts w:cs="Arial"/>
          <w:sz w:val="22"/>
          <w:szCs w:val="22"/>
          <w:lang w:val="es-CR"/>
        </w:rPr>
        <w:t xml:space="preserve">amilias </w:t>
      </w:r>
      <w:r w:rsidR="00A25BF3">
        <w:rPr>
          <w:rFonts w:cs="Arial"/>
          <w:sz w:val="22"/>
          <w:szCs w:val="22"/>
          <w:lang w:val="es-CR"/>
        </w:rPr>
        <w:t xml:space="preserve">como </w:t>
      </w:r>
      <w:r w:rsidR="004901AD" w:rsidRPr="00521086">
        <w:rPr>
          <w:rFonts w:cs="Arial"/>
          <w:sz w:val="22"/>
          <w:szCs w:val="22"/>
          <w:lang w:val="es-CR"/>
        </w:rPr>
        <w:t xml:space="preserve">a los diferentes actores interesados. </w:t>
      </w:r>
    </w:p>
    <w:p w14:paraId="627B42E7" w14:textId="4F0BC558" w:rsidR="004901AD" w:rsidRDefault="004901AD" w:rsidP="002B71CC">
      <w:pPr>
        <w:spacing w:line="360" w:lineRule="auto"/>
        <w:jc w:val="both"/>
        <w:rPr>
          <w:rFonts w:cs="Arial"/>
          <w:sz w:val="22"/>
          <w:szCs w:val="22"/>
        </w:rPr>
      </w:pPr>
    </w:p>
    <w:p w14:paraId="77770F38" w14:textId="6F545DBB" w:rsidR="002B71CC" w:rsidRDefault="00A25BF3" w:rsidP="002B71CC">
      <w:pPr>
        <w:spacing w:line="360" w:lineRule="auto"/>
        <w:jc w:val="both"/>
        <w:rPr>
          <w:rFonts w:cs="Arial"/>
          <w:sz w:val="22"/>
          <w:szCs w:val="22"/>
        </w:rPr>
      </w:pPr>
      <w:r w:rsidRPr="00A25BF3">
        <w:rPr>
          <w:rFonts w:cs="Arial"/>
          <w:b/>
          <w:bCs/>
          <w:sz w:val="22"/>
          <w:szCs w:val="22"/>
        </w:rPr>
        <w:t>7)</w:t>
      </w:r>
      <w:r>
        <w:rPr>
          <w:rFonts w:cs="Arial"/>
          <w:sz w:val="22"/>
          <w:szCs w:val="22"/>
        </w:rPr>
        <w:t xml:space="preserve"> Se instruye a la </w:t>
      </w:r>
      <w:r w:rsidRPr="00A25BF3">
        <w:rPr>
          <w:rFonts w:cs="Arial"/>
          <w:sz w:val="22"/>
          <w:szCs w:val="22"/>
          <w:lang w:val="es-ES_tradnl"/>
        </w:rPr>
        <w:t>Administración</w:t>
      </w:r>
      <w:r>
        <w:rPr>
          <w:rFonts w:cs="Arial"/>
          <w:sz w:val="22"/>
          <w:szCs w:val="22"/>
          <w:lang w:val="es-ES_tradnl"/>
        </w:rPr>
        <w:t>, para que prepare un expediente con toda la información disponible sobre ambos proyectos de vivienda y desarrolle los estudios que adicionalmente estime pertinentes, con el propósito de sentar eventuales responsabilidades en cuanto al desarrollo de estos proyectos de vivienda y se procure la recuperación de los recursos del Estado que no se hayan invertido adecuadamente.</w:t>
      </w:r>
    </w:p>
    <w:p w14:paraId="2D8FCDF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0DCF82A" w14:textId="77777777" w:rsidR="002B71CC" w:rsidRPr="00D14EAF" w:rsidRDefault="002B71CC" w:rsidP="002B71CC">
      <w:pPr>
        <w:spacing w:line="360" w:lineRule="auto"/>
        <w:jc w:val="both"/>
        <w:rPr>
          <w:rFonts w:cs="Arial"/>
          <w:b/>
          <w:sz w:val="22"/>
        </w:rPr>
      </w:pPr>
      <w:r w:rsidRPr="00D14EAF">
        <w:rPr>
          <w:rFonts w:cs="Arial"/>
          <w:b/>
          <w:sz w:val="22"/>
        </w:rPr>
        <w:t>************</w:t>
      </w:r>
    </w:p>
    <w:p w14:paraId="382913AA" w14:textId="77777777" w:rsidR="002B71CC" w:rsidRDefault="002B71CC" w:rsidP="002B71CC">
      <w:pPr>
        <w:spacing w:line="360" w:lineRule="auto"/>
        <w:jc w:val="both"/>
        <w:rPr>
          <w:rFonts w:cs="Arial"/>
          <w:sz w:val="22"/>
          <w:lang w:val="es-ES_tradnl"/>
        </w:rPr>
      </w:pPr>
    </w:p>
    <w:p w14:paraId="1AE4214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3CDD486E" w14:textId="1D05D7B9" w:rsidR="002B71CC" w:rsidRPr="00540F60" w:rsidRDefault="0027797F" w:rsidP="002B71CC">
      <w:pPr>
        <w:spacing w:line="360" w:lineRule="auto"/>
        <w:jc w:val="both"/>
        <w:rPr>
          <w:rFonts w:cs="Arial"/>
          <w:b/>
          <w:bCs/>
          <w:sz w:val="22"/>
          <w:szCs w:val="22"/>
        </w:rPr>
      </w:pPr>
      <w:r w:rsidRPr="00540F60">
        <w:rPr>
          <w:rFonts w:cs="Arial"/>
          <w:b/>
          <w:bCs/>
          <w:sz w:val="22"/>
          <w:szCs w:val="22"/>
        </w:rPr>
        <w:t>Considerando:</w:t>
      </w:r>
    </w:p>
    <w:p w14:paraId="0CBB80B0" w14:textId="3B8634CD" w:rsidR="00540F60" w:rsidRDefault="0027797F" w:rsidP="00540F60">
      <w:pPr>
        <w:spacing w:line="360" w:lineRule="auto"/>
        <w:jc w:val="both"/>
        <w:rPr>
          <w:rFonts w:cs="Arial"/>
          <w:sz w:val="22"/>
          <w:szCs w:val="22"/>
        </w:rPr>
      </w:pPr>
      <w:r w:rsidRPr="00540F60">
        <w:rPr>
          <w:rFonts w:cs="Arial"/>
          <w:b/>
          <w:bCs/>
          <w:sz w:val="22"/>
          <w:szCs w:val="22"/>
        </w:rPr>
        <w:t>Primero:</w:t>
      </w:r>
      <w:r>
        <w:rPr>
          <w:rFonts w:cs="Arial"/>
          <w:sz w:val="22"/>
          <w:szCs w:val="22"/>
        </w:rPr>
        <w:t xml:space="preserve"> Que por medio del oficio GG-ME-1859-2022 del 22 de diciembre de 2021, la </w:t>
      </w:r>
      <w:r w:rsidRPr="0027797F">
        <w:rPr>
          <w:rFonts w:cs="Arial"/>
          <w:sz w:val="22"/>
          <w:szCs w:val="22"/>
          <w:lang w:val="es-CR"/>
        </w:rPr>
        <w:t>Gerencia General</w:t>
      </w:r>
      <w:r>
        <w:rPr>
          <w:rFonts w:cs="Arial"/>
          <w:sz w:val="22"/>
          <w:szCs w:val="22"/>
          <w:lang w:val="es-CR"/>
        </w:rPr>
        <w:t xml:space="preserve"> remite y avala </w:t>
      </w:r>
      <w:r w:rsidR="00C46344">
        <w:rPr>
          <w:rFonts w:cs="Arial"/>
          <w:sz w:val="22"/>
          <w:szCs w:val="22"/>
          <w:lang w:val="es-CR"/>
        </w:rPr>
        <w:t>los</w:t>
      </w:r>
      <w:r>
        <w:rPr>
          <w:rFonts w:cs="Arial"/>
          <w:sz w:val="22"/>
          <w:szCs w:val="22"/>
          <w:lang w:val="es-CR"/>
        </w:rPr>
        <w:t xml:space="preserve"> informe</w:t>
      </w:r>
      <w:r w:rsidR="00C46344">
        <w:rPr>
          <w:rFonts w:cs="Arial"/>
          <w:sz w:val="22"/>
          <w:szCs w:val="22"/>
          <w:lang w:val="es-CR"/>
        </w:rPr>
        <w:t>s</w:t>
      </w:r>
      <w:r>
        <w:rPr>
          <w:rFonts w:cs="Arial"/>
          <w:sz w:val="22"/>
          <w:szCs w:val="22"/>
          <w:lang w:val="es-CR"/>
        </w:rPr>
        <w:t xml:space="preserve"> </w:t>
      </w:r>
      <w:r w:rsidR="00C46344">
        <w:rPr>
          <w:rFonts w:cs="Arial"/>
          <w:sz w:val="22"/>
          <w:szCs w:val="22"/>
          <w:lang w:val="es-CR"/>
        </w:rPr>
        <w:t xml:space="preserve">DF-OF-1816-2021/SO-OF-0207-2021 de la Dirección FOSUVI y la Subgerencia de Operaciones, y DF-DT-OF-1059-2021 del Departamento Técnico, </w:t>
      </w:r>
      <w:r w:rsidR="006B3F52">
        <w:rPr>
          <w:rFonts w:cs="Arial"/>
          <w:sz w:val="22"/>
          <w:szCs w:val="22"/>
          <w:lang w:val="es-CR"/>
        </w:rPr>
        <w:t xml:space="preserve">que contiene los resultados del estudio efectuado a la solicitud de Coocique R.L., para suspender temporalmente el cobro de multas del proyecto </w:t>
      </w:r>
      <w:r w:rsidR="006B3F52">
        <w:rPr>
          <w:rFonts w:cs="Arial"/>
          <w:sz w:val="22"/>
          <w:szCs w:val="22"/>
          <w:lang w:val="es-CR" w:eastAsia="es-CR"/>
        </w:rPr>
        <w:t xml:space="preserve">Loma Linda, ubicado el distrito 27 de Abril del cantón de Santa Cruz, provincia de Guanacaste, </w:t>
      </w:r>
      <w:r w:rsidR="00540F60" w:rsidRPr="00BB303F">
        <w:rPr>
          <w:rFonts w:cs="Arial"/>
          <w:color w:val="000000"/>
          <w:sz w:val="22"/>
          <w:szCs w:val="22"/>
        </w:rPr>
        <w:t xml:space="preserve">y financiado al amparo del artículo 59 de la Ley del Sistema Financiero Nacional para la Vivienda, conforme lo dispuesto en el acuerdo número </w:t>
      </w:r>
      <w:r w:rsidR="00540F60">
        <w:rPr>
          <w:rFonts w:cs="Arial"/>
          <w:color w:val="000000"/>
          <w:sz w:val="22"/>
          <w:szCs w:val="22"/>
        </w:rPr>
        <w:t>7</w:t>
      </w:r>
      <w:r w:rsidR="00540F60" w:rsidRPr="00BB303F">
        <w:rPr>
          <w:rFonts w:cs="Arial"/>
          <w:color w:val="000000"/>
          <w:sz w:val="22"/>
          <w:szCs w:val="22"/>
        </w:rPr>
        <w:t xml:space="preserve"> de la sesión </w:t>
      </w:r>
      <w:r w:rsidR="00540F60">
        <w:rPr>
          <w:rFonts w:cs="Arial"/>
          <w:color w:val="000000"/>
          <w:sz w:val="22"/>
          <w:szCs w:val="22"/>
        </w:rPr>
        <w:t>42</w:t>
      </w:r>
      <w:r w:rsidR="00540F60" w:rsidRPr="00BB303F">
        <w:rPr>
          <w:rFonts w:cs="Arial"/>
          <w:color w:val="000000"/>
          <w:sz w:val="22"/>
          <w:szCs w:val="22"/>
        </w:rPr>
        <w:t>-201</w:t>
      </w:r>
      <w:r w:rsidR="00540F60">
        <w:rPr>
          <w:rFonts w:cs="Arial"/>
          <w:color w:val="000000"/>
          <w:sz w:val="22"/>
          <w:szCs w:val="22"/>
        </w:rPr>
        <w:t>9,</w:t>
      </w:r>
      <w:r w:rsidR="00540F60" w:rsidRPr="00BB303F">
        <w:rPr>
          <w:rFonts w:cs="Arial"/>
          <w:color w:val="000000"/>
          <w:sz w:val="22"/>
          <w:szCs w:val="22"/>
        </w:rPr>
        <w:t xml:space="preserve"> del </w:t>
      </w:r>
      <w:r w:rsidR="00540F60">
        <w:rPr>
          <w:rFonts w:cs="Arial"/>
          <w:color w:val="000000"/>
          <w:sz w:val="22"/>
          <w:szCs w:val="22"/>
        </w:rPr>
        <w:t>03</w:t>
      </w:r>
      <w:r w:rsidR="00540F60" w:rsidRPr="00BB303F">
        <w:rPr>
          <w:rFonts w:cs="Arial"/>
          <w:color w:val="000000"/>
          <w:sz w:val="22"/>
          <w:szCs w:val="22"/>
        </w:rPr>
        <w:t xml:space="preserve"> de </w:t>
      </w:r>
      <w:r w:rsidR="00540F60">
        <w:rPr>
          <w:rFonts w:cs="Arial"/>
          <w:color w:val="000000"/>
          <w:sz w:val="22"/>
          <w:szCs w:val="22"/>
        </w:rPr>
        <w:t>junio</w:t>
      </w:r>
      <w:r w:rsidR="00540F60" w:rsidRPr="00BB303F">
        <w:rPr>
          <w:rFonts w:cs="Arial"/>
          <w:color w:val="000000"/>
          <w:sz w:val="22"/>
          <w:szCs w:val="22"/>
        </w:rPr>
        <w:t xml:space="preserve"> de 201</w:t>
      </w:r>
      <w:r w:rsidR="00540F60">
        <w:rPr>
          <w:rFonts w:cs="Arial"/>
          <w:color w:val="000000"/>
          <w:sz w:val="22"/>
          <w:szCs w:val="22"/>
        </w:rPr>
        <w:t>9</w:t>
      </w:r>
      <w:r w:rsidR="00540F60">
        <w:rPr>
          <w:rFonts w:cs="Arial"/>
          <w:sz w:val="22"/>
          <w:szCs w:val="22"/>
        </w:rPr>
        <w:t>.</w:t>
      </w:r>
    </w:p>
    <w:p w14:paraId="26A46B26" w14:textId="0CAF6002" w:rsidR="00540F60" w:rsidRDefault="00540F60" w:rsidP="00540F60">
      <w:pPr>
        <w:spacing w:line="360" w:lineRule="auto"/>
        <w:jc w:val="both"/>
        <w:rPr>
          <w:rFonts w:cs="Arial"/>
          <w:sz w:val="22"/>
          <w:szCs w:val="22"/>
        </w:rPr>
      </w:pPr>
    </w:p>
    <w:p w14:paraId="0312373B" w14:textId="77777777" w:rsidR="00526FAC" w:rsidRDefault="00540F60" w:rsidP="00540F60">
      <w:pPr>
        <w:spacing w:line="360" w:lineRule="auto"/>
        <w:jc w:val="both"/>
        <w:rPr>
          <w:rFonts w:cs="Arial"/>
          <w:sz w:val="22"/>
          <w:szCs w:val="22"/>
        </w:rPr>
      </w:pPr>
      <w:r w:rsidRPr="00540F60">
        <w:rPr>
          <w:rFonts w:cs="Arial"/>
          <w:b/>
          <w:bCs/>
          <w:sz w:val="22"/>
          <w:szCs w:val="22"/>
        </w:rPr>
        <w:lastRenderedPageBreak/>
        <w:t>Segundo:</w:t>
      </w:r>
      <w:r>
        <w:rPr>
          <w:rFonts w:cs="Arial"/>
          <w:sz w:val="22"/>
          <w:szCs w:val="22"/>
        </w:rPr>
        <w:t xml:space="preserve"> Que </w:t>
      </w:r>
      <w:r w:rsidR="00526FAC">
        <w:rPr>
          <w:rFonts w:cs="Arial"/>
          <w:sz w:val="22"/>
          <w:szCs w:val="22"/>
        </w:rPr>
        <w:t>en</w:t>
      </w:r>
      <w:r w:rsidR="00A44388">
        <w:rPr>
          <w:rFonts w:cs="Arial"/>
          <w:sz w:val="22"/>
          <w:szCs w:val="22"/>
        </w:rPr>
        <w:t xml:space="preserve"> dicho informe, el Departamento Técnico </w:t>
      </w:r>
      <w:r w:rsidR="00526FAC">
        <w:rPr>
          <w:rFonts w:cs="Arial"/>
          <w:sz w:val="22"/>
          <w:szCs w:val="22"/>
        </w:rPr>
        <w:t>concluye que con base en</w:t>
      </w:r>
      <w:r w:rsidR="00A44388" w:rsidRPr="00A44388">
        <w:rPr>
          <w:rFonts w:cs="Arial"/>
          <w:sz w:val="22"/>
          <w:szCs w:val="22"/>
        </w:rPr>
        <w:t xml:space="preserve"> los argumentos señalados por </w:t>
      </w:r>
      <w:r w:rsidR="00526FAC">
        <w:rPr>
          <w:rFonts w:cs="Arial"/>
          <w:sz w:val="22"/>
          <w:szCs w:val="22"/>
        </w:rPr>
        <w:t xml:space="preserve">Coocique R.L. </w:t>
      </w:r>
      <w:r w:rsidR="00A44388" w:rsidRPr="00A44388">
        <w:rPr>
          <w:rFonts w:cs="Arial"/>
          <w:sz w:val="22"/>
          <w:szCs w:val="22"/>
        </w:rPr>
        <w:t xml:space="preserve">para justificar </w:t>
      </w:r>
      <w:r w:rsidR="00526FAC">
        <w:rPr>
          <w:rFonts w:cs="Arial"/>
          <w:sz w:val="22"/>
          <w:szCs w:val="22"/>
        </w:rPr>
        <w:t>dicha solicitud, recomienda lo siguiente:</w:t>
      </w:r>
    </w:p>
    <w:p w14:paraId="0BC69DA1" w14:textId="7CB33364" w:rsidR="00A44388" w:rsidRPr="00A44388" w:rsidRDefault="00526FAC" w:rsidP="00A44388">
      <w:pPr>
        <w:spacing w:line="360" w:lineRule="auto"/>
        <w:jc w:val="both"/>
        <w:rPr>
          <w:rFonts w:cs="Arial"/>
          <w:sz w:val="22"/>
          <w:szCs w:val="22"/>
          <w:lang w:val="es-CR"/>
        </w:rPr>
      </w:pPr>
      <w:r>
        <w:rPr>
          <w:rFonts w:cs="Arial"/>
          <w:sz w:val="22"/>
          <w:szCs w:val="22"/>
          <w:lang w:val="es-CR"/>
        </w:rPr>
        <w:t xml:space="preserve">a) </w:t>
      </w:r>
      <w:r w:rsidR="00A44388" w:rsidRPr="00A44388">
        <w:rPr>
          <w:rFonts w:cs="Arial"/>
          <w:sz w:val="22"/>
          <w:szCs w:val="22"/>
          <w:lang w:val="es-CR"/>
        </w:rPr>
        <w:t>Suspender tempora</w:t>
      </w:r>
      <w:r>
        <w:rPr>
          <w:rFonts w:cs="Arial"/>
          <w:sz w:val="22"/>
          <w:szCs w:val="22"/>
          <w:lang w:val="es-CR"/>
        </w:rPr>
        <w:t>l</w:t>
      </w:r>
      <w:r w:rsidR="00A44388" w:rsidRPr="00A44388">
        <w:rPr>
          <w:rFonts w:cs="Arial"/>
          <w:sz w:val="22"/>
          <w:szCs w:val="22"/>
          <w:lang w:val="es-CR"/>
        </w:rPr>
        <w:t xml:space="preserve">mente el cobro de multas por un periodo de 71 </w:t>
      </w:r>
      <w:r>
        <w:rPr>
          <w:rFonts w:cs="Arial"/>
          <w:sz w:val="22"/>
          <w:szCs w:val="22"/>
          <w:lang w:val="es-CR"/>
        </w:rPr>
        <w:t>días</w:t>
      </w:r>
      <w:r w:rsidR="00A44388" w:rsidRPr="00A44388">
        <w:rPr>
          <w:rFonts w:cs="Arial"/>
          <w:sz w:val="22"/>
          <w:szCs w:val="22"/>
          <w:lang w:val="es-CR"/>
        </w:rPr>
        <w:t xml:space="preserve"> naturales</w:t>
      </w:r>
      <w:r>
        <w:rPr>
          <w:rFonts w:cs="Arial"/>
          <w:sz w:val="22"/>
          <w:szCs w:val="22"/>
          <w:lang w:val="es-CR"/>
        </w:rPr>
        <w:t xml:space="preserve">, contados </w:t>
      </w:r>
      <w:r w:rsidR="00A44388" w:rsidRPr="00A44388">
        <w:rPr>
          <w:rFonts w:cs="Arial"/>
          <w:sz w:val="22"/>
          <w:szCs w:val="22"/>
          <w:lang w:val="es-CR"/>
        </w:rPr>
        <w:t>a partir del 31 de octubre de 2021 (fecha de finalizaci</w:t>
      </w:r>
      <w:r>
        <w:rPr>
          <w:rFonts w:cs="Arial"/>
          <w:sz w:val="22"/>
          <w:szCs w:val="22"/>
          <w:lang w:val="es-CR"/>
        </w:rPr>
        <w:t xml:space="preserve">ón </w:t>
      </w:r>
      <w:r w:rsidR="00A44388" w:rsidRPr="00A44388">
        <w:rPr>
          <w:rFonts w:cs="Arial"/>
          <w:sz w:val="22"/>
          <w:szCs w:val="22"/>
          <w:lang w:val="es-CR"/>
        </w:rPr>
        <w:t>de las obras</w:t>
      </w:r>
      <w:r>
        <w:rPr>
          <w:rFonts w:cs="Arial"/>
          <w:sz w:val="22"/>
          <w:szCs w:val="22"/>
          <w:lang w:val="es-CR"/>
        </w:rPr>
        <w:t xml:space="preserve"> </w:t>
      </w:r>
      <w:r w:rsidR="00A44388" w:rsidRPr="00A44388">
        <w:rPr>
          <w:rFonts w:cs="Arial"/>
          <w:sz w:val="22"/>
          <w:szCs w:val="22"/>
          <w:lang w:val="es-CR"/>
        </w:rPr>
        <w:t xml:space="preserve">constructivas), </w:t>
      </w:r>
      <w:r w:rsidR="00A44388" w:rsidRPr="00A44388">
        <w:rPr>
          <w:rFonts w:cs="Arial"/>
          <w:sz w:val="22"/>
          <w:szCs w:val="22"/>
          <w:u w:val="single"/>
          <w:lang w:val="es-CR"/>
        </w:rPr>
        <w:t>por cuanto existi</w:t>
      </w:r>
      <w:r w:rsidRPr="00F72E47">
        <w:rPr>
          <w:rFonts w:cs="Arial"/>
          <w:sz w:val="22"/>
          <w:szCs w:val="22"/>
          <w:u w:val="single"/>
          <w:lang w:val="es-CR"/>
        </w:rPr>
        <w:t>ó</w:t>
      </w:r>
      <w:r w:rsidR="00A44388" w:rsidRPr="00A44388">
        <w:rPr>
          <w:rFonts w:cs="Arial"/>
          <w:sz w:val="22"/>
          <w:szCs w:val="22"/>
          <w:u w:val="single"/>
          <w:lang w:val="es-CR"/>
        </w:rPr>
        <w:t xml:space="preserve"> un atraso en el giro de recursos a </w:t>
      </w:r>
      <w:r w:rsidRPr="00F72E47">
        <w:rPr>
          <w:rFonts w:cs="Arial"/>
          <w:sz w:val="22"/>
          <w:szCs w:val="22"/>
          <w:u w:val="single"/>
          <w:lang w:val="es-CR"/>
        </w:rPr>
        <w:t>l</w:t>
      </w:r>
      <w:r w:rsidR="00A44388" w:rsidRPr="00A44388">
        <w:rPr>
          <w:rFonts w:cs="Arial"/>
          <w:sz w:val="22"/>
          <w:szCs w:val="22"/>
          <w:u w:val="single"/>
          <w:lang w:val="es-CR"/>
        </w:rPr>
        <w:t xml:space="preserve">a empresa </w:t>
      </w:r>
      <w:r w:rsidRPr="00F72E47">
        <w:rPr>
          <w:rFonts w:cs="Arial"/>
          <w:sz w:val="22"/>
          <w:szCs w:val="22"/>
          <w:u w:val="single"/>
          <w:lang w:val="es-CR"/>
        </w:rPr>
        <w:t xml:space="preserve">por la </w:t>
      </w:r>
      <w:r w:rsidR="00A44388" w:rsidRPr="00A44388">
        <w:rPr>
          <w:rFonts w:cs="Arial"/>
          <w:sz w:val="22"/>
          <w:szCs w:val="22"/>
          <w:u w:val="single"/>
          <w:lang w:val="es-CR"/>
        </w:rPr>
        <w:t>presentaci</w:t>
      </w:r>
      <w:r w:rsidRPr="00F72E47">
        <w:rPr>
          <w:rFonts w:cs="Arial"/>
          <w:sz w:val="22"/>
          <w:szCs w:val="22"/>
          <w:u w:val="single"/>
          <w:lang w:val="es-CR"/>
        </w:rPr>
        <w:t xml:space="preserve">ón </w:t>
      </w:r>
      <w:r w:rsidR="00A44388" w:rsidRPr="00A44388">
        <w:rPr>
          <w:rFonts w:cs="Arial"/>
          <w:sz w:val="22"/>
          <w:szCs w:val="22"/>
          <w:u w:val="single"/>
          <w:lang w:val="es-CR"/>
        </w:rPr>
        <w:t>del recurso de apelaci</w:t>
      </w:r>
      <w:r w:rsidRPr="00F72E47">
        <w:rPr>
          <w:rFonts w:cs="Arial"/>
          <w:sz w:val="22"/>
          <w:szCs w:val="22"/>
          <w:u w:val="single"/>
          <w:lang w:val="es-CR"/>
        </w:rPr>
        <w:t>ó</w:t>
      </w:r>
      <w:r w:rsidR="00A44388" w:rsidRPr="00A44388">
        <w:rPr>
          <w:rFonts w:cs="Arial"/>
          <w:sz w:val="22"/>
          <w:szCs w:val="22"/>
          <w:u w:val="single"/>
          <w:lang w:val="es-CR"/>
        </w:rPr>
        <w:t xml:space="preserve">n, </w:t>
      </w:r>
      <w:r w:rsidRPr="00F72E47">
        <w:rPr>
          <w:rFonts w:cs="Arial"/>
          <w:sz w:val="22"/>
          <w:szCs w:val="22"/>
          <w:u w:val="single"/>
          <w:lang w:val="es-CR"/>
        </w:rPr>
        <w:t>l</w:t>
      </w:r>
      <w:r w:rsidR="00A44388" w:rsidRPr="00A44388">
        <w:rPr>
          <w:rFonts w:cs="Arial"/>
          <w:sz w:val="22"/>
          <w:szCs w:val="22"/>
          <w:u w:val="single"/>
          <w:lang w:val="es-CR"/>
        </w:rPr>
        <w:t>a gesti</w:t>
      </w:r>
      <w:r w:rsidRPr="00F72E47">
        <w:rPr>
          <w:rFonts w:cs="Arial"/>
          <w:sz w:val="22"/>
          <w:szCs w:val="22"/>
          <w:u w:val="single"/>
          <w:lang w:val="es-CR"/>
        </w:rPr>
        <w:t>ó</w:t>
      </w:r>
      <w:r w:rsidR="00A44388" w:rsidRPr="00A44388">
        <w:rPr>
          <w:rFonts w:cs="Arial"/>
          <w:sz w:val="22"/>
          <w:szCs w:val="22"/>
          <w:u w:val="single"/>
          <w:lang w:val="es-CR"/>
        </w:rPr>
        <w:t>n de los desembolsos y</w:t>
      </w:r>
      <w:r w:rsidRPr="00F72E47">
        <w:rPr>
          <w:rFonts w:cs="Arial"/>
          <w:sz w:val="22"/>
          <w:szCs w:val="22"/>
          <w:u w:val="single"/>
          <w:lang w:val="es-CR"/>
        </w:rPr>
        <w:t xml:space="preserve"> l</w:t>
      </w:r>
      <w:r w:rsidR="00A44388" w:rsidRPr="00A44388">
        <w:rPr>
          <w:rFonts w:cs="Arial"/>
          <w:sz w:val="22"/>
          <w:szCs w:val="22"/>
          <w:u w:val="single"/>
          <w:lang w:val="es-CR"/>
        </w:rPr>
        <w:t>a firma de</w:t>
      </w:r>
      <w:r w:rsidRPr="00F72E47">
        <w:rPr>
          <w:rFonts w:cs="Arial"/>
          <w:sz w:val="22"/>
          <w:szCs w:val="22"/>
          <w:u w:val="single"/>
          <w:lang w:val="es-CR"/>
        </w:rPr>
        <w:t xml:space="preserve"> l</w:t>
      </w:r>
      <w:r w:rsidR="00A44388" w:rsidRPr="00A44388">
        <w:rPr>
          <w:rFonts w:cs="Arial"/>
          <w:sz w:val="22"/>
          <w:szCs w:val="22"/>
          <w:u w:val="single"/>
          <w:lang w:val="es-CR"/>
        </w:rPr>
        <w:t>a adenda al contrato y que no han permitido que el Desarrollador reinvierta capital</w:t>
      </w:r>
      <w:r w:rsidRPr="00F72E47">
        <w:rPr>
          <w:rFonts w:cs="Arial"/>
          <w:sz w:val="22"/>
          <w:szCs w:val="22"/>
          <w:u w:val="single"/>
          <w:lang w:val="es-CR"/>
        </w:rPr>
        <w:t xml:space="preserve"> </w:t>
      </w:r>
      <w:r w:rsidR="00A44388" w:rsidRPr="00A44388">
        <w:rPr>
          <w:rFonts w:cs="Arial"/>
          <w:sz w:val="22"/>
          <w:szCs w:val="22"/>
          <w:u w:val="single"/>
          <w:lang w:val="es-CR"/>
        </w:rPr>
        <w:t>en el proyecto para poder avanzar</w:t>
      </w:r>
      <w:r w:rsidR="00A44388" w:rsidRPr="00A44388">
        <w:rPr>
          <w:rFonts w:cs="Arial"/>
          <w:sz w:val="22"/>
          <w:szCs w:val="22"/>
          <w:lang w:val="es-CR"/>
        </w:rPr>
        <w:t>.</w:t>
      </w:r>
      <w:r w:rsidR="00F72E47">
        <w:rPr>
          <w:rFonts w:cs="Arial"/>
          <w:sz w:val="22"/>
          <w:szCs w:val="22"/>
          <w:lang w:val="es-CR"/>
        </w:rPr>
        <w:t xml:space="preserve"> (El subrayado no es del original)</w:t>
      </w:r>
    </w:p>
    <w:p w14:paraId="77D6CA36" w14:textId="517216DA" w:rsidR="00A44388" w:rsidRPr="00A44388" w:rsidRDefault="00526FAC" w:rsidP="00A44388">
      <w:pPr>
        <w:spacing w:line="360" w:lineRule="auto"/>
        <w:jc w:val="both"/>
        <w:rPr>
          <w:rFonts w:cs="Arial"/>
          <w:sz w:val="22"/>
          <w:szCs w:val="22"/>
          <w:lang w:val="es-CR"/>
        </w:rPr>
      </w:pPr>
      <w:r>
        <w:rPr>
          <w:rFonts w:cs="Arial"/>
          <w:sz w:val="22"/>
          <w:szCs w:val="22"/>
          <w:lang w:val="es-CR"/>
        </w:rPr>
        <w:t xml:space="preserve">b) </w:t>
      </w:r>
      <w:r w:rsidR="00A44388" w:rsidRPr="00A44388">
        <w:rPr>
          <w:rFonts w:cs="Arial"/>
          <w:sz w:val="22"/>
          <w:szCs w:val="22"/>
          <w:lang w:val="es-CR"/>
        </w:rPr>
        <w:t xml:space="preserve">Dichos 71 </w:t>
      </w:r>
      <w:r>
        <w:rPr>
          <w:rFonts w:cs="Arial"/>
          <w:sz w:val="22"/>
          <w:szCs w:val="22"/>
          <w:lang w:val="es-CR"/>
        </w:rPr>
        <w:t>días</w:t>
      </w:r>
      <w:r w:rsidR="00A44388" w:rsidRPr="00A44388">
        <w:rPr>
          <w:rFonts w:cs="Arial"/>
          <w:sz w:val="22"/>
          <w:szCs w:val="22"/>
          <w:lang w:val="es-CR"/>
        </w:rPr>
        <w:t xml:space="preserve"> naturales de suspensi</w:t>
      </w:r>
      <w:r>
        <w:rPr>
          <w:rFonts w:cs="Arial"/>
          <w:sz w:val="22"/>
          <w:szCs w:val="22"/>
          <w:lang w:val="es-CR"/>
        </w:rPr>
        <w:t>ó</w:t>
      </w:r>
      <w:r w:rsidR="00A44388" w:rsidRPr="00A44388">
        <w:rPr>
          <w:rFonts w:cs="Arial"/>
          <w:sz w:val="22"/>
          <w:szCs w:val="22"/>
          <w:lang w:val="es-CR"/>
        </w:rPr>
        <w:t>n finalizar</w:t>
      </w:r>
      <w:r>
        <w:rPr>
          <w:rFonts w:cs="Arial"/>
          <w:sz w:val="22"/>
          <w:szCs w:val="22"/>
          <w:lang w:val="es-CR"/>
        </w:rPr>
        <w:t>á</w:t>
      </w:r>
      <w:r w:rsidR="00A44388" w:rsidRPr="00A44388">
        <w:rPr>
          <w:rFonts w:cs="Arial"/>
          <w:sz w:val="22"/>
          <w:szCs w:val="22"/>
          <w:lang w:val="es-CR"/>
        </w:rPr>
        <w:t>n el 11 de enero de 2022,</w:t>
      </w:r>
      <w:r>
        <w:rPr>
          <w:rFonts w:cs="Arial"/>
          <w:sz w:val="22"/>
          <w:szCs w:val="22"/>
          <w:lang w:val="es-CR"/>
        </w:rPr>
        <w:t xml:space="preserve"> </w:t>
      </w:r>
      <w:r w:rsidR="00A44388" w:rsidRPr="00A44388">
        <w:rPr>
          <w:rFonts w:cs="Arial"/>
          <w:sz w:val="22"/>
          <w:szCs w:val="22"/>
          <w:lang w:val="es-CR"/>
        </w:rPr>
        <w:t xml:space="preserve">por lo que </w:t>
      </w:r>
      <w:r>
        <w:rPr>
          <w:rFonts w:cs="Arial"/>
          <w:sz w:val="22"/>
          <w:szCs w:val="22"/>
          <w:lang w:val="es-CR"/>
        </w:rPr>
        <w:t>l</w:t>
      </w:r>
      <w:r w:rsidR="00A44388" w:rsidRPr="00A44388">
        <w:rPr>
          <w:rFonts w:cs="Arial"/>
          <w:sz w:val="22"/>
          <w:szCs w:val="22"/>
          <w:lang w:val="es-CR"/>
        </w:rPr>
        <w:t>a Entidad Autorizada deber</w:t>
      </w:r>
      <w:r>
        <w:rPr>
          <w:rFonts w:cs="Arial"/>
          <w:sz w:val="22"/>
          <w:szCs w:val="22"/>
          <w:lang w:val="es-CR"/>
        </w:rPr>
        <w:t>á</w:t>
      </w:r>
      <w:r w:rsidR="00A44388" w:rsidRPr="00A44388">
        <w:rPr>
          <w:rFonts w:cs="Arial"/>
          <w:sz w:val="22"/>
          <w:szCs w:val="22"/>
          <w:lang w:val="es-CR"/>
        </w:rPr>
        <w:t xml:space="preserve"> realizar el respectivo c</w:t>
      </w:r>
      <w:r>
        <w:rPr>
          <w:rFonts w:cs="Arial"/>
          <w:sz w:val="22"/>
          <w:szCs w:val="22"/>
          <w:lang w:val="es-CR"/>
        </w:rPr>
        <w:t>á</w:t>
      </w:r>
      <w:r w:rsidR="00A44388" w:rsidRPr="00A44388">
        <w:rPr>
          <w:rFonts w:cs="Arial"/>
          <w:sz w:val="22"/>
          <w:szCs w:val="22"/>
          <w:lang w:val="es-CR"/>
        </w:rPr>
        <w:t>lculo de multas</w:t>
      </w:r>
      <w:r>
        <w:rPr>
          <w:rFonts w:cs="Arial"/>
          <w:sz w:val="22"/>
          <w:szCs w:val="22"/>
          <w:lang w:val="es-CR"/>
        </w:rPr>
        <w:t xml:space="preserve"> </w:t>
      </w:r>
      <w:r w:rsidR="00A44388" w:rsidRPr="00A44388">
        <w:rPr>
          <w:rFonts w:cs="Arial"/>
          <w:sz w:val="22"/>
          <w:szCs w:val="22"/>
          <w:lang w:val="es-CR"/>
        </w:rPr>
        <w:t>seg</w:t>
      </w:r>
      <w:r>
        <w:rPr>
          <w:rFonts w:cs="Arial"/>
          <w:sz w:val="22"/>
          <w:szCs w:val="22"/>
          <w:lang w:val="es-CR"/>
        </w:rPr>
        <w:t>ú</w:t>
      </w:r>
      <w:r w:rsidR="00A44388" w:rsidRPr="00A44388">
        <w:rPr>
          <w:rFonts w:cs="Arial"/>
          <w:sz w:val="22"/>
          <w:szCs w:val="22"/>
          <w:lang w:val="es-CR"/>
        </w:rPr>
        <w:t>n el contrato de construcci</w:t>
      </w:r>
      <w:r>
        <w:rPr>
          <w:rFonts w:cs="Arial"/>
          <w:sz w:val="22"/>
          <w:szCs w:val="22"/>
          <w:lang w:val="es-CR"/>
        </w:rPr>
        <w:t>ó</w:t>
      </w:r>
      <w:r w:rsidR="00A44388" w:rsidRPr="00A44388">
        <w:rPr>
          <w:rFonts w:cs="Arial"/>
          <w:sz w:val="22"/>
          <w:szCs w:val="22"/>
          <w:lang w:val="es-CR"/>
        </w:rPr>
        <w:t>n y las fechas definidas en el cronograma del plan</w:t>
      </w:r>
      <w:r>
        <w:rPr>
          <w:rFonts w:cs="Arial"/>
          <w:sz w:val="22"/>
          <w:szCs w:val="22"/>
          <w:lang w:val="es-CR"/>
        </w:rPr>
        <w:t xml:space="preserve"> </w:t>
      </w:r>
      <w:r w:rsidR="00A44388" w:rsidRPr="00A44388">
        <w:rPr>
          <w:rFonts w:cs="Arial"/>
          <w:sz w:val="22"/>
          <w:szCs w:val="22"/>
          <w:lang w:val="es-CR"/>
        </w:rPr>
        <w:t xml:space="preserve">remedial presentado por </w:t>
      </w:r>
      <w:r w:rsidR="00A8467D">
        <w:rPr>
          <w:rFonts w:cs="Arial"/>
          <w:sz w:val="22"/>
          <w:szCs w:val="22"/>
          <w:lang w:val="es-CR"/>
        </w:rPr>
        <w:t>l</w:t>
      </w:r>
      <w:r w:rsidR="00A44388" w:rsidRPr="00A44388">
        <w:rPr>
          <w:rFonts w:cs="Arial"/>
          <w:sz w:val="22"/>
          <w:szCs w:val="22"/>
          <w:lang w:val="es-CR"/>
        </w:rPr>
        <w:t>a empresa Rovi S.A.</w:t>
      </w:r>
    </w:p>
    <w:p w14:paraId="4E8390F1" w14:textId="77777777" w:rsidR="00A8467D" w:rsidRDefault="00A8467D" w:rsidP="00A44388">
      <w:pPr>
        <w:spacing w:line="360" w:lineRule="auto"/>
        <w:jc w:val="both"/>
        <w:rPr>
          <w:rFonts w:cs="Arial"/>
          <w:sz w:val="22"/>
          <w:szCs w:val="22"/>
          <w:lang w:val="es-CR"/>
        </w:rPr>
      </w:pPr>
      <w:r>
        <w:rPr>
          <w:rFonts w:cs="Arial"/>
          <w:sz w:val="22"/>
          <w:szCs w:val="22"/>
          <w:lang w:val="es-CR"/>
        </w:rPr>
        <w:t xml:space="preserve">c) </w:t>
      </w:r>
      <w:r w:rsidR="00A44388" w:rsidRPr="00A44388">
        <w:rPr>
          <w:rFonts w:cs="Arial"/>
          <w:sz w:val="22"/>
          <w:szCs w:val="22"/>
          <w:lang w:val="es-CR"/>
        </w:rPr>
        <w:t>Definir como fecha de finalizaci</w:t>
      </w:r>
      <w:r>
        <w:rPr>
          <w:rFonts w:cs="Arial"/>
          <w:sz w:val="22"/>
          <w:szCs w:val="22"/>
          <w:lang w:val="es-CR"/>
        </w:rPr>
        <w:t>ó</w:t>
      </w:r>
      <w:r w:rsidR="00A44388" w:rsidRPr="00A44388">
        <w:rPr>
          <w:rFonts w:cs="Arial"/>
          <w:sz w:val="22"/>
          <w:szCs w:val="22"/>
          <w:lang w:val="es-CR"/>
        </w:rPr>
        <w:t>n de las obras constructivas del proyecto</w:t>
      </w:r>
      <w:r>
        <w:rPr>
          <w:rFonts w:cs="Arial"/>
          <w:sz w:val="22"/>
          <w:szCs w:val="22"/>
          <w:lang w:val="es-CR"/>
        </w:rPr>
        <w:t>,</w:t>
      </w:r>
      <w:r w:rsidR="00A44388" w:rsidRPr="00A44388">
        <w:rPr>
          <w:rFonts w:cs="Arial"/>
          <w:sz w:val="22"/>
          <w:szCs w:val="22"/>
          <w:lang w:val="es-CR"/>
        </w:rPr>
        <w:t xml:space="preserve"> el 31 de</w:t>
      </w:r>
      <w:r>
        <w:rPr>
          <w:rFonts w:cs="Arial"/>
          <w:sz w:val="22"/>
          <w:szCs w:val="22"/>
          <w:lang w:val="es-CR"/>
        </w:rPr>
        <w:t xml:space="preserve"> </w:t>
      </w:r>
      <w:r w:rsidR="00A44388" w:rsidRPr="00A44388">
        <w:rPr>
          <w:rFonts w:cs="Arial"/>
          <w:sz w:val="22"/>
          <w:szCs w:val="22"/>
          <w:lang w:val="es-CR"/>
        </w:rPr>
        <w:t>marzo de 2022</w:t>
      </w:r>
      <w:r>
        <w:rPr>
          <w:rFonts w:cs="Arial"/>
          <w:sz w:val="22"/>
          <w:szCs w:val="22"/>
          <w:lang w:val="es-CR"/>
        </w:rPr>
        <w:t>,</w:t>
      </w:r>
      <w:r w:rsidR="00A44388" w:rsidRPr="00A44388">
        <w:rPr>
          <w:rFonts w:cs="Arial"/>
          <w:sz w:val="22"/>
          <w:szCs w:val="22"/>
          <w:lang w:val="es-CR"/>
        </w:rPr>
        <w:t xml:space="preserve"> seg</w:t>
      </w:r>
      <w:r>
        <w:rPr>
          <w:rFonts w:cs="Arial"/>
          <w:sz w:val="22"/>
          <w:szCs w:val="22"/>
          <w:lang w:val="es-CR"/>
        </w:rPr>
        <w:t>ú</w:t>
      </w:r>
      <w:r w:rsidR="00A44388" w:rsidRPr="00A44388">
        <w:rPr>
          <w:rFonts w:cs="Arial"/>
          <w:sz w:val="22"/>
          <w:szCs w:val="22"/>
          <w:lang w:val="es-CR"/>
        </w:rPr>
        <w:t>n el cronograma f</w:t>
      </w:r>
      <w:r>
        <w:rPr>
          <w:rFonts w:cs="Arial"/>
          <w:sz w:val="22"/>
          <w:szCs w:val="22"/>
          <w:lang w:val="es-CR"/>
        </w:rPr>
        <w:t>í</w:t>
      </w:r>
      <w:r w:rsidR="00A44388" w:rsidRPr="00A44388">
        <w:rPr>
          <w:rFonts w:cs="Arial"/>
          <w:sz w:val="22"/>
          <w:szCs w:val="22"/>
          <w:lang w:val="es-CR"/>
        </w:rPr>
        <w:t>sico financiero presentado</w:t>
      </w:r>
      <w:r>
        <w:rPr>
          <w:rFonts w:cs="Arial"/>
          <w:sz w:val="22"/>
          <w:szCs w:val="22"/>
          <w:lang w:val="es-CR"/>
        </w:rPr>
        <w:t>.</w:t>
      </w:r>
    </w:p>
    <w:p w14:paraId="079DEFCB" w14:textId="21B541E2" w:rsidR="00A44388" w:rsidRDefault="00A8467D" w:rsidP="00A44388">
      <w:pPr>
        <w:spacing w:line="360" w:lineRule="auto"/>
        <w:jc w:val="both"/>
        <w:rPr>
          <w:rFonts w:cs="Arial"/>
          <w:sz w:val="22"/>
          <w:szCs w:val="22"/>
          <w:lang w:val="es-CR"/>
        </w:rPr>
      </w:pPr>
      <w:r>
        <w:rPr>
          <w:rFonts w:cs="Arial"/>
          <w:sz w:val="22"/>
          <w:szCs w:val="22"/>
          <w:lang w:val="es-CR"/>
        </w:rPr>
        <w:t xml:space="preserve">d) </w:t>
      </w:r>
      <w:r w:rsidR="00A44388" w:rsidRPr="00A44388">
        <w:rPr>
          <w:rFonts w:cs="Arial"/>
          <w:sz w:val="22"/>
          <w:szCs w:val="22"/>
          <w:lang w:val="es-CR"/>
        </w:rPr>
        <w:t>Proceder con el giro de los recursos solicitados por Coocique R.L. mediante oficios</w:t>
      </w:r>
      <w:r>
        <w:rPr>
          <w:rFonts w:cs="Arial"/>
          <w:sz w:val="22"/>
          <w:szCs w:val="22"/>
          <w:lang w:val="es-CR"/>
        </w:rPr>
        <w:t xml:space="preserve"> </w:t>
      </w:r>
      <w:r w:rsidR="00A44388" w:rsidRPr="00A44388">
        <w:rPr>
          <w:rFonts w:cs="Arial"/>
          <w:sz w:val="22"/>
          <w:szCs w:val="22"/>
          <w:lang w:val="es-CR"/>
        </w:rPr>
        <w:t>UV-PV-L</w:t>
      </w:r>
      <w:r>
        <w:rPr>
          <w:rFonts w:cs="Arial"/>
          <w:sz w:val="22"/>
          <w:szCs w:val="22"/>
          <w:lang w:val="es-CR"/>
        </w:rPr>
        <w:t>O</w:t>
      </w:r>
      <w:r w:rsidR="00A44388" w:rsidRPr="00A44388">
        <w:rPr>
          <w:rFonts w:cs="Arial"/>
          <w:sz w:val="22"/>
          <w:szCs w:val="22"/>
          <w:lang w:val="es-CR"/>
        </w:rPr>
        <w:t>-059-2021 por co</w:t>
      </w:r>
      <w:r>
        <w:rPr>
          <w:rFonts w:cs="Arial"/>
          <w:sz w:val="22"/>
          <w:szCs w:val="22"/>
          <w:lang w:val="es-CR"/>
        </w:rPr>
        <w:t>n</w:t>
      </w:r>
      <w:r w:rsidR="00A44388" w:rsidRPr="00A44388">
        <w:rPr>
          <w:rFonts w:cs="Arial"/>
          <w:sz w:val="22"/>
          <w:szCs w:val="22"/>
          <w:lang w:val="es-CR"/>
        </w:rPr>
        <w:t>cepto de fiscalizaci</w:t>
      </w:r>
      <w:r>
        <w:rPr>
          <w:rFonts w:cs="Arial"/>
          <w:sz w:val="22"/>
          <w:szCs w:val="22"/>
          <w:lang w:val="es-CR"/>
        </w:rPr>
        <w:t>ó</w:t>
      </w:r>
      <w:r w:rsidR="00A44388" w:rsidRPr="00A44388">
        <w:rPr>
          <w:rFonts w:cs="Arial"/>
          <w:sz w:val="22"/>
          <w:szCs w:val="22"/>
          <w:lang w:val="es-CR"/>
        </w:rPr>
        <w:t>n de inversi</w:t>
      </w:r>
      <w:r>
        <w:rPr>
          <w:rFonts w:cs="Arial"/>
          <w:sz w:val="22"/>
          <w:szCs w:val="22"/>
          <w:lang w:val="es-CR"/>
        </w:rPr>
        <w:t>ó</w:t>
      </w:r>
      <w:r w:rsidR="00A44388" w:rsidRPr="00A44388">
        <w:rPr>
          <w:rFonts w:cs="Arial"/>
          <w:sz w:val="22"/>
          <w:szCs w:val="22"/>
          <w:lang w:val="es-CR"/>
        </w:rPr>
        <w:t>n y UV-PV-LO-063-2021 por avance de obras</w:t>
      </w:r>
      <w:r>
        <w:rPr>
          <w:rFonts w:cs="Arial"/>
          <w:sz w:val="22"/>
          <w:szCs w:val="22"/>
          <w:lang w:val="es-CR"/>
        </w:rPr>
        <w:t>.</w:t>
      </w:r>
    </w:p>
    <w:p w14:paraId="41AD492D" w14:textId="0129D1C4" w:rsidR="00A8467D" w:rsidRDefault="00A8467D" w:rsidP="00A44388">
      <w:pPr>
        <w:spacing w:line="360" w:lineRule="auto"/>
        <w:jc w:val="both"/>
        <w:rPr>
          <w:rFonts w:cs="Arial"/>
          <w:sz w:val="22"/>
          <w:szCs w:val="22"/>
          <w:lang w:val="es-CR"/>
        </w:rPr>
      </w:pPr>
    </w:p>
    <w:p w14:paraId="2971CC85" w14:textId="2A069A53" w:rsidR="00D4375D" w:rsidRDefault="00D4375D" w:rsidP="00A44388">
      <w:pPr>
        <w:spacing w:line="360" w:lineRule="auto"/>
        <w:jc w:val="both"/>
        <w:rPr>
          <w:rFonts w:cs="Arial"/>
          <w:sz w:val="22"/>
          <w:szCs w:val="22"/>
          <w:lang w:val="es-ES_tradnl"/>
        </w:rPr>
      </w:pPr>
      <w:r w:rsidRPr="00D4375D">
        <w:rPr>
          <w:rFonts w:cs="Arial"/>
          <w:b/>
          <w:bCs/>
          <w:sz w:val="22"/>
          <w:szCs w:val="22"/>
          <w:lang w:val="es-CR"/>
        </w:rPr>
        <w:t>Tercero:</w:t>
      </w:r>
      <w:r>
        <w:rPr>
          <w:rFonts w:cs="Arial"/>
          <w:sz w:val="22"/>
          <w:szCs w:val="22"/>
          <w:lang w:val="es-CR"/>
        </w:rPr>
        <w:t xml:space="preserve"> Que con respecto a las anteriores recomendaciones de la </w:t>
      </w:r>
      <w:r w:rsidRPr="00D4375D">
        <w:rPr>
          <w:rFonts w:cs="Arial"/>
          <w:sz w:val="22"/>
          <w:szCs w:val="22"/>
          <w:lang w:val="es-ES_tradnl"/>
        </w:rPr>
        <w:t>Administración</w:t>
      </w:r>
      <w:r>
        <w:rPr>
          <w:rFonts w:cs="Arial"/>
          <w:sz w:val="22"/>
          <w:szCs w:val="22"/>
          <w:lang w:val="es-ES_tradnl"/>
        </w:rPr>
        <w:t xml:space="preserve"> y mediante oficio AL-OF-006-2022 del 13 de enero de 2022, la Asesoría Legal ha emitido su criterio favorable, </w:t>
      </w:r>
      <w:r w:rsidR="00F2485E">
        <w:rPr>
          <w:rFonts w:cs="Arial"/>
          <w:sz w:val="22"/>
          <w:szCs w:val="22"/>
          <w:lang w:val="es-ES_tradnl"/>
        </w:rPr>
        <w:t>concluyendo</w:t>
      </w:r>
      <w:r>
        <w:rPr>
          <w:rFonts w:cs="Arial"/>
          <w:sz w:val="22"/>
          <w:szCs w:val="22"/>
          <w:lang w:val="es-ES_tradnl"/>
        </w:rPr>
        <w:t>, en lo conducente, lo siguiente:</w:t>
      </w:r>
    </w:p>
    <w:p w14:paraId="10510161" w14:textId="5A5B1E8B" w:rsidR="00D4375D" w:rsidRDefault="00D4375D" w:rsidP="00362893">
      <w:pPr>
        <w:ind w:left="142" w:right="193"/>
        <w:jc w:val="both"/>
        <w:rPr>
          <w:rFonts w:cs="Arial"/>
          <w:sz w:val="22"/>
          <w:szCs w:val="22"/>
          <w:lang w:val="es-ES_tradnl"/>
        </w:rPr>
      </w:pPr>
    </w:p>
    <w:p w14:paraId="0B15C0AF" w14:textId="0574A52B" w:rsidR="00F2485E" w:rsidRPr="00F2485E" w:rsidRDefault="00362893" w:rsidP="00362893">
      <w:pPr>
        <w:ind w:left="142" w:right="193"/>
        <w:jc w:val="both"/>
        <w:rPr>
          <w:rFonts w:cs="Arial"/>
          <w:sz w:val="22"/>
          <w:szCs w:val="22"/>
          <w:lang w:val="es-ES_tradnl"/>
        </w:rPr>
      </w:pPr>
      <w:r>
        <w:rPr>
          <w:rFonts w:cs="Arial"/>
          <w:sz w:val="22"/>
          <w:szCs w:val="22"/>
          <w:lang w:val="es-ES_tradnl"/>
        </w:rPr>
        <w:t xml:space="preserve">(…) </w:t>
      </w:r>
      <w:r w:rsidR="00F2485E" w:rsidRPr="00F2485E">
        <w:rPr>
          <w:rFonts w:cs="Arial"/>
          <w:sz w:val="22"/>
          <w:szCs w:val="22"/>
          <w:lang w:val="es-ES_tradnl"/>
        </w:rPr>
        <w:t>Esta Asesoría considera razonable y viable la recomendación del Departamento Técnico y la Administración en cuanto a:</w:t>
      </w:r>
    </w:p>
    <w:p w14:paraId="5C8DB43E" w14:textId="77777777" w:rsidR="00F2485E" w:rsidRPr="00F2485E" w:rsidRDefault="00F2485E" w:rsidP="00362893">
      <w:pPr>
        <w:ind w:left="142" w:right="193"/>
        <w:jc w:val="both"/>
        <w:rPr>
          <w:rFonts w:cs="Arial"/>
          <w:sz w:val="22"/>
          <w:szCs w:val="22"/>
          <w:lang w:val="es-ES_tradnl"/>
        </w:rPr>
      </w:pPr>
    </w:p>
    <w:p w14:paraId="434890FB" w14:textId="6484AE7F" w:rsidR="00F2485E" w:rsidRPr="00F2485E" w:rsidRDefault="00F2485E" w:rsidP="00362893">
      <w:pPr>
        <w:ind w:left="142" w:right="193"/>
        <w:jc w:val="both"/>
        <w:rPr>
          <w:rFonts w:cs="Arial"/>
          <w:sz w:val="22"/>
          <w:szCs w:val="22"/>
          <w:lang w:val="es-ES_tradnl"/>
        </w:rPr>
      </w:pPr>
      <w:r w:rsidRPr="00F2485E">
        <w:rPr>
          <w:rFonts w:cs="Arial"/>
          <w:b/>
          <w:bCs/>
          <w:sz w:val="22"/>
          <w:szCs w:val="22"/>
          <w:lang w:val="es-ES_tradnl"/>
        </w:rPr>
        <w:t>A)</w:t>
      </w:r>
      <w:r>
        <w:rPr>
          <w:rFonts w:cs="Arial"/>
          <w:sz w:val="22"/>
          <w:szCs w:val="22"/>
          <w:lang w:val="es-ES_tradnl"/>
        </w:rPr>
        <w:t xml:space="preserve"> </w:t>
      </w:r>
      <w:r w:rsidRPr="00F2485E">
        <w:rPr>
          <w:rFonts w:cs="Arial"/>
          <w:sz w:val="22"/>
          <w:szCs w:val="22"/>
          <w:lang w:val="es-ES_tradnl"/>
        </w:rPr>
        <w:t xml:space="preserve">Realizar una nueva adenda al Contrato de Administración de Recursos y adicionalmente al Contrato de Obra para la ampliación del plazo del período constructivo. </w:t>
      </w:r>
    </w:p>
    <w:p w14:paraId="51EEBA95" w14:textId="77777777" w:rsidR="00F2485E" w:rsidRPr="00F2485E" w:rsidRDefault="00F2485E" w:rsidP="00362893">
      <w:pPr>
        <w:ind w:left="142" w:right="193"/>
        <w:jc w:val="both"/>
        <w:rPr>
          <w:rFonts w:cs="Arial"/>
          <w:sz w:val="22"/>
          <w:szCs w:val="22"/>
          <w:lang w:val="es-ES_tradnl"/>
        </w:rPr>
      </w:pPr>
    </w:p>
    <w:p w14:paraId="4E78D852" w14:textId="063868D5" w:rsidR="00F2485E" w:rsidRPr="00F2485E" w:rsidRDefault="00F2485E" w:rsidP="00362893">
      <w:pPr>
        <w:ind w:left="142" w:right="193"/>
        <w:jc w:val="both"/>
        <w:rPr>
          <w:rFonts w:cs="Arial"/>
          <w:sz w:val="22"/>
          <w:szCs w:val="22"/>
          <w:lang w:val="es-ES_tradnl"/>
        </w:rPr>
      </w:pPr>
      <w:r w:rsidRPr="00F2485E">
        <w:rPr>
          <w:rFonts w:cs="Arial"/>
          <w:b/>
          <w:bCs/>
          <w:sz w:val="22"/>
          <w:szCs w:val="22"/>
          <w:lang w:val="es-ES_tradnl"/>
        </w:rPr>
        <w:t>B)</w:t>
      </w:r>
      <w:r>
        <w:rPr>
          <w:rFonts w:cs="Arial"/>
          <w:sz w:val="22"/>
          <w:szCs w:val="22"/>
          <w:lang w:val="es-ES_tradnl"/>
        </w:rPr>
        <w:t xml:space="preserve"> </w:t>
      </w:r>
      <w:r w:rsidRPr="00F2485E">
        <w:rPr>
          <w:rFonts w:cs="Arial"/>
          <w:sz w:val="22"/>
          <w:szCs w:val="22"/>
          <w:lang w:val="es-ES_tradnl"/>
        </w:rPr>
        <w:t xml:space="preserve">Suspender el cobro de multas por un período de 71 días, recomendado por el Departamento Técnico, a partir de la fecha de finalización del período constructivo o de la suscripción de la nueva adenda, según recomendación de ese Departamento. </w:t>
      </w:r>
    </w:p>
    <w:p w14:paraId="0D0F94BD" w14:textId="77777777" w:rsidR="00F2485E" w:rsidRPr="00F2485E" w:rsidRDefault="00F2485E" w:rsidP="00362893">
      <w:pPr>
        <w:ind w:left="142" w:right="193"/>
        <w:jc w:val="both"/>
        <w:rPr>
          <w:rFonts w:cs="Arial"/>
          <w:sz w:val="22"/>
          <w:szCs w:val="22"/>
          <w:lang w:val="es-ES_tradnl"/>
        </w:rPr>
      </w:pPr>
    </w:p>
    <w:p w14:paraId="29C9CD0F" w14:textId="45A0D9B1" w:rsidR="00F2485E" w:rsidRPr="00F2485E" w:rsidRDefault="00F2485E" w:rsidP="00362893">
      <w:pPr>
        <w:ind w:left="142" w:right="193"/>
        <w:jc w:val="both"/>
        <w:rPr>
          <w:rFonts w:cs="Arial"/>
          <w:sz w:val="22"/>
          <w:szCs w:val="22"/>
          <w:lang w:val="es-ES_tradnl"/>
        </w:rPr>
      </w:pPr>
      <w:r w:rsidRPr="00F2485E">
        <w:rPr>
          <w:rFonts w:cs="Arial"/>
          <w:b/>
          <w:bCs/>
          <w:sz w:val="22"/>
          <w:szCs w:val="22"/>
          <w:lang w:val="es-ES_tradnl"/>
        </w:rPr>
        <w:t>C)</w:t>
      </w:r>
      <w:r>
        <w:rPr>
          <w:rFonts w:cs="Arial"/>
          <w:sz w:val="22"/>
          <w:szCs w:val="22"/>
          <w:lang w:val="es-ES_tradnl"/>
        </w:rPr>
        <w:t xml:space="preserve"> </w:t>
      </w:r>
      <w:r w:rsidRPr="00F2485E">
        <w:rPr>
          <w:rFonts w:cs="Arial"/>
          <w:sz w:val="22"/>
          <w:szCs w:val="22"/>
          <w:lang w:val="es-ES_tradnl"/>
        </w:rPr>
        <w:t>En otro orden de ideas</w:t>
      </w:r>
      <w:r w:rsidRPr="00F2485E">
        <w:rPr>
          <w:rFonts w:cs="Arial"/>
          <w:sz w:val="22"/>
          <w:szCs w:val="22"/>
        </w:rPr>
        <w:t xml:space="preserve">, si la Junta Directiva decide acoger el dictamen y aprobar la petición de ampliación del plazo del Contrato de Obra Determinada respecto al plazo constructivo y suspensión del cobro de multas por el plazo señalado, debe entenderse claramente que ello no prejuzga sobre casos futuros que puedan ser similares o parecidos, ni sienta jurisprudencia administrativa.  Esto dado que cada caso requiere de su propio análisis, sin que un acto o una resolución administrativa emanada de ese </w:t>
      </w:r>
      <w:r w:rsidRPr="00F2485E">
        <w:rPr>
          <w:rFonts w:cs="Arial"/>
          <w:sz w:val="22"/>
          <w:szCs w:val="22"/>
        </w:rPr>
        <w:lastRenderedPageBreak/>
        <w:t>cuerpo colegiado, pueda ser tenido como aplicable para otros en curso. Toda solicitud requiere de un análisis casuístico.  En caso de aprobación, recomendamos que en el acuerdo se inserte esta disposición.</w:t>
      </w:r>
    </w:p>
    <w:p w14:paraId="3DCC8D58" w14:textId="77777777" w:rsidR="00F2485E" w:rsidRPr="00F2485E" w:rsidRDefault="00F2485E" w:rsidP="00362893">
      <w:pPr>
        <w:ind w:left="142"/>
        <w:jc w:val="both"/>
        <w:rPr>
          <w:rFonts w:cs="Arial"/>
          <w:sz w:val="22"/>
          <w:szCs w:val="22"/>
          <w:lang w:val="es-ES_tradnl"/>
        </w:rPr>
      </w:pPr>
    </w:p>
    <w:p w14:paraId="6B573B16" w14:textId="79971E2B" w:rsidR="00F2485E" w:rsidRPr="00F2485E" w:rsidRDefault="00F2485E" w:rsidP="00362893">
      <w:pPr>
        <w:ind w:left="142"/>
        <w:jc w:val="both"/>
        <w:rPr>
          <w:rFonts w:cs="Arial"/>
          <w:sz w:val="22"/>
          <w:szCs w:val="22"/>
          <w:lang w:val="es-ES_tradnl"/>
        </w:rPr>
      </w:pPr>
      <w:r w:rsidRPr="00F2485E">
        <w:rPr>
          <w:rFonts w:cs="Arial"/>
          <w:b/>
          <w:bCs/>
          <w:sz w:val="22"/>
          <w:szCs w:val="22"/>
        </w:rPr>
        <w:t>D)</w:t>
      </w:r>
      <w:r>
        <w:rPr>
          <w:rFonts w:cs="Arial"/>
          <w:sz w:val="22"/>
          <w:szCs w:val="22"/>
        </w:rPr>
        <w:t xml:space="preserve"> </w:t>
      </w:r>
      <w:r w:rsidRPr="00F2485E">
        <w:rPr>
          <w:rFonts w:cs="Arial"/>
          <w:sz w:val="22"/>
          <w:szCs w:val="22"/>
        </w:rPr>
        <w:t>Así mismo sugerimos se ordene a la Auditoría Interna realizar las investigaciones pertinentes a fin de determinar si pudo haber negligencia en el trámite por parte de funcionarios de la entidad autorizada o del BANHVI.</w:t>
      </w:r>
      <w:r>
        <w:rPr>
          <w:rFonts w:cs="Arial"/>
          <w:sz w:val="22"/>
          <w:szCs w:val="22"/>
        </w:rPr>
        <w:t>(…)”</w:t>
      </w:r>
    </w:p>
    <w:p w14:paraId="0F28133D" w14:textId="77777777" w:rsidR="00D4375D" w:rsidRDefault="00D4375D" w:rsidP="00A44388">
      <w:pPr>
        <w:spacing w:line="360" w:lineRule="auto"/>
        <w:jc w:val="both"/>
        <w:rPr>
          <w:rFonts w:cs="Arial"/>
          <w:sz w:val="22"/>
          <w:szCs w:val="22"/>
          <w:lang w:val="es-CR"/>
        </w:rPr>
      </w:pPr>
    </w:p>
    <w:p w14:paraId="5220CC2A" w14:textId="1199BE81" w:rsidR="000C41B3" w:rsidRDefault="00D4375D" w:rsidP="000C41B3">
      <w:pPr>
        <w:spacing w:line="360" w:lineRule="auto"/>
        <w:jc w:val="both"/>
        <w:rPr>
          <w:rFonts w:cs="Arial"/>
          <w:sz w:val="22"/>
          <w:szCs w:val="22"/>
          <w:lang w:val="es-CR"/>
        </w:rPr>
      </w:pPr>
      <w:r>
        <w:rPr>
          <w:rFonts w:cs="Arial"/>
          <w:b/>
          <w:bCs/>
          <w:sz w:val="22"/>
          <w:szCs w:val="22"/>
          <w:lang w:val="es-CR"/>
        </w:rPr>
        <w:t>Cuarto</w:t>
      </w:r>
      <w:r w:rsidR="00A8467D" w:rsidRPr="00E6727A">
        <w:rPr>
          <w:rFonts w:cs="Arial"/>
          <w:b/>
          <w:bCs/>
          <w:sz w:val="22"/>
          <w:szCs w:val="22"/>
          <w:lang w:val="es-CR"/>
        </w:rPr>
        <w:t>:</w:t>
      </w:r>
      <w:r w:rsidR="00A8467D">
        <w:rPr>
          <w:rFonts w:cs="Arial"/>
          <w:sz w:val="22"/>
          <w:szCs w:val="22"/>
          <w:lang w:val="es-CR"/>
        </w:rPr>
        <w:t xml:space="preserve"> Que</w:t>
      </w:r>
      <w:r w:rsidR="000632BD">
        <w:rPr>
          <w:rFonts w:cs="Arial"/>
          <w:sz w:val="22"/>
          <w:szCs w:val="22"/>
          <w:lang w:val="es-CR"/>
        </w:rPr>
        <w:t>,</w:t>
      </w:r>
      <w:r w:rsidR="00A8467D">
        <w:rPr>
          <w:rFonts w:cs="Arial"/>
          <w:sz w:val="22"/>
          <w:szCs w:val="22"/>
          <w:lang w:val="es-CR"/>
        </w:rPr>
        <w:t xml:space="preserve"> complementariamente</w:t>
      </w:r>
      <w:r w:rsidR="000632BD">
        <w:rPr>
          <w:rFonts w:cs="Arial"/>
          <w:sz w:val="22"/>
          <w:szCs w:val="22"/>
          <w:lang w:val="es-CR"/>
        </w:rPr>
        <w:t>,</w:t>
      </w:r>
      <w:r w:rsidR="00A8467D">
        <w:rPr>
          <w:rFonts w:cs="Arial"/>
          <w:sz w:val="22"/>
          <w:szCs w:val="22"/>
          <w:lang w:val="es-CR"/>
        </w:rPr>
        <w:t xml:space="preserve"> se ha tenido a la vista el oficio </w:t>
      </w:r>
      <w:r w:rsidR="000632BD">
        <w:rPr>
          <w:rFonts w:cs="Arial"/>
          <w:sz w:val="22"/>
          <w:szCs w:val="22"/>
          <w:lang w:val="es-CR"/>
        </w:rPr>
        <w:t>AL-OF-108-2021</w:t>
      </w:r>
      <w:r w:rsidR="00721A0B">
        <w:rPr>
          <w:rFonts w:cs="Arial"/>
          <w:sz w:val="22"/>
          <w:szCs w:val="22"/>
          <w:lang w:val="es-CR"/>
        </w:rPr>
        <w:t xml:space="preserve">, emitido por la Asesoría Legal el </w:t>
      </w:r>
      <w:r w:rsidR="000632BD">
        <w:rPr>
          <w:rFonts w:cs="Arial"/>
          <w:sz w:val="22"/>
          <w:szCs w:val="22"/>
          <w:lang w:val="es-CR"/>
        </w:rPr>
        <w:t xml:space="preserve">27 de octubre de 2021, </w:t>
      </w:r>
      <w:r w:rsidR="00721A0B">
        <w:rPr>
          <w:rFonts w:cs="Arial"/>
          <w:sz w:val="22"/>
          <w:szCs w:val="22"/>
          <w:lang w:val="es-CR"/>
        </w:rPr>
        <w:t xml:space="preserve">del cual </w:t>
      </w:r>
      <w:r w:rsidR="000632BD">
        <w:rPr>
          <w:rFonts w:cs="Arial"/>
          <w:sz w:val="22"/>
          <w:szCs w:val="22"/>
          <w:lang w:val="es-CR"/>
        </w:rPr>
        <w:t>se desprende, en</w:t>
      </w:r>
      <w:r w:rsidR="005118B1">
        <w:rPr>
          <w:rFonts w:cs="Arial"/>
          <w:sz w:val="22"/>
          <w:szCs w:val="22"/>
          <w:lang w:val="es-CR"/>
        </w:rPr>
        <w:t xml:space="preserve"> lo que ahora interesa, </w:t>
      </w:r>
      <w:r w:rsidR="000C41B3">
        <w:rPr>
          <w:rFonts w:cs="Arial"/>
          <w:sz w:val="22"/>
          <w:szCs w:val="22"/>
          <w:lang w:val="es-CR"/>
        </w:rPr>
        <w:t>que l</w:t>
      </w:r>
      <w:r w:rsidR="000C41B3" w:rsidRPr="000C41B3">
        <w:rPr>
          <w:rFonts w:cs="Arial"/>
          <w:sz w:val="22"/>
          <w:szCs w:val="22"/>
          <w:lang w:val="es-CR"/>
        </w:rPr>
        <w:t xml:space="preserve">a </w:t>
      </w:r>
      <w:r w:rsidR="00B5286D">
        <w:rPr>
          <w:rFonts w:cs="Arial"/>
          <w:sz w:val="22"/>
          <w:szCs w:val="22"/>
          <w:lang w:val="es-CR"/>
        </w:rPr>
        <w:t xml:space="preserve">Dirección FOSUVI del </w:t>
      </w:r>
      <w:r w:rsidR="000C41B3">
        <w:rPr>
          <w:rFonts w:cs="Arial"/>
          <w:sz w:val="22"/>
          <w:szCs w:val="22"/>
          <w:lang w:val="es-CR"/>
        </w:rPr>
        <w:t xml:space="preserve">BANHVI </w:t>
      </w:r>
      <w:r w:rsidR="000C41B3" w:rsidRPr="000C41B3">
        <w:rPr>
          <w:rFonts w:cs="Arial"/>
          <w:sz w:val="22"/>
          <w:szCs w:val="22"/>
          <w:lang w:val="es-CR"/>
        </w:rPr>
        <w:t xml:space="preserve">no atendió ni resolvió </w:t>
      </w:r>
      <w:r w:rsidR="000C41B3">
        <w:rPr>
          <w:rFonts w:cs="Arial"/>
          <w:sz w:val="22"/>
          <w:szCs w:val="22"/>
          <w:lang w:val="es-CR"/>
        </w:rPr>
        <w:t>cuatro</w:t>
      </w:r>
      <w:r w:rsidR="000C41B3" w:rsidRPr="000C41B3">
        <w:rPr>
          <w:rFonts w:cs="Arial"/>
          <w:sz w:val="22"/>
          <w:szCs w:val="22"/>
          <w:lang w:val="es-CR"/>
        </w:rPr>
        <w:t xml:space="preserve"> solitudes de ampliación del plazo constructivo, </w:t>
      </w:r>
      <w:r w:rsidR="00903516">
        <w:rPr>
          <w:rFonts w:cs="Arial"/>
          <w:sz w:val="22"/>
          <w:szCs w:val="22"/>
          <w:lang w:val="es-CR"/>
        </w:rPr>
        <w:t xml:space="preserve">que fueron </w:t>
      </w:r>
      <w:r w:rsidR="000C41B3" w:rsidRPr="000C41B3">
        <w:rPr>
          <w:rFonts w:cs="Arial"/>
          <w:sz w:val="22"/>
          <w:szCs w:val="22"/>
          <w:lang w:val="es-CR"/>
        </w:rPr>
        <w:t xml:space="preserve">presentadas </w:t>
      </w:r>
      <w:r w:rsidR="00903516" w:rsidRPr="007550B2">
        <w:rPr>
          <w:rFonts w:cs="Arial"/>
          <w:sz w:val="22"/>
          <w:szCs w:val="22"/>
          <w:lang w:val="es-CR"/>
        </w:rPr>
        <w:t>en tiempo y forma</w:t>
      </w:r>
      <w:r w:rsidR="00903516">
        <w:rPr>
          <w:rFonts w:cs="Arial"/>
          <w:sz w:val="22"/>
          <w:szCs w:val="22"/>
          <w:lang w:val="es-CR"/>
        </w:rPr>
        <w:t xml:space="preserve"> </w:t>
      </w:r>
      <w:r w:rsidR="000C41B3" w:rsidRPr="000632BD">
        <w:rPr>
          <w:rFonts w:cs="Arial"/>
          <w:sz w:val="22"/>
          <w:szCs w:val="22"/>
          <w:lang w:val="es-CR"/>
        </w:rPr>
        <w:t xml:space="preserve">por la </w:t>
      </w:r>
      <w:r w:rsidR="000C41B3">
        <w:rPr>
          <w:rFonts w:cs="Arial"/>
          <w:sz w:val="22"/>
          <w:szCs w:val="22"/>
          <w:lang w:val="es-CR"/>
        </w:rPr>
        <w:t>empresa c</w:t>
      </w:r>
      <w:r w:rsidR="000C41B3" w:rsidRPr="000632BD">
        <w:rPr>
          <w:rFonts w:cs="Arial"/>
          <w:sz w:val="22"/>
          <w:szCs w:val="22"/>
          <w:lang w:val="es-CR"/>
        </w:rPr>
        <w:t xml:space="preserve">onstructora ante la </w:t>
      </w:r>
      <w:r w:rsidR="00721A0B">
        <w:rPr>
          <w:rFonts w:cs="Arial"/>
          <w:sz w:val="22"/>
          <w:szCs w:val="22"/>
          <w:lang w:val="es-CR"/>
        </w:rPr>
        <w:t>e</w:t>
      </w:r>
      <w:r w:rsidR="000C41B3" w:rsidRPr="000632BD">
        <w:rPr>
          <w:rFonts w:cs="Arial"/>
          <w:sz w:val="22"/>
          <w:szCs w:val="22"/>
          <w:lang w:val="es-CR"/>
        </w:rPr>
        <w:t xml:space="preserve">ntidad </w:t>
      </w:r>
      <w:r w:rsidR="00721A0B">
        <w:rPr>
          <w:rFonts w:cs="Arial"/>
          <w:sz w:val="22"/>
          <w:szCs w:val="22"/>
          <w:lang w:val="es-CR"/>
        </w:rPr>
        <w:t>a</w:t>
      </w:r>
      <w:r w:rsidR="000C41B3" w:rsidRPr="000632BD">
        <w:rPr>
          <w:rFonts w:cs="Arial"/>
          <w:sz w:val="22"/>
          <w:szCs w:val="22"/>
          <w:lang w:val="es-CR"/>
        </w:rPr>
        <w:t xml:space="preserve">utorizada y </w:t>
      </w:r>
      <w:r w:rsidR="00903516">
        <w:rPr>
          <w:rFonts w:cs="Arial"/>
          <w:sz w:val="22"/>
          <w:szCs w:val="22"/>
          <w:lang w:val="es-CR"/>
        </w:rPr>
        <w:t xml:space="preserve">por </w:t>
      </w:r>
      <w:r w:rsidR="000C41B3" w:rsidRPr="000632BD">
        <w:rPr>
          <w:rFonts w:cs="Arial"/>
          <w:sz w:val="22"/>
          <w:szCs w:val="22"/>
          <w:lang w:val="es-CR"/>
        </w:rPr>
        <w:t>ésta ante el BANHVI</w:t>
      </w:r>
      <w:r w:rsidR="000C41B3" w:rsidRPr="000C41B3">
        <w:rPr>
          <w:rFonts w:cs="Arial"/>
          <w:sz w:val="22"/>
          <w:szCs w:val="22"/>
          <w:lang w:val="es-CR"/>
        </w:rPr>
        <w:t>.</w:t>
      </w:r>
    </w:p>
    <w:p w14:paraId="5F77F9DB" w14:textId="18B938C1" w:rsidR="00F72E47" w:rsidRDefault="00F72E47" w:rsidP="000C41B3">
      <w:pPr>
        <w:spacing w:line="360" w:lineRule="auto"/>
        <w:jc w:val="both"/>
        <w:rPr>
          <w:rFonts w:cs="Arial"/>
          <w:sz w:val="22"/>
          <w:szCs w:val="22"/>
          <w:lang w:val="es-CR"/>
        </w:rPr>
      </w:pPr>
    </w:p>
    <w:p w14:paraId="77E08E65" w14:textId="6DF3CC5D" w:rsidR="004503FC" w:rsidRDefault="00D4375D" w:rsidP="000C41B3">
      <w:pPr>
        <w:spacing w:line="360" w:lineRule="auto"/>
        <w:jc w:val="both"/>
        <w:rPr>
          <w:rFonts w:cs="Arial"/>
          <w:sz w:val="22"/>
          <w:szCs w:val="22"/>
          <w:lang w:val="es-ES_tradnl"/>
        </w:rPr>
      </w:pPr>
      <w:r>
        <w:rPr>
          <w:rFonts w:cs="Arial"/>
          <w:b/>
          <w:bCs/>
          <w:sz w:val="22"/>
          <w:szCs w:val="22"/>
          <w:lang w:val="es-CR"/>
        </w:rPr>
        <w:t>Quinto</w:t>
      </w:r>
      <w:r w:rsidR="00F72E47" w:rsidRPr="00F72E47">
        <w:rPr>
          <w:rFonts w:cs="Arial"/>
          <w:b/>
          <w:bCs/>
          <w:sz w:val="22"/>
          <w:szCs w:val="22"/>
          <w:lang w:val="es-CR"/>
        </w:rPr>
        <w:t>:</w:t>
      </w:r>
      <w:r w:rsidR="00F72E47">
        <w:rPr>
          <w:rFonts w:cs="Arial"/>
          <w:sz w:val="22"/>
          <w:szCs w:val="22"/>
          <w:lang w:val="es-CR"/>
        </w:rPr>
        <w:t xml:space="preserve"> Que</w:t>
      </w:r>
      <w:r w:rsidR="00A473B6">
        <w:rPr>
          <w:rFonts w:cs="Arial"/>
          <w:sz w:val="22"/>
          <w:szCs w:val="22"/>
          <w:lang w:val="es-CR"/>
        </w:rPr>
        <w:t xml:space="preserve"> </w:t>
      </w:r>
      <w:r w:rsidR="00C726D0">
        <w:rPr>
          <w:rFonts w:cs="Arial"/>
          <w:sz w:val="22"/>
          <w:szCs w:val="22"/>
          <w:lang w:val="es-CR"/>
        </w:rPr>
        <w:t xml:space="preserve">por tratarse del mismo proyecto de vivienda, se estima oportuno </w:t>
      </w:r>
      <w:r w:rsidR="005118B1">
        <w:rPr>
          <w:rFonts w:cs="Arial"/>
          <w:sz w:val="22"/>
          <w:szCs w:val="22"/>
          <w:lang w:val="es-CR"/>
        </w:rPr>
        <w:t xml:space="preserve">hacer referencia a que por </w:t>
      </w:r>
      <w:r w:rsidR="00C726D0">
        <w:rPr>
          <w:rFonts w:cs="Arial"/>
          <w:sz w:val="22"/>
          <w:szCs w:val="22"/>
          <w:lang w:val="es-CR"/>
        </w:rPr>
        <w:t xml:space="preserve">medio del </w:t>
      </w:r>
      <w:r w:rsidR="00F72E47">
        <w:rPr>
          <w:rFonts w:cs="Arial"/>
          <w:sz w:val="22"/>
          <w:szCs w:val="22"/>
          <w:lang w:val="es-CR"/>
        </w:rPr>
        <w:t>oficio</w:t>
      </w:r>
      <w:r w:rsidR="003570D8">
        <w:rPr>
          <w:rFonts w:cs="Arial"/>
          <w:sz w:val="22"/>
          <w:szCs w:val="22"/>
          <w:lang w:val="es-CR"/>
        </w:rPr>
        <w:t xml:space="preserve"> </w:t>
      </w:r>
      <w:r w:rsidR="003570D8" w:rsidRPr="003570D8">
        <w:rPr>
          <w:rFonts w:cs="Arial"/>
          <w:sz w:val="22"/>
          <w:szCs w:val="22"/>
          <w:lang w:val="es-CR"/>
        </w:rPr>
        <w:t>AI-OF</w:t>
      </w:r>
      <w:r w:rsidR="003570D8">
        <w:rPr>
          <w:rFonts w:cs="Arial"/>
          <w:sz w:val="22"/>
          <w:szCs w:val="22"/>
          <w:lang w:val="es-CR"/>
        </w:rPr>
        <w:t>-</w:t>
      </w:r>
      <w:r w:rsidR="003570D8" w:rsidRPr="003570D8">
        <w:rPr>
          <w:rFonts w:cs="Arial"/>
          <w:sz w:val="22"/>
          <w:szCs w:val="22"/>
          <w:lang w:val="es-CR"/>
        </w:rPr>
        <w:t xml:space="preserve">0015-2022 del 20 de enero de 2022, la Auditoría Interna ha sometido a la consideración de esta </w:t>
      </w:r>
      <w:r w:rsidR="003570D8" w:rsidRPr="003570D8">
        <w:rPr>
          <w:rFonts w:cs="Arial"/>
          <w:sz w:val="22"/>
          <w:szCs w:val="22"/>
          <w:lang w:val="es-ES_tradnl"/>
        </w:rPr>
        <w:t xml:space="preserve">Junta Directiva, el informe </w:t>
      </w:r>
      <w:r w:rsidR="003570D8">
        <w:rPr>
          <w:rFonts w:cs="Arial"/>
          <w:sz w:val="22"/>
          <w:szCs w:val="22"/>
          <w:lang w:val="es-ES_tradnl"/>
        </w:rPr>
        <w:t xml:space="preserve">confidencial </w:t>
      </w:r>
      <w:r w:rsidR="003570D8" w:rsidRPr="003570D8">
        <w:rPr>
          <w:rFonts w:cs="Arial"/>
          <w:sz w:val="22"/>
          <w:szCs w:val="22"/>
          <w:lang w:val="es-ES_tradnl"/>
        </w:rPr>
        <w:t>denominado “RH-ESP-006 Proyecto Loma Linda S001”</w:t>
      </w:r>
      <w:r w:rsidR="00F72E47">
        <w:rPr>
          <w:rFonts w:cs="Arial"/>
          <w:sz w:val="22"/>
          <w:szCs w:val="22"/>
          <w:lang w:val="es-ES_tradnl"/>
        </w:rPr>
        <w:t>.  D</w:t>
      </w:r>
      <w:r w:rsidR="00A473B6">
        <w:rPr>
          <w:rFonts w:cs="Arial"/>
          <w:sz w:val="22"/>
          <w:szCs w:val="22"/>
          <w:lang w:val="es-ES_tradnl"/>
        </w:rPr>
        <w:t xml:space="preserve">icho informe será </w:t>
      </w:r>
      <w:r w:rsidR="00C726D0">
        <w:rPr>
          <w:rFonts w:cs="Arial"/>
          <w:sz w:val="22"/>
          <w:szCs w:val="22"/>
          <w:lang w:val="es-ES_tradnl"/>
        </w:rPr>
        <w:t xml:space="preserve">debidamente </w:t>
      </w:r>
      <w:r w:rsidR="00A473B6">
        <w:rPr>
          <w:rFonts w:cs="Arial"/>
          <w:sz w:val="22"/>
          <w:szCs w:val="22"/>
          <w:lang w:val="es-ES_tradnl"/>
        </w:rPr>
        <w:t xml:space="preserve">conocido </w:t>
      </w:r>
      <w:r w:rsidR="005118B1">
        <w:rPr>
          <w:rFonts w:cs="Arial"/>
          <w:sz w:val="22"/>
          <w:szCs w:val="22"/>
          <w:lang w:val="es-ES_tradnl"/>
        </w:rPr>
        <w:t xml:space="preserve">por este Órgano Colegiado </w:t>
      </w:r>
      <w:r w:rsidR="00A473B6">
        <w:rPr>
          <w:rFonts w:cs="Arial"/>
          <w:sz w:val="22"/>
          <w:szCs w:val="22"/>
          <w:lang w:val="es-ES_tradnl"/>
        </w:rPr>
        <w:t>en una próxima sesión</w:t>
      </w:r>
      <w:r w:rsidR="005118B1">
        <w:rPr>
          <w:rFonts w:cs="Arial"/>
          <w:sz w:val="22"/>
          <w:szCs w:val="22"/>
          <w:lang w:val="es-ES_tradnl"/>
        </w:rPr>
        <w:t>,</w:t>
      </w:r>
      <w:r w:rsidR="00A473B6">
        <w:rPr>
          <w:rFonts w:cs="Arial"/>
          <w:sz w:val="22"/>
          <w:szCs w:val="22"/>
          <w:lang w:val="es-ES_tradnl"/>
        </w:rPr>
        <w:t xml:space="preserve"> para tomar las decisiones que sean pertinentes</w:t>
      </w:r>
      <w:r w:rsidR="005118B1">
        <w:rPr>
          <w:rFonts w:cs="Arial"/>
          <w:sz w:val="22"/>
          <w:szCs w:val="22"/>
          <w:lang w:val="es-ES_tradnl"/>
        </w:rPr>
        <w:t xml:space="preserve">.  Sin </w:t>
      </w:r>
      <w:r w:rsidR="00A473B6">
        <w:rPr>
          <w:rFonts w:cs="Arial"/>
          <w:sz w:val="22"/>
          <w:szCs w:val="22"/>
          <w:lang w:val="es-ES_tradnl"/>
        </w:rPr>
        <w:t>embargo, de la revisión pre</w:t>
      </w:r>
      <w:r w:rsidR="00C726D0">
        <w:rPr>
          <w:rFonts w:cs="Arial"/>
          <w:sz w:val="22"/>
          <w:szCs w:val="22"/>
          <w:lang w:val="es-ES_tradnl"/>
        </w:rPr>
        <w:t xml:space="preserve">liminar </w:t>
      </w:r>
      <w:r w:rsidR="00A473B6">
        <w:rPr>
          <w:rFonts w:cs="Arial"/>
          <w:sz w:val="22"/>
          <w:szCs w:val="22"/>
          <w:lang w:val="es-ES_tradnl"/>
        </w:rPr>
        <w:t>de sus alcances</w:t>
      </w:r>
      <w:r w:rsidR="00C726D0">
        <w:rPr>
          <w:rFonts w:cs="Arial"/>
          <w:sz w:val="22"/>
          <w:szCs w:val="22"/>
          <w:lang w:val="es-ES_tradnl"/>
        </w:rPr>
        <w:t xml:space="preserve"> y </w:t>
      </w:r>
      <w:r w:rsidR="005637D4">
        <w:rPr>
          <w:rFonts w:cs="Arial"/>
          <w:sz w:val="22"/>
          <w:szCs w:val="22"/>
          <w:lang w:val="es-ES_tradnl"/>
        </w:rPr>
        <w:t>hallazgos</w:t>
      </w:r>
      <w:r w:rsidR="00A473B6">
        <w:rPr>
          <w:rFonts w:cs="Arial"/>
          <w:sz w:val="22"/>
          <w:szCs w:val="22"/>
          <w:lang w:val="es-ES_tradnl"/>
        </w:rPr>
        <w:t xml:space="preserve">, se </w:t>
      </w:r>
      <w:r w:rsidR="005637D4">
        <w:rPr>
          <w:rFonts w:cs="Arial"/>
          <w:sz w:val="22"/>
          <w:szCs w:val="22"/>
          <w:lang w:val="es-ES_tradnl"/>
        </w:rPr>
        <w:t xml:space="preserve">observa que este estudio no </w:t>
      </w:r>
      <w:r w:rsidR="004503FC">
        <w:rPr>
          <w:rFonts w:cs="Arial"/>
          <w:sz w:val="22"/>
          <w:szCs w:val="22"/>
          <w:lang w:val="es-ES_tradnl"/>
        </w:rPr>
        <w:t>representa un obstáculo</w:t>
      </w:r>
      <w:r w:rsidR="004503FC" w:rsidRPr="004503FC">
        <w:rPr>
          <w:rFonts w:cs="Arial"/>
          <w:sz w:val="22"/>
          <w:szCs w:val="22"/>
          <w:lang w:val="es-ES_tradnl"/>
        </w:rPr>
        <w:t xml:space="preserve"> </w:t>
      </w:r>
      <w:r w:rsidR="004503FC">
        <w:rPr>
          <w:rFonts w:cs="Arial"/>
          <w:sz w:val="22"/>
          <w:szCs w:val="22"/>
          <w:lang w:val="es-ES_tradnl"/>
        </w:rPr>
        <w:t xml:space="preserve">para resolver </w:t>
      </w:r>
      <w:r w:rsidR="005118B1">
        <w:rPr>
          <w:rFonts w:cs="Arial"/>
          <w:sz w:val="22"/>
          <w:szCs w:val="22"/>
          <w:lang w:val="es-ES_tradnl"/>
        </w:rPr>
        <w:t xml:space="preserve">ahora </w:t>
      </w:r>
      <w:r w:rsidR="004503FC">
        <w:rPr>
          <w:rFonts w:cs="Arial"/>
          <w:sz w:val="22"/>
          <w:szCs w:val="22"/>
          <w:lang w:val="es-ES_tradnl"/>
        </w:rPr>
        <w:t xml:space="preserve">la solicitud de </w:t>
      </w:r>
      <w:r w:rsidR="004503FC">
        <w:rPr>
          <w:rFonts w:cs="Arial"/>
          <w:sz w:val="22"/>
          <w:szCs w:val="22"/>
          <w:lang w:val="es-CR"/>
        </w:rPr>
        <w:t xml:space="preserve">suspender temporalmente el cobro de multas del proyecto </w:t>
      </w:r>
      <w:r w:rsidR="004503FC">
        <w:rPr>
          <w:rFonts w:cs="Arial"/>
          <w:sz w:val="22"/>
          <w:szCs w:val="22"/>
          <w:lang w:val="es-CR" w:eastAsia="es-CR"/>
        </w:rPr>
        <w:t>Loma Linda,</w:t>
      </w:r>
      <w:r w:rsidR="004503FC">
        <w:rPr>
          <w:rFonts w:cs="Arial"/>
          <w:sz w:val="22"/>
          <w:szCs w:val="22"/>
          <w:lang w:val="es-ES_tradnl"/>
        </w:rPr>
        <w:t xml:space="preserve"> toda vez que no </w:t>
      </w:r>
      <w:r w:rsidR="005F2EC6">
        <w:rPr>
          <w:rFonts w:cs="Arial"/>
          <w:sz w:val="22"/>
          <w:szCs w:val="22"/>
          <w:lang w:val="es-ES_tradnl"/>
        </w:rPr>
        <w:t xml:space="preserve">se refiere estrictamente a </w:t>
      </w:r>
      <w:r w:rsidR="004503FC">
        <w:rPr>
          <w:rFonts w:cs="Arial"/>
          <w:sz w:val="22"/>
          <w:szCs w:val="22"/>
          <w:lang w:val="es-ES_tradnl"/>
        </w:rPr>
        <w:t>este aspecto particular.</w:t>
      </w:r>
    </w:p>
    <w:p w14:paraId="77E185AB" w14:textId="77777777" w:rsidR="004503FC" w:rsidRDefault="004503FC" w:rsidP="000C41B3">
      <w:pPr>
        <w:spacing w:line="360" w:lineRule="auto"/>
        <w:jc w:val="both"/>
        <w:rPr>
          <w:rFonts w:cs="Arial"/>
          <w:sz w:val="22"/>
          <w:szCs w:val="22"/>
          <w:lang w:val="es-ES_tradnl"/>
        </w:rPr>
      </w:pPr>
    </w:p>
    <w:p w14:paraId="5414F745" w14:textId="228C7713" w:rsidR="00F2485E" w:rsidRDefault="00D4375D" w:rsidP="000C41B3">
      <w:pPr>
        <w:spacing w:line="360" w:lineRule="auto"/>
        <w:jc w:val="both"/>
        <w:rPr>
          <w:rFonts w:cs="Arial"/>
          <w:sz w:val="22"/>
          <w:szCs w:val="22"/>
          <w:lang w:val="es-CR"/>
        </w:rPr>
      </w:pPr>
      <w:r>
        <w:rPr>
          <w:rFonts w:cs="Arial"/>
          <w:b/>
          <w:bCs/>
          <w:sz w:val="22"/>
          <w:szCs w:val="22"/>
          <w:lang w:val="es-CR"/>
        </w:rPr>
        <w:t>Sexto</w:t>
      </w:r>
      <w:r w:rsidR="004503FC" w:rsidRPr="004503FC">
        <w:rPr>
          <w:rFonts w:cs="Arial"/>
          <w:b/>
          <w:bCs/>
          <w:sz w:val="22"/>
          <w:szCs w:val="22"/>
          <w:lang w:val="es-CR"/>
        </w:rPr>
        <w:t>:</w:t>
      </w:r>
      <w:r w:rsidR="004503FC">
        <w:rPr>
          <w:rFonts w:cs="Arial"/>
          <w:sz w:val="22"/>
          <w:szCs w:val="22"/>
          <w:lang w:val="es-CR"/>
        </w:rPr>
        <w:t xml:space="preserve"> Que </w:t>
      </w:r>
      <w:r w:rsidR="00545A17">
        <w:rPr>
          <w:rFonts w:cs="Arial"/>
          <w:sz w:val="22"/>
          <w:szCs w:val="22"/>
          <w:lang w:val="es-CR"/>
        </w:rPr>
        <w:t xml:space="preserve">de conformidad con los anteriores razonamientos, esta </w:t>
      </w:r>
      <w:r w:rsidR="00545A17" w:rsidRPr="00545A17">
        <w:rPr>
          <w:rFonts w:cs="Arial"/>
          <w:sz w:val="22"/>
          <w:szCs w:val="22"/>
          <w:lang w:val="es-ES_tradnl"/>
        </w:rPr>
        <w:t>Junta Directiva</w:t>
      </w:r>
      <w:r w:rsidR="00545A17">
        <w:rPr>
          <w:rFonts w:cs="Arial"/>
          <w:sz w:val="22"/>
          <w:szCs w:val="22"/>
          <w:lang w:val="es-ES_tradnl"/>
        </w:rPr>
        <w:t xml:space="preserve"> estima </w:t>
      </w:r>
      <w:r w:rsidR="009F0594">
        <w:rPr>
          <w:rFonts w:cs="Arial"/>
          <w:sz w:val="22"/>
          <w:szCs w:val="22"/>
          <w:lang w:val="es-ES_tradnl"/>
        </w:rPr>
        <w:t>conveniente</w:t>
      </w:r>
      <w:r w:rsidR="00545A17">
        <w:rPr>
          <w:rFonts w:cs="Arial"/>
          <w:sz w:val="22"/>
          <w:szCs w:val="22"/>
          <w:lang w:val="es-ES_tradnl"/>
        </w:rPr>
        <w:t xml:space="preserve"> actuar de la forma que recomienda la </w:t>
      </w:r>
      <w:r w:rsidR="00545A17" w:rsidRPr="00545A17">
        <w:rPr>
          <w:rFonts w:cs="Arial"/>
          <w:sz w:val="22"/>
          <w:szCs w:val="22"/>
          <w:lang w:val="es-ES_tradnl"/>
        </w:rPr>
        <w:t>Administración</w:t>
      </w:r>
      <w:r w:rsidR="00545A17">
        <w:rPr>
          <w:rFonts w:cs="Arial"/>
          <w:sz w:val="22"/>
          <w:szCs w:val="22"/>
          <w:lang w:val="es-ES_tradnl"/>
        </w:rPr>
        <w:t xml:space="preserve"> en los documentos adjuntos al oficio </w:t>
      </w:r>
      <w:r w:rsidR="00545A17">
        <w:rPr>
          <w:rFonts w:cs="Arial"/>
          <w:sz w:val="22"/>
          <w:szCs w:val="22"/>
        </w:rPr>
        <w:t xml:space="preserve">GG-ME-1859-2022 de la </w:t>
      </w:r>
      <w:r w:rsidR="00545A17" w:rsidRPr="00545A17">
        <w:rPr>
          <w:rFonts w:cs="Arial"/>
          <w:sz w:val="22"/>
          <w:szCs w:val="22"/>
          <w:lang w:val="es-CR"/>
        </w:rPr>
        <w:t>Gerencia General</w:t>
      </w:r>
      <w:r w:rsidR="00545A17">
        <w:rPr>
          <w:rFonts w:cs="Arial"/>
          <w:sz w:val="22"/>
          <w:szCs w:val="22"/>
          <w:lang w:val="es-CR"/>
        </w:rPr>
        <w:t xml:space="preserve">, adicionando una instrucción, </w:t>
      </w:r>
      <w:r w:rsidR="00F2485E">
        <w:rPr>
          <w:rFonts w:cs="Arial"/>
          <w:sz w:val="22"/>
          <w:szCs w:val="22"/>
          <w:lang w:val="es-CR"/>
        </w:rPr>
        <w:t xml:space="preserve">según lo recomendado por la Asesoría Legal en el citado oficio AL-OF-006-2022, </w:t>
      </w:r>
      <w:r w:rsidR="00545A17">
        <w:rPr>
          <w:rFonts w:cs="Arial"/>
          <w:sz w:val="22"/>
          <w:szCs w:val="22"/>
          <w:lang w:val="es-CR"/>
        </w:rPr>
        <w:t xml:space="preserve">para que </w:t>
      </w:r>
      <w:r w:rsidR="00F2485E">
        <w:rPr>
          <w:rFonts w:cs="Arial"/>
          <w:sz w:val="22"/>
          <w:szCs w:val="22"/>
          <w:lang w:val="es-CR"/>
        </w:rPr>
        <w:t xml:space="preserve">la Auditoría Interna </w:t>
      </w:r>
      <w:r w:rsidR="00545A17">
        <w:rPr>
          <w:rFonts w:cs="Arial"/>
          <w:sz w:val="22"/>
          <w:szCs w:val="22"/>
          <w:lang w:val="es-CR"/>
        </w:rPr>
        <w:t xml:space="preserve">realice </w:t>
      </w:r>
      <w:r w:rsidR="00F2485E" w:rsidRPr="00F2485E">
        <w:rPr>
          <w:rFonts w:cs="Arial"/>
          <w:sz w:val="22"/>
          <w:szCs w:val="22"/>
        </w:rPr>
        <w:t>las investigaciones pertinentes</w:t>
      </w:r>
      <w:r w:rsidR="00F2485E">
        <w:rPr>
          <w:rFonts w:cs="Arial"/>
          <w:sz w:val="22"/>
          <w:szCs w:val="22"/>
        </w:rPr>
        <w:t>,</w:t>
      </w:r>
      <w:r w:rsidR="00F2485E" w:rsidRPr="00F2485E">
        <w:rPr>
          <w:rFonts w:cs="Arial"/>
          <w:sz w:val="22"/>
          <w:szCs w:val="22"/>
        </w:rPr>
        <w:t xml:space="preserve"> a fin de determinar si pudo haber negligencia en el trámite por parte de funcionarios de la entidad autorizada o del BANHVI</w:t>
      </w:r>
      <w:r w:rsidR="00F2485E">
        <w:rPr>
          <w:rFonts w:cs="Arial"/>
          <w:sz w:val="22"/>
          <w:szCs w:val="22"/>
        </w:rPr>
        <w:t>.</w:t>
      </w:r>
    </w:p>
    <w:p w14:paraId="480D35A0" w14:textId="77777777" w:rsidR="00703669" w:rsidRDefault="00703669" w:rsidP="000C41B3">
      <w:pPr>
        <w:spacing w:line="360" w:lineRule="auto"/>
        <w:jc w:val="both"/>
        <w:rPr>
          <w:rFonts w:cs="Arial"/>
          <w:sz w:val="22"/>
          <w:szCs w:val="22"/>
          <w:lang w:val="es-ES_tradnl"/>
        </w:rPr>
      </w:pPr>
    </w:p>
    <w:p w14:paraId="7C97F125" w14:textId="29A97F17" w:rsidR="00A8467D" w:rsidRPr="004503FC" w:rsidRDefault="004503FC" w:rsidP="00A44388">
      <w:pPr>
        <w:spacing w:line="360" w:lineRule="auto"/>
        <w:jc w:val="both"/>
        <w:rPr>
          <w:rFonts w:cs="Arial"/>
          <w:b/>
          <w:bCs/>
          <w:sz w:val="22"/>
          <w:szCs w:val="22"/>
        </w:rPr>
      </w:pPr>
      <w:r w:rsidRPr="004503FC">
        <w:rPr>
          <w:rFonts w:cs="Arial"/>
          <w:b/>
          <w:bCs/>
          <w:sz w:val="22"/>
          <w:szCs w:val="22"/>
        </w:rPr>
        <w:t>Por tanto, se acuerda:</w:t>
      </w:r>
    </w:p>
    <w:p w14:paraId="0710EF50" w14:textId="4849659C" w:rsidR="00871D4C" w:rsidRPr="00A44388" w:rsidRDefault="00871D4C" w:rsidP="00871D4C">
      <w:pPr>
        <w:spacing w:line="360" w:lineRule="auto"/>
        <w:jc w:val="both"/>
        <w:rPr>
          <w:rFonts w:cs="Arial"/>
          <w:sz w:val="22"/>
          <w:szCs w:val="22"/>
          <w:lang w:val="es-CR"/>
        </w:rPr>
      </w:pPr>
      <w:r w:rsidRPr="00871D4C">
        <w:rPr>
          <w:rFonts w:cs="Arial"/>
          <w:b/>
          <w:bCs/>
          <w:sz w:val="22"/>
          <w:szCs w:val="22"/>
          <w:lang w:val="es-CR"/>
        </w:rPr>
        <w:t>1)</w:t>
      </w:r>
      <w:r>
        <w:rPr>
          <w:rFonts w:cs="Arial"/>
          <w:sz w:val="22"/>
          <w:szCs w:val="22"/>
          <w:lang w:val="es-CR"/>
        </w:rPr>
        <w:t xml:space="preserve"> </w:t>
      </w:r>
      <w:r w:rsidRPr="00A44388">
        <w:rPr>
          <w:rFonts w:cs="Arial"/>
          <w:sz w:val="22"/>
          <w:szCs w:val="22"/>
          <w:lang w:val="es-CR"/>
        </w:rPr>
        <w:t>Suspender tempora</w:t>
      </w:r>
      <w:r>
        <w:rPr>
          <w:rFonts w:cs="Arial"/>
          <w:sz w:val="22"/>
          <w:szCs w:val="22"/>
          <w:lang w:val="es-CR"/>
        </w:rPr>
        <w:t>l</w:t>
      </w:r>
      <w:r w:rsidRPr="00A44388">
        <w:rPr>
          <w:rFonts w:cs="Arial"/>
          <w:sz w:val="22"/>
          <w:szCs w:val="22"/>
          <w:lang w:val="es-CR"/>
        </w:rPr>
        <w:t xml:space="preserve">mente el cobro de multas </w:t>
      </w:r>
      <w:r w:rsidR="009D47C7">
        <w:rPr>
          <w:rFonts w:cs="Arial"/>
          <w:sz w:val="22"/>
          <w:szCs w:val="22"/>
          <w:lang w:val="es-CR"/>
        </w:rPr>
        <w:t xml:space="preserve">en el proyecto Loma Linda, </w:t>
      </w:r>
      <w:r w:rsidRPr="00A44388">
        <w:rPr>
          <w:rFonts w:cs="Arial"/>
          <w:sz w:val="22"/>
          <w:szCs w:val="22"/>
          <w:lang w:val="es-CR"/>
        </w:rPr>
        <w:t>por un per</w:t>
      </w:r>
      <w:r w:rsidR="009D47C7">
        <w:rPr>
          <w:rFonts w:cs="Arial"/>
          <w:sz w:val="22"/>
          <w:szCs w:val="22"/>
          <w:lang w:val="es-CR"/>
        </w:rPr>
        <w:t>í</w:t>
      </w:r>
      <w:r w:rsidRPr="00A44388">
        <w:rPr>
          <w:rFonts w:cs="Arial"/>
          <w:sz w:val="22"/>
          <w:szCs w:val="22"/>
          <w:lang w:val="es-CR"/>
        </w:rPr>
        <w:t xml:space="preserve">odo de 71 </w:t>
      </w:r>
      <w:r>
        <w:rPr>
          <w:rFonts w:cs="Arial"/>
          <w:sz w:val="22"/>
          <w:szCs w:val="22"/>
          <w:lang w:val="es-CR"/>
        </w:rPr>
        <w:t>días</w:t>
      </w:r>
      <w:r w:rsidRPr="00A44388">
        <w:rPr>
          <w:rFonts w:cs="Arial"/>
          <w:sz w:val="22"/>
          <w:szCs w:val="22"/>
          <w:lang w:val="es-CR"/>
        </w:rPr>
        <w:t xml:space="preserve"> naturales</w:t>
      </w:r>
      <w:r>
        <w:rPr>
          <w:rFonts w:cs="Arial"/>
          <w:sz w:val="22"/>
          <w:szCs w:val="22"/>
          <w:lang w:val="es-CR"/>
        </w:rPr>
        <w:t xml:space="preserve">, contados </w:t>
      </w:r>
      <w:r w:rsidRPr="00A44388">
        <w:rPr>
          <w:rFonts w:cs="Arial"/>
          <w:sz w:val="22"/>
          <w:szCs w:val="22"/>
          <w:lang w:val="es-CR"/>
        </w:rPr>
        <w:t>a partir del 31 de octubre de 2021 (fecha de finalizaci</w:t>
      </w:r>
      <w:r>
        <w:rPr>
          <w:rFonts w:cs="Arial"/>
          <w:sz w:val="22"/>
          <w:szCs w:val="22"/>
          <w:lang w:val="es-CR"/>
        </w:rPr>
        <w:t xml:space="preserve">ón </w:t>
      </w:r>
      <w:r w:rsidRPr="00A44388">
        <w:rPr>
          <w:rFonts w:cs="Arial"/>
          <w:sz w:val="22"/>
          <w:szCs w:val="22"/>
          <w:lang w:val="es-CR"/>
        </w:rPr>
        <w:t>de las obras</w:t>
      </w:r>
      <w:r>
        <w:rPr>
          <w:rFonts w:cs="Arial"/>
          <w:sz w:val="22"/>
          <w:szCs w:val="22"/>
          <w:lang w:val="es-CR"/>
        </w:rPr>
        <w:t xml:space="preserve"> </w:t>
      </w:r>
      <w:r w:rsidRPr="00A44388">
        <w:rPr>
          <w:rFonts w:cs="Arial"/>
          <w:sz w:val="22"/>
          <w:szCs w:val="22"/>
          <w:lang w:val="es-CR"/>
        </w:rPr>
        <w:t>constructivas), por cuanto existi</w:t>
      </w:r>
      <w:r w:rsidRPr="00871D4C">
        <w:rPr>
          <w:rFonts w:cs="Arial"/>
          <w:sz w:val="22"/>
          <w:szCs w:val="22"/>
          <w:lang w:val="es-CR"/>
        </w:rPr>
        <w:t>ó</w:t>
      </w:r>
      <w:r w:rsidRPr="00A44388">
        <w:rPr>
          <w:rFonts w:cs="Arial"/>
          <w:sz w:val="22"/>
          <w:szCs w:val="22"/>
          <w:lang w:val="es-CR"/>
        </w:rPr>
        <w:t xml:space="preserve"> un atraso en el giro de recursos a </w:t>
      </w:r>
      <w:r w:rsidRPr="00871D4C">
        <w:rPr>
          <w:rFonts w:cs="Arial"/>
          <w:sz w:val="22"/>
          <w:szCs w:val="22"/>
          <w:lang w:val="es-CR"/>
        </w:rPr>
        <w:t>l</w:t>
      </w:r>
      <w:r w:rsidRPr="00A44388">
        <w:rPr>
          <w:rFonts w:cs="Arial"/>
          <w:sz w:val="22"/>
          <w:szCs w:val="22"/>
          <w:lang w:val="es-CR"/>
        </w:rPr>
        <w:t xml:space="preserve">a empresa </w:t>
      </w:r>
      <w:r w:rsidRPr="00871D4C">
        <w:rPr>
          <w:rFonts w:cs="Arial"/>
          <w:sz w:val="22"/>
          <w:szCs w:val="22"/>
          <w:lang w:val="es-CR"/>
        </w:rPr>
        <w:t xml:space="preserve">por la </w:t>
      </w:r>
      <w:r w:rsidRPr="00A44388">
        <w:rPr>
          <w:rFonts w:cs="Arial"/>
          <w:sz w:val="22"/>
          <w:szCs w:val="22"/>
          <w:lang w:val="es-CR"/>
        </w:rPr>
        <w:t>presentaci</w:t>
      </w:r>
      <w:r w:rsidRPr="00871D4C">
        <w:rPr>
          <w:rFonts w:cs="Arial"/>
          <w:sz w:val="22"/>
          <w:szCs w:val="22"/>
          <w:lang w:val="es-CR"/>
        </w:rPr>
        <w:t xml:space="preserve">ón </w:t>
      </w:r>
      <w:r w:rsidRPr="00A44388">
        <w:rPr>
          <w:rFonts w:cs="Arial"/>
          <w:sz w:val="22"/>
          <w:szCs w:val="22"/>
          <w:lang w:val="es-CR"/>
        </w:rPr>
        <w:t>del recurso de apelaci</w:t>
      </w:r>
      <w:r w:rsidRPr="00871D4C">
        <w:rPr>
          <w:rFonts w:cs="Arial"/>
          <w:sz w:val="22"/>
          <w:szCs w:val="22"/>
          <w:lang w:val="es-CR"/>
        </w:rPr>
        <w:t>ó</w:t>
      </w:r>
      <w:r w:rsidRPr="00A44388">
        <w:rPr>
          <w:rFonts w:cs="Arial"/>
          <w:sz w:val="22"/>
          <w:szCs w:val="22"/>
          <w:lang w:val="es-CR"/>
        </w:rPr>
        <w:t xml:space="preserve">n, </w:t>
      </w:r>
      <w:r w:rsidRPr="00871D4C">
        <w:rPr>
          <w:rFonts w:cs="Arial"/>
          <w:sz w:val="22"/>
          <w:szCs w:val="22"/>
          <w:lang w:val="es-CR"/>
        </w:rPr>
        <w:t>l</w:t>
      </w:r>
      <w:r w:rsidRPr="00A44388">
        <w:rPr>
          <w:rFonts w:cs="Arial"/>
          <w:sz w:val="22"/>
          <w:szCs w:val="22"/>
          <w:lang w:val="es-CR"/>
        </w:rPr>
        <w:t>a gesti</w:t>
      </w:r>
      <w:r w:rsidRPr="00871D4C">
        <w:rPr>
          <w:rFonts w:cs="Arial"/>
          <w:sz w:val="22"/>
          <w:szCs w:val="22"/>
          <w:lang w:val="es-CR"/>
        </w:rPr>
        <w:t>ó</w:t>
      </w:r>
      <w:r w:rsidRPr="00A44388">
        <w:rPr>
          <w:rFonts w:cs="Arial"/>
          <w:sz w:val="22"/>
          <w:szCs w:val="22"/>
          <w:lang w:val="es-CR"/>
        </w:rPr>
        <w:t>n de los desembolsos y</w:t>
      </w:r>
      <w:r w:rsidRPr="00871D4C">
        <w:rPr>
          <w:rFonts w:cs="Arial"/>
          <w:sz w:val="22"/>
          <w:szCs w:val="22"/>
          <w:lang w:val="es-CR"/>
        </w:rPr>
        <w:t xml:space="preserve"> l</w:t>
      </w:r>
      <w:r w:rsidRPr="00A44388">
        <w:rPr>
          <w:rFonts w:cs="Arial"/>
          <w:sz w:val="22"/>
          <w:szCs w:val="22"/>
          <w:lang w:val="es-CR"/>
        </w:rPr>
        <w:t>a firma de</w:t>
      </w:r>
      <w:r w:rsidRPr="00871D4C">
        <w:rPr>
          <w:rFonts w:cs="Arial"/>
          <w:sz w:val="22"/>
          <w:szCs w:val="22"/>
          <w:lang w:val="es-CR"/>
        </w:rPr>
        <w:t xml:space="preserve"> l</w:t>
      </w:r>
      <w:r w:rsidRPr="00A44388">
        <w:rPr>
          <w:rFonts w:cs="Arial"/>
          <w:sz w:val="22"/>
          <w:szCs w:val="22"/>
          <w:lang w:val="es-CR"/>
        </w:rPr>
        <w:t xml:space="preserve">a </w:t>
      </w:r>
      <w:r w:rsidRPr="00A44388">
        <w:rPr>
          <w:rFonts w:cs="Arial"/>
          <w:sz w:val="22"/>
          <w:szCs w:val="22"/>
          <w:lang w:val="es-CR"/>
        </w:rPr>
        <w:lastRenderedPageBreak/>
        <w:t>adenda al contrato</w:t>
      </w:r>
      <w:r w:rsidR="009D47C7">
        <w:rPr>
          <w:rFonts w:cs="Arial"/>
          <w:sz w:val="22"/>
          <w:szCs w:val="22"/>
          <w:lang w:val="es-CR"/>
        </w:rPr>
        <w:t xml:space="preserve">, lo que </w:t>
      </w:r>
      <w:r w:rsidRPr="00A44388">
        <w:rPr>
          <w:rFonts w:cs="Arial"/>
          <w:sz w:val="22"/>
          <w:szCs w:val="22"/>
          <w:lang w:val="es-CR"/>
        </w:rPr>
        <w:t xml:space="preserve">no ha permitido que el </w:t>
      </w:r>
      <w:r w:rsidR="009D47C7">
        <w:rPr>
          <w:rFonts w:cs="Arial"/>
          <w:sz w:val="22"/>
          <w:szCs w:val="22"/>
          <w:lang w:val="es-CR"/>
        </w:rPr>
        <w:t>d</w:t>
      </w:r>
      <w:r w:rsidRPr="00A44388">
        <w:rPr>
          <w:rFonts w:cs="Arial"/>
          <w:sz w:val="22"/>
          <w:szCs w:val="22"/>
          <w:lang w:val="es-CR"/>
        </w:rPr>
        <w:t>esarrollador reinvierta capital</w:t>
      </w:r>
      <w:r w:rsidRPr="00871D4C">
        <w:rPr>
          <w:rFonts w:cs="Arial"/>
          <w:sz w:val="22"/>
          <w:szCs w:val="22"/>
          <w:lang w:val="es-CR"/>
        </w:rPr>
        <w:t xml:space="preserve"> </w:t>
      </w:r>
      <w:r w:rsidRPr="00A44388">
        <w:rPr>
          <w:rFonts w:cs="Arial"/>
          <w:sz w:val="22"/>
          <w:szCs w:val="22"/>
          <w:lang w:val="es-CR"/>
        </w:rPr>
        <w:t>en el proyecto para poder avanzar.</w:t>
      </w:r>
    </w:p>
    <w:p w14:paraId="11EA73D3" w14:textId="77777777" w:rsidR="00871D4C" w:rsidRDefault="00871D4C" w:rsidP="00871D4C">
      <w:pPr>
        <w:spacing w:line="360" w:lineRule="auto"/>
        <w:jc w:val="both"/>
        <w:rPr>
          <w:rFonts w:cs="Arial"/>
          <w:sz w:val="22"/>
          <w:szCs w:val="22"/>
          <w:lang w:val="es-CR"/>
        </w:rPr>
      </w:pPr>
    </w:p>
    <w:p w14:paraId="2FB98C9B" w14:textId="3E64E5DC" w:rsidR="00871D4C" w:rsidRPr="00A44388" w:rsidRDefault="00871D4C" w:rsidP="00871D4C">
      <w:pPr>
        <w:spacing w:line="360" w:lineRule="auto"/>
        <w:jc w:val="both"/>
        <w:rPr>
          <w:rFonts w:cs="Arial"/>
          <w:sz w:val="22"/>
          <w:szCs w:val="22"/>
          <w:lang w:val="es-CR"/>
        </w:rPr>
      </w:pPr>
      <w:r w:rsidRPr="00871D4C">
        <w:rPr>
          <w:rFonts w:cs="Arial"/>
          <w:b/>
          <w:bCs/>
          <w:sz w:val="22"/>
          <w:szCs w:val="22"/>
          <w:lang w:val="es-CR"/>
        </w:rPr>
        <w:t>2)</w:t>
      </w:r>
      <w:r>
        <w:rPr>
          <w:rFonts w:cs="Arial"/>
          <w:sz w:val="22"/>
          <w:szCs w:val="22"/>
          <w:lang w:val="es-CR"/>
        </w:rPr>
        <w:t xml:space="preserve"> </w:t>
      </w:r>
      <w:r w:rsidRPr="00A44388">
        <w:rPr>
          <w:rFonts w:cs="Arial"/>
          <w:sz w:val="22"/>
          <w:szCs w:val="22"/>
          <w:lang w:val="es-CR"/>
        </w:rPr>
        <w:t xml:space="preserve">Dichos 71 </w:t>
      </w:r>
      <w:r>
        <w:rPr>
          <w:rFonts w:cs="Arial"/>
          <w:sz w:val="22"/>
          <w:szCs w:val="22"/>
          <w:lang w:val="es-CR"/>
        </w:rPr>
        <w:t>días</w:t>
      </w:r>
      <w:r w:rsidRPr="00A44388">
        <w:rPr>
          <w:rFonts w:cs="Arial"/>
          <w:sz w:val="22"/>
          <w:szCs w:val="22"/>
          <w:lang w:val="es-CR"/>
        </w:rPr>
        <w:t xml:space="preserve"> naturales de suspensi</w:t>
      </w:r>
      <w:r>
        <w:rPr>
          <w:rFonts w:cs="Arial"/>
          <w:sz w:val="22"/>
          <w:szCs w:val="22"/>
          <w:lang w:val="es-CR"/>
        </w:rPr>
        <w:t>ó</w:t>
      </w:r>
      <w:r w:rsidRPr="00A44388">
        <w:rPr>
          <w:rFonts w:cs="Arial"/>
          <w:sz w:val="22"/>
          <w:szCs w:val="22"/>
          <w:lang w:val="es-CR"/>
        </w:rPr>
        <w:t>n finalizar</w:t>
      </w:r>
      <w:r>
        <w:rPr>
          <w:rFonts w:cs="Arial"/>
          <w:sz w:val="22"/>
          <w:szCs w:val="22"/>
          <w:lang w:val="es-CR"/>
        </w:rPr>
        <w:t>á</w:t>
      </w:r>
      <w:r w:rsidRPr="00A44388">
        <w:rPr>
          <w:rFonts w:cs="Arial"/>
          <w:sz w:val="22"/>
          <w:szCs w:val="22"/>
          <w:lang w:val="es-CR"/>
        </w:rPr>
        <w:t>n el 11 de enero de 2022,</w:t>
      </w:r>
      <w:r>
        <w:rPr>
          <w:rFonts w:cs="Arial"/>
          <w:sz w:val="22"/>
          <w:szCs w:val="22"/>
          <w:lang w:val="es-CR"/>
        </w:rPr>
        <w:t xml:space="preserve"> </w:t>
      </w:r>
      <w:r w:rsidRPr="00A44388">
        <w:rPr>
          <w:rFonts w:cs="Arial"/>
          <w:sz w:val="22"/>
          <w:szCs w:val="22"/>
          <w:lang w:val="es-CR"/>
        </w:rPr>
        <w:t xml:space="preserve">por lo que </w:t>
      </w:r>
      <w:r>
        <w:rPr>
          <w:rFonts w:cs="Arial"/>
          <w:sz w:val="22"/>
          <w:szCs w:val="22"/>
          <w:lang w:val="es-CR"/>
        </w:rPr>
        <w:t>l</w:t>
      </w:r>
      <w:r w:rsidRPr="00A44388">
        <w:rPr>
          <w:rFonts w:cs="Arial"/>
          <w:sz w:val="22"/>
          <w:szCs w:val="22"/>
          <w:lang w:val="es-CR"/>
        </w:rPr>
        <w:t xml:space="preserve">a </w:t>
      </w:r>
      <w:r w:rsidR="009D47C7">
        <w:rPr>
          <w:rFonts w:cs="Arial"/>
          <w:sz w:val="22"/>
          <w:szCs w:val="22"/>
          <w:lang w:val="es-CR"/>
        </w:rPr>
        <w:t>e</w:t>
      </w:r>
      <w:r w:rsidRPr="00A44388">
        <w:rPr>
          <w:rFonts w:cs="Arial"/>
          <w:sz w:val="22"/>
          <w:szCs w:val="22"/>
          <w:lang w:val="es-CR"/>
        </w:rPr>
        <w:t xml:space="preserve">ntidad </w:t>
      </w:r>
      <w:r w:rsidR="009D47C7">
        <w:rPr>
          <w:rFonts w:cs="Arial"/>
          <w:sz w:val="22"/>
          <w:szCs w:val="22"/>
          <w:lang w:val="es-CR"/>
        </w:rPr>
        <w:t>a</w:t>
      </w:r>
      <w:r w:rsidRPr="00A44388">
        <w:rPr>
          <w:rFonts w:cs="Arial"/>
          <w:sz w:val="22"/>
          <w:szCs w:val="22"/>
          <w:lang w:val="es-CR"/>
        </w:rPr>
        <w:t>utorizada deber</w:t>
      </w:r>
      <w:r>
        <w:rPr>
          <w:rFonts w:cs="Arial"/>
          <w:sz w:val="22"/>
          <w:szCs w:val="22"/>
          <w:lang w:val="es-CR"/>
        </w:rPr>
        <w:t>á</w:t>
      </w:r>
      <w:r w:rsidRPr="00A44388">
        <w:rPr>
          <w:rFonts w:cs="Arial"/>
          <w:sz w:val="22"/>
          <w:szCs w:val="22"/>
          <w:lang w:val="es-CR"/>
        </w:rPr>
        <w:t xml:space="preserve"> realizar el respectivo c</w:t>
      </w:r>
      <w:r>
        <w:rPr>
          <w:rFonts w:cs="Arial"/>
          <w:sz w:val="22"/>
          <w:szCs w:val="22"/>
          <w:lang w:val="es-CR"/>
        </w:rPr>
        <w:t>á</w:t>
      </w:r>
      <w:r w:rsidRPr="00A44388">
        <w:rPr>
          <w:rFonts w:cs="Arial"/>
          <w:sz w:val="22"/>
          <w:szCs w:val="22"/>
          <w:lang w:val="es-CR"/>
        </w:rPr>
        <w:t>lculo de multas</w:t>
      </w:r>
      <w:r>
        <w:rPr>
          <w:rFonts w:cs="Arial"/>
          <w:sz w:val="22"/>
          <w:szCs w:val="22"/>
          <w:lang w:val="es-CR"/>
        </w:rPr>
        <w:t xml:space="preserve"> </w:t>
      </w:r>
      <w:r w:rsidRPr="00A44388">
        <w:rPr>
          <w:rFonts w:cs="Arial"/>
          <w:sz w:val="22"/>
          <w:szCs w:val="22"/>
          <w:lang w:val="es-CR"/>
        </w:rPr>
        <w:t>seg</w:t>
      </w:r>
      <w:r>
        <w:rPr>
          <w:rFonts w:cs="Arial"/>
          <w:sz w:val="22"/>
          <w:szCs w:val="22"/>
          <w:lang w:val="es-CR"/>
        </w:rPr>
        <w:t>ú</w:t>
      </w:r>
      <w:r w:rsidRPr="00A44388">
        <w:rPr>
          <w:rFonts w:cs="Arial"/>
          <w:sz w:val="22"/>
          <w:szCs w:val="22"/>
          <w:lang w:val="es-CR"/>
        </w:rPr>
        <w:t>n el contrato de construcci</w:t>
      </w:r>
      <w:r>
        <w:rPr>
          <w:rFonts w:cs="Arial"/>
          <w:sz w:val="22"/>
          <w:szCs w:val="22"/>
          <w:lang w:val="es-CR"/>
        </w:rPr>
        <w:t>ó</w:t>
      </w:r>
      <w:r w:rsidRPr="00A44388">
        <w:rPr>
          <w:rFonts w:cs="Arial"/>
          <w:sz w:val="22"/>
          <w:szCs w:val="22"/>
          <w:lang w:val="es-CR"/>
        </w:rPr>
        <w:t>n y las fechas definidas en el cronograma del plan</w:t>
      </w:r>
      <w:r>
        <w:rPr>
          <w:rFonts w:cs="Arial"/>
          <w:sz w:val="22"/>
          <w:szCs w:val="22"/>
          <w:lang w:val="es-CR"/>
        </w:rPr>
        <w:t xml:space="preserve"> </w:t>
      </w:r>
      <w:r w:rsidRPr="00A44388">
        <w:rPr>
          <w:rFonts w:cs="Arial"/>
          <w:sz w:val="22"/>
          <w:szCs w:val="22"/>
          <w:lang w:val="es-CR"/>
        </w:rPr>
        <w:t xml:space="preserve">remedial presentado por </w:t>
      </w:r>
      <w:r>
        <w:rPr>
          <w:rFonts w:cs="Arial"/>
          <w:sz w:val="22"/>
          <w:szCs w:val="22"/>
          <w:lang w:val="es-CR"/>
        </w:rPr>
        <w:t>l</w:t>
      </w:r>
      <w:r w:rsidRPr="00A44388">
        <w:rPr>
          <w:rFonts w:cs="Arial"/>
          <w:sz w:val="22"/>
          <w:szCs w:val="22"/>
          <w:lang w:val="es-CR"/>
        </w:rPr>
        <w:t>a empresa Rovi S.A.</w:t>
      </w:r>
    </w:p>
    <w:p w14:paraId="596ED647" w14:textId="77777777" w:rsidR="00871D4C" w:rsidRDefault="00871D4C" w:rsidP="00871D4C">
      <w:pPr>
        <w:spacing w:line="360" w:lineRule="auto"/>
        <w:jc w:val="both"/>
        <w:rPr>
          <w:rFonts w:cs="Arial"/>
          <w:sz w:val="22"/>
          <w:szCs w:val="22"/>
          <w:lang w:val="es-CR"/>
        </w:rPr>
      </w:pPr>
    </w:p>
    <w:p w14:paraId="7C53E727" w14:textId="27C92A4C" w:rsidR="00871D4C" w:rsidRDefault="00871D4C" w:rsidP="00871D4C">
      <w:pPr>
        <w:spacing w:line="360" w:lineRule="auto"/>
        <w:jc w:val="both"/>
        <w:rPr>
          <w:rFonts w:cs="Arial"/>
          <w:sz w:val="22"/>
          <w:szCs w:val="22"/>
          <w:lang w:val="es-CR"/>
        </w:rPr>
      </w:pPr>
      <w:r w:rsidRPr="00871D4C">
        <w:rPr>
          <w:rFonts w:cs="Arial"/>
          <w:b/>
          <w:bCs/>
          <w:sz w:val="22"/>
          <w:szCs w:val="22"/>
          <w:lang w:val="es-CR"/>
        </w:rPr>
        <w:t>3)</w:t>
      </w:r>
      <w:r>
        <w:rPr>
          <w:rFonts w:cs="Arial"/>
          <w:sz w:val="22"/>
          <w:szCs w:val="22"/>
          <w:lang w:val="es-CR"/>
        </w:rPr>
        <w:t xml:space="preserve"> </w:t>
      </w:r>
      <w:r w:rsidRPr="00A44388">
        <w:rPr>
          <w:rFonts w:cs="Arial"/>
          <w:sz w:val="22"/>
          <w:szCs w:val="22"/>
          <w:lang w:val="es-CR"/>
        </w:rPr>
        <w:t>Definir como fecha de finalizaci</w:t>
      </w:r>
      <w:r>
        <w:rPr>
          <w:rFonts w:cs="Arial"/>
          <w:sz w:val="22"/>
          <w:szCs w:val="22"/>
          <w:lang w:val="es-CR"/>
        </w:rPr>
        <w:t>ó</w:t>
      </w:r>
      <w:r w:rsidRPr="00A44388">
        <w:rPr>
          <w:rFonts w:cs="Arial"/>
          <w:sz w:val="22"/>
          <w:szCs w:val="22"/>
          <w:lang w:val="es-CR"/>
        </w:rPr>
        <w:t>n de las obras constructivas del proyecto</w:t>
      </w:r>
      <w:r>
        <w:rPr>
          <w:rFonts w:cs="Arial"/>
          <w:sz w:val="22"/>
          <w:szCs w:val="22"/>
          <w:lang w:val="es-CR"/>
        </w:rPr>
        <w:t>,</w:t>
      </w:r>
      <w:r w:rsidRPr="00A44388">
        <w:rPr>
          <w:rFonts w:cs="Arial"/>
          <w:sz w:val="22"/>
          <w:szCs w:val="22"/>
          <w:lang w:val="es-CR"/>
        </w:rPr>
        <w:t xml:space="preserve"> el 31 de</w:t>
      </w:r>
      <w:r>
        <w:rPr>
          <w:rFonts w:cs="Arial"/>
          <w:sz w:val="22"/>
          <w:szCs w:val="22"/>
          <w:lang w:val="es-CR"/>
        </w:rPr>
        <w:t xml:space="preserve"> </w:t>
      </w:r>
      <w:r w:rsidRPr="00A44388">
        <w:rPr>
          <w:rFonts w:cs="Arial"/>
          <w:sz w:val="22"/>
          <w:szCs w:val="22"/>
          <w:lang w:val="es-CR"/>
        </w:rPr>
        <w:t>marzo de 2022</w:t>
      </w:r>
      <w:r>
        <w:rPr>
          <w:rFonts w:cs="Arial"/>
          <w:sz w:val="22"/>
          <w:szCs w:val="22"/>
          <w:lang w:val="es-CR"/>
        </w:rPr>
        <w:t>,</w:t>
      </w:r>
      <w:r w:rsidRPr="00A44388">
        <w:rPr>
          <w:rFonts w:cs="Arial"/>
          <w:sz w:val="22"/>
          <w:szCs w:val="22"/>
          <w:lang w:val="es-CR"/>
        </w:rPr>
        <w:t xml:space="preserve"> seg</w:t>
      </w:r>
      <w:r>
        <w:rPr>
          <w:rFonts w:cs="Arial"/>
          <w:sz w:val="22"/>
          <w:szCs w:val="22"/>
          <w:lang w:val="es-CR"/>
        </w:rPr>
        <w:t>ú</w:t>
      </w:r>
      <w:r w:rsidRPr="00A44388">
        <w:rPr>
          <w:rFonts w:cs="Arial"/>
          <w:sz w:val="22"/>
          <w:szCs w:val="22"/>
          <w:lang w:val="es-CR"/>
        </w:rPr>
        <w:t>n el cronograma f</w:t>
      </w:r>
      <w:r>
        <w:rPr>
          <w:rFonts w:cs="Arial"/>
          <w:sz w:val="22"/>
          <w:szCs w:val="22"/>
          <w:lang w:val="es-CR"/>
        </w:rPr>
        <w:t>í</w:t>
      </w:r>
      <w:r w:rsidRPr="00A44388">
        <w:rPr>
          <w:rFonts w:cs="Arial"/>
          <w:sz w:val="22"/>
          <w:szCs w:val="22"/>
          <w:lang w:val="es-CR"/>
        </w:rPr>
        <w:t>sico financiero presentado</w:t>
      </w:r>
      <w:r>
        <w:rPr>
          <w:rFonts w:cs="Arial"/>
          <w:sz w:val="22"/>
          <w:szCs w:val="22"/>
          <w:lang w:val="es-CR"/>
        </w:rPr>
        <w:t>.</w:t>
      </w:r>
    </w:p>
    <w:p w14:paraId="2144C397" w14:textId="77777777" w:rsidR="00871D4C" w:rsidRDefault="00871D4C" w:rsidP="00871D4C">
      <w:pPr>
        <w:spacing w:line="360" w:lineRule="auto"/>
        <w:jc w:val="both"/>
        <w:rPr>
          <w:rFonts w:cs="Arial"/>
          <w:sz w:val="22"/>
          <w:szCs w:val="22"/>
          <w:lang w:val="es-CR"/>
        </w:rPr>
      </w:pPr>
    </w:p>
    <w:p w14:paraId="39D7C2FF" w14:textId="5CEA60C0" w:rsidR="00871D4C" w:rsidRDefault="00871D4C" w:rsidP="00871D4C">
      <w:pPr>
        <w:spacing w:line="360" w:lineRule="auto"/>
        <w:jc w:val="both"/>
        <w:rPr>
          <w:rFonts w:cs="Arial"/>
          <w:sz w:val="22"/>
          <w:szCs w:val="22"/>
          <w:lang w:val="es-CR"/>
        </w:rPr>
      </w:pPr>
      <w:r w:rsidRPr="00871D4C">
        <w:rPr>
          <w:rFonts w:cs="Arial"/>
          <w:b/>
          <w:bCs/>
          <w:sz w:val="22"/>
          <w:szCs w:val="22"/>
          <w:lang w:val="es-CR"/>
        </w:rPr>
        <w:t>4)</w:t>
      </w:r>
      <w:r>
        <w:rPr>
          <w:rFonts w:cs="Arial"/>
          <w:sz w:val="22"/>
          <w:szCs w:val="22"/>
          <w:lang w:val="es-CR"/>
        </w:rPr>
        <w:t xml:space="preserve"> </w:t>
      </w:r>
      <w:r w:rsidRPr="00A44388">
        <w:rPr>
          <w:rFonts w:cs="Arial"/>
          <w:sz w:val="22"/>
          <w:szCs w:val="22"/>
          <w:lang w:val="es-CR"/>
        </w:rPr>
        <w:t>Proceder con el giro de los recursos solicitados por Coocique R.L.</w:t>
      </w:r>
      <w:r w:rsidR="009D47C7">
        <w:rPr>
          <w:rFonts w:cs="Arial"/>
          <w:sz w:val="22"/>
          <w:szCs w:val="22"/>
          <w:lang w:val="es-CR"/>
        </w:rPr>
        <w:t>,</w:t>
      </w:r>
      <w:r w:rsidRPr="00A44388">
        <w:rPr>
          <w:rFonts w:cs="Arial"/>
          <w:sz w:val="22"/>
          <w:szCs w:val="22"/>
          <w:lang w:val="es-CR"/>
        </w:rPr>
        <w:t xml:space="preserve"> mediante </w:t>
      </w:r>
      <w:r w:rsidR="009D47C7">
        <w:rPr>
          <w:rFonts w:cs="Arial"/>
          <w:sz w:val="22"/>
          <w:szCs w:val="22"/>
          <w:lang w:val="es-CR"/>
        </w:rPr>
        <w:t xml:space="preserve">los </w:t>
      </w:r>
      <w:r w:rsidRPr="00A44388">
        <w:rPr>
          <w:rFonts w:cs="Arial"/>
          <w:sz w:val="22"/>
          <w:szCs w:val="22"/>
          <w:lang w:val="es-CR"/>
        </w:rPr>
        <w:t>oficios</w:t>
      </w:r>
      <w:r>
        <w:rPr>
          <w:rFonts w:cs="Arial"/>
          <w:sz w:val="22"/>
          <w:szCs w:val="22"/>
          <w:lang w:val="es-CR"/>
        </w:rPr>
        <w:t xml:space="preserve"> </w:t>
      </w:r>
      <w:r w:rsidRPr="00A44388">
        <w:rPr>
          <w:rFonts w:cs="Arial"/>
          <w:sz w:val="22"/>
          <w:szCs w:val="22"/>
          <w:lang w:val="es-CR"/>
        </w:rPr>
        <w:t>UV-PV-L</w:t>
      </w:r>
      <w:r>
        <w:rPr>
          <w:rFonts w:cs="Arial"/>
          <w:sz w:val="22"/>
          <w:szCs w:val="22"/>
          <w:lang w:val="es-CR"/>
        </w:rPr>
        <w:t>O</w:t>
      </w:r>
      <w:r w:rsidRPr="00A44388">
        <w:rPr>
          <w:rFonts w:cs="Arial"/>
          <w:sz w:val="22"/>
          <w:szCs w:val="22"/>
          <w:lang w:val="es-CR"/>
        </w:rPr>
        <w:t>-059-2021</w:t>
      </w:r>
      <w:r w:rsidR="009D47C7">
        <w:rPr>
          <w:rFonts w:cs="Arial"/>
          <w:sz w:val="22"/>
          <w:szCs w:val="22"/>
          <w:lang w:val="es-CR"/>
        </w:rPr>
        <w:t>,</w:t>
      </w:r>
      <w:r w:rsidRPr="00A44388">
        <w:rPr>
          <w:rFonts w:cs="Arial"/>
          <w:sz w:val="22"/>
          <w:szCs w:val="22"/>
          <w:lang w:val="es-CR"/>
        </w:rPr>
        <w:t xml:space="preserve"> por co</w:t>
      </w:r>
      <w:r>
        <w:rPr>
          <w:rFonts w:cs="Arial"/>
          <w:sz w:val="22"/>
          <w:szCs w:val="22"/>
          <w:lang w:val="es-CR"/>
        </w:rPr>
        <w:t>n</w:t>
      </w:r>
      <w:r w:rsidRPr="00A44388">
        <w:rPr>
          <w:rFonts w:cs="Arial"/>
          <w:sz w:val="22"/>
          <w:szCs w:val="22"/>
          <w:lang w:val="es-CR"/>
        </w:rPr>
        <w:t>cepto de fiscalizaci</w:t>
      </w:r>
      <w:r>
        <w:rPr>
          <w:rFonts w:cs="Arial"/>
          <w:sz w:val="22"/>
          <w:szCs w:val="22"/>
          <w:lang w:val="es-CR"/>
        </w:rPr>
        <w:t>ó</w:t>
      </w:r>
      <w:r w:rsidRPr="00A44388">
        <w:rPr>
          <w:rFonts w:cs="Arial"/>
          <w:sz w:val="22"/>
          <w:szCs w:val="22"/>
          <w:lang w:val="es-CR"/>
        </w:rPr>
        <w:t>n de inversi</w:t>
      </w:r>
      <w:r>
        <w:rPr>
          <w:rFonts w:cs="Arial"/>
          <w:sz w:val="22"/>
          <w:szCs w:val="22"/>
          <w:lang w:val="es-CR"/>
        </w:rPr>
        <w:t>ó</w:t>
      </w:r>
      <w:r w:rsidRPr="00A44388">
        <w:rPr>
          <w:rFonts w:cs="Arial"/>
          <w:sz w:val="22"/>
          <w:szCs w:val="22"/>
          <w:lang w:val="es-CR"/>
        </w:rPr>
        <w:t>n</w:t>
      </w:r>
      <w:r w:rsidR="009D47C7">
        <w:rPr>
          <w:rFonts w:cs="Arial"/>
          <w:sz w:val="22"/>
          <w:szCs w:val="22"/>
          <w:lang w:val="es-CR"/>
        </w:rPr>
        <w:t>,</w:t>
      </w:r>
      <w:r w:rsidRPr="00A44388">
        <w:rPr>
          <w:rFonts w:cs="Arial"/>
          <w:sz w:val="22"/>
          <w:szCs w:val="22"/>
          <w:lang w:val="es-CR"/>
        </w:rPr>
        <w:t xml:space="preserve"> y UV-PV-LO-063-2021</w:t>
      </w:r>
      <w:r w:rsidR="009D47C7">
        <w:rPr>
          <w:rFonts w:cs="Arial"/>
          <w:sz w:val="22"/>
          <w:szCs w:val="22"/>
          <w:lang w:val="es-CR"/>
        </w:rPr>
        <w:t>,</w:t>
      </w:r>
      <w:r w:rsidRPr="00A44388">
        <w:rPr>
          <w:rFonts w:cs="Arial"/>
          <w:sz w:val="22"/>
          <w:szCs w:val="22"/>
          <w:lang w:val="es-CR"/>
        </w:rPr>
        <w:t xml:space="preserve"> por avance de obras</w:t>
      </w:r>
      <w:r>
        <w:rPr>
          <w:rFonts w:cs="Arial"/>
          <w:sz w:val="22"/>
          <w:szCs w:val="22"/>
          <w:lang w:val="es-CR"/>
        </w:rPr>
        <w:t>.</w:t>
      </w:r>
    </w:p>
    <w:p w14:paraId="2FD84D53" w14:textId="43378011" w:rsidR="002B71CC" w:rsidRDefault="002B71CC" w:rsidP="006B3F52">
      <w:pPr>
        <w:spacing w:line="360" w:lineRule="auto"/>
        <w:jc w:val="both"/>
        <w:rPr>
          <w:rFonts w:cs="Arial"/>
          <w:sz w:val="22"/>
          <w:szCs w:val="22"/>
        </w:rPr>
      </w:pPr>
    </w:p>
    <w:p w14:paraId="181B48EA" w14:textId="4CC6AF18" w:rsidR="002B71CC" w:rsidRDefault="00703669" w:rsidP="002B71CC">
      <w:pPr>
        <w:spacing w:line="360" w:lineRule="auto"/>
        <w:jc w:val="both"/>
        <w:rPr>
          <w:rFonts w:cs="Arial"/>
          <w:sz w:val="22"/>
          <w:szCs w:val="22"/>
        </w:rPr>
      </w:pPr>
      <w:r w:rsidRPr="009D47C7">
        <w:rPr>
          <w:rFonts w:cs="Arial"/>
          <w:b/>
          <w:bCs/>
          <w:sz w:val="22"/>
          <w:szCs w:val="22"/>
          <w:lang w:val="es-CR"/>
        </w:rPr>
        <w:t>5)</w:t>
      </w:r>
      <w:r>
        <w:rPr>
          <w:rFonts w:cs="Arial"/>
          <w:sz w:val="22"/>
          <w:szCs w:val="22"/>
          <w:lang w:val="es-CR"/>
        </w:rPr>
        <w:t xml:space="preserve"> Instruir a la Auditoría Interna, para que realice</w:t>
      </w:r>
      <w:r w:rsidR="00AC4354">
        <w:rPr>
          <w:rFonts w:cs="Arial"/>
          <w:sz w:val="22"/>
          <w:szCs w:val="22"/>
          <w:lang w:val="es-CR"/>
        </w:rPr>
        <w:t xml:space="preserve"> </w:t>
      </w:r>
      <w:r w:rsidR="00AC4354" w:rsidRPr="00F2485E">
        <w:rPr>
          <w:rFonts w:cs="Arial"/>
          <w:sz w:val="22"/>
          <w:szCs w:val="22"/>
        </w:rPr>
        <w:t>las investigaciones pertinentes</w:t>
      </w:r>
      <w:r w:rsidR="00AC4354">
        <w:rPr>
          <w:rFonts w:cs="Arial"/>
          <w:sz w:val="22"/>
          <w:szCs w:val="22"/>
        </w:rPr>
        <w:t>,</w:t>
      </w:r>
      <w:r w:rsidR="00AC4354" w:rsidRPr="00F2485E">
        <w:rPr>
          <w:rFonts w:cs="Arial"/>
          <w:sz w:val="22"/>
          <w:szCs w:val="22"/>
        </w:rPr>
        <w:t xml:space="preserve"> a fin de determinar si pudo haber negligencia en el trámite por parte de funcionarios de la entidad autorizada o del BANHVI</w:t>
      </w:r>
      <w:r>
        <w:rPr>
          <w:rFonts w:cs="Arial"/>
          <w:sz w:val="22"/>
          <w:szCs w:val="22"/>
          <w:lang w:val="es-ES_tradnl"/>
        </w:rPr>
        <w:t>.</w:t>
      </w:r>
    </w:p>
    <w:p w14:paraId="69C8F1BA" w14:textId="6BE9534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sidR="003570D8">
        <w:rPr>
          <w:rFonts w:cs="Arial"/>
          <w:szCs w:val="22"/>
        </w:rPr>
        <w:t xml:space="preserve"> y Firme</w:t>
      </w:r>
      <w:r w:rsidRPr="00AB2826">
        <w:rPr>
          <w:rFonts w:cs="Arial"/>
          <w:szCs w:val="22"/>
        </w:rPr>
        <w:t>.-</w:t>
      </w:r>
    </w:p>
    <w:p w14:paraId="5CEE59AA" w14:textId="77777777" w:rsidR="002B71CC" w:rsidRPr="00D14EAF" w:rsidRDefault="002B71CC" w:rsidP="002B71CC">
      <w:pPr>
        <w:spacing w:line="360" w:lineRule="auto"/>
        <w:jc w:val="both"/>
        <w:rPr>
          <w:rFonts w:cs="Arial"/>
          <w:b/>
          <w:sz w:val="22"/>
        </w:rPr>
      </w:pPr>
      <w:r w:rsidRPr="00D14EAF">
        <w:rPr>
          <w:rFonts w:cs="Arial"/>
          <w:b/>
          <w:sz w:val="22"/>
        </w:rPr>
        <w:t>************</w:t>
      </w:r>
    </w:p>
    <w:p w14:paraId="3EF2BA94" w14:textId="77777777" w:rsidR="002B71CC" w:rsidRDefault="002B71CC" w:rsidP="002B71CC">
      <w:pPr>
        <w:spacing w:line="360" w:lineRule="auto"/>
        <w:jc w:val="both"/>
        <w:rPr>
          <w:rFonts w:cs="Arial"/>
          <w:sz w:val="22"/>
          <w:lang w:val="es-ES_tradnl"/>
        </w:rPr>
      </w:pPr>
    </w:p>
    <w:p w14:paraId="7A5BF430"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4A395" w14:textId="77777777" w:rsidR="007546D7" w:rsidRDefault="007546D7">
      <w:r>
        <w:separator/>
      </w:r>
    </w:p>
  </w:endnote>
  <w:endnote w:type="continuationSeparator" w:id="0">
    <w:p w14:paraId="3D77CD4B" w14:textId="77777777" w:rsidR="007546D7" w:rsidRDefault="0075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3C89A" w14:textId="77777777" w:rsidR="007546D7" w:rsidRDefault="007546D7">
      <w:r>
        <w:separator/>
      </w:r>
    </w:p>
  </w:footnote>
  <w:footnote w:type="continuationSeparator" w:id="0">
    <w:p w14:paraId="21444589" w14:textId="77777777" w:rsidR="007546D7" w:rsidRDefault="00754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FCAB" w14:textId="77777777" w:rsidR="009D03FE" w:rsidRDefault="009D03FE">
    <w:pPr>
      <w:pStyle w:val="Encabezado"/>
      <w:rPr>
        <w:lang w:val="es-ES"/>
      </w:rPr>
    </w:pPr>
  </w:p>
  <w:p w14:paraId="56CAF0D4" w14:textId="4EF1B550"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D85E40">
      <w:rPr>
        <w:sz w:val="18"/>
        <w:lang w:val="es-ES"/>
      </w:rPr>
      <w:t>05</w:t>
    </w:r>
    <w:r>
      <w:rPr>
        <w:sz w:val="18"/>
        <w:lang w:val="es-ES"/>
      </w:rPr>
      <w:t>-</w:t>
    </w:r>
    <w:r w:rsidR="005F2BC7">
      <w:rPr>
        <w:sz w:val="18"/>
        <w:lang w:val="es-ES"/>
      </w:rPr>
      <w:t>2022</w:t>
    </w:r>
    <w:r>
      <w:rPr>
        <w:sz w:val="18"/>
        <w:lang w:val="es-ES"/>
      </w:rPr>
      <w:t xml:space="preserve">                   2</w:t>
    </w:r>
    <w:r w:rsidR="00D85E40">
      <w:rPr>
        <w:sz w:val="18"/>
        <w:lang w:val="es-ES"/>
      </w:rPr>
      <w:t xml:space="preserve">0 de enero </w:t>
    </w:r>
    <w:r>
      <w:rPr>
        <w:sz w:val="18"/>
        <w:lang w:val="es-ES"/>
      </w:rPr>
      <w:t xml:space="preserve">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4285E482"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B62442"/>
    <w:multiLevelType w:val="hybridMultilevel"/>
    <w:tmpl w:val="F8B28B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BBED5F"/>
    <w:multiLevelType w:val="hybridMultilevel"/>
    <w:tmpl w:val="283558D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799DF8"/>
    <w:multiLevelType w:val="hybridMultilevel"/>
    <w:tmpl w:val="99E57F8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7"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6BC38EC"/>
    <w:multiLevelType w:val="hybridMultilevel"/>
    <w:tmpl w:val="7CC410A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6869D1"/>
    <w:multiLevelType w:val="hybridMultilevel"/>
    <w:tmpl w:val="2EEC7740"/>
    <w:lvl w:ilvl="0" w:tplc="5198C0F6">
      <w:start w:val="1"/>
      <w:numFmt w:val="upperLetter"/>
      <w:lvlText w:val="%1)"/>
      <w:lvlJc w:val="left"/>
      <w:pPr>
        <w:ind w:left="720" w:hanging="360"/>
      </w:pPr>
      <w:rPr>
        <w:rFonts w:ascii="Arial" w:eastAsia="Times New Roman" w:hAnsi="Arial" w:cs="Arial"/>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362362F"/>
    <w:multiLevelType w:val="hybridMultilevel"/>
    <w:tmpl w:val="2A16F1AE"/>
    <w:lvl w:ilvl="0" w:tplc="5EC0596E">
      <w:start w:val="1"/>
      <w:numFmt w:val="decimal"/>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3"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62C1BA4"/>
    <w:multiLevelType w:val="hybridMultilevel"/>
    <w:tmpl w:val="13B2EFE2"/>
    <w:lvl w:ilvl="0" w:tplc="FFFFFFFF">
      <w:start w:val="1"/>
      <w:numFmt w:val="decimal"/>
      <w:lvlText w:val="%1."/>
      <w:lvlJc w:val="left"/>
      <w:pPr>
        <w:ind w:left="720" w:hanging="360"/>
      </w:pPr>
      <w:rPr>
        <w:b/>
        <w:color w:val="auto"/>
        <w:lang w:val="es-ES_tradnl"/>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B503169"/>
    <w:multiLevelType w:val="hybridMultilevel"/>
    <w:tmpl w:val="5D334AC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D6DBB7C"/>
    <w:multiLevelType w:val="hybridMultilevel"/>
    <w:tmpl w:val="BE6D086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68485957"/>
    <w:multiLevelType w:val="hybridMultilevel"/>
    <w:tmpl w:val="3DFAFD48"/>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7C3D1B5"/>
    <w:multiLevelType w:val="hybridMultilevel"/>
    <w:tmpl w:val="D4FFF46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FFD6DA4"/>
    <w:multiLevelType w:val="hybridMultilevel"/>
    <w:tmpl w:val="24EE3AD8"/>
    <w:lvl w:ilvl="0" w:tplc="048CD792">
      <w:start w:val="1"/>
      <w:numFmt w:val="upperRoman"/>
      <w:lvlText w:val="%1-"/>
      <w:lvlJc w:val="left"/>
      <w:pPr>
        <w:ind w:left="1080" w:hanging="72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5"/>
  </w:num>
  <w:num w:numId="3">
    <w:abstractNumId w:val="15"/>
  </w:num>
  <w:num w:numId="4">
    <w:abstractNumId w:val="4"/>
  </w:num>
  <w:num w:numId="5">
    <w:abstractNumId w:val="3"/>
  </w:num>
  <w:num w:numId="6">
    <w:abstractNumId w:val="17"/>
  </w:num>
  <w:num w:numId="7">
    <w:abstractNumId w:val="25"/>
  </w:num>
  <w:num w:numId="8">
    <w:abstractNumId w:val="13"/>
  </w:num>
  <w:num w:numId="9">
    <w:abstractNumId w:val="9"/>
  </w:num>
  <w:num w:numId="10">
    <w:abstractNumId w:val="6"/>
  </w:num>
  <w:num w:numId="11">
    <w:abstractNumId w:val="7"/>
  </w:num>
  <w:num w:numId="12">
    <w:abstractNumId w:val="26"/>
  </w:num>
  <w:num w:numId="13">
    <w:abstractNumId w:val="23"/>
  </w:num>
  <w:num w:numId="14">
    <w:abstractNumId w:val="21"/>
  </w:num>
  <w:num w:numId="15">
    <w:abstractNumId w:val="14"/>
  </w:num>
  <w:num w:numId="16">
    <w:abstractNumId w:val="18"/>
  </w:num>
  <w:num w:numId="17">
    <w:abstractNumId w:val="16"/>
  </w:num>
  <w:num w:numId="18">
    <w:abstractNumId w:val="22"/>
  </w:num>
  <w:num w:numId="19">
    <w:abstractNumId w:val="8"/>
  </w:num>
  <w:num w:numId="20">
    <w:abstractNumId w:val="12"/>
  </w:num>
  <w:num w:numId="21">
    <w:abstractNumId w:val="10"/>
  </w:num>
  <w:num w:numId="22">
    <w:abstractNumId w:val="27"/>
  </w:num>
  <w:num w:numId="23">
    <w:abstractNumId w:val="20"/>
  </w:num>
  <w:num w:numId="24">
    <w:abstractNumId w:val="2"/>
  </w:num>
  <w:num w:numId="25">
    <w:abstractNumId w:val="19"/>
  </w:num>
  <w:num w:numId="26">
    <w:abstractNumId w:val="1"/>
  </w:num>
  <w:num w:numId="27">
    <w:abstractNumId w:val="2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pxkkjZ6L/GT0g6n4eMvyUPx9AGRbamGR28YTOtkhmXUswuBYVyWWKUY++d6nX7dQ63yNP1xktkMdXNfWb2bpow==" w:salt="E2GKq3wEf2vljd8YRYznt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6D7"/>
    <w:rsid w:val="0000085A"/>
    <w:rsid w:val="00011DC1"/>
    <w:rsid w:val="0001401F"/>
    <w:rsid w:val="00017AB4"/>
    <w:rsid w:val="00026DCA"/>
    <w:rsid w:val="00027E78"/>
    <w:rsid w:val="0003318B"/>
    <w:rsid w:val="00036A8B"/>
    <w:rsid w:val="00053A32"/>
    <w:rsid w:val="000547A2"/>
    <w:rsid w:val="00056B9F"/>
    <w:rsid w:val="000632BD"/>
    <w:rsid w:val="00067B32"/>
    <w:rsid w:val="00076A47"/>
    <w:rsid w:val="00081BB0"/>
    <w:rsid w:val="0008285F"/>
    <w:rsid w:val="00085DF1"/>
    <w:rsid w:val="000937FA"/>
    <w:rsid w:val="0009389D"/>
    <w:rsid w:val="00094FF8"/>
    <w:rsid w:val="000A314F"/>
    <w:rsid w:val="000A6259"/>
    <w:rsid w:val="000B0F7B"/>
    <w:rsid w:val="000C41B3"/>
    <w:rsid w:val="000C4E35"/>
    <w:rsid w:val="000C5661"/>
    <w:rsid w:val="000F5F31"/>
    <w:rsid w:val="000F6DBD"/>
    <w:rsid w:val="00105CCE"/>
    <w:rsid w:val="0011401E"/>
    <w:rsid w:val="001147C3"/>
    <w:rsid w:val="00117E78"/>
    <w:rsid w:val="001227FE"/>
    <w:rsid w:val="00154E36"/>
    <w:rsid w:val="00183234"/>
    <w:rsid w:val="0018634C"/>
    <w:rsid w:val="001909BE"/>
    <w:rsid w:val="00193B2D"/>
    <w:rsid w:val="00196DD0"/>
    <w:rsid w:val="001A4050"/>
    <w:rsid w:val="001B6D7C"/>
    <w:rsid w:val="001B703A"/>
    <w:rsid w:val="001C17AB"/>
    <w:rsid w:val="001C3F1B"/>
    <w:rsid w:val="001C7C5B"/>
    <w:rsid w:val="001D7E23"/>
    <w:rsid w:val="001F277B"/>
    <w:rsid w:val="001F7D2C"/>
    <w:rsid w:val="002026DC"/>
    <w:rsid w:val="00204086"/>
    <w:rsid w:val="00210B7F"/>
    <w:rsid w:val="00213FA6"/>
    <w:rsid w:val="00214849"/>
    <w:rsid w:val="002163C7"/>
    <w:rsid w:val="00227BDF"/>
    <w:rsid w:val="00236CA9"/>
    <w:rsid w:val="00237191"/>
    <w:rsid w:val="00240946"/>
    <w:rsid w:val="00242E9C"/>
    <w:rsid w:val="00243275"/>
    <w:rsid w:val="00243461"/>
    <w:rsid w:val="00253CA2"/>
    <w:rsid w:val="00253D8D"/>
    <w:rsid w:val="002579C3"/>
    <w:rsid w:val="00260325"/>
    <w:rsid w:val="00261C88"/>
    <w:rsid w:val="00270B9C"/>
    <w:rsid w:val="002722B9"/>
    <w:rsid w:val="00273438"/>
    <w:rsid w:val="002736F3"/>
    <w:rsid w:val="00273AB5"/>
    <w:rsid w:val="002751C8"/>
    <w:rsid w:val="0027797F"/>
    <w:rsid w:val="00277DD3"/>
    <w:rsid w:val="00282C93"/>
    <w:rsid w:val="0028301A"/>
    <w:rsid w:val="0028757E"/>
    <w:rsid w:val="002928AF"/>
    <w:rsid w:val="002A51F3"/>
    <w:rsid w:val="002A6A4B"/>
    <w:rsid w:val="002B71CC"/>
    <w:rsid w:val="002C1C3E"/>
    <w:rsid w:val="002D0146"/>
    <w:rsid w:val="002D158A"/>
    <w:rsid w:val="002E1BAC"/>
    <w:rsid w:val="002E7307"/>
    <w:rsid w:val="002F126C"/>
    <w:rsid w:val="002F3D41"/>
    <w:rsid w:val="002F589A"/>
    <w:rsid w:val="002F60B0"/>
    <w:rsid w:val="003004E7"/>
    <w:rsid w:val="0030131C"/>
    <w:rsid w:val="003156CD"/>
    <w:rsid w:val="00317B31"/>
    <w:rsid w:val="00320F35"/>
    <w:rsid w:val="00320F9C"/>
    <w:rsid w:val="00332277"/>
    <w:rsid w:val="00335993"/>
    <w:rsid w:val="00343CAA"/>
    <w:rsid w:val="00345E78"/>
    <w:rsid w:val="00346C2F"/>
    <w:rsid w:val="003470C4"/>
    <w:rsid w:val="003473D2"/>
    <w:rsid w:val="00352AFB"/>
    <w:rsid w:val="00353979"/>
    <w:rsid w:val="00356486"/>
    <w:rsid w:val="003570D8"/>
    <w:rsid w:val="00361D8B"/>
    <w:rsid w:val="00362893"/>
    <w:rsid w:val="00366488"/>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3D7B8F"/>
    <w:rsid w:val="003E3DC6"/>
    <w:rsid w:val="003F0BB5"/>
    <w:rsid w:val="00407CC4"/>
    <w:rsid w:val="004219D8"/>
    <w:rsid w:val="00421BEA"/>
    <w:rsid w:val="00432126"/>
    <w:rsid w:val="004364C6"/>
    <w:rsid w:val="00442595"/>
    <w:rsid w:val="00445673"/>
    <w:rsid w:val="004503FC"/>
    <w:rsid w:val="004755F8"/>
    <w:rsid w:val="0047593B"/>
    <w:rsid w:val="0048086A"/>
    <w:rsid w:val="0048746C"/>
    <w:rsid w:val="004901AD"/>
    <w:rsid w:val="004930AA"/>
    <w:rsid w:val="00496B93"/>
    <w:rsid w:val="00497711"/>
    <w:rsid w:val="004A2175"/>
    <w:rsid w:val="004B373F"/>
    <w:rsid w:val="004B7456"/>
    <w:rsid w:val="004C5B22"/>
    <w:rsid w:val="004C724E"/>
    <w:rsid w:val="004E10F9"/>
    <w:rsid w:val="004E1777"/>
    <w:rsid w:val="004E5D21"/>
    <w:rsid w:val="005011AD"/>
    <w:rsid w:val="005118B1"/>
    <w:rsid w:val="00513B4F"/>
    <w:rsid w:val="00521086"/>
    <w:rsid w:val="00521CAC"/>
    <w:rsid w:val="00526FAC"/>
    <w:rsid w:val="00531B93"/>
    <w:rsid w:val="00540F60"/>
    <w:rsid w:val="005459D0"/>
    <w:rsid w:val="00545A17"/>
    <w:rsid w:val="005504E6"/>
    <w:rsid w:val="005637D4"/>
    <w:rsid w:val="005641AB"/>
    <w:rsid w:val="00574AB1"/>
    <w:rsid w:val="0057519A"/>
    <w:rsid w:val="0058368A"/>
    <w:rsid w:val="00585347"/>
    <w:rsid w:val="00595395"/>
    <w:rsid w:val="00595DB0"/>
    <w:rsid w:val="0059625B"/>
    <w:rsid w:val="00596AB4"/>
    <w:rsid w:val="005A32C2"/>
    <w:rsid w:val="005B45E6"/>
    <w:rsid w:val="005B67A2"/>
    <w:rsid w:val="005C18D2"/>
    <w:rsid w:val="005C6147"/>
    <w:rsid w:val="005E7559"/>
    <w:rsid w:val="005F2BC7"/>
    <w:rsid w:val="005F2EC6"/>
    <w:rsid w:val="00615FBF"/>
    <w:rsid w:val="006167EB"/>
    <w:rsid w:val="00623D36"/>
    <w:rsid w:val="006321F4"/>
    <w:rsid w:val="00646C5C"/>
    <w:rsid w:val="0065688D"/>
    <w:rsid w:val="0066494B"/>
    <w:rsid w:val="0066756A"/>
    <w:rsid w:val="00681878"/>
    <w:rsid w:val="00683504"/>
    <w:rsid w:val="00692A55"/>
    <w:rsid w:val="006979B4"/>
    <w:rsid w:val="006A2929"/>
    <w:rsid w:val="006A474B"/>
    <w:rsid w:val="006A779D"/>
    <w:rsid w:val="006B3F52"/>
    <w:rsid w:val="006B7846"/>
    <w:rsid w:val="006C0086"/>
    <w:rsid w:val="006C1542"/>
    <w:rsid w:val="006C1D3B"/>
    <w:rsid w:val="006C1F07"/>
    <w:rsid w:val="006C772C"/>
    <w:rsid w:val="006D5482"/>
    <w:rsid w:val="006E31FB"/>
    <w:rsid w:val="006E7C0F"/>
    <w:rsid w:val="006F7DB3"/>
    <w:rsid w:val="00703669"/>
    <w:rsid w:val="007062BD"/>
    <w:rsid w:val="00711E6C"/>
    <w:rsid w:val="00713A41"/>
    <w:rsid w:val="00716174"/>
    <w:rsid w:val="00721A0B"/>
    <w:rsid w:val="00723211"/>
    <w:rsid w:val="00734DCB"/>
    <w:rsid w:val="00735384"/>
    <w:rsid w:val="00737234"/>
    <w:rsid w:val="00750EFF"/>
    <w:rsid w:val="00751002"/>
    <w:rsid w:val="007546D7"/>
    <w:rsid w:val="007550B2"/>
    <w:rsid w:val="007605D2"/>
    <w:rsid w:val="00765327"/>
    <w:rsid w:val="007749FC"/>
    <w:rsid w:val="00780AB2"/>
    <w:rsid w:val="00787B79"/>
    <w:rsid w:val="00797660"/>
    <w:rsid w:val="007A0371"/>
    <w:rsid w:val="007A36D6"/>
    <w:rsid w:val="007B2EB9"/>
    <w:rsid w:val="007B5EDF"/>
    <w:rsid w:val="007C2929"/>
    <w:rsid w:val="007C3229"/>
    <w:rsid w:val="007C39B9"/>
    <w:rsid w:val="007C7C3A"/>
    <w:rsid w:val="007D0FCE"/>
    <w:rsid w:val="007D6EF8"/>
    <w:rsid w:val="007E31DD"/>
    <w:rsid w:val="007E5F9D"/>
    <w:rsid w:val="007F614F"/>
    <w:rsid w:val="007F66D6"/>
    <w:rsid w:val="008006FA"/>
    <w:rsid w:val="00806739"/>
    <w:rsid w:val="008110AA"/>
    <w:rsid w:val="00811427"/>
    <w:rsid w:val="0081536A"/>
    <w:rsid w:val="00822E64"/>
    <w:rsid w:val="00825856"/>
    <w:rsid w:val="008343A2"/>
    <w:rsid w:val="00834957"/>
    <w:rsid w:val="00834A2F"/>
    <w:rsid w:val="0083505E"/>
    <w:rsid w:val="00846281"/>
    <w:rsid w:val="00851373"/>
    <w:rsid w:val="00854DE9"/>
    <w:rsid w:val="00856145"/>
    <w:rsid w:val="00861680"/>
    <w:rsid w:val="00870163"/>
    <w:rsid w:val="00871D4C"/>
    <w:rsid w:val="00872BF0"/>
    <w:rsid w:val="00875497"/>
    <w:rsid w:val="00895A5D"/>
    <w:rsid w:val="00896BC6"/>
    <w:rsid w:val="00897167"/>
    <w:rsid w:val="008B46FC"/>
    <w:rsid w:val="008D35D8"/>
    <w:rsid w:val="008D6E0F"/>
    <w:rsid w:val="008E0768"/>
    <w:rsid w:val="008E2637"/>
    <w:rsid w:val="008F38A8"/>
    <w:rsid w:val="008F5868"/>
    <w:rsid w:val="008F5B5D"/>
    <w:rsid w:val="008F6C96"/>
    <w:rsid w:val="00903516"/>
    <w:rsid w:val="009110CC"/>
    <w:rsid w:val="00911F06"/>
    <w:rsid w:val="009208A9"/>
    <w:rsid w:val="00922951"/>
    <w:rsid w:val="00940420"/>
    <w:rsid w:val="009414E2"/>
    <w:rsid w:val="009449EE"/>
    <w:rsid w:val="009669CF"/>
    <w:rsid w:val="0097322A"/>
    <w:rsid w:val="00986348"/>
    <w:rsid w:val="009A04B1"/>
    <w:rsid w:val="009A451E"/>
    <w:rsid w:val="009C11C0"/>
    <w:rsid w:val="009D03FE"/>
    <w:rsid w:val="009D1F46"/>
    <w:rsid w:val="009D47C7"/>
    <w:rsid w:val="009D70A8"/>
    <w:rsid w:val="009D78B0"/>
    <w:rsid w:val="009E1B07"/>
    <w:rsid w:val="009E1B1B"/>
    <w:rsid w:val="009F0594"/>
    <w:rsid w:val="009F2788"/>
    <w:rsid w:val="009F62A9"/>
    <w:rsid w:val="00A00B5E"/>
    <w:rsid w:val="00A25BF3"/>
    <w:rsid w:val="00A3046D"/>
    <w:rsid w:val="00A30EF5"/>
    <w:rsid w:val="00A3146D"/>
    <w:rsid w:val="00A330FA"/>
    <w:rsid w:val="00A35032"/>
    <w:rsid w:val="00A44388"/>
    <w:rsid w:val="00A473B6"/>
    <w:rsid w:val="00A536DE"/>
    <w:rsid w:val="00A57ECD"/>
    <w:rsid w:val="00A70A82"/>
    <w:rsid w:val="00A73DC5"/>
    <w:rsid w:val="00A761DD"/>
    <w:rsid w:val="00A76403"/>
    <w:rsid w:val="00A775DD"/>
    <w:rsid w:val="00A837EB"/>
    <w:rsid w:val="00A8467D"/>
    <w:rsid w:val="00AA3784"/>
    <w:rsid w:val="00AA4E2A"/>
    <w:rsid w:val="00AB15C1"/>
    <w:rsid w:val="00AB1E41"/>
    <w:rsid w:val="00AB2826"/>
    <w:rsid w:val="00AB4B39"/>
    <w:rsid w:val="00AC4354"/>
    <w:rsid w:val="00AC4C83"/>
    <w:rsid w:val="00AD4F06"/>
    <w:rsid w:val="00AE7AB3"/>
    <w:rsid w:val="00AF4C49"/>
    <w:rsid w:val="00AF6C02"/>
    <w:rsid w:val="00B00832"/>
    <w:rsid w:val="00B019A0"/>
    <w:rsid w:val="00B2152C"/>
    <w:rsid w:val="00B2162F"/>
    <w:rsid w:val="00B34414"/>
    <w:rsid w:val="00B3640B"/>
    <w:rsid w:val="00B36CE6"/>
    <w:rsid w:val="00B42162"/>
    <w:rsid w:val="00B43B1F"/>
    <w:rsid w:val="00B5286D"/>
    <w:rsid w:val="00B5583C"/>
    <w:rsid w:val="00B56F87"/>
    <w:rsid w:val="00B64449"/>
    <w:rsid w:val="00B66D8C"/>
    <w:rsid w:val="00B70C3D"/>
    <w:rsid w:val="00B942CF"/>
    <w:rsid w:val="00BA3517"/>
    <w:rsid w:val="00BA3C35"/>
    <w:rsid w:val="00BA58F6"/>
    <w:rsid w:val="00BA7805"/>
    <w:rsid w:val="00BB034D"/>
    <w:rsid w:val="00BC1E08"/>
    <w:rsid w:val="00BC5131"/>
    <w:rsid w:val="00BC7CA2"/>
    <w:rsid w:val="00BD11AC"/>
    <w:rsid w:val="00BD283D"/>
    <w:rsid w:val="00BE0F52"/>
    <w:rsid w:val="00BE452A"/>
    <w:rsid w:val="00BF0C80"/>
    <w:rsid w:val="00BF124E"/>
    <w:rsid w:val="00C0084E"/>
    <w:rsid w:val="00C01425"/>
    <w:rsid w:val="00C05664"/>
    <w:rsid w:val="00C12152"/>
    <w:rsid w:val="00C308C3"/>
    <w:rsid w:val="00C36F84"/>
    <w:rsid w:val="00C42332"/>
    <w:rsid w:val="00C46344"/>
    <w:rsid w:val="00C4730D"/>
    <w:rsid w:val="00C50AAF"/>
    <w:rsid w:val="00C5120C"/>
    <w:rsid w:val="00C676D8"/>
    <w:rsid w:val="00C715AA"/>
    <w:rsid w:val="00C726D0"/>
    <w:rsid w:val="00C80B39"/>
    <w:rsid w:val="00C86A5F"/>
    <w:rsid w:val="00CA3645"/>
    <w:rsid w:val="00CA3661"/>
    <w:rsid w:val="00CA42F6"/>
    <w:rsid w:val="00CC0A79"/>
    <w:rsid w:val="00CC371C"/>
    <w:rsid w:val="00CC60FC"/>
    <w:rsid w:val="00CC7940"/>
    <w:rsid w:val="00CD7A02"/>
    <w:rsid w:val="00CF0E50"/>
    <w:rsid w:val="00CF4BE9"/>
    <w:rsid w:val="00D034AB"/>
    <w:rsid w:val="00D13B6B"/>
    <w:rsid w:val="00D22B80"/>
    <w:rsid w:val="00D330C4"/>
    <w:rsid w:val="00D35784"/>
    <w:rsid w:val="00D37592"/>
    <w:rsid w:val="00D42AED"/>
    <w:rsid w:val="00D4375D"/>
    <w:rsid w:val="00D5011C"/>
    <w:rsid w:val="00D509A7"/>
    <w:rsid w:val="00D54758"/>
    <w:rsid w:val="00D601D2"/>
    <w:rsid w:val="00D60482"/>
    <w:rsid w:val="00D61F89"/>
    <w:rsid w:val="00D72C3B"/>
    <w:rsid w:val="00D730BE"/>
    <w:rsid w:val="00D85E40"/>
    <w:rsid w:val="00DA156E"/>
    <w:rsid w:val="00DA4C56"/>
    <w:rsid w:val="00DB1017"/>
    <w:rsid w:val="00DB38FB"/>
    <w:rsid w:val="00DC32CD"/>
    <w:rsid w:val="00DC35F2"/>
    <w:rsid w:val="00DE0BBA"/>
    <w:rsid w:val="00DE2F5A"/>
    <w:rsid w:val="00DE339C"/>
    <w:rsid w:val="00DE7715"/>
    <w:rsid w:val="00E0071B"/>
    <w:rsid w:val="00E2143B"/>
    <w:rsid w:val="00E25802"/>
    <w:rsid w:val="00E31F79"/>
    <w:rsid w:val="00E6222D"/>
    <w:rsid w:val="00E63068"/>
    <w:rsid w:val="00E6359F"/>
    <w:rsid w:val="00E63BC8"/>
    <w:rsid w:val="00E646C7"/>
    <w:rsid w:val="00E647DA"/>
    <w:rsid w:val="00E6727A"/>
    <w:rsid w:val="00E76C46"/>
    <w:rsid w:val="00E8788A"/>
    <w:rsid w:val="00E97960"/>
    <w:rsid w:val="00E979D2"/>
    <w:rsid w:val="00EA53B9"/>
    <w:rsid w:val="00EB3D73"/>
    <w:rsid w:val="00EC02B6"/>
    <w:rsid w:val="00EC6324"/>
    <w:rsid w:val="00EC7E01"/>
    <w:rsid w:val="00EE139E"/>
    <w:rsid w:val="00EE228C"/>
    <w:rsid w:val="00EE4383"/>
    <w:rsid w:val="00EE491C"/>
    <w:rsid w:val="00EF7D85"/>
    <w:rsid w:val="00F00FF1"/>
    <w:rsid w:val="00F02C3D"/>
    <w:rsid w:val="00F1305E"/>
    <w:rsid w:val="00F16E81"/>
    <w:rsid w:val="00F2485E"/>
    <w:rsid w:val="00F30531"/>
    <w:rsid w:val="00F31891"/>
    <w:rsid w:val="00F343EA"/>
    <w:rsid w:val="00F357CB"/>
    <w:rsid w:val="00F42278"/>
    <w:rsid w:val="00F541D9"/>
    <w:rsid w:val="00F72E47"/>
    <w:rsid w:val="00F81609"/>
    <w:rsid w:val="00F83C00"/>
    <w:rsid w:val="00F9130B"/>
    <w:rsid w:val="00F97718"/>
    <w:rsid w:val="00FA1809"/>
    <w:rsid w:val="00FA2104"/>
    <w:rsid w:val="00FA4CCB"/>
    <w:rsid w:val="00FB5CD6"/>
    <w:rsid w:val="00FC257F"/>
    <w:rsid w:val="00FE310F"/>
    <w:rsid w:val="00FE4822"/>
    <w:rsid w:val="00FE57D3"/>
    <w:rsid w:val="00FE6199"/>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DE719"/>
  <w15:docId w15:val="{3CE6A6F4-1FEA-4BEF-A93D-8FA8A08E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table" w:styleId="Tablaconcuadrcula4-nfasis5">
    <w:name w:val="Grid Table 4 Accent 5"/>
    <w:basedOn w:val="Tablanormal"/>
    <w:uiPriority w:val="49"/>
    <w:rsid w:val="009A04B1"/>
    <w:rPr>
      <w:rFonts w:ascii="Calibri" w:eastAsia="Calibri" w:hAnsi="Calibr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1631</TotalTime>
  <Pages>25</Pages>
  <Words>9876</Words>
  <Characters>52116</Characters>
  <Application>Microsoft Office Word</Application>
  <DocSecurity>8</DocSecurity>
  <Lines>434</Lines>
  <Paragraphs>123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61869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45</cp:revision>
  <cp:lastPrinted>2011-09-07T16:03:00Z</cp:lastPrinted>
  <dcterms:created xsi:type="dcterms:W3CDTF">2022-01-24T22:20:00Z</dcterms:created>
  <dcterms:modified xsi:type="dcterms:W3CDTF">2022-02-01T13:58:00Z</dcterms:modified>
</cp:coreProperties>
</file>