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CEEB" w14:textId="77777777" w:rsidR="00FA4CCB" w:rsidRDefault="00FA4CCB">
      <w:pPr>
        <w:pStyle w:val="Ttulo"/>
        <w:ind w:right="51"/>
        <w:rPr>
          <w:rFonts w:cs="Arial"/>
        </w:rPr>
      </w:pPr>
      <w:r>
        <w:rPr>
          <w:rFonts w:cs="Arial"/>
        </w:rPr>
        <w:t>BANCO HIPOTECARIO DE LA VIVIENDA</w:t>
      </w:r>
    </w:p>
    <w:p w14:paraId="7CDAB561" w14:textId="77777777" w:rsidR="00FA4CCB" w:rsidRDefault="00FA4CCB">
      <w:pPr>
        <w:spacing w:line="360" w:lineRule="auto"/>
        <w:ind w:right="51"/>
        <w:jc w:val="center"/>
        <w:rPr>
          <w:rFonts w:cs="Arial"/>
          <w:b/>
          <w:sz w:val="22"/>
          <w:u w:val="single"/>
        </w:rPr>
      </w:pPr>
      <w:r>
        <w:rPr>
          <w:rFonts w:cs="Arial"/>
          <w:b/>
          <w:sz w:val="22"/>
          <w:u w:val="single"/>
        </w:rPr>
        <w:t>JUNTA DIRECTIVA</w:t>
      </w:r>
    </w:p>
    <w:p w14:paraId="6D6D4A4A" w14:textId="77777777" w:rsidR="00FA4CCB" w:rsidRDefault="00FA4CCB">
      <w:pPr>
        <w:spacing w:line="360" w:lineRule="auto"/>
        <w:ind w:right="51"/>
        <w:jc w:val="center"/>
        <w:rPr>
          <w:rFonts w:cs="Arial"/>
          <w:b/>
          <w:sz w:val="22"/>
          <w:u w:val="single"/>
        </w:rPr>
      </w:pPr>
    </w:p>
    <w:p w14:paraId="14C7E30F" w14:textId="7CD66F5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20E4C">
        <w:rPr>
          <w:rFonts w:cs="Arial"/>
          <w:b/>
          <w:sz w:val="22"/>
          <w:u w:val="single"/>
        </w:rPr>
        <w:t>01</w:t>
      </w:r>
      <w:r>
        <w:rPr>
          <w:rFonts w:cs="Arial"/>
          <w:b/>
          <w:sz w:val="22"/>
          <w:u w:val="single"/>
        </w:rPr>
        <w:t>-20</w:t>
      </w:r>
      <w:r w:rsidR="00E97960">
        <w:rPr>
          <w:rFonts w:cs="Arial"/>
          <w:b/>
          <w:sz w:val="22"/>
          <w:u w:val="single"/>
        </w:rPr>
        <w:t>2</w:t>
      </w:r>
      <w:r w:rsidR="009449EE">
        <w:rPr>
          <w:rFonts w:cs="Arial"/>
          <w:b/>
          <w:sz w:val="22"/>
          <w:u w:val="single"/>
        </w:rPr>
        <w:t>1</w:t>
      </w:r>
    </w:p>
    <w:p w14:paraId="535E78C3" w14:textId="4266D34D" w:rsidR="00FA4CCB" w:rsidRDefault="00FA4CCB">
      <w:pPr>
        <w:spacing w:line="360" w:lineRule="auto"/>
        <w:ind w:right="51"/>
        <w:jc w:val="center"/>
        <w:rPr>
          <w:rFonts w:cs="Arial"/>
          <w:b/>
          <w:sz w:val="22"/>
          <w:u w:val="single"/>
        </w:rPr>
      </w:pPr>
      <w:r>
        <w:rPr>
          <w:rFonts w:cs="Arial"/>
          <w:b/>
          <w:sz w:val="22"/>
          <w:u w:val="single"/>
        </w:rPr>
        <w:t xml:space="preserve">DEL </w:t>
      </w:r>
      <w:r w:rsidR="00720E4C">
        <w:rPr>
          <w:rFonts w:cs="Arial"/>
          <w:b/>
          <w:sz w:val="22"/>
          <w:u w:val="single"/>
        </w:rPr>
        <w:t>04</w:t>
      </w:r>
      <w:r>
        <w:rPr>
          <w:rFonts w:cs="Arial"/>
          <w:b/>
          <w:sz w:val="22"/>
          <w:u w:val="single"/>
        </w:rPr>
        <w:t xml:space="preserve"> DE </w:t>
      </w:r>
      <w:r w:rsidR="00720E4C">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6A4BA12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272974E" w14:textId="77777777" w:rsidR="00FA4CCB" w:rsidRDefault="00FA4CCB">
      <w:pPr>
        <w:spacing w:line="360" w:lineRule="auto"/>
        <w:ind w:right="51"/>
        <w:jc w:val="center"/>
        <w:rPr>
          <w:rFonts w:cs="Arial"/>
          <w:b/>
          <w:sz w:val="22"/>
          <w:u w:val="single"/>
        </w:rPr>
      </w:pPr>
    </w:p>
    <w:p w14:paraId="31237D61"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98DB766" w14:textId="77777777" w:rsidR="00AD4F06" w:rsidRDefault="00AD4F06" w:rsidP="0066494B">
      <w:pPr>
        <w:spacing w:line="360" w:lineRule="auto"/>
        <w:jc w:val="both"/>
        <w:rPr>
          <w:rFonts w:cs="Arial"/>
          <w:sz w:val="22"/>
        </w:rPr>
      </w:pPr>
    </w:p>
    <w:p w14:paraId="0CC190A3"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14BC52E" w14:textId="77777777" w:rsidR="006321F4" w:rsidRPr="00D14EAF" w:rsidRDefault="006321F4" w:rsidP="006321F4">
      <w:pPr>
        <w:spacing w:line="360" w:lineRule="auto"/>
        <w:jc w:val="both"/>
        <w:rPr>
          <w:rFonts w:cs="Arial"/>
          <w:b/>
          <w:sz w:val="22"/>
        </w:rPr>
      </w:pPr>
      <w:r w:rsidRPr="00D14EAF">
        <w:rPr>
          <w:rFonts w:cs="Arial"/>
          <w:b/>
          <w:sz w:val="22"/>
        </w:rPr>
        <w:t>************</w:t>
      </w:r>
    </w:p>
    <w:p w14:paraId="02D87159" w14:textId="77777777" w:rsidR="00FA4CCB" w:rsidRDefault="00FA4CCB" w:rsidP="0066494B">
      <w:pPr>
        <w:spacing w:line="360" w:lineRule="auto"/>
        <w:jc w:val="both"/>
        <w:rPr>
          <w:rFonts w:cs="Arial"/>
          <w:sz w:val="22"/>
        </w:rPr>
      </w:pPr>
    </w:p>
    <w:p w14:paraId="44810BB8" w14:textId="77777777" w:rsidR="00FA4CCB" w:rsidRDefault="00FA4CCB" w:rsidP="0066494B">
      <w:pPr>
        <w:pStyle w:val="Ttulo4"/>
        <w:spacing w:line="360" w:lineRule="auto"/>
        <w:jc w:val="both"/>
        <w:rPr>
          <w:rFonts w:cs="Arial"/>
        </w:rPr>
      </w:pPr>
      <w:r>
        <w:rPr>
          <w:rFonts w:cs="Arial"/>
        </w:rPr>
        <w:t>Asuntos conocidos en la presente sesión</w:t>
      </w:r>
    </w:p>
    <w:p w14:paraId="25AB6804" w14:textId="77777777" w:rsidR="00FA4CCB" w:rsidRDefault="00FA4CCB" w:rsidP="0066494B">
      <w:pPr>
        <w:spacing w:line="360" w:lineRule="auto"/>
        <w:jc w:val="both"/>
        <w:rPr>
          <w:rFonts w:cs="Arial"/>
          <w:b/>
          <w:sz w:val="22"/>
        </w:rPr>
      </w:pPr>
    </w:p>
    <w:p w14:paraId="3BC2279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EE913B3" w14:textId="77777777" w:rsidR="00720E4C" w:rsidRPr="00A02D21" w:rsidRDefault="00720E4C" w:rsidP="00660832">
      <w:pPr>
        <w:pStyle w:val="Prrafodelista"/>
        <w:numPr>
          <w:ilvl w:val="0"/>
          <w:numId w:val="2"/>
        </w:numPr>
        <w:spacing w:line="360" w:lineRule="auto"/>
        <w:ind w:left="567" w:hanging="567"/>
        <w:jc w:val="both"/>
        <w:rPr>
          <w:rFonts w:cs="Arial"/>
          <w:sz w:val="22"/>
          <w:lang w:val="es-CR"/>
        </w:rPr>
      </w:pPr>
      <w:r w:rsidRPr="00A02D21">
        <w:rPr>
          <w:rFonts w:cs="Arial"/>
          <w:sz w:val="22"/>
          <w:lang w:val="es-ES_tradnl"/>
        </w:rPr>
        <w:t xml:space="preserve">Lectura y aprobación de las actas N° 98-2020 del 14/12/2020 y N° 99-2020 del 17/11/2020. </w:t>
      </w:r>
    </w:p>
    <w:p w14:paraId="514764A4" w14:textId="5669166E" w:rsidR="00720E4C" w:rsidRPr="00A02D21" w:rsidRDefault="00720E4C" w:rsidP="00660832">
      <w:pPr>
        <w:pStyle w:val="Prrafodelista"/>
        <w:numPr>
          <w:ilvl w:val="0"/>
          <w:numId w:val="2"/>
        </w:numPr>
        <w:spacing w:line="360" w:lineRule="auto"/>
        <w:ind w:left="567" w:hanging="567"/>
        <w:jc w:val="both"/>
        <w:rPr>
          <w:rFonts w:cs="Arial"/>
          <w:sz w:val="22"/>
          <w:lang w:val="es-CR"/>
        </w:rPr>
      </w:pPr>
      <w:r w:rsidRPr="00A02D21">
        <w:rPr>
          <w:rFonts w:cs="Arial"/>
          <w:sz w:val="22"/>
          <w:lang w:val="es-CR"/>
        </w:rPr>
        <w:t>Recomendación sobre propuesta de anteproyecto del proyecto COBASUR.</w:t>
      </w:r>
    </w:p>
    <w:p w14:paraId="2B2350BF" w14:textId="46A6BC4D" w:rsidR="00720E4C" w:rsidRPr="00A02D21" w:rsidRDefault="00720E4C" w:rsidP="00660832">
      <w:pPr>
        <w:pStyle w:val="Prrafodelista"/>
        <w:numPr>
          <w:ilvl w:val="0"/>
          <w:numId w:val="2"/>
        </w:numPr>
        <w:spacing w:line="360" w:lineRule="auto"/>
        <w:ind w:left="567" w:hanging="567"/>
        <w:jc w:val="both"/>
        <w:rPr>
          <w:rFonts w:cs="Arial"/>
          <w:sz w:val="22"/>
          <w:lang w:val="es-CR"/>
        </w:rPr>
      </w:pPr>
      <w:r w:rsidRPr="00A02D21">
        <w:rPr>
          <w:rFonts w:cs="Arial"/>
          <w:sz w:val="22"/>
          <w:lang w:val="es-CR"/>
        </w:rPr>
        <w:t>Informe sobre el estado del préstamo del inmueble al INDER, del proyecto COBASUR.</w:t>
      </w:r>
    </w:p>
    <w:p w14:paraId="40879785" w14:textId="2BAAD283" w:rsidR="00720E4C" w:rsidRPr="00A02D21" w:rsidRDefault="00720E4C" w:rsidP="00660832">
      <w:pPr>
        <w:pStyle w:val="Prrafodelista"/>
        <w:numPr>
          <w:ilvl w:val="0"/>
          <w:numId w:val="2"/>
        </w:numPr>
        <w:spacing w:line="360" w:lineRule="auto"/>
        <w:ind w:left="567" w:hanging="567"/>
        <w:jc w:val="both"/>
        <w:rPr>
          <w:rFonts w:cs="Arial"/>
          <w:sz w:val="22"/>
          <w:lang w:val="es-CR"/>
        </w:rPr>
      </w:pPr>
      <w:r w:rsidRPr="00A02D21">
        <w:rPr>
          <w:rFonts w:cs="Arial"/>
          <w:sz w:val="22"/>
          <w:lang w:val="es-CR"/>
        </w:rPr>
        <w:t>Propuesta de programas de crédito y plan de captaciones del FONAVI para el año 2021.</w:t>
      </w:r>
    </w:p>
    <w:p w14:paraId="422600FF" w14:textId="038B1657" w:rsidR="00720E4C" w:rsidRPr="00A02D21" w:rsidRDefault="00720E4C" w:rsidP="00660832">
      <w:pPr>
        <w:pStyle w:val="Prrafodelista"/>
        <w:numPr>
          <w:ilvl w:val="0"/>
          <w:numId w:val="2"/>
        </w:numPr>
        <w:spacing w:line="360" w:lineRule="auto"/>
        <w:ind w:left="567" w:hanging="567"/>
        <w:jc w:val="both"/>
        <w:rPr>
          <w:rFonts w:cs="Arial"/>
          <w:sz w:val="22"/>
          <w:lang w:val="es-CR"/>
        </w:rPr>
      </w:pPr>
      <w:r w:rsidRPr="00A02D21">
        <w:rPr>
          <w:rFonts w:cs="Arial"/>
          <w:sz w:val="22"/>
          <w:lang w:val="es-CR"/>
        </w:rPr>
        <w:t xml:space="preserve">Solicitud de aprobación de programa de emisión de títulos valores del Grupo Mutual Alajuela </w:t>
      </w:r>
      <w:r w:rsidR="00A02D21" w:rsidRPr="00A02D21">
        <w:rPr>
          <w:rFonts w:cs="Arial"/>
          <w:sz w:val="22"/>
          <w:lang w:val="es-CR"/>
        </w:rPr>
        <w:t xml:space="preserve">– </w:t>
      </w:r>
      <w:r w:rsidRPr="00A02D21">
        <w:rPr>
          <w:rFonts w:cs="Arial"/>
          <w:sz w:val="22"/>
          <w:lang w:val="es-CR"/>
        </w:rPr>
        <w:t>La Vivienda.</w:t>
      </w:r>
    </w:p>
    <w:p w14:paraId="488224AB" w14:textId="69FF0BF2" w:rsidR="009A626E" w:rsidRPr="00A02D21" w:rsidRDefault="009A626E"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lang w:val="es-CR"/>
        </w:rPr>
        <w:lastRenderedPageBreak/>
        <w:t xml:space="preserve">Consulta sobre los procesos para </w:t>
      </w:r>
      <w:r w:rsidR="00B80B56" w:rsidRPr="00A02D21">
        <w:rPr>
          <w:rFonts w:cs="Arial"/>
          <w:sz w:val="22"/>
          <w:lang w:val="es-CR"/>
        </w:rPr>
        <w:t xml:space="preserve">el nombramiento del asesor jurídico para la </w:t>
      </w:r>
      <w:r w:rsidR="00B80B56" w:rsidRPr="00A02D21">
        <w:rPr>
          <w:rFonts w:cs="Arial"/>
          <w:sz w:val="22"/>
          <w:lang w:val="es-ES_tradnl"/>
        </w:rPr>
        <w:t xml:space="preserve">Junta Directiva, el Subgerente de Operaciones y el jefe de la </w:t>
      </w:r>
      <w:r w:rsidR="00B80B56" w:rsidRPr="00A02D21">
        <w:rPr>
          <w:rFonts w:cs="Arial"/>
          <w:sz w:val="22"/>
          <w:szCs w:val="22"/>
          <w:lang w:val="es-ES_tradnl"/>
        </w:rPr>
        <w:t>Asesoría Legal.</w:t>
      </w:r>
    </w:p>
    <w:p w14:paraId="787A2957" w14:textId="3C1534F1" w:rsidR="00B80B56" w:rsidRPr="00A02D21" w:rsidRDefault="00B80B56"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szCs w:val="22"/>
          <w:lang w:val="es-ES_tradnl"/>
        </w:rPr>
        <w:t>Comentarios sobre el tema de las cargas sociales que debe pagar UNOPS a sus colaboradores.</w:t>
      </w:r>
    </w:p>
    <w:p w14:paraId="1512B36C" w14:textId="73344A19" w:rsidR="00B80B56" w:rsidRPr="00A02D21" w:rsidRDefault="00B80B56"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szCs w:val="22"/>
          <w:lang w:val="es-ES_tradnl"/>
        </w:rPr>
        <w:t>Propuestas con respecto a la definición de un tope para los bonos del artículo 59, las normas del INVU sobre urbanizaciones y conjuntos residenciales, y la normativa para adultos mayores.</w:t>
      </w:r>
    </w:p>
    <w:p w14:paraId="380B8796" w14:textId="73CF00BE" w:rsidR="00B80B56" w:rsidRPr="00A02D21" w:rsidRDefault="00B80B56"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szCs w:val="22"/>
          <w:lang w:val="es-ES_tradnl"/>
        </w:rPr>
        <w:t>Información sobre labor realizada en torno a la normativa del bono ordinario y propuesta para implementar unidades ejecutoras de los proyectos en terrenos del BANHVI.</w:t>
      </w:r>
    </w:p>
    <w:p w14:paraId="675C5D80" w14:textId="3F6B4762" w:rsidR="00B80B56" w:rsidRPr="00A02D21" w:rsidRDefault="00B80B56"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szCs w:val="22"/>
          <w:lang w:val="es-ES_tradnl"/>
        </w:rPr>
        <w:t>Informe sobre estudios realizados por la Auditoría Interna en las últimas semanas.</w:t>
      </w:r>
    </w:p>
    <w:p w14:paraId="119E3E31" w14:textId="25D363F3" w:rsidR="00B80B56" w:rsidRPr="00A02D21" w:rsidRDefault="00B87374" w:rsidP="00660832">
      <w:pPr>
        <w:pStyle w:val="Prrafodelista"/>
        <w:numPr>
          <w:ilvl w:val="0"/>
          <w:numId w:val="2"/>
        </w:numPr>
        <w:spacing w:line="360" w:lineRule="auto"/>
        <w:ind w:left="567" w:hanging="567"/>
        <w:jc w:val="both"/>
        <w:rPr>
          <w:rFonts w:cs="Arial"/>
          <w:sz w:val="22"/>
          <w:szCs w:val="22"/>
          <w:lang w:val="es-CR"/>
        </w:rPr>
      </w:pPr>
      <w:r w:rsidRPr="00A02D21">
        <w:rPr>
          <w:rFonts w:cs="Arial"/>
          <w:sz w:val="22"/>
          <w:szCs w:val="22"/>
          <w:lang w:val="es-CR"/>
        </w:rPr>
        <w:t xml:space="preserve">Copia de escrito enviado por una empresa denunciante a la </w:t>
      </w:r>
      <w:r w:rsidRPr="00A02D21">
        <w:rPr>
          <w:rFonts w:cs="Arial"/>
          <w:sz w:val="22"/>
          <w:szCs w:val="22"/>
          <w:lang w:val="es-ES_tradnl"/>
        </w:rPr>
        <w:t xml:space="preserve">Gerencia General, remitiendo ampliación </w:t>
      </w:r>
      <w:r w:rsidRPr="00A02D21">
        <w:rPr>
          <w:rFonts w:cs="Arial"/>
          <w:sz w:val="22"/>
          <w:szCs w:val="22"/>
          <w:lang w:val="es-CR"/>
        </w:rPr>
        <w:t>a los argumentos sobre los contratos de construcción de esa empresa con beneficiarios de bono y que, según su criterio, una entidad autorizada ha invalidado indebidamente.</w:t>
      </w:r>
    </w:p>
    <w:p w14:paraId="39AE2C48" w14:textId="347622E1" w:rsidR="00B87374" w:rsidRPr="00A02D21" w:rsidRDefault="00B87374" w:rsidP="00660832">
      <w:pPr>
        <w:pStyle w:val="Prrafodelista"/>
        <w:numPr>
          <w:ilvl w:val="0"/>
          <w:numId w:val="2"/>
        </w:numPr>
        <w:spacing w:line="360" w:lineRule="auto"/>
        <w:ind w:left="567" w:hanging="567"/>
        <w:jc w:val="both"/>
        <w:rPr>
          <w:rFonts w:cs="Arial"/>
          <w:sz w:val="22"/>
          <w:szCs w:val="22"/>
          <w:lang w:val="es-ES_tradnl"/>
        </w:rPr>
      </w:pPr>
      <w:r w:rsidRPr="00A02D21">
        <w:rPr>
          <w:rFonts w:cs="Arial"/>
          <w:sz w:val="22"/>
          <w:szCs w:val="22"/>
          <w:lang w:val="es-ES_tradnl"/>
        </w:rPr>
        <w:t xml:space="preserve">Copia de oficio enviado por la Gerencia General a la Constructora León Aguilar, comunicando la </w:t>
      </w:r>
      <w:r w:rsidRPr="00A02D21">
        <w:rPr>
          <w:rFonts w:cs="Arial"/>
          <w:sz w:val="22"/>
          <w:szCs w:val="22"/>
          <w:lang w:val="es-CR"/>
        </w:rPr>
        <w:t>disponibilidad de horario para fotocopiar los documentos requeridos sobre un grupo de proyectos de vivienda.</w:t>
      </w:r>
    </w:p>
    <w:p w14:paraId="0FDC41D7" w14:textId="77777777" w:rsidR="006321F4" w:rsidRPr="00D14EAF" w:rsidRDefault="006321F4" w:rsidP="006321F4">
      <w:pPr>
        <w:spacing w:line="360" w:lineRule="auto"/>
        <w:jc w:val="both"/>
        <w:rPr>
          <w:rFonts w:cs="Arial"/>
          <w:b/>
          <w:sz w:val="22"/>
        </w:rPr>
      </w:pPr>
      <w:r w:rsidRPr="00D14EAF">
        <w:rPr>
          <w:rFonts w:cs="Arial"/>
          <w:b/>
          <w:sz w:val="22"/>
        </w:rPr>
        <w:t>************</w:t>
      </w:r>
    </w:p>
    <w:p w14:paraId="0FD69F23" w14:textId="77777777" w:rsidR="007F614F" w:rsidRPr="00AB2826" w:rsidRDefault="007F614F" w:rsidP="002D0146">
      <w:pPr>
        <w:spacing w:line="360" w:lineRule="auto"/>
        <w:jc w:val="both"/>
        <w:rPr>
          <w:rFonts w:cs="Arial"/>
          <w:b/>
          <w:sz w:val="22"/>
          <w:szCs w:val="22"/>
          <w:u w:val="single"/>
          <w:lang w:val="es-ES_tradnl"/>
        </w:rPr>
      </w:pPr>
    </w:p>
    <w:p w14:paraId="37A3C6E0" w14:textId="1FB2C16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02D21" w:rsidRPr="00A02D21">
        <w:rPr>
          <w:rFonts w:cs="Arial"/>
          <w:b/>
          <w:bCs/>
          <w:sz w:val="22"/>
          <w:u w:val="single"/>
          <w:lang w:val="es-ES_tradnl"/>
        </w:rPr>
        <w:t>Lectura y aprobación de las actas N° 98-2020 del 14/12/2020 y N° 99-2020 del 17/11/2020</w:t>
      </w:r>
    </w:p>
    <w:p w14:paraId="21114BF4" w14:textId="77777777" w:rsidR="00FA4CCB" w:rsidRDefault="00FA4CCB" w:rsidP="002D0146">
      <w:pPr>
        <w:spacing w:line="360" w:lineRule="auto"/>
        <w:jc w:val="both"/>
        <w:rPr>
          <w:rFonts w:cs="Arial"/>
          <w:sz w:val="22"/>
          <w:szCs w:val="22"/>
        </w:rPr>
      </w:pPr>
    </w:p>
    <w:p w14:paraId="2F9B9B8B" w14:textId="4C19DCA1"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2E594B">
        <w:rPr>
          <w:rFonts w:cs="Arial"/>
          <w:sz w:val="22"/>
          <w:u w:val="single"/>
          <w:lang w:val="es-ES_tradnl"/>
        </w:rPr>
        <w:t>3</w:t>
      </w:r>
      <w:r w:rsidRPr="0039311E">
        <w:rPr>
          <w:rFonts w:cs="Arial"/>
          <w:sz w:val="22"/>
          <w:u w:val="single"/>
          <w:lang w:val="es-ES_tradnl"/>
        </w:rPr>
        <w:t>:</w:t>
      </w:r>
      <w:r w:rsidR="002E594B">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2E594B">
        <w:rPr>
          <w:rFonts w:cs="Arial"/>
          <w:sz w:val="22"/>
          <w:lang w:val="es-ES_tradnl"/>
        </w:rPr>
        <w:t>98</w:t>
      </w:r>
      <w:r>
        <w:rPr>
          <w:rFonts w:cs="Arial"/>
          <w:sz w:val="22"/>
          <w:lang w:val="es-ES_tradnl"/>
        </w:rPr>
        <w:t>-20</w:t>
      </w:r>
      <w:r w:rsidR="00E97960">
        <w:rPr>
          <w:rFonts w:cs="Arial"/>
          <w:sz w:val="22"/>
          <w:lang w:val="es-ES_tradnl"/>
        </w:rPr>
        <w:t>20</w:t>
      </w:r>
      <w:r>
        <w:rPr>
          <w:rFonts w:cs="Arial"/>
          <w:sz w:val="22"/>
          <w:lang w:val="es-ES_tradnl"/>
        </w:rPr>
        <w:t>, celebrada el 1</w:t>
      </w:r>
      <w:r w:rsidR="002E594B">
        <w:rPr>
          <w:rFonts w:cs="Arial"/>
          <w:sz w:val="22"/>
          <w:lang w:val="es-ES_tradnl"/>
        </w:rPr>
        <w:t>4</w:t>
      </w:r>
      <w:r>
        <w:rPr>
          <w:rFonts w:cs="Arial"/>
          <w:sz w:val="22"/>
          <w:lang w:val="es-ES_tradnl"/>
        </w:rPr>
        <w:t xml:space="preserve"> de diciembre de 20</w:t>
      </w:r>
      <w:r w:rsidR="00E97960">
        <w:rPr>
          <w:rFonts w:cs="Arial"/>
          <w:sz w:val="22"/>
          <w:lang w:val="es-ES_tradnl"/>
        </w:rPr>
        <w:t>20</w:t>
      </w:r>
      <w:r>
        <w:rPr>
          <w:rFonts w:cs="Arial"/>
          <w:sz w:val="22"/>
          <w:lang w:val="es-ES_tradnl"/>
        </w:rPr>
        <w:t>.</w:t>
      </w:r>
    </w:p>
    <w:p w14:paraId="7FAAFD68" w14:textId="77777777" w:rsidR="009D03FE" w:rsidRDefault="009D03FE" w:rsidP="002D0146">
      <w:pPr>
        <w:spacing w:line="360" w:lineRule="auto"/>
        <w:jc w:val="both"/>
        <w:rPr>
          <w:rFonts w:cs="Arial"/>
          <w:sz w:val="22"/>
          <w:szCs w:val="22"/>
        </w:rPr>
      </w:pPr>
    </w:p>
    <w:p w14:paraId="5DC87DC9" w14:textId="0E7ECAE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E594B">
        <w:rPr>
          <w:rFonts w:cs="Arial"/>
          <w:sz w:val="22"/>
          <w:u w:val="single"/>
          <w:lang w:val="es-ES_tradnl"/>
        </w:rPr>
        <w:t>14:06</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F8E5D5C" w14:textId="77777777" w:rsidR="00E97960" w:rsidRDefault="00E97960" w:rsidP="009D03FE">
      <w:pPr>
        <w:spacing w:line="360" w:lineRule="auto"/>
        <w:jc w:val="both"/>
        <w:rPr>
          <w:rFonts w:cs="Arial"/>
          <w:sz w:val="22"/>
          <w:lang w:val="es-ES_tradnl"/>
        </w:rPr>
      </w:pPr>
    </w:p>
    <w:p w14:paraId="43A08E5A" w14:textId="5C47D0E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E594B">
        <w:rPr>
          <w:rFonts w:cs="Arial"/>
          <w:sz w:val="22"/>
          <w:u w:val="single"/>
          <w:lang w:val="es-ES_tradnl"/>
        </w:rPr>
        <w:t>14</w:t>
      </w:r>
      <w:r w:rsidRPr="0039311E">
        <w:rPr>
          <w:rFonts w:cs="Arial"/>
          <w:sz w:val="22"/>
          <w:u w:val="single"/>
          <w:lang w:val="es-ES_tradnl"/>
        </w:rPr>
        <w:t>:</w:t>
      </w:r>
      <w:r w:rsidR="002E594B">
        <w:rPr>
          <w:rFonts w:cs="Arial"/>
          <w:sz w:val="22"/>
          <w:u w:val="single"/>
          <w:lang w:val="es-ES_tradnl"/>
        </w:rPr>
        <w:t>27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E594B">
        <w:rPr>
          <w:rFonts w:cs="Arial"/>
          <w:sz w:val="22"/>
          <w:lang w:val="es-ES_tradnl"/>
        </w:rPr>
        <w:t>extra</w:t>
      </w:r>
      <w:r>
        <w:rPr>
          <w:rFonts w:cs="Arial"/>
          <w:sz w:val="22"/>
          <w:lang w:val="es-ES_tradnl"/>
        </w:rPr>
        <w:t xml:space="preserve">ordinaria N° </w:t>
      </w:r>
      <w:r w:rsidR="002E594B">
        <w:rPr>
          <w:rFonts w:cs="Arial"/>
          <w:sz w:val="22"/>
          <w:lang w:val="es-ES_tradnl"/>
        </w:rPr>
        <w:t>99</w:t>
      </w:r>
      <w:r>
        <w:rPr>
          <w:rFonts w:cs="Arial"/>
          <w:sz w:val="22"/>
          <w:lang w:val="es-ES_tradnl"/>
        </w:rPr>
        <w:t>-2020, celebrada el 1</w:t>
      </w:r>
      <w:r w:rsidR="002E594B">
        <w:rPr>
          <w:rFonts w:cs="Arial"/>
          <w:sz w:val="22"/>
          <w:lang w:val="es-ES_tradnl"/>
        </w:rPr>
        <w:t>7</w:t>
      </w:r>
      <w:r>
        <w:rPr>
          <w:rFonts w:cs="Arial"/>
          <w:sz w:val="22"/>
          <w:lang w:val="es-ES_tradnl"/>
        </w:rPr>
        <w:t xml:space="preserve"> de diciembre de 2020.</w:t>
      </w:r>
    </w:p>
    <w:p w14:paraId="0181FD53" w14:textId="77777777" w:rsidR="00E97960" w:rsidRDefault="00E97960" w:rsidP="00E97960">
      <w:pPr>
        <w:spacing w:line="360" w:lineRule="auto"/>
        <w:jc w:val="both"/>
        <w:rPr>
          <w:rFonts w:cs="Arial"/>
          <w:sz w:val="22"/>
          <w:szCs w:val="22"/>
        </w:rPr>
      </w:pPr>
    </w:p>
    <w:p w14:paraId="72DFF878" w14:textId="62123688"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E594B">
        <w:rPr>
          <w:rFonts w:cs="Arial"/>
          <w:sz w:val="22"/>
          <w:u w:val="single"/>
          <w:lang w:val="es-ES_tradnl"/>
        </w:rPr>
        <w:t>24</w:t>
      </w:r>
      <w:r w:rsidR="00B07FF4">
        <w:rPr>
          <w:rFonts w:cs="Arial"/>
          <w:sz w:val="22"/>
          <w:u w:val="single"/>
          <w:lang w:val="es-ES_tradnl"/>
        </w:rPr>
        <w:t>:05</w:t>
      </w:r>
      <w:r>
        <w:rPr>
          <w:rFonts w:cs="Arial"/>
          <w:sz w:val="22"/>
          <w:lang w:val="es-ES_tradnl"/>
        </w:rPr>
        <w:t xml:space="preserve"> Hechas las enmiendas pertinentes al acta y la minuta en discusión, se aprueban en forma unánime por parte de los señores Directores.</w:t>
      </w:r>
    </w:p>
    <w:p w14:paraId="154C10F4"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22331B50" w14:textId="77777777" w:rsidR="00FA4CCB" w:rsidRDefault="00FA4CCB" w:rsidP="002D0146">
      <w:pPr>
        <w:spacing w:line="360" w:lineRule="auto"/>
        <w:jc w:val="both"/>
        <w:rPr>
          <w:rFonts w:cs="Arial"/>
          <w:b/>
          <w:sz w:val="22"/>
          <w:szCs w:val="22"/>
          <w:u w:val="single"/>
          <w:lang w:val="es-ES_tradnl"/>
        </w:rPr>
      </w:pPr>
    </w:p>
    <w:p w14:paraId="1DAB8828" w14:textId="581D47E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02D21" w:rsidRPr="00A02D21">
        <w:rPr>
          <w:rFonts w:cs="Arial"/>
          <w:b/>
          <w:bCs/>
          <w:sz w:val="22"/>
          <w:u w:val="single"/>
          <w:lang w:val="es-CR"/>
        </w:rPr>
        <w:t>Recomendación sobre propuesta de anteproyecto del proyecto COBASUR</w:t>
      </w:r>
    </w:p>
    <w:p w14:paraId="589333EE" w14:textId="77777777" w:rsidR="009D03FE" w:rsidRDefault="009D03FE" w:rsidP="009D03FE">
      <w:pPr>
        <w:spacing w:line="360" w:lineRule="auto"/>
        <w:jc w:val="both"/>
        <w:rPr>
          <w:rFonts w:cs="Arial"/>
          <w:sz w:val="22"/>
          <w:szCs w:val="22"/>
        </w:rPr>
      </w:pPr>
    </w:p>
    <w:p w14:paraId="55FE6B7F" w14:textId="472DE70D" w:rsidR="002767BE" w:rsidRDefault="002767BE" w:rsidP="002767BE">
      <w:pPr>
        <w:spacing w:line="360" w:lineRule="auto"/>
        <w:jc w:val="both"/>
        <w:rPr>
          <w:rFonts w:cs="Arial"/>
          <w:sz w:val="22"/>
          <w:szCs w:val="22"/>
          <w:lang w:val="es-CR"/>
        </w:rPr>
      </w:pPr>
      <w:r w:rsidRPr="0039311E">
        <w:rPr>
          <w:rFonts w:cs="Arial"/>
          <w:sz w:val="22"/>
          <w:u w:val="single"/>
          <w:lang w:val="es-ES_tradnl"/>
        </w:rPr>
        <w:t xml:space="preserve">Minuto </w:t>
      </w:r>
      <w:r w:rsidR="00B07FF4">
        <w:rPr>
          <w:rFonts w:cs="Arial"/>
          <w:sz w:val="22"/>
          <w:u w:val="single"/>
          <w:lang w:val="es-ES_tradnl"/>
        </w:rPr>
        <w:t>24</w:t>
      </w:r>
      <w:r w:rsidRPr="0039311E">
        <w:rPr>
          <w:rFonts w:cs="Arial"/>
          <w:sz w:val="22"/>
          <w:u w:val="single"/>
          <w:lang w:val="es-ES_tradnl"/>
        </w:rPr>
        <w:t>:</w:t>
      </w:r>
      <w:r w:rsidR="00B07FF4">
        <w:rPr>
          <w:rFonts w:cs="Arial"/>
          <w:sz w:val="22"/>
          <w:u w:val="single"/>
          <w:lang w:val="es-ES_tradnl"/>
        </w:rPr>
        <w:t>23</w:t>
      </w:r>
      <w:r>
        <w:rPr>
          <w:rFonts w:cs="Arial"/>
          <w:sz w:val="22"/>
          <w:lang w:val="es-ES_tradnl"/>
        </w:rPr>
        <w:t xml:space="preserve"> </w:t>
      </w:r>
      <w:r w:rsidR="00B07FF4">
        <w:rPr>
          <w:rFonts w:cs="Arial"/>
          <w:sz w:val="22"/>
          <w:lang w:val="es-ES_tradnl"/>
        </w:rPr>
        <w:t xml:space="preserve">Se retira </w:t>
      </w:r>
      <w:r w:rsidR="00B07FF4">
        <w:rPr>
          <w:sz w:val="22"/>
          <w:szCs w:val="22"/>
        </w:rPr>
        <w:t>temporalmente de la sesión el señor Gerente General, quien se excusa de participar en la discusión y resolución de este asunto y se procede a conocer</w:t>
      </w:r>
      <w:r>
        <w:rPr>
          <w:rFonts w:cs="Arial"/>
          <w:sz w:val="22"/>
          <w:lang w:val="es-ES_tradnl"/>
        </w:rPr>
        <w:t xml:space="preserve"> el oficio </w:t>
      </w:r>
      <w:r w:rsidR="00B07FF4">
        <w:rPr>
          <w:rFonts w:cs="Arial"/>
          <w:sz w:val="22"/>
          <w:lang w:val="es-ES_tradnl"/>
        </w:rPr>
        <w:t>SGF</w:t>
      </w:r>
      <w:r>
        <w:rPr>
          <w:rFonts w:cs="Arial"/>
          <w:sz w:val="22"/>
          <w:szCs w:val="22"/>
        </w:rPr>
        <w:t>-ME-</w:t>
      </w:r>
      <w:r w:rsidR="00B07FF4">
        <w:rPr>
          <w:rFonts w:cs="Arial"/>
          <w:sz w:val="22"/>
          <w:szCs w:val="22"/>
        </w:rPr>
        <w:t>0016</w:t>
      </w:r>
      <w:r>
        <w:rPr>
          <w:rFonts w:cs="Arial"/>
          <w:sz w:val="22"/>
          <w:szCs w:val="22"/>
        </w:rPr>
        <w:t>-2020, del 2</w:t>
      </w:r>
      <w:r w:rsidR="00B07FF4">
        <w:rPr>
          <w:rFonts w:cs="Arial"/>
          <w:sz w:val="22"/>
          <w:szCs w:val="22"/>
        </w:rPr>
        <w:t>1</w:t>
      </w:r>
      <w:r>
        <w:rPr>
          <w:rFonts w:cs="Arial"/>
          <w:sz w:val="22"/>
          <w:szCs w:val="22"/>
        </w:rPr>
        <w:t xml:space="preserve"> de </w:t>
      </w:r>
      <w:r w:rsidR="00B07FF4">
        <w:rPr>
          <w:rFonts w:cs="Arial"/>
          <w:sz w:val="22"/>
          <w:szCs w:val="22"/>
        </w:rPr>
        <w:t>diciembre</w:t>
      </w:r>
      <w:r>
        <w:rPr>
          <w:rFonts w:cs="Arial"/>
          <w:sz w:val="22"/>
          <w:szCs w:val="22"/>
        </w:rPr>
        <w:t xml:space="preserve"> de 2020, mediante el cual, </w:t>
      </w:r>
      <w:r w:rsidR="00B07FF4">
        <w:rPr>
          <w:rFonts w:cs="Arial"/>
          <w:sz w:val="22"/>
          <w:szCs w:val="22"/>
        </w:rPr>
        <w:t xml:space="preserve">la Subgerencia Financiera </w:t>
      </w:r>
      <w:r>
        <w:rPr>
          <w:rFonts w:cs="Arial"/>
          <w:sz w:val="22"/>
          <w:szCs w:val="22"/>
          <w:lang w:val="es-ES_tradnl"/>
        </w:rPr>
        <w:t xml:space="preserve">somete a la consideración de esta </w:t>
      </w:r>
      <w:r w:rsidRPr="00581B6C">
        <w:rPr>
          <w:rFonts w:cs="Arial"/>
          <w:sz w:val="22"/>
          <w:szCs w:val="22"/>
          <w:lang w:val="es-ES_tradnl"/>
        </w:rPr>
        <w:t>Junta Directiva</w:t>
      </w:r>
      <w:r>
        <w:rPr>
          <w:rFonts w:cs="Arial"/>
          <w:sz w:val="22"/>
          <w:szCs w:val="22"/>
          <w:lang w:val="es-ES_tradnl"/>
        </w:rPr>
        <w:t>, el informe DF-DT-OF-1</w:t>
      </w:r>
      <w:r w:rsidR="00B07FF4">
        <w:rPr>
          <w:rFonts w:cs="Arial"/>
          <w:sz w:val="22"/>
          <w:szCs w:val="22"/>
          <w:lang w:val="es-ES_tradnl"/>
        </w:rPr>
        <w:t>121</w:t>
      </w:r>
      <w:r>
        <w:rPr>
          <w:rFonts w:cs="Arial"/>
          <w:sz w:val="22"/>
          <w:szCs w:val="22"/>
          <w:lang w:val="es-ES_tradnl"/>
        </w:rPr>
        <w:t xml:space="preserve">-2020 del Departamento Técnico de la Dirección FOSUVI, que contiene los resultados del estudio efectuado a las dos propuestas de anteproyecto presentadas por </w:t>
      </w:r>
      <w:r>
        <w:rPr>
          <w:rFonts w:cs="Arial"/>
          <w:sz w:val="22"/>
          <w:szCs w:val="22"/>
        </w:rPr>
        <w:t xml:space="preserve">Mutual Cartago </w:t>
      </w:r>
      <w:r w:rsidRPr="00581B6C">
        <w:rPr>
          <w:rFonts w:cs="Arial"/>
          <w:sz w:val="22"/>
          <w:szCs w:val="22"/>
          <w:lang w:val="es-ES_tradnl"/>
        </w:rPr>
        <w:t>de Ahorro y Préstamo</w:t>
      </w:r>
      <w:r>
        <w:rPr>
          <w:rFonts w:cs="Arial"/>
          <w:sz w:val="22"/>
          <w:szCs w:val="22"/>
          <w:lang w:val="es-ES_tradnl"/>
        </w:rPr>
        <w:t xml:space="preserve"> (MUCAP), </w:t>
      </w:r>
      <w:r w:rsidR="00B07FF4">
        <w:rPr>
          <w:rFonts w:cs="Arial"/>
          <w:sz w:val="22"/>
          <w:szCs w:val="22"/>
          <w:lang w:val="es-CR"/>
        </w:rPr>
        <w:t>para el</w:t>
      </w:r>
      <w:r w:rsidR="00B07FF4" w:rsidRPr="00581B6C">
        <w:rPr>
          <w:rFonts w:cs="Arial"/>
          <w:sz w:val="22"/>
          <w:szCs w:val="22"/>
          <w:lang w:val="es-CR"/>
        </w:rPr>
        <w:t xml:space="preserve"> desarrollo del proyecto </w:t>
      </w:r>
      <w:proofErr w:type="spellStart"/>
      <w:r w:rsidR="00B07FF4">
        <w:rPr>
          <w:rFonts w:cs="Arial"/>
          <w:sz w:val="22"/>
          <w:szCs w:val="22"/>
          <w:lang w:val="es-CR"/>
        </w:rPr>
        <w:t>Cobasur</w:t>
      </w:r>
      <w:proofErr w:type="spellEnd"/>
      <w:r w:rsidR="00B07FF4">
        <w:rPr>
          <w:rFonts w:cs="Arial"/>
          <w:sz w:val="22"/>
          <w:szCs w:val="22"/>
          <w:lang w:val="es-CR"/>
        </w:rPr>
        <w:t>,</w:t>
      </w:r>
      <w:r w:rsidR="00B07FF4" w:rsidRPr="00581B6C">
        <w:rPr>
          <w:rFonts w:cs="Arial"/>
          <w:sz w:val="22"/>
          <w:szCs w:val="22"/>
          <w:lang w:val="es-CR"/>
        </w:rPr>
        <w:t xml:space="preserve"> ubicado en </w:t>
      </w:r>
      <w:r w:rsidR="00B07FF4">
        <w:rPr>
          <w:rFonts w:cs="Arial"/>
          <w:sz w:val="22"/>
          <w:szCs w:val="22"/>
          <w:lang w:val="es-CR"/>
        </w:rPr>
        <w:t>el distrito Palmar Sur del cantón de Osa, provincia de Puntarenas</w:t>
      </w:r>
      <w:r>
        <w:rPr>
          <w:rFonts w:cs="Arial"/>
          <w:sz w:val="22"/>
          <w:szCs w:val="22"/>
          <w:lang w:val="es-CR"/>
        </w:rPr>
        <w:t>.  Dichos documentos se adjuntan al expediente del acta.</w:t>
      </w:r>
    </w:p>
    <w:p w14:paraId="6169B057" w14:textId="2E9EDA0A" w:rsidR="002E594B" w:rsidRDefault="002E594B" w:rsidP="002767BE">
      <w:pPr>
        <w:spacing w:line="360" w:lineRule="auto"/>
        <w:jc w:val="both"/>
        <w:rPr>
          <w:rFonts w:cs="Arial"/>
          <w:sz w:val="22"/>
          <w:szCs w:val="22"/>
          <w:lang w:val="es-CR"/>
        </w:rPr>
      </w:pPr>
    </w:p>
    <w:p w14:paraId="467E5BF8" w14:textId="48D94173" w:rsidR="002E594B" w:rsidRDefault="002E594B" w:rsidP="002E594B">
      <w:pPr>
        <w:spacing w:line="360" w:lineRule="auto"/>
        <w:jc w:val="both"/>
        <w:rPr>
          <w:rFonts w:cs="Arial"/>
          <w:sz w:val="22"/>
          <w:lang w:val="es-ES_tradnl"/>
        </w:rPr>
      </w:pPr>
      <w:r>
        <w:rPr>
          <w:rFonts w:cs="Arial"/>
          <w:sz w:val="22"/>
          <w:lang w:val="es-ES_tradnl"/>
        </w:rPr>
        <w:t xml:space="preserve">Para estos efectos, se incorporan a la sesión los siguientes funcionarios: Martha Camacho Murillo, Directora del FOSUVI; Mariela Salas Rodríguez, jefa del Departamento Técnico; y Tricia Hernández Brenes, Directora del FONAVI.  Asisten también, en representación de la Mutual Cartago </w:t>
      </w:r>
      <w:r w:rsidRPr="00CA19AC">
        <w:rPr>
          <w:rFonts w:cs="Arial"/>
          <w:sz w:val="22"/>
          <w:lang w:val="es-ES_tradnl"/>
        </w:rPr>
        <w:t>de Ahorro y Préstamo</w:t>
      </w:r>
      <w:r>
        <w:rPr>
          <w:rFonts w:cs="Arial"/>
          <w:sz w:val="22"/>
          <w:lang w:val="es-ES_tradnl"/>
        </w:rPr>
        <w:t>, el Lic. Carlos Quesada y la Ing. Isabel Aguilar Coto; y por parte de la empresa consultora Grupo Innovación Inmobiliaria, participan los señores Edgar Jiménez y Karla Fernández.</w:t>
      </w:r>
    </w:p>
    <w:p w14:paraId="789B24FD" w14:textId="77777777" w:rsidR="002E594B" w:rsidRDefault="002E594B" w:rsidP="002E594B">
      <w:pPr>
        <w:spacing w:line="360" w:lineRule="auto"/>
        <w:jc w:val="both"/>
        <w:rPr>
          <w:rFonts w:cs="Arial"/>
          <w:sz w:val="22"/>
          <w:szCs w:val="22"/>
        </w:rPr>
      </w:pPr>
    </w:p>
    <w:p w14:paraId="4F2B3B66" w14:textId="4E4F2822" w:rsidR="00B07FF4" w:rsidRDefault="002E594B" w:rsidP="002E594B">
      <w:pPr>
        <w:spacing w:line="360" w:lineRule="auto"/>
        <w:jc w:val="both"/>
        <w:rPr>
          <w:rFonts w:cs="Arial"/>
          <w:sz w:val="22"/>
          <w:szCs w:val="22"/>
        </w:rPr>
      </w:pPr>
      <w:r>
        <w:rPr>
          <w:rFonts w:cs="Arial"/>
          <w:sz w:val="22"/>
          <w:szCs w:val="22"/>
        </w:rPr>
        <w:t>Los ingenieros Jiménez y Fernández presentan los aspectos más relevantes de la consultoría realizada a solicitud de la MUCAP, detallando las dos opciones de diseño que se han desarrollado, incluyendo los conceptos considerados, sus características constructivas y sus costos, atendiendo las consultas y las observaciones que al respecto van planteando los señores Directores</w:t>
      </w:r>
      <w:r w:rsidR="00B07FF4">
        <w:rPr>
          <w:rFonts w:cs="Arial"/>
          <w:sz w:val="22"/>
          <w:szCs w:val="22"/>
        </w:rPr>
        <w:t>, particularmente con respecto a las disposiciones del nuevo reglamento de fraccionamiento emitido por el INVU, con respecto a l</w:t>
      </w:r>
      <w:r w:rsidR="00D12EAA">
        <w:rPr>
          <w:rFonts w:cs="Arial"/>
          <w:sz w:val="22"/>
          <w:szCs w:val="22"/>
        </w:rPr>
        <w:t>os lotes residenciales-comerciales (de uso mixto)</w:t>
      </w:r>
      <w:r w:rsidR="00B07FF4">
        <w:rPr>
          <w:rFonts w:cs="Arial"/>
          <w:sz w:val="22"/>
          <w:szCs w:val="22"/>
        </w:rPr>
        <w:t xml:space="preserve"> y a las zonas de parqueo</w:t>
      </w:r>
      <w:r w:rsidR="00D12EAA">
        <w:rPr>
          <w:rFonts w:cs="Arial"/>
          <w:sz w:val="22"/>
          <w:szCs w:val="22"/>
        </w:rPr>
        <w:t xml:space="preserve"> en conjuntos residenciales; y al respecto </w:t>
      </w:r>
      <w:r w:rsidR="008D5196">
        <w:rPr>
          <w:rFonts w:cs="Arial"/>
          <w:sz w:val="22"/>
          <w:szCs w:val="22"/>
        </w:rPr>
        <w:t>se coincide en la conveniencia de revisar con el INVU las aclaraciones pertinentes a estos temas</w:t>
      </w:r>
      <w:r w:rsidR="00B07FF4">
        <w:rPr>
          <w:rFonts w:cs="Arial"/>
          <w:sz w:val="22"/>
          <w:szCs w:val="22"/>
        </w:rPr>
        <w:t>.</w:t>
      </w:r>
    </w:p>
    <w:p w14:paraId="38FF91DC" w14:textId="77777777" w:rsidR="00B07FF4" w:rsidRDefault="00B07FF4" w:rsidP="002E594B">
      <w:pPr>
        <w:spacing w:line="360" w:lineRule="auto"/>
        <w:jc w:val="both"/>
        <w:rPr>
          <w:rFonts w:cs="Arial"/>
          <w:sz w:val="22"/>
          <w:szCs w:val="22"/>
        </w:rPr>
      </w:pPr>
    </w:p>
    <w:p w14:paraId="202B8D41" w14:textId="2F6796BC" w:rsidR="002E594B" w:rsidRDefault="00ED52AE" w:rsidP="002E594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121</w:t>
      </w:r>
      <w:r w:rsidRPr="00A25DB7">
        <w:rPr>
          <w:rFonts w:cs="Arial"/>
          <w:sz w:val="22"/>
          <w:u w:val="single"/>
          <w:lang w:val="es-ES_tradnl"/>
        </w:rPr>
        <w:t>:</w:t>
      </w:r>
      <w:r>
        <w:rPr>
          <w:rFonts w:cs="Arial"/>
          <w:sz w:val="22"/>
          <w:u w:val="single"/>
          <w:lang w:val="es-ES_tradnl"/>
        </w:rPr>
        <w:t>06</w:t>
      </w:r>
      <w:r>
        <w:rPr>
          <w:rFonts w:cs="Arial"/>
          <w:sz w:val="22"/>
          <w:lang w:val="es-ES_tradnl"/>
        </w:rPr>
        <w:t xml:space="preserve"> El ingeniero Jiménez </w:t>
      </w:r>
      <w:r w:rsidR="008D5196">
        <w:rPr>
          <w:rFonts w:cs="Arial"/>
          <w:sz w:val="22"/>
          <w:lang w:val="es-ES_tradnl"/>
        </w:rPr>
        <w:t xml:space="preserve">y los licenciados Quesada y Hernández Brenes, explican </w:t>
      </w:r>
      <w:r>
        <w:rPr>
          <w:rFonts w:cs="Arial"/>
          <w:sz w:val="22"/>
          <w:lang w:val="es-ES_tradnl"/>
        </w:rPr>
        <w:t>y atiend</w:t>
      </w:r>
      <w:r w:rsidR="008D5196">
        <w:rPr>
          <w:rFonts w:cs="Arial"/>
          <w:sz w:val="22"/>
          <w:lang w:val="es-ES_tradnl"/>
        </w:rPr>
        <w:t>en</w:t>
      </w:r>
      <w:r>
        <w:rPr>
          <w:rFonts w:cs="Arial"/>
          <w:sz w:val="22"/>
          <w:lang w:val="es-ES_tradnl"/>
        </w:rPr>
        <w:t xml:space="preserve"> varias dudas de los señores Directores</w:t>
      </w:r>
      <w:r w:rsidR="008D5196">
        <w:rPr>
          <w:rFonts w:cs="Arial"/>
          <w:sz w:val="22"/>
          <w:lang w:val="es-ES_tradnl"/>
        </w:rPr>
        <w:t xml:space="preserve"> y de la </w:t>
      </w:r>
      <w:r w:rsidR="008D5196" w:rsidRPr="008D5196">
        <w:rPr>
          <w:rFonts w:cs="Arial"/>
          <w:sz w:val="22"/>
          <w:szCs w:val="22"/>
          <w:lang w:val="es-ES_tradnl"/>
        </w:rPr>
        <w:t>Asesoría Legal</w:t>
      </w:r>
      <w:r>
        <w:rPr>
          <w:rFonts w:cs="Arial"/>
          <w:sz w:val="22"/>
          <w:lang w:val="es-ES_tradnl"/>
        </w:rPr>
        <w:t xml:space="preserve">, </w:t>
      </w:r>
      <w:r w:rsidR="008D5196">
        <w:rPr>
          <w:rFonts w:cs="Arial"/>
          <w:sz w:val="22"/>
          <w:lang w:val="es-ES_tradnl"/>
        </w:rPr>
        <w:t xml:space="preserve">sobre </w:t>
      </w:r>
      <w:r>
        <w:rPr>
          <w:rFonts w:cs="Arial"/>
          <w:sz w:val="22"/>
          <w:lang w:val="es-ES_tradnl"/>
        </w:rPr>
        <w:t xml:space="preserve">la </w:t>
      </w:r>
      <w:r>
        <w:rPr>
          <w:rFonts w:cs="Arial"/>
          <w:sz w:val="22"/>
          <w:lang w:val="es-ES_tradnl"/>
        </w:rPr>
        <w:lastRenderedPageBreak/>
        <w:t>forma en que el diseño de sitio respecta a cabalidad los derechos de algunas familias a sus lotes dentro de la finca.</w:t>
      </w:r>
    </w:p>
    <w:p w14:paraId="415D1FFC" w14:textId="77777777" w:rsidR="00ED52AE" w:rsidRDefault="00ED52AE" w:rsidP="002E594B">
      <w:pPr>
        <w:spacing w:line="360" w:lineRule="auto"/>
        <w:jc w:val="both"/>
        <w:rPr>
          <w:rFonts w:cs="Arial"/>
          <w:sz w:val="22"/>
          <w:szCs w:val="22"/>
        </w:rPr>
      </w:pPr>
    </w:p>
    <w:p w14:paraId="2F0CA7DC" w14:textId="741F6C41" w:rsidR="008D5196" w:rsidRDefault="002E594B" w:rsidP="008D5196">
      <w:pPr>
        <w:spacing w:line="360" w:lineRule="auto"/>
        <w:jc w:val="both"/>
        <w:rPr>
          <w:rFonts w:cs="Arial"/>
          <w:sz w:val="22"/>
          <w:szCs w:val="22"/>
          <w:lang w:val="es-CR"/>
        </w:rPr>
      </w:pPr>
      <w:r w:rsidRPr="00A25DB7">
        <w:rPr>
          <w:rFonts w:cs="Arial"/>
          <w:sz w:val="22"/>
          <w:u w:val="single"/>
          <w:lang w:val="es-ES_tradnl"/>
        </w:rPr>
        <w:t xml:space="preserve">Minuto </w:t>
      </w:r>
      <w:r w:rsidR="008D5196">
        <w:rPr>
          <w:rFonts w:cs="Arial"/>
          <w:sz w:val="22"/>
          <w:u w:val="single"/>
          <w:lang w:val="es-ES_tradnl"/>
        </w:rPr>
        <w:t>148</w:t>
      </w:r>
      <w:r w:rsidRPr="00A25DB7">
        <w:rPr>
          <w:rFonts w:cs="Arial"/>
          <w:sz w:val="22"/>
          <w:u w:val="single"/>
          <w:lang w:val="es-ES_tradnl"/>
        </w:rPr>
        <w:t>:</w:t>
      </w:r>
      <w:r w:rsidR="008D5196">
        <w:rPr>
          <w:rFonts w:cs="Arial"/>
          <w:sz w:val="22"/>
          <w:u w:val="single"/>
          <w:lang w:val="es-ES_tradnl"/>
        </w:rPr>
        <w:t>00</w:t>
      </w:r>
      <w:r>
        <w:rPr>
          <w:rFonts w:cs="Arial"/>
          <w:sz w:val="22"/>
          <w:lang w:val="es-ES_tradnl"/>
        </w:rPr>
        <w:t xml:space="preserve"> Se retiran de la sesión los señores Carlos Quesada, Isabel Aguilar, Edgar Jiménez y Karla Fernández; y se procede a analizar la información </w:t>
      </w:r>
      <w:r w:rsidR="008D5196">
        <w:rPr>
          <w:rFonts w:cs="Arial"/>
          <w:sz w:val="22"/>
          <w:lang w:val="es-ES_tradnl"/>
        </w:rPr>
        <w:t xml:space="preserve">remitida por la </w:t>
      </w:r>
      <w:r w:rsidR="008D5196" w:rsidRPr="008D5196">
        <w:rPr>
          <w:rFonts w:cs="Arial"/>
          <w:sz w:val="22"/>
          <w:lang w:val="es-ES_tradnl"/>
        </w:rPr>
        <w:t>Administración</w:t>
      </w:r>
      <w:r w:rsidR="008D5196">
        <w:rPr>
          <w:rFonts w:cs="Arial"/>
          <w:sz w:val="22"/>
          <w:lang w:val="es-ES_tradnl"/>
        </w:rPr>
        <w:t xml:space="preserve"> con el oficio </w:t>
      </w:r>
      <w:r w:rsidR="008D5196">
        <w:rPr>
          <w:rFonts w:cs="Arial"/>
          <w:sz w:val="22"/>
          <w:szCs w:val="22"/>
          <w:lang w:val="es-ES_tradnl"/>
        </w:rPr>
        <w:t>DF-DT-OF-1121-2020, el cual es expuesto por la arquitecta Salas Rodríguez y según el cual, el Departamento Técnico, secundado</w:t>
      </w:r>
      <w:r w:rsidR="000E3924">
        <w:rPr>
          <w:rFonts w:cs="Arial"/>
          <w:sz w:val="22"/>
          <w:szCs w:val="22"/>
          <w:lang w:val="es-ES_tradnl"/>
        </w:rPr>
        <w:t>, según lo anotan,</w:t>
      </w:r>
      <w:r w:rsidR="008D5196">
        <w:rPr>
          <w:rFonts w:cs="Arial"/>
          <w:sz w:val="22"/>
          <w:szCs w:val="22"/>
          <w:lang w:val="es-ES_tradnl"/>
        </w:rPr>
        <w:t xml:space="preserve"> por la Dirección FOSUVI y la Subg</w:t>
      </w:r>
      <w:r w:rsidR="000E3924">
        <w:rPr>
          <w:rFonts w:cs="Arial"/>
          <w:sz w:val="22"/>
          <w:szCs w:val="22"/>
          <w:lang w:val="es-ES_tradnl"/>
        </w:rPr>
        <w:t xml:space="preserve">erencia Financiera, </w:t>
      </w:r>
      <w:r w:rsidR="008D5196">
        <w:rPr>
          <w:rFonts w:cs="Arial"/>
          <w:sz w:val="22"/>
          <w:szCs w:val="22"/>
          <w:lang w:val="es-ES_tradnl"/>
        </w:rPr>
        <w:t xml:space="preserve">se </w:t>
      </w:r>
      <w:r w:rsidR="008D5196">
        <w:rPr>
          <w:rFonts w:cs="Arial"/>
          <w:sz w:val="22"/>
          <w:szCs w:val="22"/>
          <w:lang w:val="es-CR"/>
        </w:rPr>
        <w:t>recomienda acoger la propuesta denominada “Opción A” del anteproyecto, fundamentalmente por las siguientes razones:</w:t>
      </w:r>
    </w:p>
    <w:p w14:paraId="13906B9B" w14:textId="77777777" w:rsidR="008D5196" w:rsidRPr="002767BE" w:rsidRDefault="008D5196" w:rsidP="008D5196">
      <w:pPr>
        <w:spacing w:line="360" w:lineRule="auto"/>
        <w:jc w:val="both"/>
        <w:rPr>
          <w:rFonts w:cs="Arial"/>
          <w:sz w:val="22"/>
          <w:szCs w:val="22"/>
          <w:lang w:val="es-CR"/>
        </w:rPr>
      </w:pPr>
      <w:r>
        <w:rPr>
          <w:rFonts w:cs="Arial"/>
          <w:sz w:val="22"/>
          <w:szCs w:val="22"/>
          <w:lang w:val="es-CR"/>
        </w:rPr>
        <w:t xml:space="preserve">a) </w:t>
      </w:r>
      <w:r w:rsidRPr="002767BE">
        <w:rPr>
          <w:rFonts w:cs="Arial"/>
          <w:sz w:val="22"/>
          <w:szCs w:val="22"/>
          <w:lang w:val="es-CR"/>
        </w:rPr>
        <w:t xml:space="preserve">Contempla un total de 163 lotes, mayor a </w:t>
      </w:r>
      <w:r>
        <w:rPr>
          <w:rFonts w:cs="Arial"/>
          <w:sz w:val="22"/>
          <w:szCs w:val="22"/>
          <w:lang w:val="es-CR"/>
        </w:rPr>
        <w:t>l</w:t>
      </w:r>
      <w:r w:rsidRPr="002767BE">
        <w:rPr>
          <w:rFonts w:cs="Arial"/>
          <w:sz w:val="22"/>
          <w:szCs w:val="22"/>
          <w:lang w:val="es-CR"/>
        </w:rPr>
        <w:t xml:space="preserve">a segunda propuesta </w:t>
      </w:r>
      <w:r>
        <w:rPr>
          <w:rFonts w:cs="Arial"/>
          <w:sz w:val="22"/>
          <w:szCs w:val="22"/>
          <w:lang w:val="es-CR"/>
        </w:rPr>
        <w:t xml:space="preserve">(opción B) </w:t>
      </w:r>
      <w:r w:rsidRPr="002767BE">
        <w:rPr>
          <w:rFonts w:cs="Arial"/>
          <w:sz w:val="22"/>
          <w:szCs w:val="22"/>
          <w:lang w:val="es-CR"/>
        </w:rPr>
        <w:t>que</w:t>
      </w:r>
      <w:r>
        <w:rPr>
          <w:rFonts w:cs="Arial"/>
          <w:sz w:val="22"/>
          <w:szCs w:val="22"/>
          <w:lang w:val="es-CR"/>
        </w:rPr>
        <w:t xml:space="preserve"> ú</w:t>
      </w:r>
      <w:r w:rsidRPr="002767BE">
        <w:rPr>
          <w:rFonts w:cs="Arial"/>
          <w:sz w:val="22"/>
          <w:szCs w:val="22"/>
          <w:lang w:val="es-CR"/>
        </w:rPr>
        <w:t>nicamente incluye 157 lotes.</w:t>
      </w:r>
    </w:p>
    <w:p w14:paraId="267CD421" w14:textId="77777777" w:rsidR="008D5196" w:rsidRPr="002767BE" w:rsidRDefault="008D5196" w:rsidP="008D5196">
      <w:pPr>
        <w:spacing w:line="360" w:lineRule="auto"/>
        <w:jc w:val="both"/>
        <w:rPr>
          <w:rFonts w:cs="Arial"/>
          <w:sz w:val="22"/>
          <w:szCs w:val="22"/>
          <w:lang w:val="es-CR"/>
        </w:rPr>
      </w:pPr>
      <w:r>
        <w:rPr>
          <w:rFonts w:cs="Arial"/>
          <w:sz w:val="22"/>
          <w:szCs w:val="22"/>
          <w:lang w:val="es-CR"/>
        </w:rPr>
        <w:t xml:space="preserve">b) </w:t>
      </w:r>
      <w:r w:rsidRPr="002767BE">
        <w:rPr>
          <w:rFonts w:cs="Arial"/>
          <w:sz w:val="22"/>
          <w:szCs w:val="22"/>
          <w:lang w:val="es-CR"/>
        </w:rPr>
        <w:t xml:space="preserve">Se logra una alta densidad y un aprovechamiento del 59,7%, con un </w:t>
      </w:r>
      <w:r>
        <w:rPr>
          <w:rFonts w:cs="Arial"/>
          <w:sz w:val="22"/>
          <w:szCs w:val="22"/>
          <w:lang w:val="es-CR"/>
        </w:rPr>
        <w:t>á</w:t>
      </w:r>
      <w:r w:rsidRPr="002767BE">
        <w:rPr>
          <w:rFonts w:cs="Arial"/>
          <w:sz w:val="22"/>
          <w:szCs w:val="22"/>
          <w:lang w:val="es-CR"/>
        </w:rPr>
        <w:t>rea</w:t>
      </w:r>
      <w:r>
        <w:rPr>
          <w:rFonts w:cs="Arial"/>
          <w:sz w:val="22"/>
          <w:szCs w:val="22"/>
          <w:lang w:val="es-CR"/>
        </w:rPr>
        <w:t xml:space="preserve"> </w:t>
      </w:r>
      <w:r w:rsidRPr="002767BE">
        <w:rPr>
          <w:rFonts w:cs="Arial"/>
          <w:sz w:val="22"/>
          <w:szCs w:val="22"/>
          <w:lang w:val="es-CR"/>
        </w:rPr>
        <w:t>vendible de 35.273 m</w:t>
      </w:r>
      <w:r>
        <w:rPr>
          <w:rFonts w:cs="Arial"/>
          <w:sz w:val="22"/>
          <w:szCs w:val="22"/>
          <w:lang w:val="es-CR"/>
        </w:rPr>
        <w:t>etros cuadrados</w:t>
      </w:r>
      <w:r w:rsidRPr="002767BE">
        <w:rPr>
          <w:rFonts w:cs="Arial"/>
          <w:sz w:val="22"/>
          <w:szCs w:val="22"/>
          <w:lang w:val="es-CR"/>
        </w:rPr>
        <w:t>.</w:t>
      </w:r>
    </w:p>
    <w:p w14:paraId="1DE2C005" w14:textId="77777777" w:rsidR="008D5196" w:rsidRPr="002767BE" w:rsidRDefault="008D5196" w:rsidP="008D5196">
      <w:pPr>
        <w:spacing w:line="360" w:lineRule="auto"/>
        <w:jc w:val="both"/>
        <w:rPr>
          <w:rFonts w:cs="Arial"/>
          <w:sz w:val="22"/>
          <w:szCs w:val="22"/>
          <w:lang w:val="es-CR"/>
        </w:rPr>
      </w:pPr>
      <w:r>
        <w:rPr>
          <w:rFonts w:cs="Arial"/>
          <w:sz w:val="22"/>
          <w:szCs w:val="22"/>
          <w:lang w:val="es-CR"/>
        </w:rPr>
        <w:t xml:space="preserve">c) </w:t>
      </w:r>
      <w:r w:rsidRPr="002767BE">
        <w:rPr>
          <w:rFonts w:cs="Arial"/>
          <w:sz w:val="22"/>
          <w:szCs w:val="22"/>
          <w:lang w:val="es-CR"/>
        </w:rPr>
        <w:t>Presenta una mayor continuidad vial, no posee calles sin salida (martillos)</w:t>
      </w:r>
      <w:r>
        <w:rPr>
          <w:rFonts w:cs="Arial"/>
          <w:sz w:val="22"/>
          <w:szCs w:val="22"/>
          <w:lang w:val="es-CR"/>
        </w:rPr>
        <w:t xml:space="preserve"> como sí tiene la </w:t>
      </w:r>
      <w:r w:rsidRPr="002767BE">
        <w:rPr>
          <w:rFonts w:cs="Arial"/>
          <w:sz w:val="22"/>
          <w:szCs w:val="22"/>
          <w:lang w:val="es-CR"/>
        </w:rPr>
        <w:t>opci</w:t>
      </w:r>
      <w:r>
        <w:rPr>
          <w:rFonts w:cs="Arial"/>
          <w:sz w:val="22"/>
          <w:szCs w:val="22"/>
          <w:lang w:val="es-CR"/>
        </w:rPr>
        <w:t xml:space="preserve">ón </w:t>
      </w:r>
      <w:r w:rsidRPr="002767BE">
        <w:rPr>
          <w:rFonts w:cs="Arial"/>
          <w:sz w:val="22"/>
          <w:szCs w:val="22"/>
          <w:lang w:val="es-CR"/>
        </w:rPr>
        <w:t>B.</w:t>
      </w:r>
    </w:p>
    <w:p w14:paraId="1EED44FA" w14:textId="77777777" w:rsidR="008D5196" w:rsidRDefault="008D5196" w:rsidP="008D5196">
      <w:pPr>
        <w:spacing w:line="360" w:lineRule="auto"/>
        <w:jc w:val="both"/>
        <w:rPr>
          <w:rFonts w:cs="Arial"/>
          <w:sz w:val="22"/>
          <w:szCs w:val="22"/>
          <w:lang w:val="es-CR"/>
        </w:rPr>
      </w:pPr>
      <w:r>
        <w:rPr>
          <w:rFonts w:cs="Arial"/>
          <w:sz w:val="22"/>
          <w:szCs w:val="22"/>
          <w:lang w:val="es-CR"/>
        </w:rPr>
        <w:t xml:space="preserve">d) </w:t>
      </w:r>
      <w:r w:rsidRPr="002767BE">
        <w:rPr>
          <w:rFonts w:cs="Arial"/>
          <w:sz w:val="22"/>
          <w:szCs w:val="22"/>
          <w:lang w:val="es-CR"/>
        </w:rPr>
        <w:t xml:space="preserve">A pesar de lo anterior, presenta menos </w:t>
      </w:r>
      <w:r>
        <w:rPr>
          <w:rFonts w:cs="Arial"/>
          <w:sz w:val="22"/>
          <w:szCs w:val="22"/>
          <w:lang w:val="es-CR"/>
        </w:rPr>
        <w:t>á</w:t>
      </w:r>
      <w:r w:rsidRPr="002767BE">
        <w:rPr>
          <w:rFonts w:cs="Arial"/>
          <w:sz w:val="22"/>
          <w:szCs w:val="22"/>
          <w:lang w:val="es-CR"/>
        </w:rPr>
        <w:t>rea de calles (asfaltado), aceras y</w:t>
      </w:r>
      <w:r>
        <w:rPr>
          <w:rFonts w:cs="Arial"/>
          <w:sz w:val="22"/>
          <w:szCs w:val="22"/>
          <w:lang w:val="es-CR"/>
        </w:rPr>
        <w:t xml:space="preserve"> </w:t>
      </w:r>
      <w:r w:rsidRPr="002767BE">
        <w:rPr>
          <w:rFonts w:cs="Arial"/>
          <w:sz w:val="22"/>
          <w:szCs w:val="22"/>
          <w:lang w:val="es-CR"/>
        </w:rPr>
        <w:t>cord</w:t>
      </w:r>
      <w:r>
        <w:rPr>
          <w:rFonts w:cs="Arial"/>
          <w:sz w:val="22"/>
          <w:szCs w:val="22"/>
          <w:lang w:val="es-CR"/>
        </w:rPr>
        <w:t>ó</w:t>
      </w:r>
      <w:r w:rsidRPr="002767BE">
        <w:rPr>
          <w:rFonts w:cs="Arial"/>
          <w:sz w:val="22"/>
          <w:szCs w:val="22"/>
          <w:lang w:val="es-CR"/>
        </w:rPr>
        <w:t>n de c</w:t>
      </w:r>
      <w:r>
        <w:rPr>
          <w:rFonts w:cs="Arial"/>
          <w:sz w:val="22"/>
          <w:szCs w:val="22"/>
          <w:lang w:val="es-CR"/>
        </w:rPr>
        <w:t>año</w:t>
      </w:r>
      <w:r w:rsidRPr="002767BE">
        <w:rPr>
          <w:rFonts w:cs="Arial"/>
          <w:sz w:val="22"/>
          <w:szCs w:val="22"/>
          <w:lang w:val="es-CR"/>
        </w:rPr>
        <w:t>, lo que representa menos costos en el presupuesto.</w:t>
      </w:r>
    </w:p>
    <w:p w14:paraId="0F7BF766" w14:textId="77777777" w:rsidR="008D5196" w:rsidRPr="00FA0B7F" w:rsidRDefault="008D5196" w:rsidP="008D5196">
      <w:pPr>
        <w:spacing w:line="360" w:lineRule="auto"/>
        <w:jc w:val="both"/>
        <w:rPr>
          <w:rFonts w:cs="Arial"/>
          <w:sz w:val="22"/>
          <w:szCs w:val="22"/>
          <w:lang w:val="es-CR"/>
        </w:rPr>
      </w:pPr>
      <w:r>
        <w:rPr>
          <w:rFonts w:cs="Arial"/>
          <w:sz w:val="22"/>
          <w:szCs w:val="22"/>
          <w:lang w:val="es-CR"/>
        </w:rPr>
        <w:t xml:space="preserve">e) Las </w:t>
      </w:r>
      <w:r w:rsidRPr="00FA0B7F">
        <w:rPr>
          <w:rFonts w:cs="Arial"/>
          <w:sz w:val="22"/>
          <w:szCs w:val="22"/>
          <w:lang w:val="es-CR"/>
        </w:rPr>
        <w:t>zonas de parques y juegos infantiles se encuentran mejor distribuidas por</w:t>
      </w:r>
      <w:r>
        <w:rPr>
          <w:rFonts w:cs="Arial"/>
          <w:sz w:val="22"/>
          <w:szCs w:val="22"/>
          <w:lang w:val="es-CR"/>
        </w:rPr>
        <w:t xml:space="preserve"> </w:t>
      </w:r>
      <w:r w:rsidRPr="00FA0B7F">
        <w:rPr>
          <w:rFonts w:cs="Arial"/>
          <w:sz w:val="22"/>
          <w:szCs w:val="22"/>
          <w:lang w:val="es-CR"/>
        </w:rPr>
        <w:t>todos los bloques de viviendas,</w:t>
      </w:r>
      <w:r>
        <w:rPr>
          <w:rFonts w:cs="Arial"/>
          <w:sz w:val="22"/>
          <w:szCs w:val="22"/>
          <w:lang w:val="es-CR"/>
        </w:rPr>
        <w:t xml:space="preserve"> lo que </w:t>
      </w:r>
      <w:r w:rsidRPr="00FA0B7F">
        <w:rPr>
          <w:rFonts w:cs="Arial"/>
          <w:sz w:val="22"/>
          <w:szCs w:val="22"/>
          <w:lang w:val="es-CR"/>
        </w:rPr>
        <w:t>permite que las distancias que los</w:t>
      </w:r>
      <w:r>
        <w:rPr>
          <w:rFonts w:cs="Arial"/>
          <w:sz w:val="22"/>
          <w:szCs w:val="22"/>
          <w:lang w:val="es-CR"/>
        </w:rPr>
        <w:t xml:space="preserve"> </w:t>
      </w:r>
      <w:r w:rsidRPr="00FA0B7F">
        <w:rPr>
          <w:rFonts w:cs="Arial"/>
          <w:sz w:val="22"/>
          <w:szCs w:val="22"/>
          <w:lang w:val="es-CR"/>
        </w:rPr>
        <w:t>usuarios tengan que recorrer desde sus viviendas para utilizar estas zonas sea</w:t>
      </w:r>
      <w:r>
        <w:rPr>
          <w:rFonts w:cs="Arial"/>
          <w:sz w:val="22"/>
          <w:szCs w:val="22"/>
          <w:lang w:val="es-CR"/>
        </w:rPr>
        <w:t xml:space="preserve"> </w:t>
      </w:r>
      <w:r w:rsidRPr="00FA0B7F">
        <w:rPr>
          <w:rFonts w:cs="Arial"/>
          <w:sz w:val="22"/>
          <w:szCs w:val="22"/>
          <w:lang w:val="es-CR"/>
        </w:rPr>
        <w:t>menor.</w:t>
      </w:r>
    </w:p>
    <w:p w14:paraId="21CECFF6" w14:textId="77777777" w:rsidR="008D5196" w:rsidRDefault="008D5196" w:rsidP="008D5196">
      <w:pPr>
        <w:spacing w:line="360" w:lineRule="auto"/>
        <w:jc w:val="both"/>
        <w:rPr>
          <w:rFonts w:cs="Arial"/>
          <w:sz w:val="22"/>
          <w:szCs w:val="22"/>
          <w:lang w:val="es-CR"/>
        </w:rPr>
      </w:pPr>
      <w:r>
        <w:rPr>
          <w:rFonts w:cs="Arial"/>
          <w:sz w:val="22"/>
          <w:szCs w:val="22"/>
          <w:lang w:val="es-CR"/>
        </w:rPr>
        <w:t>f) Las</w:t>
      </w:r>
      <w:r w:rsidRPr="00FA0B7F">
        <w:rPr>
          <w:rFonts w:cs="Arial"/>
          <w:sz w:val="22"/>
          <w:szCs w:val="22"/>
          <w:lang w:val="es-CR"/>
        </w:rPr>
        <w:t xml:space="preserve"> zonas de arborizaci</w:t>
      </w:r>
      <w:r>
        <w:rPr>
          <w:rFonts w:cs="Arial"/>
          <w:sz w:val="22"/>
          <w:szCs w:val="22"/>
          <w:lang w:val="es-CR"/>
        </w:rPr>
        <w:t>ó</w:t>
      </w:r>
      <w:r w:rsidRPr="00FA0B7F">
        <w:rPr>
          <w:rFonts w:cs="Arial"/>
          <w:sz w:val="22"/>
          <w:szCs w:val="22"/>
          <w:lang w:val="es-CR"/>
        </w:rPr>
        <w:t>n entre los bloques de viviendas</w:t>
      </w:r>
      <w:r>
        <w:rPr>
          <w:rFonts w:cs="Arial"/>
          <w:sz w:val="22"/>
          <w:szCs w:val="22"/>
          <w:lang w:val="es-CR"/>
        </w:rPr>
        <w:t>,</w:t>
      </w:r>
      <w:r w:rsidRPr="00FA0B7F">
        <w:rPr>
          <w:rFonts w:cs="Arial"/>
          <w:sz w:val="22"/>
          <w:szCs w:val="22"/>
          <w:lang w:val="es-CR"/>
        </w:rPr>
        <w:t xml:space="preserve"> debido a los parques</w:t>
      </w:r>
      <w:r>
        <w:rPr>
          <w:rFonts w:cs="Arial"/>
          <w:sz w:val="22"/>
          <w:szCs w:val="22"/>
          <w:lang w:val="es-CR"/>
        </w:rPr>
        <w:t xml:space="preserve"> </w:t>
      </w:r>
      <w:r w:rsidRPr="00FA0B7F">
        <w:rPr>
          <w:rFonts w:cs="Arial"/>
          <w:sz w:val="22"/>
          <w:szCs w:val="22"/>
          <w:lang w:val="es-CR"/>
        </w:rPr>
        <w:t>y</w:t>
      </w:r>
      <w:r>
        <w:rPr>
          <w:rFonts w:cs="Arial"/>
          <w:sz w:val="22"/>
          <w:szCs w:val="22"/>
          <w:lang w:val="es-CR"/>
        </w:rPr>
        <w:t xml:space="preserve"> </w:t>
      </w:r>
      <w:r w:rsidRPr="00FA0B7F">
        <w:rPr>
          <w:rFonts w:cs="Arial"/>
          <w:sz w:val="22"/>
          <w:szCs w:val="22"/>
          <w:lang w:val="es-CR"/>
        </w:rPr>
        <w:t>juegos infantiles</w:t>
      </w:r>
      <w:r>
        <w:rPr>
          <w:rFonts w:cs="Arial"/>
          <w:sz w:val="22"/>
          <w:szCs w:val="22"/>
          <w:lang w:val="es-CR"/>
        </w:rPr>
        <w:t>,</w:t>
      </w:r>
      <w:r w:rsidRPr="00FA0B7F">
        <w:rPr>
          <w:rFonts w:cs="Arial"/>
          <w:sz w:val="22"/>
          <w:szCs w:val="22"/>
          <w:lang w:val="es-CR"/>
        </w:rPr>
        <w:t xml:space="preserve"> generan una percepci</w:t>
      </w:r>
      <w:r>
        <w:rPr>
          <w:rFonts w:cs="Arial"/>
          <w:sz w:val="22"/>
          <w:szCs w:val="22"/>
          <w:lang w:val="es-CR"/>
        </w:rPr>
        <w:t>ó</w:t>
      </w:r>
      <w:r w:rsidRPr="00FA0B7F">
        <w:rPr>
          <w:rFonts w:cs="Arial"/>
          <w:sz w:val="22"/>
          <w:szCs w:val="22"/>
          <w:lang w:val="es-CR"/>
        </w:rPr>
        <w:t>n del espacio menos densificado que</w:t>
      </w:r>
      <w:r>
        <w:rPr>
          <w:rFonts w:cs="Arial"/>
          <w:sz w:val="22"/>
          <w:szCs w:val="22"/>
          <w:lang w:val="es-CR"/>
        </w:rPr>
        <w:t xml:space="preserve"> </w:t>
      </w:r>
      <w:r w:rsidRPr="00FA0B7F">
        <w:rPr>
          <w:rFonts w:cs="Arial"/>
          <w:sz w:val="22"/>
          <w:szCs w:val="22"/>
          <w:lang w:val="es-CR"/>
        </w:rPr>
        <w:t xml:space="preserve">lo mostrado en </w:t>
      </w:r>
      <w:r>
        <w:rPr>
          <w:rFonts w:cs="Arial"/>
          <w:sz w:val="22"/>
          <w:szCs w:val="22"/>
          <w:lang w:val="es-CR"/>
        </w:rPr>
        <w:t>l</w:t>
      </w:r>
      <w:r w:rsidRPr="00FA0B7F">
        <w:rPr>
          <w:rFonts w:cs="Arial"/>
          <w:sz w:val="22"/>
          <w:szCs w:val="22"/>
          <w:lang w:val="es-CR"/>
        </w:rPr>
        <w:t>a opci</w:t>
      </w:r>
      <w:r>
        <w:rPr>
          <w:rFonts w:cs="Arial"/>
          <w:sz w:val="22"/>
          <w:szCs w:val="22"/>
          <w:lang w:val="es-CR"/>
        </w:rPr>
        <w:t>ó</w:t>
      </w:r>
      <w:r w:rsidRPr="00FA0B7F">
        <w:rPr>
          <w:rFonts w:cs="Arial"/>
          <w:sz w:val="22"/>
          <w:szCs w:val="22"/>
          <w:lang w:val="es-CR"/>
        </w:rPr>
        <w:t>n B</w:t>
      </w:r>
      <w:r>
        <w:rPr>
          <w:rFonts w:cs="Arial"/>
          <w:sz w:val="22"/>
          <w:szCs w:val="22"/>
          <w:lang w:val="es-CR"/>
        </w:rPr>
        <w:t xml:space="preserve">, siendo </w:t>
      </w:r>
      <w:r w:rsidRPr="00FA0B7F">
        <w:rPr>
          <w:rFonts w:cs="Arial"/>
          <w:sz w:val="22"/>
          <w:szCs w:val="22"/>
          <w:lang w:val="es-CR"/>
        </w:rPr>
        <w:t xml:space="preserve">mayores las </w:t>
      </w:r>
      <w:r>
        <w:rPr>
          <w:rFonts w:cs="Arial"/>
          <w:sz w:val="22"/>
          <w:szCs w:val="22"/>
          <w:lang w:val="es-CR"/>
        </w:rPr>
        <w:t>á</w:t>
      </w:r>
      <w:r w:rsidRPr="00FA0B7F">
        <w:rPr>
          <w:rFonts w:cs="Arial"/>
          <w:sz w:val="22"/>
          <w:szCs w:val="22"/>
          <w:lang w:val="es-CR"/>
        </w:rPr>
        <w:t>reas destinadas a estas zonas.</w:t>
      </w:r>
    </w:p>
    <w:p w14:paraId="1A2B749D" w14:textId="160CC3EC" w:rsidR="008D5196" w:rsidRDefault="008D5196" w:rsidP="002E594B">
      <w:pPr>
        <w:spacing w:line="360" w:lineRule="auto"/>
        <w:jc w:val="both"/>
        <w:rPr>
          <w:rFonts w:cs="Arial"/>
          <w:sz w:val="22"/>
          <w:szCs w:val="22"/>
          <w:lang w:val="es-ES_tradnl"/>
        </w:rPr>
      </w:pPr>
    </w:p>
    <w:p w14:paraId="4D6E8BC2" w14:textId="3179A6BF" w:rsidR="002767BE" w:rsidRDefault="002767BE" w:rsidP="002767BE">
      <w:pPr>
        <w:spacing w:line="360" w:lineRule="auto"/>
        <w:jc w:val="both"/>
        <w:rPr>
          <w:rFonts w:cs="Arial"/>
          <w:bCs/>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0E3924">
        <w:rPr>
          <w:rFonts w:cs="Arial"/>
          <w:sz w:val="22"/>
          <w:u w:val="single"/>
          <w:lang w:val="es-ES_tradnl"/>
        </w:rPr>
        <w:t>51</w:t>
      </w:r>
      <w:r w:rsidRPr="00A25DB7">
        <w:rPr>
          <w:rFonts w:cs="Arial"/>
          <w:sz w:val="22"/>
          <w:u w:val="single"/>
          <w:lang w:val="es-ES_tradnl"/>
        </w:rPr>
        <w:t>:</w:t>
      </w:r>
      <w:r w:rsidR="000E3924">
        <w:rPr>
          <w:rFonts w:cs="Arial"/>
          <w:sz w:val="22"/>
          <w:u w:val="single"/>
          <w:lang w:val="es-ES_tradnl"/>
        </w:rPr>
        <w:t>35</w:t>
      </w:r>
      <w:r>
        <w:rPr>
          <w:rFonts w:cs="Arial"/>
          <w:sz w:val="22"/>
          <w:lang w:val="es-ES_tradnl"/>
        </w:rPr>
        <w:t xml:space="preserve"> Una vez </w:t>
      </w:r>
      <w:r>
        <w:rPr>
          <w:rFonts w:cs="Arial"/>
          <w:bCs/>
          <w:sz w:val="22"/>
          <w:szCs w:val="22"/>
          <w:lang w:val="es-ES_tradnl"/>
        </w:rPr>
        <w:t xml:space="preserve">conocida y suficientemente discutida la información suministrada </w:t>
      </w:r>
      <w:r>
        <w:rPr>
          <w:rFonts w:cs="Arial"/>
          <w:bCs/>
          <w:sz w:val="22"/>
          <w:szCs w:val="22"/>
        </w:rPr>
        <w:t xml:space="preserve">y no habiendo objeciones de los señores Directores ni por parte de los funcionarios presentes, la </w:t>
      </w:r>
      <w:r>
        <w:rPr>
          <w:rFonts w:cs="Arial"/>
          <w:bCs/>
          <w:sz w:val="22"/>
          <w:szCs w:val="22"/>
          <w:lang w:val="es-ES_tradnl"/>
        </w:rPr>
        <w:t xml:space="preserve">Junta Directiva resuelve actuar de la forma que recomienda la Administración, en los términos planteados en el informe </w:t>
      </w:r>
      <w:r w:rsidR="000E3924">
        <w:rPr>
          <w:rFonts w:cs="Arial"/>
          <w:sz w:val="22"/>
          <w:szCs w:val="22"/>
          <w:lang w:val="es-ES_tradnl"/>
        </w:rPr>
        <w:t>DF-DT-OF-1121-2020</w:t>
      </w:r>
      <w:r>
        <w:rPr>
          <w:rFonts w:cs="Arial"/>
          <w:bCs/>
          <w:sz w:val="22"/>
          <w:szCs w:val="22"/>
        </w:rPr>
        <w:t xml:space="preserve">. Lo anterior, según se consigna en el </w:t>
      </w:r>
      <w:r w:rsidRPr="00AA3E49">
        <w:rPr>
          <w:rFonts w:cs="Arial"/>
          <w:b/>
          <w:sz w:val="22"/>
          <w:szCs w:val="22"/>
        </w:rPr>
        <w:t>Acuerdo N° 1</w:t>
      </w:r>
      <w:r>
        <w:rPr>
          <w:rFonts w:cs="Arial"/>
          <w:bCs/>
          <w:sz w:val="22"/>
          <w:szCs w:val="22"/>
        </w:rPr>
        <w:t xml:space="preserve"> que se anexa a esta minuta.</w:t>
      </w:r>
      <w:r w:rsidR="00475007">
        <w:rPr>
          <w:rFonts w:cs="Arial"/>
          <w:bCs/>
          <w:sz w:val="22"/>
          <w:szCs w:val="22"/>
        </w:rPr>
        <w:t xml:space="preserve">  Acto seguido, se retiran de la sesión la licenciada Camacho Murillo y la arquitecta Salas Rodríguez.</w:t>
      </w:r>
    </w:p>
    <w:p w14:paraId="0754246B" w14:textId="77777777" w:rsidR="009D03FE" w:rsidRPr="00D14EAF" w:rsidRDefault="009D03FE" w:rsidP="009D03FE">
      <w:pPr>
        <w:spacing w:line="360" w:lineRule="auto"/>
        <w:jc w:val="both"/>
        <w:rPr>
          <w:rFonts w:cs="Arial"/>
          <w:b/>
          <w:sz w:val="22"/>
        </w:rPr>
      </w:pPr>
      <w:r w:rsidRPr="00D14EAF">
        <w:rPr>
          <w:rFonts w:cs="Arial"/>
          <w:b/>
          <w:sz w:val="22"/>
        </w:rPr>
        <w:t>************</w:t>
      </w:r>
    </w:p>
    <w:p w14:paraId="4205C51C" w14:textId="77777777" w:rsidR="00D13B6B" w:rsidRDefault="00D13B6B" w:rsidP="002D0146">
      <w:pPr>
        <w:spacing w:line="360" w:lineRule="auto"/>
        <w:jc w:val="both"/>
        <w:rPr>
          <w:rFonts w:cs="Arial"/>
          <w:b/>
          <w:bCs/>
          <w:sz w:val="22"/>
          <w:szCs w:val="22"/>
          <w:u w:val="single"/>
          <w:lang w:val="es-ES_tradnl"/>
        </w:rPr>
      </w:pPr>
    </w:p>
    <w:p w14:paraId="72678B66" w14:textId="3FF212C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02D21" w:rsidRPr="00A02D21">
        <w:rPr>
          <w:rFonts w:cs="Arial"/>
          <w:b/>
          <w:bCs/>
          <w:sz w:val="22"/>
          <w:u w:val="single"/>
          <w:lang w:val="es-CR"/>
        </w:rPr>
        <w:t>Informe sobre el estado del préstamo del inmueble al INDER, del proyecto COBASUR</w:t>
      </w:r>
    </w:p>
    <w:p w14:paraId="095BCC28" w14:textId="77777777" w:rsidR="009D03FE" w:rsidRDefault="009D03FE" w:rsidP="009D03FE">
      <w:pPr>
        <w:spacing w:line="360" w:lineRule="auto"/>
        <w:jc w:val="both"/>
        <w:rPr>
          <w:rFonts w:cs="Arial"/>
          <w:sz w:val="22"/>
          <w:szCs w:val="22"/>
        </w:rPr>
      </w:pPr>
    </w:p>
    <w:p w14:paraId="0581885F" w14:textId="7E24EF1C" w:rsidR="00475007" w:rsidRDefault="009D03FE" w:rsidP="009D03FE">
      <w:pPr>
        <w:spacing w:line="360" w:lineRule="auto"/>
        <w:jc w:val="both"/>
        <w:rPr>
          <w:rFonts w:cs="Arial"/>
          <w:sz w:val="22"/>
          <w:lang w:val="es-ES_tradnl"/>
        </w:rPr>
      </w:pPr>
      <w:r w:rsidRPr="00475007">
        <w:rPr>
          <w:rFonts w:cs="Arial"/>
          <w:sz w:val="22"/>
          <w:u w:val="single"/>
          <w:lang w:val="es-ES_tradnl"/>
        </w:rPr>
        <w:t xml:space="preserve">Minuto </w:t>
      </w:r>
      <w:r w:rsidR="00D511E8" w:rsidRPr="00475007">
        <w:rPr>
          <w:rFonts w:cs="Arial"/>
          <w:sz w:val="22"/>
          <w:u w:val="single"/>
          <w:lang w:val="es-ES_tradnl"/>
        </w:rPr>
        <w:t>171</w:t>
      </w:r>
      <w:r w:rsidRPr="00475007">
        <w:rPr>
          <w:rFonts w:cs="Arial"/>
          <w:sz w:val="22"/>
          <w:u w:val="single"/>
          <w:lang w:val="es-ES_tradnl"/>
        </w:rPr>
        <w:t>:</w:t>
      </w:r>
      <w:r w:rsidR="00D511E8" w:rsidRPr="00475007">
        <w:rPr>
          <w:rFonts w:cs="Arial"/>
          <w:sz w:val="22"/>
          <w:u w:val="single"/>
          <w:lang w:val="es-ES_tradnl"/>
        </w:rPr>
        <w:t>43</w:t>
      </w:r>
      <w:r>
        <w:rPr>
          <w:rFonts w:cs="Arial"/>
          <w:sz w:val="22"/>
          <w:lang w:val="es-ES_tradnl"/>
        </w:rPr>
        <w:t xml:space="preserve"> </w:t>
      </w:r>
      <w:r w:rsidR="000E3924">
        <w:rPr>
          <w:rFonts w:cs="Arial"/>
          <w:sz w:val="22"/>
          <w:lang w:val="es-ES_tradnl"/>
        </w:rPr>
        <w:t xml:space="preserve">Luego de un receso </w:t>
      </w:r>
      <w:r w:rsidR="00475007">
        <w:rPr>
          <w:rFonts w:cs="Arial"/>
          <w:sz w:val="22"/>
          <w:lang w:val="es-ES_tradnl"/>
        </w:rPr>
        <w:t xml:space="preserve">y reincorporado el señor Gerente General, se procede a efectuar, de forma unánime, un ajuste a los temas que se conocerán en la presente sesión y se conoce el oficio </w:t>
      </w:r>
      <w:r w:rsidR="00475007">
        <w:rPr>
          <w:rFonts w:cs="Arial"/>
          <w:sz w:val="22"/>
          <w:szCs w:val="22"/>
        </w:rPr>
        <w:t xml:space="preserve">GG-ME-1546-2020, del 21 de diciembre de 2020, por medio del cual, la </w:t>
      </w:r>
      <w:r w:rsidR="00475007" w:rsidRPr="00C71F8B">
        <w:rPr>
          <w:rFonts w:cs="Arial"/>
          <w:sz w:val="22"/>
          <w:szCs w:val="22"/>
          <w:lang w:val="es-ES_tradnl"/>
        </w:rPr>
        <w:t>Gerencia General</w:t>
      </w:r>
      <w:r w:rsidR="00475007">
        <w:rPr>
          <w:rFonts w:cs="Arial"/>
          <w:sz w:val="22"/>
          <w:szCs w:val="22"/>
          <w:lang w:val="es-ES_tradnl"/>
        </w:rPr>
        <w:t xml:space="preserve"> remite el informe SGF-ME-0015-2020/DFNV-ME-472-2020 de la Subgerencia Financiera y la Dirección FONAVI, relacionado con el </w:t>
      </w:r>
      <w:r w:rsidR="00475007" w:rsidRPr="00103A41">
        <w:rPr>
          <w:rFonts w:cs="Arial"/>
          <w:sz w:val="22"/>
          <w:szCs w:val="22"/>
          <w:lang w:val="es-CR"/>
        </w:rPr>
        <w:t xml:space="preserve">estado y </w:t>
      </w:r>
      <w:r w:rsidR="00475007">
        <w:rPr>
          <w:rFonts w:cs="Arial"/>
          <w:sz w:val="22"/>
          <w:szCs w:val="22"/>
          <w:lang w:val="es-CR"/>
        </w:rPr>
        <w:t xml:space="preserve">la </w:t>
      </w:r>
      <w:r w:rsidR="00475007" w:rsidRPr="00103A41">
        <w:rPr>
          <w:rFonts w:cs="Arial"/>
          <w:sz w:val="22"/>
          <w:szCs w:val="22"/>
          <w:lang w:val="es-CR"/>
        </w:rPr>
        <w:t>recomendaci</w:t>
      </w:r>
      <w:r w:rsidR="00475007">
        <w:rPr>
          <w:rFonts w:cs="Arial"/>
          <w:sz w:val="22"/>
          <w:szCs w:val="22"/>
          <w:lang w:val="es-CR"/>
        </w:rPr>
        <w:t>ón sobre</w:t>
      </w:r>
      <w:r w:rsidR="00475007" w:rsidRPr="00103A41">
        <w:rPr>
          <w:rFonts w:cs="Arial"/>
          <w:sz w:val="22"/>
          <w:szCs w:val="22"/>
          <w:lang w:val="es-CR"/>
        </w:rPr>
        <w:t xml:space="preserve"> el conveni</w:t>
      </w:r>
      <w:r w:rsidR="00475007">
        <w:rPr>
          <w:rFonts w:cs="Arial"/>
          <w:sz w:val="22"/>
          <w:szCs w:val="22"/>
          <w:lang w:val="es-CR"/>
        </w:rPr>
        <w:t>o</w:t>
      </w:r>
      <w:r w:rsidR="00475007" w:rsidRPr="00103A41">
        <w:rPr>
          <w:rFonts w:cs="Arial"/>
          <w:sz w:val="22"/>
          <w:szCs w:val="22"/>
          <w:lang w:val="es-CR"/>
        </w:rPr>
        <w:t xml:space="preserve"> que se</w:t>
      </w:r>
      <w:r w:rsidR="00475007">
        <w:rPr>
          <w:rFonts w:cs="Arial"/>
          <w:sz w:val="22"/>
          <w:szCs w:val="22"/>
          <w:lang w:val="es-CR"/>
        </w:rPr>
        <w:t xml:space="preserve"> </w:t>
      </w:r>
      <w:r w:rsidR="00475007" w:rsidRPr="00103A41">
        <w:rPr>
          <w:rFonts w:cs="Arial"/>
          <w:sz w:val="22"/>
          <w:szCs w:val="22"/>
          <w:lang w:val="es-CR"/>
        </w:rPr>
        <w:t>ha venido gestionando para ser firmado con el Instituto d</w:t>
      </w:r>
      <w:r w:rsidR="00475007">
        <w:rPr>
          <w:rFonts w:cs="Arial"/>
          <w:sz w:val="22"/>
          <w:szCs w:val="22"/>
          <w:lang w:val="es-CR"/>
        </w:rPr>
        <w:t>e</w:t>
      </w:r>
      <w:r w:rsidR="00475007" w:rsidRPr="00103A41">
        <w:rPr>
          <w:rFonts w:cs="Arial"/>
          <w:sz w:val="22"/>
          <w:szCs w:val="22"/>
          <w:lang w:val="es-CR"/>
        </w:rPr>
        <w:t xml:space="preserve"> Desarrollo Rural (INDER), para</w:t>
      </w:r>
      <w:r w:rsidR="00475007">
        <w:rPr>
          <w:rFonts w:cs="Arial"/>
          <w:sz w:val="22"/>
          <w:szCs w:val="22"/>
          <w:lang w:val="es-CR"/>
        </w:rPr>
        <w:t xml:space="preserve"> la</w:t>
      </w:r>
      <w:r w:rsidR="00475007" w:rsidRPr="00103A41">
        <w:rPr>
          <w:rFonts w:cs="Arial"/>
          <w:sz w:val="22"/>
          <w:szCs w:val="22"/>
          <w:lang w:val="es-CR"/>
        </w:rPr>
        <w:t xml:space="preserve"> formalizaci</w:t>
      </w:r>
      <w:r w:rsidR="00475007">
        <w:rPr>
          <w:rFonts w:cs="Arial"/>
          <w:sz w:val="22"/>
          <w:szCs w:val="22"/>
          <w:lang w:val="es-CR"/>
        </w:rPr>
        <w:t xml:space="preserve">ón </w:t>
      </w:r>
      <w:r w:rsidR="00475007" w:rsidRPr="00103A41">
        <w:rPr>
          <w:rFonts w:cs="Arial"/>
          <w:sz w:val="22"/>
          <w:szCs w:val="22"/>
          <w:lang w:val="es-CR"/>
        </w:rPr>
        <w:t>del pr</w:t>
      </w:r>
      <w:r w:rsidR="00475007">
        <w:rPr>
          <w:rFonts w:cs="Arial"/>
          <w:sz w:val="22"/>
          <w:szCs w:val="22"/>
          <w:lang w:val="es-CR"/>
        </w:rPr>
        <w:t>é</w:t>
      </w:r>
      <w:r w:rsidR="00475007" w:rsidRPr="00103A41">
        <w:rPr>
          <w:rFonts w:cs="Arial"/>
          <w:sz w:val="22"/>
          <w:szCs w:val="22"/>
          <w:lang w:val="es-CR"/>
        </w:rPr>
        <w:t>stamo d</w:t>
      </w:r>
      <w:r w:rsidR="00475007">
        <w:rPr>
          <w:rFonts w:cs="Arial"/>
          <w:sz w:val="22"/>
          <w:szCs w:val="22"/>
          <w:lang w:val="es-CR"/>
        </w:rPr>
        <w:t>e</w:t>
      </w:r>
      <w:r w:rsidR="00475007" w:rsidRPr="00103A41">
        <w:rPr>
          <w:rFonts w:cs="Arial"/>
          <w:sz w:val="22"/>
          <w:szCs w:val="22"/>
          <w:lang w:val="es-CR"/>
        </w:rPr>
        <w:t xml:space="preserve"> </w:t>
      </w:r>
      <w:r w:rsidR="00475007">
        <w:rPr>
          <w:rFonts w:cs="Arial"/>
          <w:sz w:val="22"/>
          <w:szCs w:val="22"/>
          <w:lang w:val="es-CR"/>
        </w:rPr>
        <w:t>l</w:t>
      </w:r>
      <w:r w:rsidR="00475007" w:rsidRPr="00103A41">
        <w:rPr>
          <w:rFonts w:cs="Arial"/>
          <w:sz w:val="22"/>
          <w:szCs w:val="22"/>
          <w:lang w:val="es-CR"/>
        </w:rPr>
        <w:t xml:space="preserve">a propiedad denominada </w:t>
      </w:r>
      <w:proofErr w:type="spellStart"/>
      <w:r w:rsidR="00475007" w:rsidRPr="00103A41">
        <w:rPr>
          <w:rFonts w:cs="Arial"/>
          <w:sz w:val="22"/>
          <w:szCs w:val="22"/>
          <w:lang w:val="es-CR"/>
        </w:rPr>
        <w:t>Cobasur</w:t>
      </w:r>
      <w:proofErr w:type="spellEnd"/>
      <w:r w:rsidR="00475007">
        <w:rPr>
          <w:rFonts w:cs="Arial"/>
          <w:sz w:val="22"/>
          <w:szCs w:val="22"/>
          <w:lang w:val="es-CR"/>
        </w:rPr>
        <w:t xml:space="preserve">, </w:t>
      </w:r>
      <w:r w:rsidR="00475007" w:rsidRPr="00103A41">
        <w:rPr>
          <w:rFonts w:cs="Arial"/>
          <w:sz w:val="22"/>
          <w:szCs w:val="22"/>
          <w:lang w:val="es-CR"/>
        </w:rPr>
        <w:t xml:space="preserve">para </w:t>
      </w:r>
      <w:r w:rsidR="00475007">
        <w:rPr>
          <w:rFonts w:cs="Arial"/>
          <w:sz w:val="22"/>
          <w:szCs w:val="22"/>
          <w:lang w:val="es-CR"/>
        </w:rPr>
        <w:t>l</w:t>
      </w:r>
      <w:r w:rsidR="00475007" w:rsidRPr="00103A41">
        <w:rPr>
          <w:rFonts w:cs="Arial"/>
          <w:sz w:val="22"/>
          <w:szCs w:val="22"/>
          <w:lang w:val="es-CR"/>
        </w:rPr>
        <w:t>a ubicaci</w:t>
      </w:r>
      <w:r w:rsidR="00475007">
        <w:rPr>
          <w:rFonts w:cs="Arial"/>
          <w:sz w:val="22"/>
          <w:szCs w:val="22"/>
          <w:lang w:val="es-CR"/>
        </w:rPr>
        <w:t xml:space="preserve">ón </w:t>
      </w:r>
      <w:r w:rsidR="00475007" w:rsidRPr="00103A41">
        <w:rPr>
          <w:rFonts w:cs="Arial"/>
          <w:sz w:val="22"/>
          <w:szCs w:val="22"/>
          <w:lang w:val="es-CR"/>
        </w:rPr>
        <w:t xml:space="preserve">temporal de las familias provenientes del asentamiento </w:t>
      </w:r>
      <w:r w:rsidR="00475007">
        <w:rPr>
          <w:rFonts w:cs="Arial"/>
          <w:sz w:val="22"/>
          <w:szCs w:val="22"/>
          <w:lang w:val="es-CR"/>
        </w:rPr>
        <w:t xml:space="preserve">de </w:t>
      </w:r>
      <w:proofErr w:type="spellStart"/>
      <w:r w:rsidR="00475007" w:rsidRPr="00103A41">
        <w:rPr>
          <w:rFonts w:cs="Arial"/>
          <w:sz w:val="22"/>
          <w:szCs w:val="22"/>
          <w:lang w:val="es-CR"/>
        </w:rPr>
        <w:t>Ch</w:t>
      </w:r>
      <w:r w:rsidR="00475007">
        <w:rPr>
          <w:rFonts w:cs="Arial"/>
          <w:sz w:val="22"/>
          <w:szCs w:val="22"/>
          <w:lang w:val="es-CR"/>
        </w:rPr>
        <w:t>á</w:t>
      </w:r>
      <w:r w:rsidR="00475007" w:rsidRPr="00103A41">
        <w:rPr>
          <w:rFonts w:cs="Arial"/>
          <w:sz w:val="22"/>
          <w:szCs w:val="22"/>
          <w:lang w:val="es-CR"/>
        </w:rPr>
        <w:t>nguena</w:t>
      </w:r>
      <w:proofErr w:type="spellEnd"/>
      <w:r w:rsidR="00475007" w:rsidRPr="00103A41">
        <w:rPr>
          <w:rFonts w:cs="Arial"/>
          <w:sz w:val="22"/>
          <w:szCs w:val="22"/>
          <w:lang w:val="es-CR"/>
        </w:rPr>
        <w:t xml:space="preserve"> y Cuadrante Tres</w:t>
      </w:r>
      <w:r w:rsidR="00475007">
        <w:rPr>
          <w:rFonts w:cs="Arial"/>
          <w:sz w:val="22"/>
          <w:szCs w:val="22"/>
          <w:lang w:val="es-CR"/>
        </w:rPr>
        <w:t>.  Dichos documentos se adjuntan al expediente del acta.</w:t>
      </w:r>
    </w:p>
    <w:p w14:paraId="625756A3" w14:textId="77777777" w:rsidR="00475007" w:rsidRDefault="00475007" w:rsidP="009D03FE">
      <w:pPr>
        <w:spacing w:line="360" w:lineRule="auto"/>
        <w:jc w:val="both"/>
        <w:rPr>
          <w:rFonts w:cs="Arial"/>
          <w:sz w:val="22"/>
          <w:lang w:val="es-ES_tradnl"/>
        </w:rPr>
      </w:pPr>
    </w:p>
    <w:p w14:paraId="571877AE" w14:textId="5AF6AAC8" w:rsidR="00475007" w:rsidRDefault="00475007" w:rsidP="00475007">
      <w:pPr>
        <w:spacing w:line="360" w:lineRule="auto"/>
        <w:jc w:val="both"/>
        <w:rPr>
          <w:rFonts w:cs="Arial"/>
          <w:sz w:val="22"/>
          <w:szCs w:val="22"/>
        </w:rPr>
      </w:pPr>
      <w:r>
        <w:rPr>
          <w:rFonts w:cs="Arial"/>
          <w:sz w:val="22"/>
          <w:szCs w:val="22"/>
        </w:rPr>
        <w:t>La licenciada Hernández Brenes expone el contenido del citado informe, concluyendo que de conformidad con el análisis de los hechos descritos en dicho informe, la Subgerencia Financiera y la Dirección FONAVI reiteran</w:t>
      </w:r>
      <w:r w:rsidRPr="00103A41">
        <w:rPr>
          <w:rFonts w:cs="Arial"/>
          <w:sz w:val="22"/>
          <w:szCs w:val="22"/>
          <w:lang w:val="es-CR"/>
        </w:rPr>
        <w:t xml:space="preserve"> </w:t>
      </w:r>
      <w:r>
        <w:rPr>
          <w:rFonts w:cs="Arial"/>
          <w:sz w:val="22"/>
          <w:szCs w:val="22"/>
          <w:lang w:val="es-CR"/>
        </w:rPr>
        <w:t>l</w:t>
      </w:r>
      <w:r w:rsidRPr="00103A41">
        <w:rPr>
          <w:rFonts w:cs="Arial"/>
          <w:sz w:val="22"/>
          <w:szCs w:val="22"/>
          <w:lang w:val="es-CR"/>
        </w:rPr>
        <w:t xml:space="preserve">a necesidad de formalizar </w:t>
      </w:r>
      <w:r>
        <w:rPr>
          <w:rFonts w:cs="Arial"/>
          <w:sz w:val="22"/>
          <w:szCs w:val="22"/>
          <w:lang w:val="es-CR"/>
        </w:rPr>
        <w:t>la</w:t>
      </w:r>
      <w:r w:rsidRPr="00103A41">
        <w:rPr>
          <w:rFonts w:cs="Arial"/>
          <w:sz w:val="22"/>
          <w:szCs w:val="22"/>
          <w:lang w:val="es-CR"/>
        </w:rPr>
        <w:t xml:space="preserve"> </w:t>
      </w:r>
      <w:r>
        <w:rPr>
          <w:rFonts w:cs="Arial"/>
          <w:sz w:val="22"/>
          <w:szCs w:val="22"/>
          <w:lang w:val="es-CR"/>
        </w:rPr>
        <w:t xml:space="preserve">situación </w:t>
      </w:r>
      <w:r w:rsidRPr="00103A41">
        <w:rPr>
          <w:rFonts w:cs="Arial"/>
          <w:sz w:val="22"/>
          <w:szCs w:val="22"/>
          <w:lang w:val="es-CR"/>
        </w:rPr>
        <w:t>de</w:t>
      </w:r>
      <w:r>
        <w:rPr>
          <w:rFonts w:cs="Arial"/>
          <w:sz w:val="22"/>
          <w:szCs w:val="22"/>
          <w:lang w:val="es-CR"/>
        </w:rPr>
        <w:t xml:space="preserve"> </w:t>
      </w:r>
      <w:r w:rsidRPr="00103A41">
        <w:rPr>
          <w:rFonts w:cs="Arial"/>
          <w:sz w:val="22"/>
          <w:szCs w:val="22"/>
          <w:lang w:val="es-CR"/>
        </w:rPr>
        <w:t>ocupaci</w:t>
      </w:r>
      <w:r>
        <w:rPr>
          <w:rFonts w:cs="Arial"/>
          <w:sz w:val="22"/>
          <w:szCs w:val="22"/>
          <w:lang w:val="es-CR"/>
        </w:rPr>
        <w:t xml:space="preserve">ón </w:t>
      </w:r>
      <w:r w:rsidRPr="00103A41">
        <w:rPr>
          <w:rFonts w:cs="Arial"/>
          <w:sz w:val="22"/>
          <w:szCs w:val="22"/>
          <w:lang w:val="es-CR"/>
        </w:rPr>
        <w:t xml:space="preserve">de </w:t>
      </w:r>
      <w:r>
        <w:rPr>
          <w:rFonts w:cs="Arial"/>
          <w:sz w:val="22"/>
          <w:szCs w:val="22"/>
          <w:lang w:val="es-CR"/>
        </w:rPr>
        <w:t>l</w:t>
      </w:r>
      <w:r w:rsidRPr="00103A41">
        <w:rPr>
          <w:rFonts w:cs="Arial"/>
          <w:sz w:val="22"/>
          <w:szCs w:val="22"/>
          <w:lang w:val="es-CR"/>
        </w:rPr>
        <w:t xml:space="preserve">a finca </w:t>
      </w:r>
      <w:proofErr w:type="spellStart"/>
      <w:r w:rsidRPr="00103A41">
        <w:rPr>
          <w:rFonts w:cs="Arial"/>
          <w:sz w:val="22"/>
          <w:szCs w:val="22"/>
          <w:lang w:val="es-CR"/>
        </w:rPr>
        <w:t>Cobasur</w:t>
      </w:r>
      <w:proofErr w:type="spellEnd"/>
      <w:r>
        <w:rPr>
          <w:rFonts w:cs="Arial"/>
          <w:sz w:val="22"/>
          <w:szCs w:val="22"/>
          <w:lang w:val="es-CR"/>
        </w:rPr>
        <w:t>,</w:t>
      </w:r>
      <w:r w:rsidRPr="00103A41">
        <w:rPr>
          <w:rFonts w:cs="Arial"/>
          <w:sz w:val="22"/>
          <w:szCs w:val="22"/>
          <w:lang w:val="es-CR"/>
        </w:rPr>
        <w:t xml:space="preserve"> mediante </w:t>
      </w:r>
      <w:r>
        <w:rPr>
          <w:rFonts w:cs="Arial"/>
          <w:sz w:val="22"/>
          <w:szCs w:val="22"/>
          <w:lang w:val="es-CR"/>
        </w:rPr>
        <w:t>l</w:t>
      </w:r>
      <w:r w:rsidRPr="00103A41">
        <w:rPr>
          <w:rFonts w:cs="Arial"/>
          <w:sz w:val="22"/>
          <w:szCs w:val="22"/>
          <w:lang w:val="es-CR"/>
        </w:rPr>
        <w:t xml:space="preserve">a firma del </w:t>
      </w:r>
      <w:r>
        <w:rPr>
          <w:rFonts w:cs="Arial"/>
          <w:sz w:val="22"/>
          <w:szCs w:val="22"/>
          <w:lang w:val="es-CR"/>
        </w:rPr>
        <w:t>c</w:t>
      </w:r>
      <w:r w:rsidRPr="00103A41">
        <w:rPr>
          <w:rFonts w:cs="Arial"/>
          <w:sz w:val="22"/>
          <w:szCs w:val="22"/>
          <w:lang w:val="es-CR"/>
        </w:rPr>
        <w:t xml:space="preserve">onvenio de </w:t>
      </w:r>
      <w:r>
        <w:rPr>
          <w:rFonts w:cs="Arial"/>
          <w:sz w:val="22"/>
          <w:szCs w:val="22"/>
          <w:lang w:val="es-CR"/>
        </w:rPr>
        <w:t>c</w:t>
      </w:r>
      <w:r w:rsidRPr="00103A41">
        <w:rPr>
          <w:rFonts w:cs="Arial"/>
          <w:sz w:val="22"/>
          <w:szCs w:val="22"/>
          <w:lang w:val="es-CR"/>
        </w:rPr>
        <w:t>ooperaci</w:t>
      </w:r>
      <w:r>
        <w:rPr>
          <w:rFonts w:cs="Arial"/>
          <w:sz w:val="22"/>
          <w:szCs w:val="22"/>
          <w:lang w:val="es-CR"/>
        </w:rPr>
        <w:t xml:space="preserve">ón entre el </w:t>
      </w:r>
      <w:r w:rsidRPr="00103A41">
        <w:rPr>
          <w:rFonts w:cs="Arial"/>
          <w:sz w:val="22"/>
          <w:szCs w:val="22"/>
          <w:lang w:val="es-CR"/>
        </w:rPr>
        <w:t>BAN</w:t>
      </w:r>
      <w:r>
        <w:rPr>
          <w:rFonts w:cs="Arial"/>
          <w:sz w:val="22"/>
          <w:szCs w:val="22"/>
          <w:lang w:val="es-CR"/>
        </w:rPr>
        <w:t>H</w:t>
      </w:r>
      <w:r w:rsidRPr="00103A41">
        <w:rPr>
          <w:rFonts w:cs="Arial"/>
          <w:sz w:val="22"/>
          <w:szCs w:val="22"/>
          <w:lang w:val="es-CR"/>
        </w:rPr>
        <w:t xml:space="preserve">VI </w:t>
      </w:r>
      <w:r>
        <w:rPr>
          <w:rFonts w:cs="Arial"/>
          <w:sz w:val="22"/>
          <w:szCs w:val="22"/>
          <w:lang w:val="es-CR"/>
        </w:rPr>
        <w:t xml:space="preserve">y el </w:t>
      </w:r>
      <w:r w:rsidRPr="00103A41">
        <w:rPr>
          <w:rFonts w:cs="Arial"/>
          <w:sz w:val="22"/>
          <w:szCs w:val="22"/>
          <w:lang w:val="es-CR"/>
        </w:rPr>
        <w:t>INDER y</w:t>
      </w:r>
      <w:r>
        <w:rPr>
          <w:rFonts w:cs="Arial"/>
          <w:sz w:val="22"/>
          <w:szCs w:val="22"/>
          <w:lang w:val="es-CR"/>
        </w:rPr>
        <w:t xml:space="preserve"> –c</w:t>
      </w:r>
      <w:r w:rsidRPr="00103A41">
        <w:rPr>
          <w:rFonts w:cs="Arial"/>
          <w:sz w:val="22"/>
          <w:szCs w:val="22"/>
          <w:lang w:val="es-CR"/>
        </w:rPr>
        <w:t>onsiderando</w:t>
      </w:r>
      <w:r>
        <w:rPr>
          <w:rFonts w:cs="Arial"/>
          <w:sz w:val="22"/>
          <w:szCs w:val="22"/>
          <w:lang w:val="es-CR"/>
        </w:rPr>
        <w:t xml:space="preserve"> </w:t>
      </w:r>
      <w:r w:rsidRPr="00103A41">
        <w:rPr>
          <w:rFonts w:cs="Arial"/>
          <w:sz w:val="22"/>
          <w:szCs w:val="22"/>
          <w:lang w:val="es-CR"/>
        </w:rPr>
        <w:t xml:space="preserve">las limitaciones que enfrenta el INDER para </w:t>
      </w:r>
      <w:r>
        <w:rPr>
          <w:rFonts w:cs="Arial"/>
          <w:sz w:val="22"/>
          <w:szCs w:val="22"/>
          <w:lang w:val="es-CR"/>
        </w:rPr>
        <w:t>l</w:t>
      </w:r>
      <w:r w:rsidRPr="00103A41">
        <w:rPr>
          <w:rFonts w:cs="Arial"/>
          <w:sz w:val="22"/>
          <w:szCs w:val="22"/>
          <w:lang w:val="es-CR"/>
        </w:rPr>
        <w:t>a desocupaci</w:t>
      </w:r>
      <w:r>
        <w:rPr>
          <w:rFonts w:cs="Arial"/>
          <w:sz w:val="22"/>
          <w:szCs w:val="22"/>
          <w:lang w:val="es-CR"/>
        </w:rPr>
        <w:t xml:space="preserve">ón </w:t>
      </w:r>
      <w:r w:rsidRPr="00103A41">
        <w:rPr>
          <w:rFonts w:cs="Arial"/>
          <w:sz w:val="22"/>
          <w:szCs w:val="22"/>
          <w:lang w:val="es-CR"/>
        </w:rPr>
        <w:t>del</w:t>
      </w:r>
      <w:r>
        <w:rPr>
          <w:rFonts w:cs="Arial"/>
          <w:sz w:val="22"/>
          <w:szCs w:val="22"/>
          <w:lang w:val="es-CR"/>
        </w:rPr>
        <w:t xml:space="preserve"> </w:t>
      </w:r>
      <w:r w:rsidRPr="00103A41">
        <w:rPr>
          <w:rFonts w:cs="Arial"/>
          <w:sz w:val="22"/>
          <w:szCs w:val="22"/>
          <w:lang w:val="es-CR"/>
        </w:rPr>
        <w:t>inmueble</w:t>
      </w:r>
      <w:r>
        <w:rPr>
          <w:rFonts w:cs="Arial"/>
          <w:sz w:val="22"/>
          <w:szCs w:val="22"/>
          <w:lang w:val="es-CR"/>
        </w:rPr>
        <w:t>–</w:t>
      </w:r>
      <w:r w:rsidRPr="00103A41">
        <w:rPr>
          <w:rFonts w:cs="Arial"/>
          <w:sz w:val="22"/>
          <w:szCs w:val="22"/>
          <w:lang w:val="es-CR"/>
        </w:rPr>
        <w:t xml:space="preserve"> </w:t>
      </w:r>
      <w:r>
        <w:rPr>
          <w:rFonts w:cs="Arial"/>
          <w:sz w:val="22"/>
          <w:szCs w:val="22"/>
          <w:lang w:val="es-CR"/>
        </w:rPr>
        <w:t xml:space="preserve">recomiendan que se autorice la firma </w:t>
      </w:r>
      <w:r w:rsidRPr="00103A41">
        <w:rPr>
          <w:rFonts w:cs="Arial"/>
          <w:sz w:val="22"/>
          <w:szCs w:val="22"/>
          <w:lang w:val="es-CR"/>
        </w:rPr>
        <w:t xml:space="preserve">del mencionado </w:t>
      </w:r>
      <w:r>
        <w:rPr>
          <w:rFonts w:cs="Arial"/>
          <w:sz w:val="22"/>
          <w:szCs w:val="22"/>
          <w:lang w:val="es-CR"/>
        </w:rPr>
        <w:t>c</w:t>
      </w:r>
      <w:r w:rsidRPr="00103A41">
        <w:rPr>
          <w:rFonts w:cs="Arial"/>
          <w:sz w:val="22"/>
          <w:szCs w:val="22"/>
          <w:lang w:val="es-CR"/>
        </w:rPr>
        <w:t xml:space="preserve">onvenio en </w:t>
      </w:r>
      <w:r>
        <w:rPr>
          <w:rFonts w:cs="Arial"/>
          <w:sz w:val="22"/>
          <w:szCs w:val="22"/>
          <w:lang w:val="es-CR"/>
        </w:rPr>
        <w:t>la</w:t>
      </w:r>
      <w:r w:rsidRPr="00103A41">
        <w:rPr>
          <w:rFonts w:cs="Arial"/>
          <w:sz w:val="22"/>
          <w:szCs w:val="22"/>
          <w:lang w:val="es-CR"/>
        </w:rPr>
        <w:t xml:space="preserve"> misma versi</w:t>
      </w:r>
      <w:r>
        <w:rPr>
          <w:rFonts w:cs="Arial"/>
          <w:sz w:val="22"/>
          <w:szCs w:val="22"/>
          <w:lang w:val="es-CR"/>
        </w:rPr>
        <w:t xml:space="preserve">ón </w:t>
      </w:r>
      <w:r w:rsidRPr="00103A41">
        <w:rPr>
          <w:rFonts w:cs="Arial"/>
          <w:sz w:val="22"/>
          <w:szCs w:val="22"/>
          <w:lang w:val="es-CR"/>
        </w:rPr>
        <w:t>aprobada</w:t>
      </w:r>
      <w:r>
        <w:rPr>
          <w:rFonts w:cs="Arial"/>
          <w:sz w:val="22"/>
          <w:szCs w:val="22"/>
          <w:lang w:val="es-CR"/>
        </w:rPr>
        <w:t xml:space="preserve"> </w:t>
      </w:r>
      <w:r w:rsidRPr="00103A41">
        <w:rPr>
          <w:rFonts w:cs="Arial"/>
          <w:sz w:val="22"/>
          <w:szCs w:val="22"/>
          <w:lang w:val="es-CR"/>
        </w:rPr>
        <w:t xml:space="preserve">mediante </w:t>
      </w:r>
      <w:r>
        <w:rPr>
          <w:rFonts w:cs="Arial"/>
          <w:sz w:val="22"/>
          <w:szCs w:val="22"/>
          <w:lang w:val="es-CR"/>
        </w:rPr>
        <w:t>el a</w:t>
      </w:r>
      <w:r w:rsidRPr="00103A41">
        <w:rPr>
          <w:rFonts w:cs="Arial"/>
          <w:sz w:val="22"/>
          <w:szCs w:val="22"/>
          <w:lang w:val="es-CR"/>
        </w:rPr>
        <w:t>cuerdo N°</w:t>
      </w:r>
      <w:r>
        <w:rPr>
          <w:rFonts w:cs="Arial"/>
          <w:sz w:val="22"/>
          <w:szCs w:val="22"/>
          <w:lang w:val="es-CR"/>
        </w:rPr>
        <w:t xml:space="preserve"> </w:t>
      </w:r>
      <w:r w:rsidRPr="00103A41">
        <w:rPr>
          <w:rFonts w:cs="Arial"/>
          <w:sz w:val="22"/>
          <w:szCs w:val="22"/>
          <w:lang w:val="es-CR"/>
        </w:rPr>
        <w:t xml:space="preserve">2 de </w:t>
      </w:r>
      <w:r>
        <w:rPr>
          <w:rFonts w:cs="Arial"/>
          <w:sz w:val="22"/>
          <w:szCs w:val="22"/>
          <w:lang w:val="es-CR"/>
        </w:rPr>
        <w:t>la</w:t>
      </w:r>
      <w:r w:rsidRPr="00103A41">
        <w:rPr>
          <w:rFonts w:cs="Arial"/>
          <w:sz w:val="22"/>
          <w:szCs w:val="22"/>
          <w:lang w:val="es-CR"/>
        </w:rPr>
        <w:t xml:space="preserve"> sesi</w:t>
      </w:r>
      <w:r>
        <w:rPr>
          <w:rFonts w:cs="Arial"/>
          <w:sz w:val="22"/>
          <w:szCs w:val="22"/>
          <w:lang w:val="es-CR"/>
        </w:rPr>
        <w:t xml:space="preserve">ón </w:t>
      </w:r>
      <w:r w:rsidRPr="00103A41">
        <w:rPr>
          <w:rFonts w:cs="Arial"/>
          <w:sz w:val="22"/>
          <w:szCs w:val="22"/>
          <w:lang w:val="es-CR"/>
        </w:rPr>
        <w:t>39-2019</w:t>
      </w:r>
      <w:r>
        <w:rPr>
          <w:rFonts w:cs="Arial"/>
          <w:sz w:val="22"/>
          <w:szCs w:val="22"/>
          <w:lang w:val="es-CR"/>
        </w:rPr>
        <w:t>,</w:t>
      </w:r>
      <w:r w:rsidRPr="00103A41">
        <w:rPr>
          <w:rFonts w:cs="Arial"/>
          <w:sz w:val="22"/>
          <w:szCs w:val="22"/>
          <w:lang w:val="es-CR"/>
        </w:rPr>
        <w:t xml:space="preserve"> del 23 de mayo de 2019, ajustando el plazo</w:t>
      </w:r>
      <w:r>
        <w:rPr>
          <w:rFonts w:cs="Arial"/>
          <w:sz w:val="22"/>
          <w:szCs w:val="22"/>
          <w:lang w:val="es-CR"/>
        </w:rPr>
        <w:t xml:space="preserve"> </w:t>
      </w:r>
      <w:r w:rsidRPr="00103A41">
        <w:rPr>
          <w:rFonts w:cs="Arial"/>
          <w:sz w:val="22"/>
          <w:szCs w:val="22"/>
          <w:lang w:val="es-CR"/>
        </w:rPr>
        <w:t xml:space="preserve">de vigencia </w:t>
      </w:r>
      <w:r>
        <w:rPr>
          <w:rFonts w:cs="Arial"/>
          <w:sz w:val="22"/>
          <w:szCs w:val="22"/>
          <w:lang w:val="es-CR"/>
        </w:rPr>
        <w:t>al</w:t>
      </w:r>
      <w:r w:rsidRPr="00103A41">
        <w:rPr>
          <w:rFonts w:cs="Arial"/>
          <w:sz w:val="22"/>
          <w:szCs w:val="22"/>
          <w:lang w:val="es-CR"/>
        </w:rPr>
        <w:t xml:space="preserve"> </w:t>
      </w:r>
      <w:r>
        <w:rPr>
          <w:rFonts w:cs="Arial"/>
          <w:sz w:val="22"/>
          <w:szCs w:val="22"/>
          <w:lang w:val="es-CR"/>
        </w:rPr>
        <w:t>1</w:t>
      </w:r>
      <w:r w:rsidRPr="00103A41">
        <w:rPr>
          <w:rFonts w:cs="Arial"/>
          <w:sz w:val="22"/>
          <w:szCs w:val="22"/>
          <w:lang w:val="es-CR"/>
        </w:rPr>
        <w:t>5 de octubre de 2021.</w:t>
      </w:r>
    </w:p>
    <w:p w14:paraId="5DD1FDA0" w14:textId="69F60393" w:rsidR="00475007" w:rsidRDefault="00475007" w:rsidP="009D03FE">
      <w:pPr>
        <w:spacing w:line="360" w:lineRule="auto"/>
        <w:jc w:val="both"/>
        <w:rPr>
          <w:rFonts w:cs="Arial"/>
          <w:sz w:val="22"/>
          <w:lang w:val="es-ES_tradnl"/>
        </w:rPr>
      </w:pPr>
    </w:p>
    <w:p w14:paraId="3C730152" w14:textId="6784E0FE" w:rsidR="00B915AE" w:rsidRDefault="006B7190" w:rsidP="00933C4A">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182</w:t>
      </w:r>
      <w:r w:rsidRPr="00A25DB7">
        <w:rPr>
          <w:rFonts w:cs="Arial"/>
          <w:sz w:val="22"/>
          <w:u w:val="single"/>
          <w:lang w:val="es-ES_tradnl"/>
        </w:rPr>
        <w:t>:</w:t>
      </w:r>
      <w:r>
        <w:rPr>
          <w:rFonts w:cs="Arial"/>
          <w:sz w:val="22"/>
          <w:u w:val="single"/>
          <w:lang w:val="es-ES_tradnl"/>
        </w:rPr>
        <w:t>45</w:t>
      </w:r>
      <w:r>
        <w:rPr>
          <w:rFonts w:cs="Arial"/>
          <w:sz w:val="22"/>
          <w:lang w:val="es-ES_tradnl"/>
        </w:rPr>
        <w:t xml:space="preserve"> Los señores Directores </w:t>
      </w:r>
      <w:r w:rsidR="00933C4A">
        <w:rPr>
          <w:rFonts w:cs="Arial"/>
          <w:sz w:val="22"/>
          <w:lang w:val="es-ES_tradnl"/>
        </w:rPr>
        <w:t xml:space="preserve">proceden a analizar la propuesta de la </w:t>
      </w:r>
      <w:r w:rsidR="00933C4A" w:rsidRPr="00933C4A">
        <w:rPr>
          <w:rFonts w:cs="Arial"/>
          <w:sz w:val="22"/>
          <w:lang w:val="es-ES_tradnl"/>
        </w:rPr>
        <w:t>Administración</w:t>
      </w:r>
      <w:r w:rsidR="00933C4A">
        <w:rPr>
          <w:rFonts w:cs="Arial"/>
          <w:sz w:val="22"/>
          <w:lang w:val="es-ES_tradnl"/>
        </w:rPr>
        <w:t xml:space="preserve"> y al respecto acogen una moción del Director Alvarado Herrera, </w:t>
      </w:r>
      <w:r w:rsidR="00B915AE">
        <w:rPr>
          <w:rFonts w:cs="Arial"/>
          <w:sz w:val="22"/>
          <w:lang w:val="es-ES_tradnl"/>
        </w:rPr>
        <w:t xml:space="preserve">quien plantea </w:t>
      </w:r>
      <w:r w:rsidR="00933C4A">
        <w:rPr>
          <w:rFonts w:cs="Arial"/>
          <w:sz w:val="22"/>
          <w:lang w:val="es-ES_tradnl"/>
        </w:rPr>
        <w:t>que el plazo de</w:t>
      </w:r>
      <w:r w:rsidR="00933C4A">
        <w:rPr>
          <w:rFonts w:cs="Arial"/>
          <w:sz w:val="22"/>
          <w:szCs w:val="22"/>
          <w:lang w:val="es-CR"/>
        </w:rPr>
        <w:t xml:space="preserve"> vigencia sea de hasta el 31 de agosto de 2021, </w:t>
      </w:r>
      <w:r w:rsidR="00B915AE">
        <w:rPr>
          <w:rFonts w:cs="Arial"/>
          <w:sz w:val="22"/>
          <w:szCs w:val="22"/>
          <w:lang w:val="es-CR"/>
        </w:rPr>
        <w:t xml:space="preserve">argumentando, en resumen, que por acuerdo de esta </w:t>
      </w:r>
      <w:r w:rsidR="00B915AE" w:rsidRPr="00B915AE">
        <w:rPr>
          <w:rFonts w:cs="Arial"/>
          <w:sz w:val="22"/>
          <w:szCs w:val="22"/>
          <w:lang w:val="es-ES_tradnl"/>
        </w:rPr>
        <w:t>Junta Directiva</w:t>
      </w:r>
      <w:r w:rsidR="00B915AE">
        <w:rPr>
          <w:rFonts w:cs="Arial"/>
          <w:sz w:val="22"/>
          <w:szCs w:val="22"/>
          <w:lang w:val="es-ES_tradnl"/>
        </w:rPr>
        <w:t xml:space="preserve">, se había señalado la firma de un convenio que tenía como fecha máxima de vigencia el mes de mayo de 2020, con lo cual incluso se daba por cumplida </w:t>
      </w:r>
      <w:r w:rsidR="00B915AE">
        <w:rPr>
          <w:rFonts w:cs="Arial"/>
          <w:sz w:val="22"/>
          <w:szCs w:val="22"/>
          <w:lang w:val="es-CR"/>
        </w:rPr>
        <w:t xml:space="preserve">la recomendación de la </w:t>
      </w:r>
      <w:r w:rsidR="00B915AE" w:rsidRPr="0091743D">
        <w:rPr>
          <w:rFonts w:cs="Arial"/>
          <w:sz w:val="22"/>
          <w:szCs w:val="22"/>
          <w:lang w:val="es-ES_tradnl"/>
        </w:rPr>
        <w:t>Auditoría Interna</w:t>
      </w:r>
      <w:r w:rsidR="00B915AE">
        <w:rPr>
          <w:rFonts w:cs="Arial"/>
          <w:sz w:val="22"/>
          <w:szCs w:val="22"/>
          <w:lang w:val="es-ES_tradnl"/>
        </w:rPr>
        <w:t xml:space="preserve">, en cuanto a procurar la formalización del préstamo de la finca, </w:t>
      </w:r>
      <w:r w:rsidR="009F6F37">
        <w:rPr>
          <w:rFonts w:cs="Arial"/>
          <w:sz w:val="22"/>
          <w:szCs w:val="22"/>
          <w:lang w:val="es-ES_tradnl"/>
        </w:rPr>
        <w:t xml:space="preserve">según </w:t>
      </w:r>
      <w:r w:rsidR="00B915AE">
        <w:rPr>
          <w:rFonts w:cs="Arial"/>
          <w:sz w:val="22"/>
          <w:szCs w:val="22"/>
          <w:lang w:val="es-ES_tradnl"/>
        </w:rPr>
        <w:t xml:space="preserve">fue autorizado temporalmente por la </w:t>
      </w:r>
      <w:r w:rsidR="00B915AE" w:rsidRPr="00B915AE">
        <w:rPr>
          <w:rFonts w:cs="Arial"/>
          <w:sz w:val="22"/>
          <w:szCs w:val="22"/>
          <w:lang w:val="es-ES_tradnl"/>
        </w:rPr>
        <w:t>Gerencia General</w:t>
      </w:r>
      <w:r w:rsidR="00B915AE">
        <w:rPr>
          <w:rFonts w:cs="Arial"/>
          <w:sz w:val="22"/>
          <w:szCs w:val="22"/>
          <w:lang w:val="es-ES_tradnl"/>
        </w:rPr>
        <w:t xml:space="preserve"> de ese entonces</w:t>
      </w:r>
      <w:r w:rsidR="009F6F37">
        <w:rPr>
          <w:rFonts w:cs="Arial"/>
          <w:sz w:val="22"/>
          <w:szCs w:val="22"/>
          <w:lang w:val="es-ES_tradnl"/>
        </w:rPr>
        <w:t>.  E</w:t>
      </w:r>
      <w:r w:rsidR="00B915AE">
        <w:rPr>
          <w:rFonts w:cs="Arial"/>
          <w:sz w:val="22"/>
          <w:szCs w:val="22"/>
          <w:lang w:val="es-ES_tradnl"/>
        </w:rPr>
        <w:t>l INDER no firmó ese convenio porque no quería mantener una fecha límite y fue entonces que se indicó que lo procedente era solicitarle al INDER que entregara la propiedad en la fecha establecida</w:t>
      </w:r>
      <w:r w:rsidR="009F6F37">
        <w:rPr>
          <w:rFonts w:cs="Arial"/>
          <w:sz w:val="22"/>
          <w:szCs w:val="22"/>
          <w:lang w:val="es-ES_tradnl"/>
        </w:rPr>
        <w:t>; no</w:t>
      </w:r>
      <w:r w:rsidR="00B915AE">
        <w:rPr>
          <w:rFonts w:cs="Arial"/>
          <w:sz w:val="22"/>
          <w:szCs w:val="22"/>
          <w:lang w:val="es-ES_tradnl"/>
        </w:rPr>
        <w:t xml:space="preserve"> obstante, </w:t>
      </w:r>
      <w:r w:rsidR="00EC4CA9">
        <w:rPr>
          <w:rFonts w:cs="Arial"/>
          <w:sz w:val="22"/>
          <w:szCs w:val="22"/>
          <w:lang w:val="es-ES_tradnl"/>
        </w:rPr>
        <w:t xml:space="preserve">ahora </w:t>
      </w:r>
      <w:r w:rsidR="00EC4CA9">
        <w:rPr>
          <w:rFonts w:cs="Arial"/>
          <w:sz w:val="22"/>
          <w:szCs w:val="22"/>
          <w:lang w:val="es-ES_tradnl"/>
        </w:rPr>
        <w:t xml:space="preserve">no </w:t>
      </w:r>
      <w:r w:rsidR="00EC4CA9">
        <w:rPr>
          <w:rFonts w:cs="Arial"/>
          <w:sz w:val="22"/>
          <w:szCs w:val="22"/>
          <w:lang w:val="es-ES_tradnl"/>
        </w:rPr>
        <w:t xml:space="preserve">ve </w:t>
      </w:r>
      <w:r w:rsidR="00EC4CA9">
        <w:rPr>
          <w:rFonts w:cs="Arial"/>
          <w:sz w:val="22"/>
          <w:szCs w:val="22"/>
          <w:lang w:val="es-ES_tradnl"/>
        </w:rPr>
        <w:t>problema</w:t>
      </w:r>
      <w:r w:rsidR="00EC4CA9">
        <w:rPr>
          <w:rFonts w:cs="Arial"/>
          <w:sz w:val="22"/>
          <w:szCs w:val="22"/>
          <w:lang w:val="es-ES_tradnl"/>
        </w:rPr>
        <w:t xml:space="preserve"> en suscribir el convenio con fecha límite a agosto de 2021, </w:t>
      </w:r>
      <w:r w:rsidR="009F6F37">
        <w:rPr>
          <w:rFonts w:cs="Arial"/>
          <w:sz w:val="22"/>
          <w:szCs w:val="22"/>
          <w:lang w:val="es-ES_tradnl"/>
        </w:rPr>
        <w:t xml:space="preserve">si </w:t>
      </w:r>
      <w:r w:rsidR="00EC4CA9">
        <w:rPr>
          <w:rFonts w:cs="Arial"/>
          <w:sz w:val="22"/>
          <w:szCs w:val="22"/>
          <w:lang w:val="es-ES_tradnl"/>
        </w:rPr>
        <w:t xml:space="preserve">este es </w:t>
      </w:r>
      <w:r w:rsidR="009F6F37">
        <w:rPr>
          <w:rFonts w:cs="Arial"/>
          <w:sz w:val="22"/>
          <w:szCs w:val="22"/>
          <w:lang w:val="es-ES_tradnl"/>
        </w:rPr>
        <w:t xml:space="preserve">el instrumento que la </w:t>
      </w:r>
      <w:r w:rsidR="009F6F37" w:rsidRPr="009F6F37">
        <w:rPr>
          <w:rFonts w:cs="Arial"/>
          <w:sz w:val="22"/>
          <w:szCs w:val="22"/>
          <w:lang w:val="es-ES_tradnl"/>
        </w:rPr>
        <w:t>Administración</w:t>
      </w:r>
      <w:r w:rsidR="009F6F37">
        <w:rPr>
          <w:rFonts w:cs="Arial"/>
          <w:sz w:val="22"/>
          <w:szCs w:val="22"/>
          <w:lang w:val="es-ES_tradnl"/>
        </w:rPr>
        <w:t xml:space="preserve"> cre</w:t>
      </w:r>
      <w:r w:rsidR="00EC4CA9">
        <w:rPr>
          <w:rFonts w:cs="Arial"/>
          <w:sz w:val="22"/>
          <w:szCs w:val="22"/>
          <w:lang w:val="es-ES_tradnl"/>
        </w:rPr>
        <w:t>e</w:t>
      </w:r>
      <w:r w:rsidR="009F6F37">
        <w:rPr>
          <w:rFonts w:cs="Arial"/>
          <w:sz w:val="22"/>
          <w:szCs w:val="22"/>
          <w:lang w:val="es-ES_tradnl"/>
        </w:rPr>
        <w:t xml:space="preserve"> necesario para lograr</w:t>
      </w:r>
      <w:r w:rsidR="00EC4CA9">
        <w:rPr>
          <w:rFonts w:cs="Arial"/>
          <w:sz w:val="22"/>
          <w:szCs w:val="22"/>
          <w:lang w:val="es-ES_tradnl"/>
        </w:rPr>
        <w:t xml:space="preserve"> el fin</w:t>
      </w:r>
      <w:r w:rsidR="009F6F37">
        <w:rPr>
          <w:rFonts w:cs="Arial"/>
          <w:sz w:val="22"/>
          <w:szCs w:val="22"/>
          <w:lang w:val="es-ES_tradnl"/>
        </w:rPr>
        <w:t>.</w:t>
      </w:r>
    </w:p>
    <w:p w14:paraId="0D010EA2" w14:textId="77777777" w:rsidR="00B915AE" w:rsidRDefault="00B915AE" w:rsidP="00933C4A">
      <w:pPr>
        <w:spacing w:line="360" w:lineRule="auto"/>
        <w:jc w:val="both"/>
        <w:rPr>
          <w:rFonts w:cs="Arial"/>
          <w:sz w:val="22"/>
          <w:szCs w:val="22"/>
          <w:lang w:val="es-CR"/>
        </w:rPr>
      </w:pPr>
    </w:p>
    <w:p w14:paraId="41C9DC8A" w14:textId="0EB20E99" w:rsidR="00933C4A" w:rsidRDefault="00EC4CA9" w:rsidP="00933C4A">
      <w:pPr>
        <w:spacing w:line="360" w:lineRule="auto"/>
        <w:jc w:val="both"/>
        <w:rPr>
          <w:rFonts w:cs="Arial"/>
          <w:sz w:val="22"/>
          <w:szCs w:val="22"/>
          <w:lang w:val="es-CR"/>
        </w:rPr>
      </w:pPr>
      <w:r>
        <w:rPr>
          <w:rFonts w:cs="Arial"/>
          <w:sz w:val="22"/>
          <w:szCs w:val="22"/>
          <w:lang w:val="es-CR"/>
        </w:rPr>
        <w:t xml:space="preserve">En este sentido, se resuelve autorizar la suscripción del convenio estableciendo que el </w:t>
      </w:r>
      <w:r>
        <w:rPr>
          <w:rFonts w:cs="Arial"/>
          <w:sz w:val="22"/>
          <w:lang w:val="es-ES_tradnl"/>
        </w:rPr>
        <w:t>plazo de</w:t>
      </w:r>
      <w:r>
        <w:rPr>
          <w:rFonts w:cs="Arial"/>
          <w:sz w:val="22"/>
          <w:szCs w:val="22"/>
          <w:lang w:val="es-CR"/>
        </w:rPr>
        <w:t xml:space="preserve"> vigencia sea de hasta el 31 de agosto de 2021</w:t>
      </w:r>
      <w:r>
        <w:rPr>
          <w:rFonts w:cs="Arial"/>
          <w:sz w:val="22"/>
          <w:szCs w:val="22"/>
          <w:lang w:val="es-CR"/>
        </w:rPr>
        <w:t xml:space="preserve">, </w:t>
      </w:r>
      <w:r w:rsidR="00933C4A">
        <w:rPr>
          <w:rFonts w:cs="Arial"/>
          <w:sz w:val="22"/>
          <w:szCs w:val="22"/>
          <w:lang w:val="es-CR"/>
        </w:rPr>
        <w:t>sin posibilidad de</w:t>
      </w:r>
      <w:r w:rsidR="00933C4A" w:rsidRPr="00835D3D">
        <w:rPr>
          <w:rFonts w:cs="Arial"/>
          <w:sz w:val="22"/>
          <w:szCs w:val="22"/>
          <w:lang w:val="es-CR"/>
        </w:rPr>
        <w:t xml:space="preserve"> prórroga</w:t>
      </w:r>
      <w:r w:rsidR="00933C4A">
        <w:rPr>
          <w:rFonts w:cs="Arial"/>
          <w:sz w:val="22"/>
          <w:szCs w:val="22"/>
          <w:lang w:val="es-CR"/>
        </w:rPr>
        <w:t>, considerando para ello</w:t>
      </w:r>
      <w:r>
        <w:rPr>
          <w:rFonts w:cs="Arial"/>
          <w:sz w:val="22"/>
          <w:szCs w:val="22"/>
          <w:lang w:val="es-CR"/>
        </w:rPr>
        <w:t>, particularmente,</w:t>
      </w:r>
      <w:r w:rsidR="00933C4A">
        <w:rPr>
          <w:rFonts w:cs="Arial"/>
          <w:sz w:val="22"/>
          <w:szCs w:val="22"/>
          <w:lang w:val="es-CR"/>
        </w:rPr>
        <w:t xml:space="preserve"> las siguientes situaciones:</w:t>
      </w:r>
    </w:p>
    <w:p w14:paraId="781E69EE" w14:textId="77777777" w:rsidR="00933C4A" w:rsidRDefault="00933C4A" w:rsidP="00933C4A">
      <w:pPr>
        <w:spacing w:line="360" w:lineRule="auto"/>
        <w:jc w:val="both"/>
        <w:rPr>
          <w:rFonts w:cs="Arial"/>
          <w:sz w:val="22"/>
          <w:szCs w:val="22"/>
          <w:lang w:val="es-CR"/>
        </w:rPr>
      </w:pPr>
      <w:r>
        <w:rPr>
          <w:rFonts w:cs="Arial"/>
          <w:sz w:val="22"/>
          <w:szCs w:val="22"/>
          <w:lang w:val="es-CR"/>
        </w:rPr>
        <w:t xml:space="preserve">a) Tal y como consta en </w:t>
      </w:r>
      <w:r w:rsidRPr="00091AFD">
        <w:rPr>
          <w:rFonts w:cs="Arial"/>
          <w:sz w:val="22"/>
          <w:szCs w:val="22"/>
          <w:lang w:val="es-CR"/>
        </w:rPr>
        <w:t>los acuerdos N°</w:t>
      </w:r>
      <w:r>
        <w:rPr>
          <w:rFonts w:cs="Arial"/>
          <w:sz w:val="22"/>
          <w:szCs w:val="22"/>
          <w:lang w:val="es-CR"/>
        </w:rPr>
        <w:t xml:space="preserve"> </w:t>
      </w:r>
      <w:r w:rsidRPr="00091AFD">
        <w:rPr>
          <w:rFonts w:cs="Arial"/>
          <w:sz w:val="22"/>
          <w:szCs w:val="22"/>
          <w:lang w:val="es-CR"/>
        </w:rPr>
        <w:t xml:space="preserve">5 de </w:t>
      </w:r>
      <w:r>
        <w:rPr>
          <w:rFonts w:cs="Arial"/>
          <w:sz w:val="22"/>
          <w:szCs w:val="22"/>
          <w:lang w:val="es-CR"/>
        </w:rPr>
        <w:t>la</w:t>
      </w:r>
      <w:r w:rsidRPr="00091AFD">
        <w:rPr>
          <w:rFonts w:cs="Arial"/>
          <w:sz w:val="22"/>
          <w:szCs w:val="22"/>
          <w:lang w:val="es-CR"/>
        </w:rPr>
        <w:t xml:space="preserve"> sesi</w:t>
      </w:r>
      <w:r>
        <w:rPr>
          <w:rFonts w:cs="Arial"/>
          <w:sz w:val="22"/>
          <w:szCs w:val="22"/>
          <w:lang w:val="es-CR"/>
        </w:rPr>
        <w:t>ón</w:t>
      </w:r>
      <w:r w:rsidRPr="00091AFD">
        <w:rPr>
          <w:rFonts w:cs="Arial"/>
          <w:sz w:val="22"/>
          <w:szCs w:val="22"/>
          <w:lang w:val="es-CR"/>
        </w:rPr>
        <w:t xml:space="preserve"> 64-2018</w:t>
      </w:r>
      <w:r>
        <w:rPr>
          <w:rFonts w:cs="Arial"/>
          <w:sz w:val="22"/>
          <w:szCs w:val="22"/>
          <w:lang w:val="es-CR"/>
        </w:rPr>
        <w:t>,</w:t>
      </w:r>
      <w:r w:rsidRPr="00091AFD">
        <w:rPr>
          <w:rFonts w:cs="Arial"/>
          <w:sz w:val="22"/>
          <w:szCs w:val="22"/>
          <w:lang w:val="es-CR"/>
        </w:rPr>
        <w:t xml:space="preserve"> del 01 de noviembre de 2018</w:t>
      </w:r>
      <w:r>
        <w:rPr>
          <w:rFonts w:cs="Arial"/>
          <w:sz w:val="22"/>
          <w:szCs w:val="22"/>
          <w:lang w:val="es-CR"/>
        </w:rPr>
        <w:t xml:space="preserve">, </w:t>
      </w:r>
      <w:r w:rsidRPr="00091AFD">
        <w:rPr>
          <w:rFonts w:cs="Arial"/>
          <w:sz w:val="22"/>
          <w:szCs w:val="22"/>
          <w:lang w:val="es-CR"/>
        </w:rPr>
        <w:t>N°</w:t>
      </w:r>
      <w:r>
        <w:rPr>
          <w:rFonts w:cs="Arial"/>
          <w:sz w:val="22"/>
          <w:szCs w:val="22"/>
          <w:lang w:val="es-CR"/>
        </w:rPr>
        <w:t xml:space="preserve"> </w:t>
      </w:r>
      <w:r w:rsidRPr="00091AFD">
        <w:rPr>
          <w:rFonts w:cs="Arial"/>
          <w:sz w:val="22"/>
          <w:szCs w:val="22"/>
          <w:lang w:val="es-CR"/>
        </w:rPr>
        <w:t xml:space="preserve">4 de </w:t>
      </w:r>
      <w:r>
        <w:rPr>
          <w:rFonts w:cs="Arial"/>
          <w:sz w:val="22"/>
          <w:szCs w:val="22"/>
          <w:lang w:val="es-CR"/>
        </w:rPr>
        <w:t>la</w:t>
      </w:r>
      <w:r w:rsidRPr="00091AFD">
        <w:rPr>
          <w:rFonts w:cs="Arial"/>
          <w:sz w:val="22"/>
          <w:szCs w:val="22"/>
          <w:lang w:val="es-CR"/>
        </w:rPr>
        <w:t xml:space="preserve"> sesi</w:t>
      </w:r>
      <w:r>
        <w:rPr>
          <w:rFonts w:cs="Arial"/>
          <w:sz w:val="22"/>
          <w:szCs w:val="22"/>
          <w:lang w:val="es-CR"/>
        </w:rPr>
        <w:t xml:space="preserve">ón </w:t>
      </w:r>
      <w:r w:rsidRPr="00091AFD">
        <w:rPr>
          <w:rFonts w:cs="Arial"/>
          <w:sz w:val="22"/>
          <w:szCs w:val="22"/>
          <w:lang w:val="es-CR"/>
        </w:rPr>
        <w:t>23-2019</w:t>
      </w:r>
      <w:r>
        <w:rPr>
          <w:rFonts w:cs="Arial"/>
          <w:sz w:val="22"/>
          <w:szCs w:val="22"/>
          <w:lang w:val="es-CR"/>
        </w:rPr>
        <w:t>,</w:t>
      </w:r>
      <w:r w:rsidRPr="00091AFD">
        <w:rPr>
          <w:rFonts w:cs="Arial"/>
          <w:sz w:val="22"/>
          <w:szCs w:val="22"/>
          <w:lang w:val="es-CR"/>
        </w:rPr>
        <w:t xml:space="preserve"> del 21 de marzo de 2019,</w:t>
      </w:r>
      <w:r>
        <w:rPr>
          <w:rFonts w:cs="Arial"/>
          <w:sz w:val="22"/>
          <w:szCs w:val="22"/>
          <w:lang w:val="es-CR"/>
        </w:rPr>
        <w:t xml:space="preserve"> y </w:t>
      </w:r>
      <w:r w:rsidRPr="00103A41">
        <w:rPr>
          <w:rFonts w:cs="Arial"/>
          <w:sz w:val="22"/>
          <w:szCs w:val="22"/>
          <w:lang w:val="es-CR"/>
        </w:rPr>
        <w:t>N°</w:t>
      </w:r>
      <w:r>
        <w:rPr>
          <w:rFonts w:cs="Arial"/>
          <w:sz w:val="22"/>
          <w:szCs w:val="22"/>
          <w:lang w:val="es-CR"/>
        </w:rPr>
        <w:t xml:space="preserve"> </w:t>
      </w:r>
      <w:r w:rsidRPr="00103A41">
        <w:rPr>
          <w:rFonts w:cs="Arial"/>
          <w:sz w:val="22"/>
          <w:szCs w:val="22"/>
          <w:lang w:val="es-CR"/>
        </w:rPr>
        <w:t xml:space="preserve">2 de </w:t>
      </w:r>
      <w:r>
        <w:rPr>
          <w:rFonts w:cs="Arial"/>
          <w:sz w:val="22"/>
          <w:szCs w:val="22"/>
          <w:lang w:val="es-CR"/>
        </w:rPr>
        <w:t>la</w:t>
      </w:r>
      <w:r w:rsidRPr="00103A41">
        <w:rPr>
          <w:rFonts w:cs="Arial"/>
          <w:sz w:val="22"/>
          <w:szCs w:val="22"/>
          <w:lang w:val="es-CR"/>
        </w:rPr>
        <w:t xml:space="preserve"> sesi</w:t>
      </w:r>
      <w:r>
        <w:rPr>
          <w:rFonts w:cs="Arial"/>
          <w:sz w:val="22"/>
          <w:szCs w:val="22"/>
          <w:lang w:val="es-CR"/>
        </w:rPr>
        <w:t xml:space="preserve">ón </w:t>
      </w:r>
      <w:r w:rsidRPr="00103A41">
        <w:rPr>
          <w:rFonts w:cs="Arial"/>
          <w:sz w:val="22"/>
          <w:szCs w:val="22"/>
          <w:lang w:val="es-CR"/>
        </w:rPr>
        <w:t>39-2019</w:t>
      </w:r>
      <w:r>
        <w:rPr>
          <w:rFonts w:cs="Arial"/>
          <w:sz w:val="22"/>
          <w:szCs w:val="22"/>
          <w:lang w:val="es-CR"/>
        </w:rPr>
        <w:t>,</w:t>
      </w:r>
      <w:r w:rsidRPr="00103A41">
        <w:rPr>
          <w:rFonts w:cs="Arial"/>
          <w:sz w:val="22"/>
          <w:szCs w:val="22"/>
          <w:lang w:val="es-CR"/>
        </w:rPr>
        <w:t xml:space="preserve"> del 23 de mayo de 2019</w:t>
      </w:r>
      <w:r>
        <w:rPr>
          <w:rFonts w:cs="Arial"/>
          <w:sz w:val="22"/>
          <w:szCs w:val="22"/>
          <w:lang w:val="es-CR"/>
        </w:rPr>
        <w:t xml:space="preserve">, </w:t>
      </w:r>
      <w:r w:rsidRPr="00091AFD">
        <w:rPr>
          <w:rFonts w:cs="Arial"/>
          <w:sz w:val="22"/>
          <w:szCs w:val="22"/>
          <w:lang w:val="es-CR"/>
        </w:rPr>
        <w:t>este Banco ha estado gestionando ante el INDER</w:t>
      </w:r>
      <w:r>
        <w:rPr>
          <w:rFonts w:cs="Arial"/>
          <w:sz w:val="22"/>
          <w:szCs w:val="22"/>
          <w:lang w:val="es-CR"/>
        </w:rPr>
        <w:t>,</w:t>
      </w:r>
      <w:r w:rsidRPr="00091AFD">
        <w:rPr>
          <w:rFonts w:cs="Arial"/>
          <w:sz w:val="22"/>
          <w:szCs w:val="22"/>
          <w:lang w:val="es-CR"/>
        </w:rPr>
        <w:t xml:space="preserve"> </w:t>
      </w:r>
      <w:r>
        <w:rPr>
          <w:rFonts w:cs="Arial"/>
          <w:sz w:val="22"/>
          <w:szCs w:val="22"/>
          <w:lang w:val="es-CR"/>
        </w:rPr>
        <w:t>la</w:t>
      </w:r>
      <w:r w:rsidRPr="00091AFD">
        <w:rPr>
          <w:rFonts w:cs="Arial"/>
          <w:sz w:val="22"/>
          <w:szCs w:val="22"/>
          <w:lang w:val="es-CR"/>
        </w:rPr>
        <w:t xml:space="preserve"> firma de</w:t>
      </w:r>
      <w:r>
        <w:rPr>
          <w:rFonts w:cs="Arial"/>
          <w:sz w:val="22"/>
          <w:szCs w:val="22"/>
          <w:lang w:val="es-CR"/>
        </w:rPr>
        <w:t xml:space="preserve"> </w:t>
      </w:r>
      <w:r w:rsidRPr="00091AFD">
        <w:rPr>
          <w:rFonts w:cs="Arial"/>
          <w:sz w:val="22"/>
          <w:szCs w:val="22"/>
          <w:lang w:val="es-CR"/>
        </w:rPr>
        <w:t xml:space="preserve">un </w:t>
      </w:r>
      <w:r>
        <w:rPr>
          <w:rFonts w:cs="Arial"/>
          <w:sz w:val="22"/>
          <w:szCs w:val="22"/>
          <w:lang w:val="es-CR"/>
        </w:rPr>
        <w:t>c</w:t>
      </w:r>
      <w:r w:rsidRPr="00091AFD">
        <w:rPr>
          <w:rFonts w:cs="Arial"/>
          <w:sz w:val="22"/>
          <w:szCs w:val="22"/>
          <w:lang w:val="es-CR"/>
        </w:rPr>
        <w:t xml:space="preserve">onvenio de </w:t>
      </w:r>
      <w:r>
        <w:rPr>
          <w:rFonts w:cs="Arial"/>
          <w:sz w:val="22"/>
          <w:szCs w:val="22"/>
          <w:lang w:val="es-CR"/>
        </w:rPr>
        <w:t>c</w:t>
      </w:r>
      <w:r w:rsidRPr="00091AFD">
        <w:rPr>
          <w:rFonts w:cs="Arial"/>
          <w:sz w:val="22"/>
          <w:szCs w:val="22"/>
          <w:lang w:val="es-CR"/>
        </w:rPr>
        <w:t>ooperaci</w:t>
      </w:r>
      <w:r>
        <w:rPr>
          <w:rFonts w:cs="Arial"/>
          <w:sz w:val="22"/>
          <w:szCs w:val="22"/>
          <w:lang w:val="es-CR"/>
        </w:rPr>
        <w:t xml:space="preserve">ón entre ambas instituciones, </w:t>
      </w:r>
      <w:r w:rsidRPr="00091AFD">
        <w:rPr>
          <w:rFonts w:cs="Arial"/>
          <w:sz w:val="22"/>
          <w:szCs w:val="22"/>
          <w:lang w:val="es-CR"/>
        </w:rPr>
        <w:t>con el objetivo fundamental de formalizar</w:t>
      </w:r>
      <w:r>
        <w:rPr>
          <w:rFonts w:cs="Arial"/>
          <w:sz w:val="22"/>
          <w:szCs w:val="22"/>
          <w:lang w:val="es-CR"/>
        </w:rPr>
        <w:t xml:space="preserve"> </w:t>
      </w:r>
      <w:r w:rsidRPr="00091AFD">
        <w:rPr>
          <w:rFonts w:cs="Arial"/>
          <w:sz w:val="22"/>
          <w:szCs w:val="22"/>
          <w:lang w:val="es-CR"/>
        </w:rPr>
        <w:t>el pr</w:t>
      </w:r>
      <w:r>
        <w:rPr>
          <w:rFonts w:cs="Arial"/>
          <w:sz w:val="22"/>
          <w:szCs w:val="22"/>
          <w:lang w:val="es-CR"/>
        </w:rPr>
        <w:t>é</w:t>
      </w:r>
      <w:r w:rsidRPr="00091AFD">
        <w:rPr>
          <w:rFonts w:cs="Arial"/>
          <w:sz w:val="22"/>
          <w:szCs w:val="22"/>
          <w:lang w:val="es-CR"/>
        </w:rPr>
        <w:t xml:space="preserve">stamo de </w:t>
      </w:r>
      <w:r>
        <w:rPr>
          <w:rFonts w:cs="Arial"/>
          <w:sz w:val="22"/>
          <w:szCs w:val="22"/>
          <w:lang w:val="es-CR"/>
        </w:rPr>
        <w:t>la</w:t>
      </w:r>
      <w:r w:rsidRPr="00091AFD">
        <w:rPr>
          <w:rFonts w:cs="Arial"/>
          <w:sz w:val="22"/>
          <w:szCs w:val="22"/>
          <w:lang w:val="es-CR"/>
        </w:rPr>
        <w:t xml:space="preserve"> finca </w:t>
      </w:r>
      <w:proofErr w:type="spellStart"/>
      <w:r w:rsidRPr="00091AFD">
        <w:rPr>
          <w:rFonts w:cs="Arial"/>
          <w:sz w:val="22"/>
          <w:szCs w:val="22"/>
          <w:lang w:val="es-CR"/>
        </w:rPr>
        <w:t>Cobasur</w:t>
      </w:r>
      <w:proofErr w:type="spellEnd"/>
      <w:r w:rsidRPr="00091AFD">
        <w:rPr>
          <w:rFonts w:cs="Arial"/>
          <w:sz w:val="22"/>
          <w:szCs w:val="22"/>
          <w:lang w:val="es-CR"/>
        </w:rPr>
        <w:t xml:space="preserve">, </w:t>
      </w:r>
      <w:r>
        <w:rPr>
          <w:rFonts w:cs="Arial"/>
          <w:sz w:val="22"/>
          <w:szCs w:val="22"/>
          <w:lang w:val="es-CR"/>
        </w:rPr>
        <w:t xml:space="preserve">la </w:t>
      </w:r>
      <w:r w:rsidRPr="00091AFD">
        <w:rPr>
          <w:rFonts w:cs="Arial"/>
          <w:sz w:val="22"/>
          <w:szCs w:val="22"/>
          <w:lang w:val="es-CR"/>
        </w:rPr>
        <w:t xml:space="preserve">que </w:t>
      </w:r>
      <w:r>
        <w:rPr>
          <w:rFonts w:cs="Arial"/>
          <w:sz w:val="22"/>
          <w:szCs w:val="22"/>
          <w:lang w:val="es-CR"/>
        </w:rPr>
        <w:t xml:space="preserve">según lo autorizado por la </w:t>
      </w:r>
      <w:r w:rsidRPr="00D82927">
        <w:rPr>
          <w:rFonts w:cs="Arial"/>
          <w:sz w:val="22"/>
          <w:szCs w:val="22"/>
          <w:lang w:val="es-ES_tradnl"/>
        </w:rPr>
        <w:t>Gerencia General</w:t>
      </w:r>
      <w:r>
        <w:rPr>
          <w:rFonts w:cs="Arial"/>
          <w:sz w:val="22"/>
          <w:szCs w:val="22"/>
          <w:lang w:val="es-ES_tradnl"/>
        </w:rPr>
        <w:t xml:space="preserve"> de este Banco </w:t>
      </w:r>
      <w:r w:rsidRPr="00933C4A">
        <w:rPr>
          <w:rFonts w:cs="Arial"/>
          <w:sz w:val="22"/>
          <w:szCs w:val="22"/>
          <w:lang w:val="es-ES_tradnl"/>
        </w:rPr>
        <w:t>desde hace cinco años</w:t>
      </w:r>
      <w:r>
        <w:rPr>
          <w:rFonts w:cs="Arial"/>
          <w:sz w:val="22"/>
          <w:szCs w:val="22"/>
          <w:lang w:val="es-ES_tradnl"/>
        </w:rPr>
        <w:t xml:space="preserve">, </w:t>
      </w:r>
      <w:r w:rsidRPr="00091AFD">
        <w:rPr>
          <w:rFonts w:cs="Arial"/>
          <w:sz w:val="22"/>
          <w:szCs w:val="22"/>
          <w:lang w:val="es-CR"/>
        </w:rPr>
        <w:t xml:space="preserve">alberga </w:t>
      </w:r>
      <w:r>
        <w:rPr>
          <w:rFonts w:cs="Arial"/>
          <w:sz w:val="22"/>
          <w:szCs w:val="22"/>
          <w:lang w:val="es-CR"/>
        </w:rPr>
        <w:t>de</w:t>
      </w:r>
      <w:r w:rsidRPr="00091AFD">
        <w:rPr>
          <w:rFonts w:cs="Arial"/>
          <w:sz w:val="22"/>
          <w:szCs w:val="22"/>
          <w:lang w:val="es-CR"/>
        </w:rPr>
        <w:t xml:space="preserve"> forma temporal</w:t>
      </w:r>
      <w:r>
        <w:rPr>
          <w:rFonts w:cs="Arial"/>
          <w:sz w:val="22"/>
          <w:szCs w:val="22"/>
          <w:lang w:val="es-ES_tradnl"/>
        </w:rPr>
        <w:t xml:space="preserve"> </w:t>
      </w:r>
      <w:r w:rsidRPr="00091AFD">
        <w:rPr>
          <w:rFonts w:cs="Arial"/>
          <w:sz w:val="22"/>
          <w:szCs w:val="22"/>
          <w:lang w:val="es-CR"/>
        </w:rPr>
        <w:t>a las familias del</w:t>
      </w:r>
      <w:r>
        <w:rPr>
          <w:rFonts w:cs="Arial"/>
          <w:sz w:val="22"/>
          <w:szCs w:val="22"/>
          <w:lang w:val="es-CR"/>
        </w:rPr>
        <w:t xml:space="preserve"> </w:t>
      </w:r>
      <w:r w:rsidRPr="00091AFD">
        <w:rPr>
          <w:rFonts w:cs="Arial"/>
          <w:sz w:val="22"/>
          <w:szCs w:val="22"/>
          <w:lang w:val="es-CR"/>
        </w:rPr>
        <w:t xml:space="preserve">Asentamiento de </w:t>
      </w:r>
      <w:proofErr w:type="spellStart"/>
      <w:r w:rsidRPr="00091AFD">
        <w:rPr>
          <w:rFonts w:cs="Arial"/>
          <w:sz w:val="22"/>
          <w:szCs w:val="22"/>
          <w:lang w:val="es-CR"/>
        </w:rPr>
        <w:t>Ch</w:t>
      </w:r>
      <w:r>
        <w:rPr>
          <w:rFonts w:cs="Arial"/>
          <w:sz w:val="22"/>
          <w:szCs w:val="22"/>
          <w:lang w:val="es-CR"/>
        </w:rPr>
        <w:t>á</w:t>
      </w:r>
      <w:r w:rsidRPr="00091AFD">
        <w:rPr>
          <w:rFonts w:cs="Arial"/>
          <w:sz w:val="22"/>
          <w:szCs w:val="22"/>
          <w:lang w:val="es-CR"/>
        </w:rPr>
        <w:t>nguena</w:t>
      </w:r>
      <w:proofErr w:type="spellEnd"/>
      <w:r w:rsidRPr="00091AFD">
        <w:rPr>
          <w:rFonts w:cs="Arial"/>
          <w:sz w:val="22"/>
          <w:szCs w:val="22"/>
          <w:lang w:val="es-CR"/>
        </w:rPr>
        <w:t xml:space="preserve"> y Cuadrante Tres, mientras se efect</w:t>
      </w:r>
      <w:r>
        <w:rPr>
          <w:rFonts w:cs="Arial"/>
          <w:sz w:val="22"/>
          <w:szCs w:val="22"/>
          <w:lang w:val="es-CR"/>
        </w:rPr>
        <w:t>ú</w:t>
      </w:r>
      <w:r w:rsidRPr="00091AFD">
        <w:rPr>
          <w:rFonts w:cs="Arial"/>
          <w:sz w:val="22"/>
          <w:szCs w:val="22"/>
          <w:lang w:val="es-CR"/>
        </w:rPr>
        <w:t>a su traslado y ubicaci</w:t>
      </w:r>
      <w:r>
        <w:rPr>
          <w:rFonts w:cs="Arial"/>
          <w:sz w:val="22"/>
          <w:szCs w:val="22"/>
          <w:lang w:val="es-CR"/>
        </w:rPr>
        <w:t>ó</w:t>
      </w:r>
      <w:r w:rsidRPr="00091AFD">
        <w:rPr>
          <w:rFonts w:cs="Arial"/>
          <w:sz w:val="22"/>
          <w:szCs w:val="22"/>
          <w:lang w:val="es-CR"/>
        </w:rPr>
        <w:t>n</w:t>
      </w:r>
      <w:r>
        <w:rPr>
          <w:rFonts w:cs="Arial"/>
          <w:sz w:val="22"/>
          <w:szCs w:val="22"/>
          <w:lang w:val="es-CR"/>
        </w:rPr>
        <w:t xml:space="preserve"> </w:t>
      </w:r>
      <w:r w:rsidRPr="00091AFD">
        <w:rPr>
          <w:rFonts w:cs="Arial"/>
          <w:sz w:val="22"/>
          <w:szCs w:val="22"/>
          <w:lang w:val="es-CR"/>
        </w:rPr>
        <w:t>a otro lugar.</w:t>
      </w:r>
    </w:p>
    <w:p w14:paraId="41D2BA75" w14:textId="77777777" w:rsidR="00933C4A" w:rsidRDefault="00933C4A" w:rsidP="00933C4A">
      <w:pPr>
        <w:spacing w:line="360" w:lineRule="auto"/>
        <w:jc w:val="both"/>
        <w:rPr>
          <w:rFonts w:cs="Arial"/>
          <w:sz w:val="22"/>
          <w:szCs w:val="22"/>
          <w:lang w:val="es-CR"/>
        </w:rPr>
      </w:pPr>
      <w:r>
        <w:rPr>
          <w:rFonts w:cs="Arial"/>
          <w:sz w:val="22"/>
          <w:szCs w:val="22"/>
          <w:lang w:val="es-CR"/>
        </w:rPr>
        <w:t xml:space="preserve">b) </w:t>
      </w:r>
      <w:r w:rsidRPr="00091AFD">
        <w:rPr>
          <w:rFonts w:cs="Arial"/>
          <w:sz w:val="22"/>
          <w:szCs w:val="22"/>
          <w:lang w:val="es-CR"/>
        </w:rPr>
        <w:t xml:space="preserve">La </w:t>
      </w:r>
      <w:r>
        <w:rPr>
          <w:rFonts w:cs="Arial"/>
          <w:sz w:val="22"/>
          <w:szCs w:val="22"/>
          <w:lang w:val="es-CR"/>
        </w:rPr>
        <w:t>ú</w:t>
      </w:r>
      <w:r w:rsidRPr="00091AFD">
        <w:rPr>
          <w:rFonts w:cs="Arial"/>
          <w:sz w:val="22"/>
          <w:szCs w:val="22"/>
          <w:lang w:val="es-CR"/>
        </w:rPr>
        <w:t>ltima versi</w:t>
      </w:r>
      <w:r>
        <w:rPr>
          <w:rFonts w:cs="Arial"/>
          <w:sz w:val="22"/>
          <w:szCs w:val="22"/>
          <w:lang w:val="es-CR"/>
        </w:rPr>
        <w:t xml:space="preserve">ón </w:t>
      </w:r>
      <w:r w:rsidRPr="00091AFD">
        <w:rPr>
          <w:rFonts w:cs="Arial"/>
          <w:sz w:val="22"/>
          <w:szCs w:val="22"/>
          <w:lang w:val="es-CR"/>
        </w:rPr>
        <w:t xml:space="preserve">del </w:t>
      </w:r>
      <w:r>
        <w:rPr>
          <w:rFonts w:cs="Arial"/>
          <w:sz w:val="22"/>
          <w:szCs w:val="22"/>
          <w:lang w:val="es-CR"/>
        </w:rPr>
        <w:t>c</w:t>
      </w:r>
      <w:r w:rsidRPr="00091AFD">
        <w:rPr>
          <w:rFonts w:cs="Arial"/>
          <w:sz w:val="22"/>
          <w:szCs w:val="22"/>
          <w:lang w:val="es-CR"/>
        </w:rPr>
        <w:t>onvenio de cooperaci</w:t>
      </w:r>
      <w:r>
        <w:rPr>
          <w:rFonts w:cs="Arial"/>
          <w:sz w:val="22"/>
          <w:szCs w:val="22"/>
          <w:lang w:val="es-CR"/>
        </w:rPr>
        <w:t xml:space="preserve">ón </w:t>
      </w:r>
      <w:r w:rsidRPr="00091AFD">
        <w:rPr>
          <w:rFonts w:cs="Arial"/>
          <w:sz w:val="22"/>
          <w:szCs w:val="22"/>
          <w:lang w:val="es-CR"/>
        </w:rPr>
        <w:t xml:space="preserve">entre el INDER y el BANHVI, </w:t>
      </w:r>
      <w:r>
        <w:rPr>
          <w:rFonts w:cs="Arial"/>
          <w:sz w:val="22"/>
          <w:szCs w:val="22"/>
          <w:lang w:val="es-CR"/>
        </w:rPr>
        <w:t xml:space="preserve">atendiendo además lo recomendado por la </w:t>
      </w:r>
      <w:r w:rsidRPr="0091743D">
        <w:rPr>
          <w:rFonts w:cs="Arial"/>
          <w:sz w:val="22"/>
          <w:szCs w:val="22"/>
          <w:lang w:val="es-ES_tradnl"/>
        </w:rPr>
        <w:t>Auditoría Interna</w:t>
      </w:r>
      <w:r>
        <w:rPr>
          <w:rFonts w:cs="Arial"/>
          <w:sz w:val="22"/>
          <w:szCs w:val="22"/>
          <w:lang w:val="es-ES_tradnl"/>
        </w:rPr>
        <w:t xml:space="preserve"> </w:t>
      </w:r>
      <w:r>
        <w:rPr>
          <w:rFonts w:cs="Arial"/>
          <w:sz w:val="22"/>
          <w:szCs w:val="22"/>
          <w:lang w:val="es-CR"/>
        </w:rPr>
        <w:t xml:space="preserve">en </w:t>
      </w:r>
      <w:r w:rsidRPr="004B1182">
        <w:rPr>
          <w:rFonts w:cs="Arial"/>
          <w:sz w:val="22"/>
          <w:szCs w:val="22"/>
          <w:lang w:val="es-CR"/>
        </w:rPr>
        <w:t>el Informe F</w:t>
      </w:r>
      <w:r>
        <w:rPr>
          <w:rFonts w:cs="Arial"/>
          <w:sz w:val="22"/>
          <w:szCs w:val="22"/>
          <w:lang w:val="es-CR"/>
        </w:rPr>
        <w:t>O</w:t>
      </w:r>
      <w:r w:rsidRPr="004B1182">
        <w:rPr>
          <w:rFonts w:cs="Arial"/>
          <w:sz w:val="22"/>
          <w:szCs w:val="22"/>
          <w:lang w:val="es-CR"/>
        </w:rPr>
        <w:t>-ESP-011-2016 “</w:t>
      </w:r>
      <w:r>
        <w:rPr>
          <w:rFonts w:cs="Arial"/>
          <w:sz w:val="22"/>
          <w:szCs w:val="22"/>
          <w:lang w:val="es-CR"/>
        </w:rPr>
        <w:t>I</w:t>
      </w:r>
      <w:r w:rsidRPr="004B1182">
        <w:rPr>
          <w:rFonts w:cs="Arial"/>
          <w:sz w:val="22"/>
          <w:szCs w:val="22"/>
          <w:lang w:val="es-CR"/>
        </w:rPr>
        <w:t>nvestigaci</w:t>
      </w:r>
      <w:r>
        <w:rPr>
          <w:rFonts w:cs="Arial"/>
          <w:sz w:val="22"/>
          <w:szCs w:val="22"/>
          <w:lang w:val="es-CR"/>
        </w:rPr>
        <w:t xml:space="preserve">ón </w:t>
      </w:r>
      <w:r w:rsidRPr="004B1182">
        <w:rPr>
          <w:rFonts w:cs="Arial"/>
          <w:sz w:val="22"/>
          <w:szCs w:val="22"/>
          <w:lang w:val="es-CR"/>
        </w:rPr>
        <w:t>Proyecto</w:t>
      </w:r>
      <w:r>
        <w:rPr>
          <w:rFonts w:cs="Arial"/>
          <w:sz w:val="22"/>
          <w:szCs w:val="22"/>
          <w:lang w:val="es-CR"/>
        </w:rPr>
        <w:t xml:space="preserve"> </w:t>
      </w:r>
      <w:proofErr w:type="spellStart"/>
      <w:r w:rsidRPr="004B1182">
        <w:rPr>
          <w:rFonts w:cs="Arial"/>
          <w:sz w:val="22"/>
          <w:szCs w:val="22"/>
          <w:lang w:val="es-CR"/>
        </w:rPr>
        <w:t>Cobasur</w:t>
      </w:r>
      <w:proofErr w:type="spellEnd"/>
      <w:r w:rsidRPr="004B1182">
        <w:rPr>
          <w:rFonts w:cs="Arial"/>
          <w:sz w:val="22"/>
          <w:szCs w:val="22"/>
          <w:lang w:val="es-CR"/>
        </w:rPr>
        <w:t>”</w:t>
      </w:r>
      <w:r>
        <w:rPr>
          <w:rFonts w:cs="Arial"/>
          <w:sz w:val="22"/>
          <w:szCs w:val="22"/>
          <w:lang w:val="es-CR"/>
        </w:rPr>
        <w:t xml:space="preserve">, fue </w:t>
      </w:r>
      <w:r w:rsidRPr="00091AFD">
        <w:rPr>
          <w:rFonts w:cs="Arial"/>
          <w:sz w:val="22"/>
          <w:szCs w:val="22"/>
          <w:lang w:val="es-CR"/>
        </w:rPr>
        <w:t xml:space="preserve">aprobada por </w:t>
      </w:r>
      <w:r>
        <w:rPr>
          <w:rFonts w:cs="Arial"/>
          <w:sz w:val="22"/>
          <w:szCs w:val="22"/>
          <w:lang w:val="es-CR"/>
        </w:rPr>
        <w:t>esta</w:t>
      </w:r>
      <w:r w:rsidRPr="00091AFD">
        <w:rPr>
          <w:rFonts w:cs="Arial"/>
          <w:sz w:val="22"/>
          <w:szCs w:val="22"/>
          <w:lang w:val="es-CR"/>
        </w:rPr>
        <w:t xml:space="preserve"> Junta Directiva mediante </w:t>
      </w:r>
      <w:r>
        <w:rPr>
          <w:rFonts w:cs="Arial"/>
          <w:sz w:val="22"/>
          <w:szCs w:val="22"/>
          <w:lang w:val="es-CR"/>
        </w:rPr>
        <w:t>el a</w:t>
      </w:r>
      <w:r w:rsidRPr="00091AFD">
        <w:rPr>
          <w:rFonts w:cs="Arial"/>
          <w:sz w:val="22"/>
          <w:szCs w:val="22"/>
          <w:lang w:val="es-CR"/>
        </w:rPr>
        <w:t>cuerdo N°</w:t>
      </w:r>
      <w:r>
        <w:rPr>
          <w:rFonts w:cs="Arial"/>
          <w:sz w:val="22"/>
          <w:szCs w:val="22"/>
          <w:lang w:val="es-CR"/>
        </w:rPr>
        <w:t xml:space="preserve"> </w:t>
      </w:r>
      <w:r w:rsidRPr="00091AFD">
        <w:rPr>
          <w:rFonts w:cs="Arial"/>
          <w:sz w:val="22"/>
          <w:szCs w:val="22"/>
          <w:lang w:val="es-CR"/>
        </w:rPr>
        <w:t xml:space="preserve">2 de </w:t>
      </w:r>
      <w:r>
        <w:rPr>
          <w:rFonts w:cs="Arial"/>
          <w:sz w:val="22"/>
          <w:szCs w:val="22"/>
          <w:lang w:val="es-CR"/>
        </w:rPr>
        <w:t xml:space="preserve">la </w:t>
      </w:r>
      <w:r w:rsidRPr="00091AFD">
        <w:rPr>
          <w:rFonts w:cs="Arial"/>
          <w:sz w:val="22"/>
          <w:szCs w:val="22"/>
          <w:lang w:val="es-CR"/>
        </w:rPr>
        <w:t>sesi</w:t>
      </w:r>
      <w:r>
        <w:rPr>
          <w:rFonts w:cs="Arial"/>
          <w:sz w:val="22"/>
          <w:szCs w:val="22"/>
          <w:lang w:val="es-CR"/>
        </w:rPr>
        <w:t xml:space="preserve">ón </w:t>
      </w:r>
      <w:r w:rsidRPr="00091AFD">
        <w:rPr>
          <w:rFonts w:cs="Arial"/>
          <w:sz w:val="22"/>
          <w:szCs w:val="22"/>
          <w:lang w:val="es-CR"/>
        </w:rPr>
        <w:t>39-2019</w:t>
      </w:r>
      <w:r>
        <w:rPr>
          <w:rFonts w:cs="Arial"/>
          <w:sz w:val="22"/>
          <w:szCs w:val="22"/>
          <w:lang w:val="es-CR"/>
        </w:rPr>
        <w:t>,</w:t>
      </w:r>
      <w:r w:rsidRPr="00091AFD">
        <w:rPr>
          <w:rFonts w:cs="Arial"/>
          <w:sz w:val="22"/>
          <w:szCs w:val="22"/>
          <w:lang w:val="es-CR"/>
        </w:rPr>
        <w:t xml:space="preserve"> del 23 de mayo de 2019</w:t>
      </w:r>
      <w:r>
        <w:rPr>
          <w:rFonts w:cs="Arial"/>
          <w:sz w:val="22"/>
          <w:szCs w:val="22"/>
          <w:lang w:val="es-CR"/>
        </w:rPr>
        <w:t>, estableciendo su vigencia hasta el 31 de mayo de 2020.  Este c</w:t>
      </w:r>
      <w:r w:rsidRPr="00091AFD">
        <w:rPr>
          <w:rFonts w:cs="Arial"/>
          <w:sz w:val="22"/>
          <w:szCs w:val="22"/>
          <w:lang w:val="es-CR"/>
        </w:rPr>
        <w:t>onvenio fue remitido al INDER mediante</w:t>
      </w:r>
      <w:r>
        <w:rPr>
          <w:rFonts w:cs="Arial"/>
          <w:sz w:val="22"/>
          <w:szCs w:val="22"/>
          <w:lang w:val="es-CR"/>
        </w:rPr>
        <w:t xml:space="preserve"> el </w:t>
      </w:r>
      <w:r w:rsidRPr="00091AFD">
        <w:rPr>
          <w:rFonts w:cs="Arial"/>
          <w:sz w:val="22"/>
          <w:szCs w:val="22"/>
          <w:lang w:val="es-CR"/>
        </w:rPr>
        <w:t>oficio GG-OF-0566-2019</w:t>
      </w:r>
      <w:r>
        <w:rPr>
          <w:rFonts w:cs="Arial"/>
          <w:sz w:val="22"/>
          <w:szCs w:val="22"/>
          <w:lang w:val="es-CR"/>
        </w:rPr>
        <w:t>,</w:t>
      </w:r>
      <w:r w:rsidRPr="00091AFD">
        <w:rPr>
          <w:rFonts w:cs="Arial"/>
          <w:sz w:val="22"/>
          <w:szCs w:val="22"/>
          <w:lang w:val="es-CR"/>
        </w:rPr>
        <w:t xml:space="preserve"> del 29 de mayo de 2019</w:t>
      </w:r>
      <w:r>
        <w:rPr>
          <w:rFonts w:cs="Arial"/>
          <w:sz w:val="22"/>
          <w:szCs w:val="22"/>
          <w:lang w:val="es-CR"/>
        </w:rPr>
        <w:t>,</w:t>
      </w:r>
      <w:r w:rsidRPr="00091AFD">
        <w:rPr>
          <w:rFonts w:cs="Arial"/>
          <w:sz w:val="22"/>
          <w:szCs w:val="22"/>
          <w:lang w:val="es-CR"/>
        </w:rPr>
        <w:t xml:space="preserve"> solicitando gestionar su aprobaci</w:t>
      </w:r>
      <w:r>
        <w:rPr>
          <w:rFonts w:cs="Arial"/>
          <w:sz w:val="22"/>
          <w:szCs w:val="22"/>
          <w:lang w:val="es-CR"/>
        </w:rPr>
        <w:t xml:space="preserve">ón </w:t>
      </w:r>
      <w:r w:rsidRPr="00091AFD">
        <w:rPr>
          <w:rFonts w:cs="Arial"/>
          <w:sz w:val="22"/>
          <w:szCs w:val="22"/>
          <w:lang w:val="es-CR"/>
        </w:rPr>
        <w:t>por</w:t>
      </w:r>
      <w:r>
        <w:rPr>
          <w:rFonts w:cs="Arial"/>
          <w:sz w:val="22"/>
          <w:szCs w:val="22"/>
          <w:lang w:val="es-CR"/>
        </w:rPr>
        <w:t xml:space="preserve"> </w:t>
      </w:r>
      <w:r w:rsidRPr="00091AFD">
        <w:rPr>
          <w:rFonts w:cs="Arial"/>
          <w:sz w:val="22"/>
          <w:szCs w:val="22"/>
          <w:lang w:val="es-CR"/>
        </w:rPr>
        <w:t xml:space="preserve">parte de </w:t>
      </w:r>
      <w:r>
        <w:rPr>
          <w:rFonts w:cs="Arial"/>
          <w:sz w:val="22"/>
          <w:szCs w:val="22"/>
          <w:lang w:val="es-CR"/>
        </w:rPr>
        <w:t>la</w:t>
      </w:r>
      <w:r w:rsidRPr="00091AFD">
        <w:rPr>
          <w:rFonts w:cs="Arial"/>
          <w:sz w:val="22"/>
          <w:szCs w:val="22"/>
          <w:lang w:val="es-CR"/>
        </w:rPr>
        <w:t xml:space="preserve"> Junta Directiva de ese Instituto y proceder con su firma.</w:t>
      </w:r>
    </w:p>
    <w:p w14:paraId="4C480307" w14:textId="77777777" w:rsidR="00933C4A" w:rsidRDefault="00933C4A" w:rsidP="00933C4A">
      <w:pPr>
        <w:spacing w:line="360" w:lineRule="auto"/>
        <w:jc w:val="both"/>
        <w:rPr>
          <w:rFonts w:cs="Arial"/>
          <w:sz w:val="22"/>
          <w:szCs w:val="22"/>
          <w:lang w:val="es-CR"/>
        </w:rPr>
      </w:pPr>
      <w:r>
        <w:rPr>
          <w:rFonts w:cs="Arial"/>
          <w:sz w:val="22"/>
          <w:szCs w:val="22"/>
          <w:lang w:val="es-CR"/>
        </w:rPr>
        <w:t xml:space="preserve">c) </w:t>
      </w:r>
      <w:r w:rsidRPr="00091AFD">
        <w:rPr>
          <w:rFonts w:cs="Arial"/>
          <w:sz w:val="22"/>
          <w:szCs w:val="22"/>
          <w:lang w:val="es-CR"/>
        </w:rPr>
        <w:t>Debido a que el INDER no procedi</w:t>
      </w:r>
      <w:r>
        <w:rPr>
          <w:rFonts w:cs="Arial"/>
          <w:sz w:val="22"/>
          <w:szCs w:val="22"/>
          <w:lang w:val="es-CR"/>
        </w:rPr>
        <w:t>ó</w:t>
      </w:r>
      <w:r w:rsidRPr="00091AFD">
        <w:rPr>
          <w:rFonts w:cs="Arial"/>
          <w:sz w:val="22"/>
          <w:szCs w:val="22"/>
          <w:lang w:val="es-CR"/>
        </w:rPr>
        <w:t xml:space="preserve"> con </w:t>
      </w:r>
      <w:r>
        <w:rPr>
          <w:rFonts w:cs="Arial"/>
          <w:sz w:val="22"/>
          <w:szCs w:val="22"/>
          <w:lang w:val="es-CR"/>
        </w:rPr>
        <w:t>la</w:t>
      </w:r>
      <w:r w:rsidRPr="00091AFD">
        <w:rPr>
          <w:rFonts w:cs="Arial"/>
          <w:sz w:val="22"/>
          <w:szCs w:val="22"/>
          <w:lang w:val="es-CR"/>
        </w:rPr>
        <w:t xml:space="preserve"> firma del </w:t>
      </w:r>
      <w:r>
        <w:rPr>
          <w:rFonts w:cs="Arial"/>
          <w:sz w:val="22"/>
          <w:szCs w:val="22"/>
          <w:lang w:val="es-CR"/>
        </w:rPr>
        <w:t>convenio</w:t>
      </w:r>
      <w:r w:rsidRPr="00091AFD">
        <w:rPr>
          <w:rFonts w:cs="Arial"/>
          <w:sz w:val="22"/>
          <w:szCs w:val="22"/>
          <w:lang w:val="es-CR"/>
        </w:rPr>
        <w:t xml:space="preserve">, </w:t>
      </w:r>
      <w:r>
        <w:rPr>
          <w:rFonts w:cs="Arial"/>
          <w:sz w:val="22"/>
          <w:szCs w:val="22"/>
          <w:lang w:val="es-CR"/>
        </w:rPr>
        <w:t xml:space="preserve">esta </w:t>
      </w:r>
      <w:r w:rsidRPr="00F73750">
        <w:rPr>
          <w:rFonts w:cs="Arial"/>
          <w:sz w:val="22"/>
          <w:szCs w:val="22"/>
          <w:lang w:val="es-ES_tradnl"/>
        </w:rPr>
        <w:t>Junta Directiva</w:t>
      </w:r>
      <w:r>
        <w:rPr>
          <w:rFonts w:cs="Arial"/>
          <w:sz w:val="22"/>
          <w:szCs w:val="22"/>
          <w:lang w:val="es-ES_tradnl"/>
        </w:rPr>
        <w:t xml:space="preserve">, por medio del </w:t>
      </w:r>
      <w:r w:rsidRPr="00091AFD">
        <w:rPr>
          <w:rFonts w:cs="Arial"/>
          <w:sz w:val="22"/>
          <w:szCs w:val="22"/>
          <w:lang w:val="es-CR"/>
        </w:rPr>
        <w:t>acuerdo N°</w:t>
      </w:r>
      <w:r>
        <w:rPr>
          <w:rFonts w:cs="Arial"/>
          <w:sz w:val="22"/>
          <w:szCs w:val="22"/>
          <w:lang w:val="es-CR"/>
        </w:rPr>
        <w:t xml:space="preserve"> </w:t>
      </w:r>
      <w:r w:rsidRPr="00091AFD">
        <w:rPr>
          <w:rFonts w:cs="Arial"/>
          <w:sz w:val="22"/>
          <w:szCs w:val="22"/>
          <w:lang w:val="es-CR"/>
        </w:rPr>
        <w:t xml:space="preserve">14 de </w:t>
      </w:r>
      <w:r>
        <w:rPr>
          <w:rFonts w:cs="Arial"/>
          <w:sz w:val="22"/>
          <w:szCs w:val="22"/>
          <w:lang w:val="es-CR"/>
        </w:rPr>
        <w:t>l</w:t>
      </w:r>
      <w:r w:rsidRPr="00091AFD">
        <w:rPr>
          <w:rFonts w:cs="Arial"/>
          <w:sz w:val="22"/>
          <w:szCs w:val="22"/>
          <w:lang w:val="es-CR"/>
        </w:rPr>
        <w:t>a</w:t>
      </w:r>
      <w:r>
        <w:rPr>
          <w:rFonts w:cs="Arial"/>
          <w:sz w:val="22"/>
          <w:szCs w:val="22"/>
          <w:lang w:val="es-CR"/>
        </w:rPr>
        <w:t xml:space="preserve"> </w:t>
      </w:r>
      <w:r w:rsidRPr="00091AFD">
        <w:rPr>
          <w:rFonts w:cs="Arial"/>
          <w:sz w:val="22"/>
          <w:szCs w:val="22"/>
          <w:lang w:val="es-CR"/>
        </w:rPr>
        <w:t>sesi</w:t>
      </w:r>
      <w:r>
        <w:rPr>
          <w:rFonts w:cs="Arial"/>
          <w:sz w:val="22"/>
          <w:szCs w:val="22"/>
          <w:lang w:val="es-CR"/>
        </w:rPr>
        <w:t>ón</w:t>
      </w:r>
      <w:r w:rsidRPr="00091AFD">
        <w:rPr>
          <w:rFonts w:cs="Arial"/>
          <w:sz w:val="22"/>
          <w:szCs w:val="22"/>
          <w:lang w:val="es-CR"/>
        </w:rPr>
        <w:t xml:space="preserve"> 57-2019</w:t>
      </w:r>
      <w:r>
        <w:rPr>
          <w:rFonts w:cs="Arial"/>
          <w:sz w:val="22"/>
          <w:szCs w:val="22"/>
          <w:lang w:val="es-CR"/>
        </w:rPr>
        <w:t>,</w:t>
      </w:r>
      <w:r w:rsidRPr="00091AFD">
        <w:rPr>
          <w:rFonts w:cs="Arial"/>
          <w:sz w:val="22"/>
          <w:szCs w:val="22"/>
          <w:lang w:val="es-CR"/>
        </w:rPr>
        <w:t xml:space="preserve"> del 29 de julio de 2019</w:t>
      </w:r>
      <w:r>
        <w:rPr>
          <w:rFonts w:cs="Arial"/>
          <w:sz w:val="22"/>
          <w:szCs w:val="22"/>
          <w:lang w:val="es-CR"/>
        </w:rPr>
        <w:t>,</w:t>
      </w:r>
      <w:r w:rsidRPr="00091AFD">
        <w:rPr>
          <w:rFonts w:cs="Arial"/>
          <w:sz w:val="22"/>
          <w:szCs w:val="22"/>
          <w:lang w:val="es-CR"/>
        </w:rPr>
        <w:t xml:space="preserve"> solicit</w:t>
      </w:r>
      <w:r>
        <w:rPr>
          <w:rFonts w:cs="Arial"/>
          <w:sz w:val="22"/>
          <w:szCs w:val="22"/>
          <w:lang w:val="es-CR"/>
        </w:rPr>
        <w:t>ó</w:t>
      </w:r>
      <w:r w:rsidRPr="00091AFD">
        <w:rPr>
          <w:rFonts w:cs="Arial"/>
          <w:sz w:val="22"/>
          <w:szCs w:val="22"/>
          <w:lang w:val="es-CR"/>
        </w:rPr>
        <w:t xml:space="preserve"> una audiencia</w:t>
      </w:r>
      <w:r>
        <w:rPr>
          <w:rFonts w:cs="Arial"/>
          <w:sz w:val="22"/>
          <w:szCs w:val="22"/>
          <w:lang w:val="es-CR"/>
        </w:rPr>
        <w:t xml:space="preserve"> </w:t>
      </w:r>
      <w:r w:rsidRPr="00091AFD">
        <w:rPr>
          <w:rFonts w:cs="Arial"/>
          <w:sz w:val="22"/>
          <w:szCs w:val="22"/>
          <w:lang w:val="es-CR"/>
        </w:rPr>
        <w:t xml:space="preserve">a </w:t>
      </w:r>
      <w:r>
        <w:rPr>
          <w:rFonts w:cs="Arial"/>
          <w:sz w:val="22"/>
          <w:szCs w:val="22"/>
          <w:lang w:val="es-CR"/>
        </w:rPr>
        <w:t>l</w:t>
      </w:r>
      <w:r w:rsidRPr="00091AFD">
        <w:rPr>
          <w:rFonts w:cs="Arial"/>
          <w:sz w:val="22"/>
          <w:szCs w:val="22"/>
          <w:lang w:val="es-CR"/>
        </w:rPr>
        <w:t xml:space="preserve">a Junta Directiva del </w:t>
      </w:r>
      <w:r>
        <w:rPr>
          <w:rFonts w:cs="Arial"/>
          <w:sz w:val="22"/>
          <w:szCs w:val="22"/>
          <w:lang w:val="es-CR"/>
        </w:rPr>
        <w:t>Instituto de Desarrollo Rural</w:t>
      </w:r>
      <w:r w:rsidRPr="00091AFD">
        <w:rPr>
          <w:rFonts w:cs="Arial"/>
          <w:sz w:val="22"/>
          <w:szCs w:val="22"/>
          <w:lang w:val="es-CR"/>
        </w:rPr>
        <w:t>, con el</w:t>
      </w:r>
      <w:r>
        <w:rPr>
          <w:rFonts w:cs="Arial"/>
          <w:sz w:val="22"/>
          <w:szCs w:val="22"/>
          <w:lang w:val="es-CR"/>
        </w:rPr>
        <w:t xml:space="preserve"> </w:t>
      </w:r>
      <w:r w:rsidRPr="00091AFD">
        <w:rPr>
          <w:rFonts w:cs="Arial"/>
          <w:sz w:val="22"/>
          <w:szCs w:val="22"/>
          <w:lang w:val="es-CR"/>
        </w:rPr>
        <w:t xml:space="preserve">fin de discutir los alcances del </w:t>
      </w:r>
      <w:r>
        <w:rPr>
          <w:rFonts w:cs="Arial"/>
          <w:sz w:val="22"/>
          <w:szCs w:val="22"/>
          <w:lang w:val="es-CR"/>
        </w:rPr>
        <w:t>c</w:t>
      </w:r>
      <w:r w:rsidRPr="00091AFD">
        <w:rPr>
          <w:rFonts w:cs="Arial"/>
          <w:sz w:val="22"/>
          <w:szCs w:val="22"/>
          <w:lang w:val="es-CR"/>
        </w:rPr>
        <w:t>onvenio</w:t>
      </w:r>
      <w:r>
        <w:rPr>
          <w:rFonts w:cs="Arial"/>
          <w:sz w:val="22"/>
          <w:szCs w:val="22"/>
          <w:lang w:val="es-CR"/>
        </w:rPr>
        <w:t>.  No obstante, esta</w:t>
      </w:r>
      <w:r w:rsidRPr="00091AFD">
        <w:rPr>
          <w:rFonts w:cs="Arial"/>
          <w:sz w:val="22"/>
          <w:szCs w:val="22"/>
          <w:lang w:val="es-CR"/>
        </w:rPr>
        <w:t xml:space="preserve"> gesti</w:t>
      </w:r>
      <w:r>
        <w:rPr>
          <w:rFonts w:cs="Arial"/>
          <w:sz w:val="22"/>
          <w:szCs w:val="22"/>
          <w:lang w:val="es-CR"/>
        </w:rPr>
        <w:t xml:space="preserve">ón </w:t>
      </w:r>
      <w:r w:rsidRPr="00091AFD">
        <w:rPr>
          <w:rFonts w:cs="Arial"/>
          <w:sz w:val="22"/>
          <w:szCs w:val="22"/>
          <w:lang w:val="es-CR"/>
        </w:rPr>
        <w:t>tambi</w:t>
      </w:r>
      <w:r>
        <w:rPr>
          <w:rFonts w:cs="Arial"/>
          <w:sz w:val="22"/>
          <w:szCs w:val="22"/>
          <w:lang w:val="es-CR"/>
        </w:rPr>
        <w:t xml:space="preserve">én </w:t>
      </w:r>
      <w:r w:rsidRPr="00091AFD">
        <w:rPr>
          <w:rFonts w:cs="Arial"/>
          <w:sz w:val="22"/>
          <w:szCs w:val="22"/>
          <w:lang w:val="es-CR"/>
        </w:rPr>
        <w:t>result</w:t>
      </w:r>
      <w:r>
        <w:rPr>
          <w:rFonts w:cs="Arial"/>
          <w:sz w:val="22"/>
          <w:szCs w:val="22"/>
          <w:lang w:val="es-CR"/>
        </w:rPr>
        <w:t>ó</w:t>
      </w:r>
      <w:r w:rsidRPr="00091AFD">
        <w:rPr>
          <w:rFonts w:cs="Arial"/>
          <w:sz w:val="22"/>
          <w:szCs w:val="22"/>
          <w:lang w:val="es-CR"/>
        </w:rPr>
        <w:t xml:space="preserve"> infructuosa.</w:t>
      </w:r>
    </w:p>
    <w:p w14:paraId="01A90C4C" w14:textId="77777777" w:rsidR="00933C4A" w:rsidRPr="00933C4A" w:rsidRDefault="00933C4A" w:rsidP="00933C4A">
      <w:pPr>
        <w:spacing w:line="360" w:lineRule="auto"/>
        <w:jc w:val="both"/>
        <w:rPr>
          <w:rFonts w:cs="Arial"/>
          <w:sz w:val="22"/>
          <w:szCs w:val="22"/>
          <w:lang w:val="es-CR"/>
        </w:rPr>
      </w:pPr>
      <w:r>
        <w:rPr>
          <w:rFonts w:cs="Arial"/>
          <w:sz w:val="22"/>
          <w:szCs w:val="22"/>
          <w:lang w:val="es-CR"/>
        </w:rPr>
        <w:t xml:space="preserve">d) Según lo indica la Administración en el informe </w:t>
      </w:r>
      <w:r>
        <w:rPr>
          <w:rFonts w:cs="Arial"/>
          <w:sz w:val="22"/>
          <w:szCs w:val="22"/>
          <w:lang w:val="es-ES_tradnl"/>
        </w:rPr>
        <w:t xml:space="preserve">SGF-ME-0015-2020/DFNV-ME-472-2020, como producto de las gestiones que se han venido realizando, </w:t>
      </w:r>
      <w:r w:rsidRPr="00781096">
        <w:rPr>
          <w:rFonts w:cs="Arial"/>
          <w:sz w:val="22"/>
          <w:szCs w:val="22"/>
          <w:lang w:val="es-CR"/>
        </w:rPr>
        <w:t>el INDER inform</w:t>
      </w:r>
      <w:r>
        <w:rPr>
          <w:rFonts w:cs="Arial"/>
          <w:sz w:val="22"/>
          <w:szCs w:val="22"/>
          <w:lang w:val="es-CR"/>
        </w:rPr>
        <w:t xml:space="preserve">ó a este Banco, </w:t>
      </w:r>
      <w:r w:rsidRPr="00781096">
        <w:rPr>
          <w:rFonts w:cs="Arial"/>
          <w:sz w:val="22"/>
          <w:szCs w:val="22"/>
          <w:lang w:val="es-CR"/>
        </w:rPr>
        <w:t>mediante oficio GG-DRT-0779-2020</w:t>
      </w:r>
      <w:r>
        <w:rPr>
          <w:rFonts w:cs="Arial"/>
          <w:sz w:val="22"/>
          <w:szCs w:val="22"/>
          <w:lang w:val="es-CR"/>
        </w:rPr>
        <w:t>,</w:t>
      </w:r>
      <w:r w:rsidRPr="00781096">
        <w:rPr>
          <w:rFonts w:cs="Arial"/>
          <w:sz w:val="22"/>
          <w:szCs w:val="22"/>
          <w:lang w:val="es-CR"/>
        </w:rPr>
        <w:t xml:space="preserve"> del 23</w:t>
      </w:r>
      <w:r>
        <w:rPr>
          <w:rFonts w:cs="Arial"/>
          <w:sz w:val="22"/>
          <w:szCs w:val="22"/>
          <w:lang w:val="es-CR"/>
        </w:rPr>
        <w:t xml:space="preserve"> de octubre de </w:t>
      </w:r>
      <w:r w:rsidRPr="00781096">
        <w:rPr>
          <w:rFonts w:cs="Arial"/>
          <w:sz w:val="22"/>
          <w:szCs w:val="22"/>
          <w:lang w:val="es-CR"/>
        </w:rPr>
        <w:t>2020</w:t>
      </w:r>
      <w:r>
        <w:rPr>
          <w:rFonts w:cs="Arial"/>
          <w:sz w:val="22"/>
          <w:szCs w:val="22"/>
          <w:lang w:val="es-CR"/>
        </w:rPr>
        <w:t>,</w:t>
      </w:r>
      <w:r w:rsidRPr="00781096">
        <w:rPr>
          <w:rFonts w:cs="Arial"/>
          <w:sz w:val="22"/>
          <w:szCs w:val="22"/>
          <w:lang w:val="es-CR"/>
        </w:rPr>
        <w:t xml:space="preserve"> que </w:t>
      </w:r>
      <w:r>
        <w:rPr>
          <w:rFonts w:cs="Arial"/>
          <w:sz w:val="22"/>
          <w:szCs w:val="22"/>
          <w:lang w:val="es-CR"/>
        </w:rPr>
        <w:t>l</w:t>
      </w:r>
      <w:r w:rsidRPr="00781096">
        <w:rPr>
          <w:rFonts w:cs="Arial"/>
          <w:sz w:val="22"/>
          <w:szCs w:val="22"/>
          <w:lang w:val="es-CR"/>
        </w:rPr>
        <w:t>a</w:t>
      </w:r>
      <w:r>
        <w:rPr>
          <w:rFonts w:cs="Arial"/>
          <w:sz w:val="22"/>
          <w:szCs w:val="22"/>
          <w:lang w:val="es-CR"/>
        </w:rPr>
        <w:t xml:space="preserve"> </w:t>
      </w:r>
      <w:r w:rsidRPr="00781096">
        <w:rPr>
          <w:rFonts w:cs="Arial"/>
          <w:sz w:val="22"/>
          <w:szCs w:val="22"/>
          <w:lang w:val="es-CR"/>
        </w:rPr>
        <w:t>programaci</w:t>
      </w:r>
      <w:r>
        <w:rPr>
          <w:rFonts w:cs="Arial"/>
          <w:sz w:val="22"/>
          <w:szCs w:val="22"/>
          <w:lang w:val="es-CR"/>
        </w:rPr>
        <w:t xml:space="preserve">ón </w:t>
      </w:r>
      <w:r w:rsidRPr="00781096">
        <w:rPr>
          <w:rFonts w:cs="Arial"/>
          <w:sz w:val="22"/>
          <w:szCs w:val="22"/>
          <w:lang w:val="es-CR"/>
        </w:rPr>
        <w:t>para el desalojo y reubicaci</w:t>
      </w:r>
      <w:r>
        <w:rPr>
          <w:rFonts w:cs="Arial"/>
          <w:sz w:val="22"/>
          <w:szCs w:val="22"/>
          <w:lang w:val="es-CR"/>
        </w:rPr>
        <w:t xml:space="preserve">ón </w:t>
      </w:r>
      <w:r w:rsidRPr="00781096">
        <w:rPr>
          <w:rFonts w:cs="Arial"/>
          <w:sz w:val="22"/>
          <w:szCs w:val="22"/>
          <w:lang w:val="es-CR"/>
        </w:rPr>
        <w:t xml:space="preserve">de las familias de </w:t>
      </w:r>
      <w:r>
        <w:rPr>
          <w:rFonts w:cs="Arial"/>
          <w:sz w:val="22"/>
          <w:szCs w:val="22"/>
          <w:lang w:val="es-CR"/>
        </w:rPr>
        <w:t>l</w:t>
      </w:r>
      <w:r w:rsidRPr="00781096">
        <w:rPr>
          <w:rFonts w:cs="Arial"/>
          <w:sz w:val="22"/>
          <w:szCs w:val="22"/>
          <w:lang w:val="es-CR"/>
        </w:rPr>
        <w:t xml:space="preserve">a finca </w:t>
      </w:r>
      <w:proofErr w:type="spellStart"/>
      <w:r w:rsidRPr="00781096">
        <w:rPr>
          <w:rFonts w:cs="Arial"/>
          <w:sz w:val="22"/>
          <w:szCs w:val="22"/>
          <w:lang w:val="es-CR"/>
        </w:rPr>
        <w:t>Cobasur</w:t>
      </w:r>
      <w:proofErr w:type="spellEnd"/>
      <w:r w:rsidRPr="00781096">
        <w:rPr>
          <w:rFonts w:cs="Arial"/>
          <w:sz w:val="22"/>
          <w:szCs w:val="22"/>
          <w:lang w:val="es-CR"/>
        </w:rPr>
        <w:t xml:space="preserve"> depende</w:t>
      </w:r>
      <w:r>
        <w:rPr>
          <w:rFonts w:cs="Arial"/>
          <w:sz w:val="22"/>
          <w:szCs w:val="22"/>
          <w:lang w:val="es-CR"/>
        </w:rPr>
        <w:t xml:space="preserve"> </w:t>
      </w:r>
      <w:r w:rsidRPr="00781096">
        <w:rPr>
          <w:rFonts w:cs="Arial"/>
          <w:sz w:val="22"/>
          <w:szCs w:val="22"/>
          <w:lang w:val="es-CR"/>
        </w:rPr>
        <w:t>de un hecho futuro e incierto en relaci</w:t>
      </w:r>
      <w:r>
        <w:rPr>
          <w:rFonts w:cs="Arial"/>
          <w:sz w:val="22"/>
          <w:szCs w:val="22"/>
          <w:lang w:val="es-CR"/>
        </w:rPr>
        <w:t xml:space="preserve">ón </w:t>
      </w:r>
      <w:r w:rsidRPr="00781096">
        <w:rPr>
          <w:rFonts w:cs="Arial"/>
          <w:sz w:val="22"/>
          <w:szCs w:val="22"/>
          <w:lang w:val="es-CR"/>
        </w:rPr>
        <w:t xml:space="preserve">con </w:t>
      </w:r>
      <w:r>
        <w:rPr>
          <w:rFonts w:cs="Arial"/>
          <w:sz w:val="22"/>
          <w:szCs w:val="22"/>
          <w:lang w:val="es-CR"/>
        </w:rPr>
        <w:t>l</w:t>
      </w:r>
      <w:r w:rsidRPr="00781096">
        <w:rPr>
          <w:rFonts w:cs="Arial"/>
          <w:sz w:val="22"/>
          <w:szCs w:val="22"/>
          <w:lang w:val="es-CR"/>
        </w:rPr>
        <w:t>a toma de posesi</w:t>
      </w:r>
      <w:r>
        <w:rPr>
          <w:rFonts w:cs="Arial"/>
          <w:sz w:val="22"/>
          <w:szCs w:val="22"/>
          <w:lang w:val="es-CR"/>
        </w:rPr>
        <w:t xml:space="preserve">ón </w:t>
      </w:r>
      <w:r w:rsidRPr="00781096">
        <w:rPr>
          <w:rFonts w:cs="Arial"/>
          <w:sz w:val="22"/>
          <w:szCs w:val="22"/>
          <w:lang w:val="es-CR"/>
        </w:rPr>
        <w:t xml:space="preserve">de </w:t>
      </w:r>
      <w:r>
        <w:rPr>
          <w:rFonts w:cs="Arial"/>
          <w:sz w:val="22"/>
          <w:szCs w:val="22"/>
          <w:lang w:val="es-CR"/>
        </w:rPr>
        <w:t>l</w:t>
      </w:r>
      <w:r w:rsidRPr="00781096">
        <w:rPr>
          <w:rFonts w:cs="Arial"/>
          <w:sz w:val="22"/>
          <w:szCs w:val="22"/>
          <w:lang w:val="es-CR"/>
        </w:rPr>
        <w:t>a finca</w:t>
      </w:r>
      <w:r>
        <w:rPr>
          <w:rFonts w:cs="Arial"/>
          <w:sz w:val="22"/>
          <w:szCs w:val="22"/>
          <w:lang w:val="es-CR"/>
        </w:rPr>
        <w:t>; sin embargo,</w:t>
      </w:r>
      <w:r w:rsidRPr="00781096">
        <w:rPr>
          <w:rFonts w:cs="Arial"/>
          <w:sz w:val="22"/>
          <w:szCs w:val="22"/>
          <w:lang w:val="es-CR"/>
        </w:rPr>
        <w:t xml:space="preserve"> ha</w:t>
      </w:r>
      <w:r>
        <w:rPr>
          <w:rFonts w:cs="Arial"/>
          <w:sz w:val="22"/>
          <w:szCs w:val="22"/>
          <w:lang w:val="es-CR"/>
        </w:rPr>
        <w:t xml:space="preserve"> </w:t>
      </w:r>
      <w:r w:rsidRPr="00781096">
        <w:rPr>
          <w:rFonts w:cs="Arial"/>
          <w:sz w:val="22"/>
          <w:szCs w:val="22"/>
          <w:lang w:val="es-CR"/>
        </w:rPr>
        <w:t>establecido como punto de referen</w:t>
      </w:r>
      <w:r>
        <w:rPr>
          <w:rFonts w:cs="Arial"/>
          <w:sz w:val="22"/>
          <w:szCs w:val="22"/>
          <w:lang w:val="es-CR"/>
        </w:rPr>
        <w:t>cia</w:t>
      </w:r>
      <w:r w:rsidRPr="00781096">
        <w:rPr>
          <w:rFonts w:cs="Arial"/>
          <w:sz w:val="22"/>
          <w:szCs w:val="22"/>
          <w:lang w:val="es-CR"/>
        </w:rPr>
        <w:t xml:space="preserve"> el </w:t>
      </w:r>
      <w:r w:rsidRPr="00933C4A">
        <w:rPr>
          <w:rFonts w:cs="Arial"/>
          <w:sz w:val="22"/>
          <w:szCs w:val="22"/>
          <w:lang w:val="es-CR"/>
        </w:rPr>
        <w:t>30 de junio de 2021.</w:t>
      </w:r>
    </w:p>
    <w:p w14:paraId="4D497089" w14:textId="77777777" w:rsidR="00933C4A" w:rsidRPr="00933C4A" w:rsidRDefault="00933C4A" w:rsidP="00933C4A">
      <w:pPr>
        <w:spacing w:line="360" w:lineRule="auto"/>
        <w:jc w:val="both"/>
        <w:rPr>
          <w:rFonts w:cs="Arial"/>
          <w:sz w:val="22"/>
          <w:szCs w:val="22"/>
          <w:lang w:val="es-CR"/>
        </w:rPr>
      </w:pPr>
      <w:r w:rsidRPr="00933C4A">
        <w:rPr>
          <w:rFonts w:cs="Arial"/>
          <w:sz w:val="22"/>
          <w:szCs w:val="22"/>
          <w:lang w:val="es-CR"/>
        </w:rPr>
        <w:t xml:space="preserve">e) De conformidad con el cronograma de actividades para el desarrollo del proyecto </w:t>
      </w:r>
      <w:proofErr w:type="spellStart"/>
      <w:r w:rsidRPr="00933C4A">
        <w:rPr>
          <w:rFonts w:cs="Arial"/>
          <w:sz w:val="22"/>
          <w:szCs w:val="22"/>
          <w:lang w:val="es-CR"/>
        </w:rPr>
        <w:t>Cobasur</w:t>
      </w:r>
      <w:proofErr w:type="spellEnd"/>
      <w:r w:rsidRPr="00933C4A">
        <w:rPr>
          <w:rFonts w:cs="Arial"/>
          <w:sz w:val="22"/>
          <w:szCs w:val="22"/>
          <w:lang w:val="es-CR"/>
        </w:rPr>
        <w:t xml:space="preserve">, la Mutual Cartago </w:t>
      </w:r>
      <w:r w:rsidRPr="00933C4A">
        <w:rPr>
          <w:rFonts w:cs="Arial"/>
          <w:sz w:val="22"/>
          <w:szCs w:val="22"/>
          <w:lang w:val="es-ES_tradnl"/>
        </w:rPr>
        <w:t>de Ahorro y Préstamo (MUCAP), en su condición de Fiduciario, ha</w:t>
      </w:r>
      <w:r w:rsidRPr="00933C4A">
        <w:rPr>
          <w:rFonts w:cs="Arial"/>
          <w:sz w:val="22"/>
          <w:szCs w:val="22"/>
          <w:lang w:val="es-CR"/>
        </w:rPr>
        <w:t xml:space="preserve"> señalado que el desalojo de las familias que ocupan la finca debe estar concluido antes de que se inicie el proceso de licitación pública para la construcción de las obras, puesto </w:t>
      </w:r>
      <w:r w:rsidRPr="00933C4A">
        <w:rPr>
          <w:rFonts w:cs="Arial"/>
          <w:sz w:val="22"/>
          <w:szCs w:val="22"/>
          <w:lang w:val="es-CR"/>
        </w:rPr>
        <w:lastRenderedPageBreak/>
        <w:t>que se requiere contar con seguridad jurídica sobre la condición de la finca antes de iniciar esa licitación. Y en este sentido, plantea que la actividad relacionada con el traslado y desalojo de las familias debe estar concluido el 4 de agosto de 2021.</w:t>
      </w:r>
    </w:p>
    <w:p w14:paraId="3F39D625" w14:textId="156F2911" w:rsidR="00933C4A" w:rsidRDefault="00933C4A" w:rsidP="006B7190">
      <w:pPr>
        <w:spacing w:line="360" w:lineRule="auto"/>
        <w:jc w:val="both"/>
        <w:rPr>
          <w:rFonts w:cs="Arial"/>
          <w:sz w:val="22"/>
          <w:lang w:val="es-ES_tradnl"/>
        </w:rPr>
      </w:pPr>
    </w:p>
    <w:p w14:paraId="7863C847" w14:textId="77E0F5DC" w:rsidR="00475007" w:rsidRDefault="00933C4A" w:rsidP="009D03FE">
      <w:pPr>
        <w:spacing w:line="360" w:lineRule="auto"/>
        <w:jc w:val="both"/>
        <w:rPr>
          <w:rFonts w:cs="Arial"/>
          <w:sz w:val="22"/>
          <w:lang w:val="es-ES_tradnl"/>
        </w:rPr>
      </w:pPr>
      <w:r>
        <w:rPr>
          <w:rFonts w:cs="Arial"/>
          <w:sz w:val="22"/>
          <w:u w:val="single"/>
          <w:lang w:val="es-ES_tradnl"/>
        </w:rPr>
        <w:t>Minuto 212</w:t>
      </w:r>
      <w:r w:rsidRPr="0039311E">
        <w:rPr>
          <w:rFonts w:cs="Arial"/>
          <w:sz w:val="22"/>
          <w:u w:val="single"/>
          <w:lang w:val="es-ES_tradnl"/>
        </w:rPr>
        <w:t>:</w:t>
      </w:r>
      <w:r>
        <w:rPr>
          <w:rFonts w:cs="Arial"/>
          <w:sz w:val="22"/>
          <w:u w:val="single"/>
          <w:lang w:val="es-ES_tradnl"/>
        </w:rPr>
        <w:t>24</w:t>
      </w:r>
      <w:r>
        <w:rPr>
          <w:rFonts w:cs="Arial"/>
          <w:sz w:val="22"/>
          <w:lang w:val="es-ES_tradnl"/>
        </w:rPr>
        <w:t xml:space="preserve"> De conformidad con el análisis realizado, la </w:t>
      </w:r>
      <w:r w:rsidRPr="00933C4A">
        <w:rPr>
          <w:rFonts w:cs="Arial"/>
          <w:sz w:val="22"/>
          <w:lang w:val="es-ES_tradnl"/>
        </w:rPr>
        <w:t>Junta Directiva</w:t>
      </w:r>
      <w:r>
        <w:rPr>
          <w:rFonts w:cs="Arial"/>
          <w:sz w:val="22"/>
          <w:lang w:val="es-ES_tradnl"/>
        </w:rPr>
        <w:t xml:space="preserve"> toma el </w:t>
      </w:r>
      <w:r w:rsidRPr="00FD1D0B">
        <w:rPr>
          <w:rFonts w:cs="Arial"/>
          <w:b/>
          <w:bCs/>
          <w:sz w:val="22"/>
          <w:lang w:val="es-ES_tradnl"/>
        </w:rPr>
        <w:t>Acuerdo N° 2</w:t>
      </w:r>
      <w:r>
        <w:rPr>
          <w:rFonts w:cs="Arial"/>
          <w:b/>
          <w:bCs/>
          <w:sz w:val="22"/>
          <w:lang w:val="es-ES_tradnl"/>
        </w:rPr>
        <w:t xml:space="preserve"> </w:t>
      </w:r>
      <w:r w:rsidRPr="00933C4A">
        <w:rPr>
          <w:rFonts w:cs="Arial"/>
          <w:sz w:val="22"/>
          <w:lang w:val="es-ES_tradnl"/>
        </w:rPr>
        <w:t>que se anexa a esta minuta.</w:t>
      </w:r>
    </w:p>
    <w:p w14:paraId="1C9BC058" w14:textId="77777777" w:rsidR="009D03FE" w:rsidRPr="00D14EAF" w:rsidRDefault="009D03FE" w:rsidP="009D03FE">
      <w:pPr>
        <w:spacing w:line="360" w:lineRule="auto"/>
        <w:jc w:val="both"/>
        <w:rPr>
          <w:rFonts w:cs="Arial"/>
          <w:b/>
          <w:sz w:val="22"/>
        </w:rPr>
      </w:pPr>
      <w:r w:rsidRPr="00D14EAF">
        <w:rPr>
          <w:rFonts w:cs="Arial"/>
          <w:b/>
          <w:sz w:val="22"/>
        </w:rPr>
        <w:t>************</w:t>
      </w:r>
    </w:p>
    <w:p w14:paraId="1E2EBB6D" w14:textId="77777777" w:rsidR="009D03FE" w:rsidRDefault="009D03FE" w:rsidP="009D03FE">
      <w:pPr>
        <w:spacing w:line="360" w:lineRule="auto"/>
        <w:jc w:val="both"/>
        <w:rPr>
          <w:rFonts w:cs="Arial"/>
          <w:b/>
          <w:bCs/>
          <w:sz w:val="22"/>
          <w:szCs w:val="22"/>
          <w:u w:val="single"/>
          <w:lang w:val="es-ES_tradnl"/>
        </w:rPr>
      </w:pPr>
    </w:p>
    <w:p w14:paraId="01D8F4B5" w14:textId="17A1A0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02D21" w:rsidRPr="00A02D21">
        <w:rPr>
          <w:rFonts w:cs="Arial"/>
          <w:b/>
          <w:bCs/>
          <w:sz w:val="22"/>
          <w:u w:val="single"/>
          <w:lang w:val="es-CR"/>
        </w:rPr>
        <w:t>Propuesta de programas de crédito y plan de captaciones del FONAVI para el año 2021</w:t>
      </w:r>
    </w:p>
    <w:p w14:paraId="7B306864" w14:textId="77777777" w:rsidR="009D03FE" w:rsidRDefault="009D03FE" w:rsidP="009D03FE">
      <w:pPr>
        <w:spacing w:line="360" w:lineRule="auto"/>
        <w:jc w:val="both"/>
        <w:rPr>
          <w:rFonts w:cs="Arial"/>
          <w:sz w:val="22"/>
          <w:szCs w:val="22"/>
        </w:rPr>
      </w:pPr>
    </w:p>
    <w:p w14:paraId="7643929E" w14:textId="404A4EA6" w:rsidR="001A628F" w:rsidRPr="00BB303F" w:rsidRDefault="001A628F" w:rsidP="001A628F">
      <w:pPr>
        <w:spacing w:line="360" w:lineRule="auto"/>
        <w:jc w:val="both"/>
        <w:rPr>
          <w:rFonts w:cs="Arial"/>
          <w:color w:val="000000"/>
          <w:sz w:val="22"/>
          <w:szCs w:val="22"/>
        </w:rPr>
      </w:pPr>
      <w:r w:rsidRPr="0039311E">
        <w:rPr>
          <w:rFonts w:cs="Arial"/>
          <w:sz w:val="22"/>
          <w:u w:val="single"/>
          <w:lang w:val="es-ES_tradnl"/>
        </w:rPr>
        <w:t xml:space="preserve">Minuto </w:t>
      </w:r>
      <w:r w:rsidR="00933C4A">
        <w:rPr>
          <w:rFonts w:cs="Arial"/>
          <w:sz w:val="22"/>
          <w:u w:val="single"/>
          <w:lang w:val="es-ES_tradnl"/>
        </w:rPr>
        <w:t>213</w:t>
      </w:r>
      <w:r w:rsidRPr="0039311E">
        <w:rPr>
          <w:rFonts w:cs="Arial"/>
          <w:sz w:val="22"/>
          <w:u w:val="single"/>
          <w:lang w:val="es-ES_tradnl"/>
        </w:rPr>
        <w:t>:</w:t>
      </w:r>
      <w:r w:rsidR="00933C4A">
        <w:rPr>
          <w:rFonts w:cs="Arial"/>
          <w:sz w:val="22"/>
          <w:u w:val="single"/>
          <w:lang w:val="es-ES_tradnl"/>
        </w:rPr>
        <w:t>54</w:t>
      </w:r>
      <w:r>
        <w:rPr>
          <w:rFonts w:cs="Arial"/>
          <w:sz w:val="22"/>
          <w:lang w:val="es-ES_tradnl"/>
        </w:rPr>
        <w:t xml:space="preserve"> Se </w:t>
      </w:r>
      <w:r w:rsidRPr="00BB303F">
        <w:rPr>
          <w:rFonts w:cs="Arial"/>
          <w:sz w:val="22"/>
          <w:szCs w:val="22"/>
        </w:rPr>
        <w:t xml:space="preserve">conoce el oficio </w:t>
      </w:r>
      <w:r>
        <w:rPr>
          <w:rFonts w:cs="Arial"/>
          <w:sz w:val="22"/>
          <w:szCs w:val="22"/>
        </w:rPr>
        <w:t>GG</w:t>
      </w:r>
      <w:r w:rsidRPr="00BB303F">
        <w:rPr>
          <w:rFonts w:cs="Arial"/>
          <w:sz w:val="22"/>
          <w:szCs w:val="22"/>
        </w:rPr>
        <w:t>-ME-</w:t>
      </w:r>
      <w:r>
        <w:rPr>
          <w:rFonts w:cs="Arial"/>
          <w:sz w:val="22"/>
          <w:szCs w:val="22"/>
        </w:rPr>
        <w:t>1</w:t>
      </w:r>
      <w:r w:rsidR="00933C4A">
        <w:rPr>
          <w:rFonts w:cs="Arial"/>
          <w:sz w:val="22"/>
          <w:szCs w:val="22"/>
        </w:rPr>
        <w:t>539</w:t>
      </w:r>
      <w:r w:rsidRPr="00BB303F">
        <w:rPr>
          <w:rFonts w:cs="Arial"/>
          <w:sz w:val="22"/>
          <w:szCs w:val="22"/>
        </w:rPr>
        <w:t>-20</w:t>
      </w:r>
      <w:r w:rsidR="00933C4A">
        <w:rPr>
          <w:rFonts w:cs="Arial"/>
          <w:sz w:val="22"/>
          <w:szCs w:val="22"/>
        </w:rPr>
        <w:t>20</w:t>
      </w:r>
      <w:r w:rsidRPr="00BB303F">
        <w:rPr>
          <w:rFonts w:cs="Arial"/>
          <w:sz w:val="22"/>
          <w:szCs w:val="22"/>
        </w:rPr>
        <w:t xml:space="preserve"> del </w:t>
      </w:r>
      <w:r>
        <w:rPr>
          <w:rFonts w:cs="Arial"/>
          <w:sz w:val="22"/>
          <w:szCs w:val="22"/>
        </w:rPr>
        <w:t>18</w:t>
      </w:r>
      <w:r w:rsidRPr="00BB303F">
        <w:rPr>
          <w:rFonts w:cs="Arial"/>
          <w:sz w:val="22"/>
          <w:szCs w:val="22"/>
        </w:rPr>
        <w:t xml:space="preserve"> de </w:t>
      </w:r>
      <w:r>
        <w:rPr>
          <w:rFonts w:cs="Arial"/>
          <w:sz w:val="22"/>
          <w:szCs w:val="22"/>
        </w:rPr>
        <w:t>diciembre</w:t>
      </w:r>
      <w:r w:rsidRPr="00BB303F">
        <w:rPr>
          <w:rFonts w:cs="Arial"/>
          <w:sz w:val="22"/>
          <w:szCs w:val="22"/>
        </w:rPr>
        <w:t xml:space="preserve"> de 20</w:t>
      </w:r>
      <w:r w:rsidR="00933C4A">
        <w:rPr>
          <w:rFonts w:cs="Arial"/>
          <w:sz w:val="22"/>
          <w:szCs w:val="22"/>
        </w:rPr>
        <w:t>20</w:t>
      </w:r>
      <w:r w:rsidRPr="00BB303F">
        <w:rPr>
          <w:rFonts w:cs="Arial"/>
          <w:sz w:val="22"/>
          <w:szCs w:val="22"/>
        </w:rPr>
        <w:t xml:space="preserve">, por medio del cual, la </w:t>
      </w:r>
      <w:r w:rsidRPr="001619A9">
        <w:rPr>
          <w:rFonts w:cs="Arial"/>
          <w:sz w:val="22"/>
          <w:szCs w:val="22"/>
          <w:lang w:val="es-ES_tradnl"/>
        </w:rPr>
        <w:t>Gerencia General</w:t>
      </w:r>
      <w:r w:rsidRPr="00BB303F">
        <w:rPr>
          <w:rFonts w:cs="Arial"/>
          <w:sz w:val="22"/>
          <w:szCs w:val="22"/>
        </w:rPr>
        <w:t xml:space="preserve"> remite y avala el informe </w:t>
      </w:r>
      <w:r w:rsidR="00933C4A">
        <w:rPr>
          <w:rFonts w:cs="Arial"/>
          <w:color w:val="000000"/>
          <w:sz w:val="22"/>
          <w:szCs w:val="22"/>
        </w:rPr>
        <w:t>SGF-ME-0012-2020/</w:t>
      </w:r>
      <w:r w:rsidR="00933C4A" w:rsidRPr="00BB303F">
        <w:rPr>
          <w:rFonts w:cs="Arial"/>
          <w:color w:val="000000"/>
          <w:sz w:val="22"/>
          <w:szCs w:val="22"/>
        </w:rPr>
        <w:t>DFNV-ME-</w:t>
      </w:r>
      <w:r w:rsidR="00933C4A">
        <w:rPr>
          <w:rFonts w:cs="Arial"/>
          <w:color w:val="000000"/>
          <w:sz w:val="22"/>
          <w:szCs w:val="22"/>
        </w:rPr>
        <w:t>471</w:t>
      </w:r>
      <w:r w:rsidR="00933C4A" w:rsidRPr="00BB303F">
        <w:rPr>
          <w:rFonts w:cs="Arial"/>
          <w:color w:val="000000"/>
          <w:sz w:val="22"/>
          <w:szCs w:val="22"/>
        </w:rPr>
        <w:t>-20</w:t>
      </w:r>
      <w:r w:rsidR="00933C4A">
        <w:rPr>
          <w:rFonts w:cs="Arial"/>
          <w:color w:val="000000"/>
          <w:sz w:val="22"/>
          <w:szCs w:val="22"/>
        </w:rPr>
        <w:t>20</w:t>
      </w:r>
      <w:r w:rsidR="00933C4A" w:rsidRPr="00BB303F">
        <w:rPr>
          <w:rFonts w:cs="Arial"/>
          <w:color w:val="000000"/>
          <w:sz w:val="22"/>
          <w:szCs w:val="22"/>
        </w:rPr>
        <w:t xml:space="preserve"> de la</w:t>
      </w:r>
      <w:r w:rsidR="00933C4A">
        <w:rPr>
          <w:rFonts w:cs="Arial"/>
          <w:color w:val="000000"/>
          <w:sz w:val="22"/>
          <w:szCs w:val="22"/>
        </w:rPr>
        <w:t xml:space="preserve"> Subgerencia Financiera y la</w:t>
      </w:r>
      <w:r w:rsidR="00933C4A" w:rsidRPr="00BB303F">
        <w:rPr>
          <w:rFonts w:cs="Arial"/>
          <w:color w:val="000000"/>
          <w:sz w:val="22"/>
          <w:szCs w:val="22"/>
        </w:rPr>
        <w:t xml:space="preserve"> Dirección FONAVI</w:t>
      </w:r>
      <w:r w:rsidRPr="00BB303F">
        <w:rPr>
          <w:rFonts w:cs="Arial"/>
          <w:sz w:val="22"/>
          <w:szCs w:val="22"/>
        </w:rPr>
        <w:t>, que contiene las propuestas</w:t>
      </w:r>
      <w:r w:rsidRPr="00BB303F">
        <w:rPr>
          <w:rFonts w:cs="Arial"/>
          <w:color w:val="000000"/>
          <w:sz w:val="22"/>
          <w:szCs w:val="22"/>
        </w:rPr>
        <w:t xml:space="preserve"> del Programa de Colocación de Crédito y el Plan Anual de Captaciones, correspondientes al período 20</w:t>
      </w:r>
      <w:r>
        <w:rPr>
          <w:rFonts w:cs="Arial"/>
          <w:color w:val="000000"/>
          <w:sz w:val="22"/>
          <w:szCs w:val="22"/>
        </w:rPr>
        <w:t>2</w:t>
      </w:r>
      <w:r w:rsidR="00933C4A">
        <w:rPr>
          <w:rFonts w:cs="Arial"/>
          <w:color w:val="000000"/>
          <w:sz w:val="22"/>
          <w:szCs w:val="22"/>
        </w:rPr>
        <w:t>1</w:t>
      </w:r>
      <w:r w:rsidRPr="00BB303F">
        <w:rPr>
          <w:rFonts w:cs="Arial"/>
          <w:color w:val="000000"/>
          <w:sz w:val="22"/>
          <w:szCs w:val="22"/>
        </w:rPr>
        <w:t>, incluyendo el análisis del impacto de la estrategia de colocación de crédito y captación de recursos en los estados financieros y los indicadores de riesgos del modelo CAMELS, conforme la herramienta que para estos efectos aplica la Unidad de Riesgos.  Dichos documentos se adjuntan a</w:t>
      </w:r>
      <w:r>
        <w:rPr>
          <w:rFonts w:cs="Arial"/>
          <w:color w:val="000000"/>
          <w:sz w:val="22"/>
          <w:szCs w:val="22"/>
        </w:rPr>
        <w:t xml:space="preserve">l expediente del </w:t>
      </w:r>
      <w:r w:rsidRPr="00BB303F">
        <w:rPr>
          <w:rFonts w:cs="Arial"/>
          <w:color w:val="000000"/>
          <w:sz w:val="22"/>
          <w:szCs w:val="22"/>
        </w:rPr>
        <w:t>acta.</w:t>
      </w:r>
    </w:p>
    <w:p w14:paraId="195CAAF1" w14:textId="77777777" w:rsidR="001A628F" w:rsidRDefault="001A628F" w:rsidP="001A628F">
      <w:pPr>
        <w:spacing w:line="360" w:lineRule="auto"/>
        <w:jc w:val="both"/>
        <w:rPr>
          <w:rFonts w:cs="Arial"/>
          <w:sz w:val="22"/>
          <w:lang w:val="es-ES_tradnl"/>
        </w:rPr>
      </w:pPr>
    </w:p>
    <w:p w14:paraId="131696A0" w14:textId="589ECDB9" w:rsidR="001A628F" w:rsidRDefault="00933C4A" w:rsidP="001A628F">
      <w:pPr>
        <w:spacing w:line="360" w:lineRule="auto"/>
        <w:jc w:val="both"/>
        <w:rPr>
          <w:rFonts w:cs="Arial"/>
          <w:bCs/>
          <w:sz w:val="22"/>
          <w:lang w:val="es-ES_tradnl"/>
        </w:rPr>
      </w:pPr>
      <w:r>
        <w:rPr>
          <w:rFonts w:cs="Arial"/>
          <w:sz w:val="22"/>
          <w:lang w:val="es-ES_tradnl"/>
        </w:rPr>
        <w:t xml:space="preserve">La licenciada Hernández Brenes </w:t>
      </w:r>
      <w:r w:rsidR="001A628F">
        <w:rPr>
          <w:rFonts w:cs="Arial"/>
          <w:sz w:val="22"/>
          <w:lang w:val="es-ES_tradnl"/>
        </w:rPr>
        <w:t>expone los alcances del citado informe</w:t>
      </w:r>
      <w:r w:rsidR="001137A0">
        <w:rPr>
          <w:rFonts w:cs="Arial"/>
          <w:sz w:val="22"/>
          <w:lang w:val="es-ES_tradnl"/>
        </w:rPr>
        <w:t>, presentando las justificaciones</w:t>
      </w:r>
      <w:r w:rsidR="001A628F">
        <w:rPr>
          <w:rFonts w:cs="Arial"/>
          <w:sz w:val="22"/>
          <w:lang w:val="es-ES_tradnl"/>
        </w:rPr>
        <w:t xml:space="preserve"> y el contenido</w:t>
      </w:r>
      <w:r w:rsidR="001A628F" w:rsidRPr="00BB303F">
        <w:rPr>
          <w:rFonts w:cs="Arial"/>
          <w:color w:val="000000"/>
          <w:sz w:val="22"/>
          <w:szCs w:val="22"/>
        </w:rPr>
        <w:t xml:space="preserve"> de los Programas de </w:t>
      </w:r>
      <w:r w:rsidR="001A628F">
        <w:rPr>
          <w:rFonts w:cs="Arial"/>
          <w:color w:val="000000"/>
          <w:sz w:val="22"/>
          <w:szCs w:val="22"/>
        </w:rPr>
        <w:t xml:space="preserve">Colocación de </w:t>
      </w:r>
      <w:r w:rsidR="001A628F" w:rsidRPr="00BB303F">
        <w:rPr>
          <w:rFonts w:cs="Arial"/>
          <w:color w:val="000000"/>
          <w:sz w:val="22"/>
          <w:szCs w:val="22"/>
        </w:rPr>
        <w:t>Crédito y el Plan Anual de Captaciones a ejecutar en el año 20</w:t>
      </w:r>
      <w:r w:rsidR="001A628F">
        <w:rPr>
          <w:rFonts w:cs="Arial"/>
          <w:color w:val="000000"/>
          <w:sz w:val="22"/>
          <w:szCs w:val="22"/>
        </w:rPr>
        <w:t>2</w:t>
      </w:r>
      <w:r w:rsidR="001137A0">
        <w:rPr>
          <w:rFonts w:cs="Arial"/>
          <w:color w:val="000000"/>
          <w:sz w:val="22"/>
          <w:szCs w:val="22"/>
        </w:rPr>
        <w:t>1</w:t>
      </w:r>
      <w:r w:rsidR="001A628F" w:rsidRPr="00BB303F">
        <w:rPr>
          <w:rFonts w:cs="Arial"/>
          <w:color w:val="000000"/>
          <w:sz w:val="22"/>
          <w:szCs w:val="22"/>
        </w:rPr>
        <w:t>, así como los principales resultados generados por la estrategia de colocación de crédito y captación de recursos propuesta</w:t>
      </w:r>
      <w:r w:rsidR="001A628F">
        <w:rPr>
          <w:rFonts w:cs="Arial"/>
          <w:color w:val="000000"/>
          <w:sz w:val="22"/>
          <w:szCs w:val="22"/>
        </w:rPr>
        <w:t>, atendiendo las consultas y observaciones que al respecto van planteando los señores Directores.</w:t>
      </w:r>
    </w:p>
    <w:p w14:paraId="649D3F01" w14:textId="77777777" w:rsidR="001A628F" w:rsidRDefault="001A628F" w:rsidP="001A628F">
      <w:pPr>
        <w:spacing w:line="360" w:lineRule="auto"/>
        <w:jc w:val="both"/>
        <w:rPr>
          <w:rFonts w:cs="Arial"/>
          <w:sz w:val="22"/>
          <w:lang w:val="es-ES_tradnl"/>
        </w:rPr>
      </w:pPr>
    </w:p>
    <w:p w14:paraId="7F87031E" w14:textId="201DE03C" w:rsidR="001A628F" w:rsidRPr="00AD5651" w:rsidRDefault="001A628F" w:rsidP="001A628F">
      <w:pPr>
        <w:spacing w:line="360" w:lineRule="auto"/>
        <w:jc w:val="both"/>
        <w:rPr>
          <w:rFonts w:cs="Arial"/>
          <w:sz w:val="22"/>
          <w:szCs w:val="22"/>
        </w:rPr>
      </w:pPr>
      <w:r w:rsidRPr="00A25DB7">
        <w:rPr>
          <w:rFonts w:cs="Arial"/>
          <w:sz w:val="22"/>
          <w:u w:val="single"/>
          <w:lang w:val="es-ES_tradnl"/>
        </w:rPr>
        <w:t xml:space="preserve">Minuto </w:t>
      </w:r>
      <w:r w:rsidR="00965453">
        <w:rPr>
          <w:rFonts w:cs="Arial"/>
          <w:sz w:val="22"/>
          <w:u w:val="single"/>
          <w:lang w:val="es-ES_tradnl"/>
        </w:rPr>
        <w:t>18</w:t>
      </w:r>
      <w:r w:rsidRPr="00A25DB7">
        <w:rPr>
          <w:rFonts w:cs="Arial"/>
          <w:sz w:val="22"/>
          <w:u w:val="single"/>
          <w:lang w:val="es-ES_tradnl"/>
        </w:rPr>
        <w:t>:</w:t>
      </w:r>
      <w:r w:rsidR="00965453">
        <w:rPr>
          <w:rFonts w:cs="Arial"/>
          <w:sz w:val="22"/>
          <w:u w:val="single"/>
          <w:lang w:val="es-ES_tradnl"/>
        </w:rPr>
        <w:t>57</w:t>
      </w:r>
      <w:r w:rsidR="001137A0">
        <w:rPr>
          <w:rFonts w:cs="Arial"/>
          <w:sz w:val="22"/>
          <w:u w:val="single"/>
          <w:lang w:val="es-ES_tradnl"/>
        </w:rPr>
        <w:t xml:space="preserve"> (grabación B)</w:t>
      </w:r>
      <w:r>
        <w:rPr>
          <w:rFonts w:cs="Arial"/>
          <w:color w:val="000000"/>
          <w:sz w:val="22"/>
          <w:szCs w:val="22"/>
        </w:rPr>
        <w:t xml:space="preserve"> Conocido el informe de la Dirección FONAVI y de conformidad con el análisis que se realiza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w:t>
      </w:r>
      <w:r w:rsidRPr="00BB303F">
        <w:rPr>
          <w:rFonts w:cs="Arial"/>
          <w:color w:val="000000"/>
          <w:sz w:val="22"/>
          <w:szCs w:val="22"/>
        </w:rPr>
        <w:t xml:space="preserve">los </w:t>
      </w:r>
      <w:r>
        <w:rPr>
          <w:rFonts w:cs="Arial"/>
          <w:color w:val="000000"/>
          <w:sz w:val="22"/>
          <w:szCs w:val="22"/>
        </w:rPr>
        <w:t>referidos p</w:t>
      </w:r>
      <w:r w:rsidRPr="00BB303F">
        <w:rPr>
          <w:rFonts w:cs="Arial"/>
          <w:color w:val="000000"/>
          <w:sz w:val="22"/>
          <w:szCs w:val="22"/>
        </w:rPr>
        <w:t xml:space="preserve">rogramas de </w:t>
      </w:r>
      <w:r>
        <w:rPr>
          <w:rFonts w:cs="Arial"/>
          <w:color w:val="000000"/>
          <w:sz w:val="22"/>
          <w:szCs w:val="22"/>
        </w:rPr>
        <w:t>colocación de c</w:t>
      </w:r>
      <w:r w:rsidRPr="00BB303F">
        <w:rPr>
          <w:rFonts w:cs="Arial"/>
          <w:color w:val="000000"/>
          <w:sz w:val="22"/>
          <w:szCs w:val="22"/>
        </w:rPr>
        <w:t>rédito y el Plan Anual de Captaciones</w:t>
      </w:r>
      <w:r>
        <w:rPr>
          <w:rFonts w:cs="Arial"/>
          <w:bCs/>
          <w:sz w:val="22"/>
          <w:szCs w:val="22"/>
        </w:rPr>
        <w:t>,</w:t>
      </w:r>
      <w:r w:rsidRPr="00AD5651">
        <w:rPr>
          <w:rFonts w:cs="Arial"/>
          <w:color w:val="000000"/>
          <w:sz w:val="22"/>
          <w:szCs w:val="22"/>
        </w:rPr>
        <w:t xml:space="preserve"> </w:t>
      </w:r>
      <w:r>
        <w:rPr>
          <w:rFonts w:cs="Arial"/>
          <w:color w:val="000000"/>
          <w:sz w:val="22"/>
          <w:szCs w:val="22"/>
        </w:rPr>
        <w:t xml:space="preserve">conforme lo recomendado por la </w:t>
      </w:r>
      <w:r w:rsidRPr="006C2FCB">
        <w:rPr>
          <w:rFonts w:cs="Arial"/>
          <w:color w:val="000000"/>
          <w:sz w:val="22"/>
          <w:szCs w:val="22"/>
          <w:lang w:val="es-ES_tradnl"/>
        </w:rPr>
        <w:t>Administración</w:t>
      </w:r>
      <w:r>
        <w:rPr>
          <w:rFonts w:cs="Arial"/>
          <w:color w:val="000000"/>
          <w:sz w:val="22"/>
          <w:szCs w:val="22"/>
          <w:lang w:val="es-ES_tradnl"/>
        </w:rPr>
        <w:t xml:space="preserve">.  </w:t>
      </w:r>
      <w:r>
        <w:rPr>
          <w:rFonts w:cs="Arial"/>
          <w:color w:val="000000"/>
          <w:sz w:val="22"/>
          <w:szCs w:val="22"/>
        </w:rPr>
        <w:t>Lo anterior, según se consigna en</w:t>
      </w:r>
      <w:r>
        <w:rPr>
          <w:rFonts w:cs="Arial"/>
          <w:sz w:val="22"/>
          <w:szCs w:val="22"/>
        </w:rPr>
        <w:t xml:space="preserve"> el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Pr>
          <w:rFonts w:cs="Arial"/>
          <w:sz w:val="22"/>
          <w:szCs w:val="22"/>
        </w:rPr>
        <w:t xml:space="preserve"> que se anexa a esta minuta.</w:t>
      </w:r>
    </w:p>
    <w:p w14:paraId="21C2DC01" w14:textId="77777777" w:rsidR="009D03FE" w:rsidRPr="00D14EAF" w:rsidRDefault="009D03FE" w:rsidP="009D03FE">
      <w:pPr>
        <w:spacing w:line="360" w:lineRule="auto"/>
        <w:jc w:val="both"/>
        <w:rPr>
          <w:rFonts w:cs="Arial"/>
          <w:b/>
          <w:sz w:val="22"/>
        </w:rPr>
      </w:pPr>
      <w:r w:rsidRPr="00D14EAF">
        <w:rPr>
          <w:rFonts w:cs="Arial"/>
          <w:b/>
          <w:sz w:val="22"/>
        </w:rPr>
        <w:t>************</w:t>
      </w:r>
    </w:p>
    <w:p w14:paraId="4B7EE48F" w14:textId="77777777" w:rsidR="009D03FE" w:rsidRDefault="009D03FE" w:rsidP="009D03FE">
      <w:pPr>
        <w:spacing w:line="360" w:lineRule="auto"/>
        <w:jc w:val="both"/>
        <w:rPr>
          <w:rFonts w:cs="Arial"/>
          <w:b/>
          <w:sz w:val="22"/>
          <w:szCs w:val="22"/>
          <w:u w:val="single"/>
          <w:lang w:val="es-ES_tradnl"/>
        </w:rPr>
      </w:pPr>
    </w:p>
    <w:p w14:paraId="5E1325C1" w14:textId="6C1021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A02D21" w:rsidRPr="00A02D21">
        <w:rPr>
          <w:rFonts w:cs="Arial"/>
          <w:b/>
          <w:bCs/>
          <w:sz w:val="22"/>
          <w:u w:val="single"/>
          <w:lang w:val="es-CR"/>
        </w:rPr>
        <w:t xml:space="preserve">Solicitud de aprobación de programa de emisión de títulos valores del Grupo Mutual Alajuela </w:t>
      </w:r>
      <w:r w:rsidR="00A02D21">
        <w:rPr>
          <w:rFonts w:cs="Arial"/>
          <w:b/>
          <w:bCs/>
          <w:sz w:val="22"/>
          <w:u w:val="single"/>
          <w:lang w:val="es-CR"/>
        </w:rPr>
        <w:t xml:space="preserve">– </w:t>
      </w:r>
      <w:r w:rsidR="00A02D21" w:rsidRPr="00A02D21">
        <w:rPr>
          <w:rFonts w:cs="Arial"/>
          <w:b/>
          <w:bCs/>
          <w:sz w:val="22"/>
          <w:u w:val="single"/>
          <w:lang w:val="es-CR"/>
        </w:rPr>
        <w:t>La Vivienda</w:t>
      </w:r>
    </w:p>
    <w:p w14:paraId="1F9C34DB" w14:textId="77777777" w:rsidR="009D03FE" w:rsidRDefault="009D03FE" w:rsidP="009D03FE">
      <w:pPr>
        <w:spacing w:line="360" w:lineRule="auto"/>
        <w:jc w:val="both"/>
        <w:rPr>
          <w:rFonts w:cs="Arial"/>
          <w:sz w:val="22"/>
          <w:szCs w:val="22"/>
        </w:rPr>
      </w:pPr>
    </w:p>
    <w:p w14:paraId="4C887751" w14:textId="1A650DC0" w:rsidR="00965453" w:rsidRDefault="009D03FE" w:rsidP="00965453">
      <w:pPr>
        <w:spacing w:line="360" w:lineRule="auto"/>
        <w:jc w:val="both"/>
        <w:rPr>
          <w:rFonts w:cs="Arial"/>
          <w:bCs/>
          <w:sz w:val="22"/>
          <w:szCs w:val="22"/>
        </w:rPr>
      </w:pPr>
      <w:r w:rsidRPr="0039311E">
        <w:rPr>
          <w:rFonts w:cs="Arial"/>
          <w:sz w:val="22"/>
          <w:u w:val="single"/>
          <w:lang w:val="es-ES_tradnl"/>
        </w:rPr>
        <w:t xml:space="preserve">Minuto </w:t>
      </w:r>
      <w:r w:rsidR="00965453">
        <w:rPr>
          <w:rFonts w:cs="Arial"/>
          <w:sz w:val="22"/>
          <w:u w:val="single"/>
          <w:lang w:val="es-ES_tradnl"/>
        </w:rPr>
        <w:t>20</w:t>
      </w:r>
      <w:r w:rsidRPr="0039311E">
        <w:rPr>
          <w:rFonts w:cs="Arial"/>
          <w:sz w:val="22"/>
          <w:u w:val="single"/>
          <w:lang w:val="es-ES_tradnl"/>
        </w:rPr>
        <w:t>:</w:t>
      </w:r>
      <w:r w:rsidR="00965453">
        <w:rPr>
          <w:rFonts w:cs="Arial"/>
          <w:sz w:val="22"/>
          <w:u w:val="single"/>
          <w:lang w:val="es-ES_tradnl"/>
        </w:rPr>
        <w:t>05</w:t>
      </w:r>
      <w:r w:rsidR="001137A0">
        <w:rPr>
          <w:rFonts w:cs="Arial"/>
          <w:sz w:val="22"/>
          <w:u w:val="single"/>
          <w:lang w:val="es-ES_tradnl"/>
        </w:rPr>
        <w:t xml:space="preserve"> (grabación B)</w:t>
      </w:r>
      <w:r>
        <w:rPr>
          <w:rFonts w:cs="Arial"/>
          <w:sz w:val="22"/>
          <w:lang w:val="es-ES_tradnl"/>
        </w:rPr>
        <w:t xml:space="preserve"> Se conoce el oficio</w:t>
      </w:r>
      <w:r w:rsidR="00965453">
        <w:rPr>
          <w:rFonts w:cs="Arial"/>
          <w:sz w:val="22"/>
          <w:lang w:val="es-ES_tradnl"/>
        </w:rPr>
        <w:t xml:space="preserve"> </w:t>
      </w:r>
      <w:r w:rsidR="00965453" w:rsidRPr="004B0167">
        <w:rPr>
          <w:rFonts w:cs="Arial"/>
          <w:bCs/>
          <w:sz w:val="22"/>
          <w:szCs w:val="22"/>
          <w:lang w:val="es-ES_tradnl"/>
        </w:rPr>
        <w:t>GG-ME-</w:t>
      </w:r>
      <w:r w:rsidR="00965453">
        <w:rPr>
          <w:rFonts w:cs="Arial"/>
          <w:bCs/>
          <w:sz w:val="22"/>
          <w:szCs w:val="22"/>
          <w:lang w:val="es-ES_tradnl"/>
        </w:rPr>
        <w:t>1560</w:t>
      </w:r>
      <w:r w:rsidR="00965453" w:rsidRPr="004B0167">
        <w:rPr>
          <w:rFonts w:cs="Arial"/>
          <w:bCs/>
          <w:sz w:val="22"/>
          <w:szCs w:val="22"/>
          <w:lang w:val="es-ES_tradnl"/>
        </w:rPr>
        <w:t>-20</w:t>
      </w:r>
      <w:r w:rsidR="00965453">
        <w:rPr>
          <w:rFonts w:cs="Arial"/>
          <w:bCs/>
          <w:sz w:val="22"/>
          <w:szCs w:val="22"/>
          <w:lang w:val="es-ES_tradnl"/>
        </w:rPr>
        <w:t>20</w:t>
      </w:r>
      <w:r w:rsidR="00965453" w:rsidRPr="004B0167">
        <w:rPr>
          <w:rFonts w:cs="Arial"/>
          <w:bCs/>
          <w:sz w:val="22"/>
          <w:szCs w:val="22"/>
          <w:lang w:val="es-ES_tradnl"/>
        </w:rPr>
        <w:t xml:space="preserve"> del </w:t>
      </w:r>
      <w:r w:rsidR="00965453">
        <w:rPr>
          <w:rFonts w:cs="Arial"/>
          <w:bCs/>
          <w:sz w:val="22"/>
          <w:szCs w:val="22"/>
          <w:lang w:val="es-ES_tradnl"/>
        </w:rPr>
        <w:t>23</w:t>
      </w:r>
      <w:r w:rsidR="00965453" w:rsidRPr="004B0167">
        <w:rPr>
          <w:rFonts w:cs="Arial"/>
          <w:bCs/>
          <w:sz w:val="22"/>
          <w:szCs w:val="22"/>
          <w:lang w:val="es-ES_tradnl"/>
        </w:rPr>
        <w:t xml:space="preserve"> de </w:t>
      </w:r>
      <w:r w:rsidR="00965453">
        <w:rPr>
          <w:rFonts w:cs="Arial"/>
          <w:bCs/>
          <w:sz w:val="22"/>
          <w:szCs w:val="22"/>
          <w:lang w:val="es-ES_tradnl"/>
        </w:rPr>
        <w:t>diciembre de 2020</w:t>
      </w:r>
      <w:r w:rsidR="00965453" w:rsidRPr="004B0167">
        <w:rPr>
          <w:rFonts w:cs="Arial"/>
          <w:bCs/>
          <w:sz w:val="22"/>
          <w:szCs w:val="22"/>
          <w:lang w:val="es-ES_tradnl"/>
        </w:rPr>
        <w:t xml:space="preserve">, mediante el cual, </w:t>
      </w:r>
      <w:r w:rsidR="00965453">
        <w:rPr>
          <w:rFonts w:cs="Arial"/>
          <w:bCs/>
          <w:sz w:val="22"/>
          <w:szCs w:val="22"/>
          <w:lang w:val="es-ES_tradnl"/>
        </w:rPr>
        <w:t xml:space="preserve">la </w:t>
      </w:r>
      <w:r w:rsidR="00965453" w:rsidRPr="005004EE">
        <w:rPr>
          <w:rFonts w:cs="Arial"/>
          <w:bCs/>
          <w:sz w:val="22"/>
          <w:szCs w:val="22"/>
          <w:lang w:val="es-ES_tradnl"/>
        </w:rPr>
        <w:t>Gerencia General</w:t>
      </w:r>
      <w:r w:rsidR="00965453" w:rsidRPr="004B0167">
        <w:rPr>
          <w:rFonts w:cs="Arial"/>
          <w:bCs/>
          <w:sz w:val="22"/>
          <w:szCs w:val="22"/>
          <w:lang w:val="es-ES_tradnl"/>
        </w:rPr>
        <w:t xml:space="preserve"> </w:t>
      </w:r>
      <w:r w:rsidR="00965453" w:rsidRPr="004B0167">
        <w:rPr>
          <w:rFonts w:cs="Arial"/>
          <w:bCs/>
          <w:sz w:val="22"/>
          <w:szCs w:val="22"/>
        </w:rPr>
        <w:t xml:space="preserve">remite </w:t>
      </w:r>
      <w:r w:rsidR="00965453">
        <w:rPr>
          <w:rFonts w:cs="Arial"/>
          <w:bCs/>
          <w:sz w:val="22"/>
          <w:szCs w:val="22"/>
        </w:rPr>
        <w:t xml:space="preserve">y avala el informe SGF-ME-0019-2020/DFNV-ME-475-2020, de la Subgerencia Financiera y la Dirección FONAVI, que contiene los resultados del estudio efectuado a la solicitud presentada por el Grupo Mutual Alajuela – La Vivienda de </w:t>
      </w:r>
      <w:r w:rsidR="00965453" w:rsidRPr="00B4774F">
        <w:rPr>
          <w:rFonts w:cs="Arial"/>
          <w:bCs/>
          <w:color w:val="000000"/>
          <w:sz w:val="22"/>
          <w:szCs w:val="22"/>
        </w:rPr>
        <w:t>Ahorro y Préstamo</w:t>
      </w:r>
      <w:r w:rsidR="00965453" w:rsidRPr="004B0167">
        <w:rPr>
          <w:rFonts w:cs="Arial"/>
          <w:bCs/>
          <w:sz w:val="22"/>
          <w:szCs w:val="22"/>
        </w:rPr>
        <w:t xml:space="preserve">, tendiente a que se </w:t>
      </w:r>
      <w:r w:rsidR="00965453">
        <w:rPr>
          <w:rFonts w:cs="Arial"/>
          <w:bCs/>
          <w:sz w:val="22"/>
          <w:szCs w:val="22"/>
        </w:rPr>
        <w:t>le autorice colocar</w:t>
      </w:r>
      <w:r w:rsidR="00965453">
        <w:rPr>
          <w:rFonts w:cs="Arial"/>
          <w:sz w:val="22"/>
          <w:szCs w:val="22"/>
        </w:rPr>
        <w:t xml:space="preserve"> un nuevo programa de emisiones denominado “Programa de emisiones de contratos de participación hipotecaria con garantía global de largo plazo series Y en dólares”, dentro</w:t>
      </w:r>
      <w:r w:rsidR="00965453">
        <w:rPr>
          <w:rFonts w:cs="Arial"/>
          <w:bCs/>
          <w:sz w:val="22"/>
          <w:szCs w:val="22"/>
        </w:rPr>
        <w:t xml:space="preserve"> del tope de captación autorizado con la garantía del Estado. Dichos documentos se adjuntan a la presente acta.</w:t>
      </w:r>
    </w:p>
    <w:p w14:paraId="2A563A84" w14:textId="77777777" w:rsidR="00965453" w:rsidRPr="005B49CE" w:rsidRDefault="00965453" w:rsidP="00965453">
      <w:pPr>
        <w:spacing w:line="360" w:lineRule="auto"/>
        <w:jc w:val="both"/>
        <w:rPr>
          <w:rFonts w:cs="Arial"/>
          <w:bCs/>
          <w:sz w:val="22"/>
          <w:szCs w:val="22"/>
        </w:rPr>
      </w:pPr>
    </w:p>
    <w:p w14:paraId="490F967F" w14:textId="377B7635" w:rsidR="00965453" w:rsidRDefault="00965453" w:rsidP="00965453">
      <w:pPr>
        <w:spacing w:line="360" w:lineRule="auto"/>
        <w:jc w:val="both"/>
        <w:rPr>
          <w:rFonts w:cs="Arial"/>
          <w:bCs/>
          <w:sz w:val="22"/>
          <w:szCs w:val="22"/>
        </w:rPr>
      </w:pPr>
      <w:r>
        <w:rPr>
          <w:rFonts w:cs="Arial"/>
          <w:sz w:val="22"/>
        </w:rPr>
        <w:t xml:space="preserve">La licenciada Hernández Brenes expone los alcances del citado informe, refiriéndose a las características del nuevo programa de emisiones que plantea el </w:t>
      </w:r>
      <w:r w:rsidRPr="00B4774F">
        <w:rPr>
          <w:rFonts w:cs="Arial"/>
          <w:bCs/>
          <w:sz w:val="22"/>
          <w:szCs w:val="22"/>
        </w:rPr>
        <w:t>Grupo Mutual Alajuela – La Vivienda</w:t>
      </w:r>
      <w:r>
        <w:rPr>
          <w:rFonts w:cs="Arial"/>
          <w:sz w:val="22"/>
        </w:rPr>
        <w:t xml:space="preserve">, y luego procede a explicar los aspectos relacionados con el destino de los recursos captados, la justificación del producto financiero y la verificación del cumplimiento de los respectivos requisitos, concluyendo, en resumen, </w:t>
      </w:r>
      <w:r>
        <w:rPr>
          <w:rFonts w:cs="Arial"/>
          <w:bCs/>
          <w:sz w:val="22"/>
          <w:szCs w:val="22"/>
        </w:rPr>
        <w:t>que la entidad cumple a cabalidad con todos los requisitos correspondientes para efectuar la emisión de los citados contratos de participación hipotecaria; razón por la cual recomienda</w:t>
      </w:r>
      <w:r w:rsidR="00C15B02">
        <w:rPr>
          <w:rFonts w:cs="Arial"/>
          <w:bCs/>
          <w:sz w:val="22"/>
          <w:szCs w:val="22"/>
        </w:rPr>
        <w:t xml:space="preserve"> otorgar</w:t>
      </w:r>
      <w:r>
        <w:rPr>
          <w:rFonts w:cs="Arial"/>
          <w:bCs/>
          <w:sz w:val="22"/>
          <w:szCs w:val="22"/>
        </w:rPr>
        <w:t xml:space="preserve"> la debida autorización,</w:t>
      </w:r>
      <w:r w:rsidRPr="009C04C7">
        <w:rPr>
          <w:rFonts w:cs="Arial"/>
          <w:bCs/>
          <w:sz w:val="22"/>
          <w:szCs w:val="22"/>
        </w:rPr>
        <w:t xml:space="preserve"> </w:t>
      </w:r>
      <w:r>
        <w:rPr>
          <w:rFonts w:cs="Arial"/>
          <w:bCs/>
          <w:sz w:val="22"/>
          <w:szCs w:val="22"/>
        </w:rPr>
        <w:t>bajo el entendido que esta emisión debe considerarse como parte del Tope Máximo de Captación vigente para esa Mutual.</w:t>
      </w:r>
    </w:p>
    <w:p w14:paraId="3539A1C0" w14:textId="77777777" w:rsidR="009D03FE" w:rsidRDefault="009D03FE" w:rsidP="009D03FE">
      <w:pPr>
        <w:spacing w:line="360" w:lineRule="auto"/>
        <w:jc w:val="both"/>
        <w:rPr>
          <w:rFonts w:cs="Arial"/>
          <w:sz w:val="22"/>
          <w:lang w:val="es-ES_tradnl"/>
        </w:rPr>
      </w:pPr>
    </w:p>
    <w:p w14:paraId="7EFF1192" w14:textId="60D37C4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15B02">
        <w:rPr>
          <w:rFonts w:cs="Arial"/>
          <w:sz w:val="22"/>
          <w:u w:val="single"/>
          <w:lang w:val="es-ES_tradnl"/>
        </w:rPr>
        <w:t>27</w:t>
      </w:r>
      <w:r w:rsidRPr="00A25DB7">
        <w:rPr>
          <w:rFonts w:cs="Arial"/>
          <w:sz w:val="22"/>
          <w:u w:val="single"/>
          <w:lang w:val="es-ES_tradnl"/>
        </w:rPr>
        <w:t>:</w:t>
      </w:r>
      <w:r w:rsidR="00C15B02">
        <w:rPr>
          <w:rFonts w:cs="Arial"/>
          <w:sz w:val="22"/>
          <w:u w:val="single"/>
          <w:lang w:val="es-ES_tradnl"/>
        </w:rPr>
        <w:t>12</w:t>
      </w:r>
      <w:r w:rsidR="001137A0">
        <w:rPr>
          <w:rFonts w:cs="Arial"/>
          <w:sz w:val="22"/>
          <w:u w:val="single"/>
          <w:lang w:val="es-ES_tradnl"/>
        </w:rPr>
        <w:t xml:space="preserve"> (grabación B)</w:t>
      </w:r>
      <w:r w:rsidR="00FD1D0B">
        <w:rPr>
          <w:rFonts w:cs="Arial"/>
          <w:sz w:val="22"/>
          <w:lang w:val="es-ES_tradnl"/>
        </w:rPr>
        <w:t xml:space="preserve"> </w:t>
      </w:r>
      <w:r w:rsidR="00C15B02">
        <w:rPr>
          <w:rFonts w:cs="Arial"/>
          <w:sz w:val="22"/>
          <w:lang w:val="es-ES_tradnl"/>
        </w:rPr>
        <w:t xml:space="preserve">Conocido y suficientemente discutido el informe de </w:t>
      </w:r>
      <w:r w:rsidR="00C15B02">
        <w:rPr>
          <w:rFonts w:cs="Arial"/>
          <w:bCs/>
          <w:sz w:val="22"/>
          <w:szCs w:val="22"/>
        </w:rPr>
        <w:t xml:space="preserve">la </w:t>
      </w:r>
      <w:r w:rsidR="00C15B02" w:rsidRPr="00854939">
        <w:rPr>
          <w:rFonts w:cs="Arial"/>
          <w:bCs/>
          <w:sz w:val="22"/>
          <w:szCs w:val="22"/>
        </w:rPr>
        <w:t>Administración</w:t>
      </w:r>
      <w:r w:rsidR="00C15B02">
        <w:rPr>
          <w:rFonts w:cs="Arial"/>
          <w:bCs/>
          <w:sz w:val="22"/>
          <w:szCs w:val="22"/>
        </w:rPr>
        <w:t>,</w:t>
      </w:r>
      <w:r w:rsidR="00C15B02" w:rsidRPr="004B0167">
        <w:rPr>
          <w:rFonts w:cs="Arial"/>
          <w:bCs/>
          <w:sz w:val="22"/>
          <w:szCs w:val="22"/>
        </w:rPr>
        <w:t xml:space="preserve"> y </w:t>
      </w:r>
      <w:r w:rsidR="00C15B02">
        <w:rPr>
          <w:rFonts w:cs="Arial"/>
          <w:bCs/>
          <w:sz w:val="22"/>
          <w:szCs w:val="22"/>
        </w:rPr>
        <w:t xml:space="preserve">no habiendo objeciones de los señores Directores ni por parte de los funcionarios presentes, la </w:t>
      </w:r>
      <w:r w:rsidR="00C15B02" w:rsidRPr="00691A59">
        <w:rPr>
          <w:rFonts w:cs="Arial"/>
          <w:bCs/>
          <w:sz w:val="22"/>
          <w:szCs w:val="22"/>
        </w:rPr>
        <w:t>Junta Directiva</w:t>
      </w:r>
      <w:r w:rsidR="00C15B02">
        <w:rPr>
          <w:rFonts w:cs="Arial"/>
          <w:bCs/>
          <w:sz w:val="22"/>
          <w:szCs w:val="22"/>
        </w:rPr>
        <w:t xml:space="preserve"> toma el </w:t>
      </w:r>
      <w:r w:rsidR="00C15B02" w:rsidRPr="00CF2CAB">
        <w:rPr>
          <w:rFonts w:cs="Arial"/>
          <w:b/>
          <w:sz w:val="22"/>
          <w:szCs w:val="22"/>
        </w:rPr>
        <w:t xml:space="preserve">Acuerdo N° </w:t>
      </w:r>
      <w:r w:rsidR="00C15B02">
        <w:rPr>
          <w:rFonts w:cs="Arial"/>
          <w:b/>
          <w:sz w:val="22"/>
          <w:szCs w:val="22"/>
        </w:rPr>
        <w:t>4</w:t>
      </w:r>
      <w:r w:rsidR="00C15B02">
        <w:rPr>
          <w:rFonts w:cs="Arial"/>
          <w:bCs/>
          <w:sz w:val="22"/>
          <w:szCs w:val="22"/>
        </w:rPr>
        <w:t xml:space="preserve"> que se anexa a esta minuta.  Acto seguido, se retira de la sesión la licenciada Hernández Brenes.</w:t>
      </w:r>
    </w:p>
    <w:p w14:paraId="1A52118A" w14:textId="77777777" w:rsidR="009D03FE" w:rsidRPr="00D14EAF" w:rsidRDefault="009D03FE" w:rsidP="009D03FE">
      <w:pPr>
        <w:spacing w:line="360" w:lineRule="auto"/>
        <w:jc w:val="both"/>
        <w:rPr>
          <w:rFonts w:cs="Arial"/>
          <w:b/>
          <w:sz w:val="22"/>
        </w:rPr>
      </w:pPr>
      <w:r w:rsidRPr="00D14EAF">
        <w:rPr>
          <w:rFonts w:cs="Arial"/>
          <w:b/>
          <w:sz w:val="22"/>
        </w:rPr>
        <w:t>************</w:t>
      </w:r>
    </w:p>
    <w:p w14:paraId="5977AC94" w14:textId="77777777" w:rsidR="009D03FE" w:rsidRDefault="009D03FE" w:rsidP="009D03FE">
      <w:pPr>
        <w:spacing w:line="360" w:lineRule="auto"/>
        <w:jc w:val="both"/>
        <w:rPr>
          <w:rFonts w:cs="Arial"/>
          <w:b/>
          <w:bCs/>
          <w:sz w:val="22"/>
          <w:szCs w:val="22"/>
          <w:u w:val="single"/>
          <w:lang w:val="es-ES_tradnl"/>
        </w:rPr>
      </w:pPr>
    </w:p>
    <w:p w14:paraId="5F24949D" w14:textId="19D4C1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02D21" w:rsidRPr="00A02D21">
        <w:rPr>
          <w:rFonts w:cs="Arial"/>
          <w:b/>
          <w:bCs/>
          <w:sz w:val="22"/>
          <w:u w:val="single"/>
          <w:lang w:val="es-CR"/>
        </w:rPr>
        <w:t xml:space="preserve">Consulta sobre los procesos para el nombramiento del asesor jurídico para la </w:t>
      </w:r>
      <w:r w:rsidR="00A02D21" w:rsidRPr="00A02D21">
        <w:rPr>
          <w:rFonts w:cs="Arial"/>
          <w:b/>
          <w:bCs/>
          <w:sz w:val="22"/>
          <w:u w:val="single"/>
          <w:lang w:val="es-ES_tradnl"/>
        </w:rPr>
        <w:t xml:space="preserve">Junta Directiva, el Subgerente de Operaciones y el jefe de la </w:t>
      </w:r>
      <w:r w:rsidR="00A02D21" w:rsidRPr="00A02D21">
        <w:rPr>
          <w:rFonts w:cs="Arial"/>
          <w:b/>
          <w:bCs/>
          <w:sz w:val="22"/>
          <w:szCs w:val="22"/>
          <w:u w:val="single"/>
          <w:lang w:val="es-ES_tradnl"/>
        </w:rPr>
        <w:t>Asesoría Legal</w:t>
      </w:r>
    </w:p>
    <w:p w14:paraId="196625A0" w14:textId="77777777" w:rsidR="009D03FE" w:rsidRDefault="009D03FE" w:rsidP="009D03FE">
      <w:pPr>
        <w:spacing w:line="360" w:lineRule="auto"/>
        <w:jc w:val="both"/>
        <w:rPr>
          <w:rFonts w:cs="Arial"/>
          <w:sz w:val="22"/>
          <w:szCs w:val="22"/>
        </w:rPr>
      </w:pPr>
    </w:p>
    <w:p w14:paraId="7EBE35C0" w14:textId="14A2168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15B02">
        <w:rPr>
          <w:rFonts w:cs="Arial"/>
          <w:sz w:val="22"/>
          <w:u w:val="single"/>
          <w:lang w:val="es-ES_tradnl"/>
        </w:rPr>
        <w:t>28</w:t>
      </w:r>
      <w:r w:rsidRPr="0039311E">
        <w:rPr>
          <w:rFonts w:cs="Arial"/>
          <w:sz w:val="22"/>
          <w:u w:val="single"/>
          <w:lang w:val="es-ES_tradnl"/>
        </w:rPr>
        <w:t>:</w:t>
      </w:r>
      <w:r w:rsidR="00C15B02">
        <w:rPr>
          <w:rFonts w:cs="Arial"/>
          <w:sz w:val="22"/>
          <w:u w:val="single"/>
          <w:lang w:val="es-ES_tradnl"/>
        </w:rPr>
        <w:t>31</w:t>
      </w:r>
      <w:r w:rsidR="001137A0">
        <w:rPr>
          <w:rFonts w:cs="Arial"/>
          <w:sz w:val="22"/>
          <w:u w:val="single"/>
          <w:lang w:val="es-ES_tradnl"/>
        </w:rPr>
        <w:t xml:space="preserve"> (grabación B)</w:t>
      </w:r>
      <w:r>
        <w:rPr>
          <w:rFonts w:cs="Arial"/>
          <w:sz w:val="22"/>
          <w:lang w:val="es-ES_tradnl"/>
        </w:rPr>
        <w:t xml:space="preserve"> </w:t>
      </w:r>
      <w:r w:rsidR="00C15B02">
        <w:rPr>
          <w:rFonts w:cs="Arial"/>
          <w:sz w:val="22"/>
          <w:lang w:val="es-ES_tradnl"/>
        </w:rPr>
        <w:t>El señor Gerente General atiende varias consultas de la Directora Pérez Gutiérrez, con respecto a</w:t>
      </w:r>
      <w:r w:rsidR="00AD47D8">
        <w:rPr>
          <w:rFonts w:cs="Arial"/>
          <w:sz w:val="22"/>
          <w:lang w:val="es-ES_tradnl"/>
        </w:rPr>
        <w:t xml:space="preserve">l estado de los procesos para </w:t>
      </w:r>
      <w:r w:rsidR="00AD47D8" w:rsidRPr="00AD47D8">
        <w:rPr>
          <w:rFonts w:cs="Arial"/>
          <w:sz w:val="22"/>
          <w:lang w:val="es-CR"/>
        </w:rPr>
        <w:t xml:space="preserve">el nombramiento </w:t>
      </w:r>
      <w:r w:rsidR="00AD47D8" w:rsidRPr="00AD47D8">
        <w:rPr>
          <w:rFonts w:cs="Arial"/>
          <w:sz w:val="22"/>
          <w:lang w:val="es-CR"/>
        </w:rPr>
        <w:lastRenderedPageBreak/>
        <w:t xml:space="preserve">del asesor jurídico para la </w:t>
      </w:r>
      <w:r w:rsidR="00AD47D8" w:rsidRPr="00AD47D8">
        <w:rPr>
          <w:rFonts w:cs="Arial"/>
          <w:sz w:val="22"/>
          <w:lang w:val="es-ES_tradnl"/>
        </w:rPr>
        <w:t xml:space="preserve">Junta Directiva, el Subgerente de Operaciones y el jefe de la </w:t>
      </w:r>
      <w:r w:rsidR="00AD47D8" w:rsidRPr="00AD47D8">
        <w:rPr>
          <w:rFonts w:cs="Arial"/>
          <w:sz w:val="22"/>
          <w:szCs w:val="22"/>
          <w:lang w:val="es-ES_tradnl"/>
        </w:rPr>
        <w:t>Asesoría Legal</w:t>
      </w:r>
      <w:r w:rsidR="00AD47D8">
        <w:rPr>
          <w:rFonts w:cs="Arial"/>
          <w:sz w:val="22"/>
          <w:szCs w:val="22"/>
          <w:lang w:val="es-ES_tradnl"/>
        </w:rPr>
        <w:t>.</w:t>
      </w:r>
    </w:p>
    <w:p w14:paraId="444C322F" w14:textId="77777777" w:rsidR="009D03FE" w:rsidRPr="00D14EAF" w:rsidRDefault="009D03FE" w:rsidP="009D03FE">
      <w:pPr>
        <w:spacing w:line="360" w:lineRule="auto"/>
        <w:jc w:val="both"/>
        <w:rPr>
          <w:rFonts w:cs="Arial"/>
          <w:b/>
          <w:sz w:val="22"/>
        </w:rPr>
      </w:pPr>
      <w:r w:rsidRPr="00D14EAF">
        <w:rPr>
          <w:rFonts w:cs="Arial"/>
          <w:b/>
          <w:sz w:val="22"/>
        </w:rPr>
        <w:t>************</w:t>
      </w:r>
    </w:p>
    <w:p w14:paraId="3A2E12F6" w14:textId="77777777" w:rsidR="009D03FE" w:rsidRDefault="009D03FE" w:rsidP="009D03FE">
      <w:pPr>
        <w:spacing w:line="360" w:lineRule="auto"/>
        <w:jc w:val="both"/>
        <w:rPr>
          <w:rFonts w:cs="Arial"/>
          <w:b/>
          <w:bCs/>
          <w:sz w:val="22"/>
          <w:szCs w:val="22"/>
          <w:u w:val="single"/>
          <w:lang w:val="es-ES_tradnl"/>
        </w:rPr>
      </w:pPr>
    </w:p>
    <w:p w14:paraId="149A31B3" w14:textId="2B0E123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02D21" w:rsidRPr="00A02D21">
        <w:rPr>
          <w:rFonts w:cs="Arial"/>
          <w:b/>
          <w:bCs/>
          <w:sz w:val="22"/>
          <w:szCs w:val="22"/>
          <w:u w:val="single"/>
          <w:lang w:val="es-ES_tradnl"/>
        </w:rPr>
        <w:t>Comentarios sobre el tema de las cargas sociales que debe pagar UNOPS a sus colaboradores</w:t>
      </w:r>
    </w:p>
    <w:p w14:paraId="7A715AB1" w14:textId="77777777" w:rsidR="009D03FE" w:rsidRDefault="009D03FE" w:rsidP="009D03FE">
      <w:pPr>
        <w:spacing w:line="360" w:lineRule="auto"/>
        <w:jc w:val="both"/>
        <w:rPr>
          <w:rFonts w:cs="Arial"/>
          <w:sz w:val="22"/>
          <w:szCs w:val="22"/>
        </w:rPr>
      </w:pPr>
    </w:p>
    <w:p w14:paraId="69B1411E" w14:textId="3434C96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64B95">
        <w:rPr>
          <w:rFonts w:cs="Arial"/>
          <w:sz w:val="22"/>
          <w:u w:val="single"/>
          <w:lang w:val="es-ES_tradnl"/>
        </w:rPr>
        <w:t>29</w:t>
      </w:r>
      <w:r w:rsidRPr="0039311E">
        <w:rPr>
          <w:rFonts w:cs="Arial"/>
          <w:sz w:val="22"/>
          <w:u w:val="single"/>
          <w:lang w:val="es-ES_tradnl"/>
        </w:rPr>
        <w:t>:</w:t>
      </w:r>
      <w:r w:rsidR="00364B95">
        <w:rPr>
          <w:rFonts w:cs="Arial"/>
          <w:sz w:val="22"/>
          <w:u w:val="single"/>
          <w:lang w:val="es-ES_tradnl"/>
        </w:rPr>
        <w:t>24</w:t>
      </w:r>
      <w:r w:rsidR="001137A0">
        <w:rPr>
          <w:rFonts w:cs="Arial"/>
          <w:sz w:val="22"/>
          <w:u w:val="single"/>
          <w:lang w:val="es-ES_tradnl"/>
        </w:rPr>
        <w:t xml:space="preserve"> (grabación B)</w:t>
      </w:r>
      <w:r>
        <w:rPr>
          <w:rFonts w:cs="Arial"/>
          <w:sz w:val="22"/>
          <w:lang w:val="es-ES_tradnl"/>
        </w:rPr>
        <w:t xml:space="preserve"> </w:t>
      </w:r>
      <w:r w:rsidR="00AD47D8">
        <w:rPr>
          <w:rFonts w:cs="Arial"/>
          <w:sz w:val="22"/>
          <w:lang w:val="es-ES_tradnl"/>
        </w:rPr>
        <w:t>El señor Gerente General toma nota de una</w:t>
      </w:r>
      <w:r w:rsidR="008D0EFB">
        <w:rPr>
          <w:rFonts w:cs="Arial"/>
          <w:sz w:val="22"/>
          <w:lang w:val="es-ES_tradnl"/>
        </w:rPr>
        <w:t xml:space="preserve"> </w:t>
      </w:r>
      <w:r w:rsidR="00364B95">
        <w:rPr>
          <w:rFonts w:cs="Arial"/>
          <w:sz w:val="22"/>
          <w:lang w:val="es-ES_tradnl"/>
        </w:rPr>
        <w:t xml:space="preserve">información que comenta el Director Pérez Venegas, a raíz de </w:t>
      </w:r>
      <w:r w:rsidR="00DE2D9E">
        <w:rPr>
          <w:rFonts w:cs="Arial"/>
          <w:sz w:val="22"/>
          <w:lang w:val="es-ES_tradnl"/>
        </w:rPr>
        <w:t xml:space="preserve">una noticia publicada en un medio de prensa, con respecto al pago de cargas sociales que </w:t>
      </w:r>
      <w:proofErr w:type="spellStart"/>
      <w:r w:rsidR="00DE2D9E">
        <w:rPr>
          <w:rFonts w:cs="Arial"/>
          <w:sz w:val="22"/>
          <w:lang w:val="es-ES_tradnl"/>
        </w:rPr>
        <w:t>dene</w:t>
      </w:r>
      <w:proofErr w:type="spellEnd"/>
      <w:r w:rsidR="00DE2D9E">
        <w:rPr>
          <w:rFonts w:cs="Arial"/>
          <w:sz w:val="22"/>
          <w:lang w:val="es-ES_tradnl"/>
        </w:rPr>
        <w:t xml:space="preserve"> pagar la UNOPS a sus colaboradores en el país.</w:t>
      </w:r>
    </w:p>
    <w:p w14:paraId="4D9DCD74" w14:textId="77777777" w:rsidR="009D03FE" w:rsidRPr="00D14EAF" w:rsidRDefault="009D03FE" w:rsidP="009D03FE">
      <w:pPr>
        <w:spacing w:line="360" w:lineRule="auto"/>
        <w:jc w:val="both"/>
        <w:rPr>
          <w:rFonts w:cs="Arial"/>
          <w:b/>
          <w:sz w:val="22"/>
        </w:rPr>
      </w:pPr>
      <w:r w:rsidRPr="00D14EAF">
        <w:rPr>
          <w:rFonts w:cs="Arial"/>
          <w:b/>
          <w:sz w:val="22"/>
        </w:rPr>
        <w:t>************</w:t>
      </w:r>
    </w:p>
    <w:p w14:paraId="39DFBA3A" w14:textId="77777777" w:rsidR="009D03FE" w:rsidRDefault="009D03FE" w:rsidP="009D03FE">
      <w:pPr>
        <w:spacing w:line="360" w:lineRule="auto"/>
        <w:jc w:val="both"/>
        <w:rPr>
          <w:rFonts w:cs="Arial"/>
          <w:b/>
          <w:bCs/>
          <w:sz w:val="22"/>
          <w:szCs w:val="22"/>
          <w:u w:val="single"/>
          <w:lang w:val="es-ES_tradnl"/>
        </w:rPr>
      </w:pPr>
    </w:p>
    <w:p w14:paraId="56F809CD" w14:textId="65C3D8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02D21" w:rsidRPr="00A02D21">
        <w:rPr>
          <w:rFonts w:cs="Arial"/>
          <w:b/>
          <w:bCs/>
          <w:sz w:val="22"/>
          <w:szCs w:val="22"/>
          <w:u w:val="single"/>
          <w:lang w:val="es-ES_tradnl"/>
        </w:rPr>
        <w:t>Propuestas con respecto a la definición de un tope para los bonos del artículo 59, las normas del INVU sobre urbanizaciones y conjuntos residenciales, y la normativa para adultos mayores</w:t>
      </w:r>
    </w:p>
    <w:p w14:paraId="049CE94C" w14:textId="77777777" w:rsidR="009D03FE" w:rsidRDefault="009D03FE" w:rsidP="009D03FE">
      <w:pPr>
        <w:spacing w:line="360" w:lineRule="auto"/>
        <w:jc w:val="both"/>
        <w:rPr>
          <w:rFonts w:cs="Arial"/>
          <w:sz w:val="22"/>
          <w:szCs w:val="22"/>
        </w:rPr>
      </w:pPr>
    </w:p>
    <w:p w14:paraId="44027ADD" w14:textId="77777777" w:rsidR="0026474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E2D9E">
        <w:rPr>
          <w:rFonts w:cs="Arial"/>
          <w:sz w:val="22"/>
          <w:u w:val="single"/>
          <w:lang w:val="es-ES_tradnl"/>
        </w:rPr>
        <w:t>31</w:t>
      </w:r>
      <w:r w:rsidRPr="0039311E">
        <w:rPr>
          <w:rFonts w:cs="Arial"/>
          <w:sz w:val="22"/>
          <w:u w:val="single"/>
          <w:lang w:val="es-ES_tradnl"/>
        </w:rPr>
        <w:t>:</w:t>
      </w:r>
      <w:r w:rsidR="00DE2D9E">
        <w:rPr>
          <w:rFonts w:cs="Arial"/>
          <w:sz w:val="22"/>
          <w:u w:val="single"/>
          <w:lang w:val="es-ES_tradnl"/>
        </w:rPr>
        <w:t>06</w:t>
      </w:r>
      <w:r w:rsidR="001137A0">
        <w:rPr>
          <w:rFonts w:cs="Arial"/>
          <w:sz w:val="22"/>
          <w:u w:val="single"/>
          <w:lang w:val="es-ES_tradnl"/>
        </w:rPr>
        <w:t xml:space="preserve"> (grabación B)</w:t>
      </w:r>
      <w:r>
        <w:rPr>
          <w:rFonts w:cs="Arial"/>
          <w:sz w:val="22"/>
          <w:lang w:val="es-ES_tradnl"/>
        </w:rPr>
        <w:t xml:space="preserve"> </w:t>
      </w:r>
      <w:r w:rsidR="00993A28">
        <w:rPr>
          <w:rFonts w:cs="Arial"/>
          <w:sz w:val="22"/>
          <w:lang w:val="es-ES_tradnl"/>
        </w:rPr>
        <w:t xml:space="preserve">El señor Gerente General toma nota de una solicitud de la Directora Chavarría Núñez, para que se realice la presentación del trabajo realizado en comisión, respecto a las valoraciones para establecer un tope al monto de los bonos </w:t>
      </w:r>
      <w:r w:rsidR="00264745">
        <w:rPr>
          <w:rFonts w:cs="Arial"/>
          <w:sz w:val="22"/>
          <w:lang w:val="es-ES_tradnl"/>
        </w:rPr>
        <w:t>gestionados al amparo del artículo 59.</w:t>
      </w:r>
    </w:p>
    <w:p w14:paraId="0F19ADF8" w14:textId="77777777" w:rsidR="00264745" w:rsidRDefault="00264745" w:rsidP="009D03FE">
      <w:pPr>
        <w:spacing w:line="360" w:lineRule="auto"/>
        <w:jc w:val="both"/>
        <w:rPr>
          <w:rFonts w:cs="Arial"/>
          <w:sz w:val="22"/>
          <w:lang w:val="es-ES_tradnl"/>
        </w:rPr>
      </w:pPr>
    </w:p>
    <w:p w14:paraId="0B2B1500" w14:textId="16801101" w:rsidR="00993A28" w:rsidRDefault="00264745" w:rsidP="009D03FE">
      <w:pPr>
        <w:spacing w:line="360" w:lineRule="auto"/>
        <w:jc w:val="both"/>
        <w:rPr>
          <w:rFonts w:cs="Arial"/>
          <w:sz w:val="22"/>
          <w:lang w:val="es-ES_tradnl"/>
        </w:rPr>
      </w:pPr>
      <w:r>
        <w:rPr>
          <w:rFonts w:cs="Arial"/>
          <w:sz w:val="22"/>
          <w:lang w:val="es-ES_tradnl"/>
        </w:rPr>
        <w:t xml:space="preserve">Adicionalmente, se acoge una propuesta de la Directora Chavarría Núñez, para que de conformidad con lo discutido en esta sesión con respecto al proyecto </w:t>
      </w:r>
      <w:proofErr w:type="spellStart"/>
      <w:r>
        <w:rPr>
          <w:rFonts w:cs="Arial"/>
          <w:sz w:val="22"/>
          <w:lang w:val="es-ES_tradnl"/>
        </w:rPr>
        <w:t>Cobasur</w:t>
      </w:r>
      <w:proofErr w:type="spellEnd"/>
      <w:r>
        <w:rPr>
          <w:rFonts w:cs="Arial"/>
          <w:sz w:val="22"/>
          <w:lang w:val="es-ES_tradnl"/>
        </w:rPr>
        <w:t xml:space="preserve">, se giren instrucciones a la </w:t>
      </w:r>
      <w:r w:rsidRPr="00264745">
        <w:rPr>
          <w:rFonts w:cs="Arial"/>
          <w:sz w:val="22"/>
          <w:lang w:val="es-ES_tradnl"/>
        </w:rPr>
        <w:t>Administración</w:t>
      </w:r>
      <w:r>
        <w:rPr>
          <w:rFonts w:cs="Arial"/>
          <w:sz w:val="22"/>
          <w:lang w:val="es-ES_tradnl"/>
        </w:rPr>
        <w:t xml:space="preserve">, para que obtenga información de la Dirección de Urbanismo del INVU, acerca de las normas vigentes para gestionar conjuntos residenciales y sus diferencias con respecto a las urbanizaciones (particularmente en los temas de lotes de uso mixto y estacionamientos), y presente dicha información a esta </w:t>
      </w:r>
      <w:r w:rsidRPr="00264745">
        <w:rPr>
          <w:rFonts w:cs="Arial"/>
          <w:sz w:val="22"/>
          <w:lang w:val="es-ES_tradnl"/>
        </w:rPr>
        <w:t>Junta Directiva</w:t>
      </w:r>
      <w:r>
        <w:rPr>
          <w:rFonts w:cs="Arial"/>
          <w:sz w:val="22"/>
          <w:lang w:val="es-ES_tradnl"/>
        </w:rPr>
        <w:t xml:space="preserve">. Lo anterior, según se consigna en el </w:t>
      </w:r>
      <w:r w:rsidRPr="00264745">
        <w:rPr>
          <w:rFonts w:cs="Arial"/>
          <w:b/>
          <w:bCs/>
          <w:sz w:val="22"/>
          <w:lang w:val="es-ES_tradnl"/>
        </w:rPr>
        <w:t>Acuerdo N° 5</w:t>
      </w:r>
      <w:r>
        <w:rPr>
          <w:rFonts w:cs="Arial"/>
          <w:sz w:val="22"/>
          <w:lang w:val="es-ES_tradnl"/>
        </w:rPr>
        <w:t xml:space="preserve"> que se anexa a esta minuta.</w:t>
      </w:r>
    </w:p>
    <w:p w14:paraId="41A77703" w14:textId="508D8B13" w:rsidR="00264745" w:rsidRDefault="00264745" w:rsidP="009D03FE">
      <w:pPr>
        <w:spacing w:line="360" w:lineRule="auto"/>
        <w:jc w:val="both"/>
        <w:rPr>
          <w:rFonts w:cs="Arial"/>
          <w:sz w:val="22"/>
          <w:lang w:val="es-ES_tradnl"/>
        </w:rPr>
      </w:pPr>
    </w:p>
    <w:p w14:paraId="6BE7BE88" w14:textId="77777777" w:rsidR="00264745" w:rsidRDefault="00264745" w:rsidP="009D03FE">
      <w:pPr>
        <w:spacing w:line="360" w:lineRule="auto"/>
        <w:jc w:val="both"/>
        <w:rPr>
          <w:rFonts w:cs="Arial"/>
          <w:sz w:val="22"/>
          <w:lang w:val="es-ES_tradnl"/>
        </w:rPr>
      </w:pPr>
      <w:r>
        <w:rPr>
          <w:rFonts w:cs="Arial"/>
          <w:sz w:val="22"/>
          <w:lang w:val="es-ES_tradnl"/>
        </w:rPr>
        <w:t>Finalmente, el señor Gerente General responde una consulta de la Directora Chavarría Núñez, con respecto al estado de la propuesta sobre la nueva normativa para casos de adulto mayor.</w:t>
      </w:r>
    </w:p>
    <w:p w14:paraId="0C411D38" w14:textId="77777777" w:rsidR="009D03FE" w:rsidRPr="00D14EAF" w:rsidRDefault="009D03FE" w:rsidP="009D03FE">
      <w:pPr>
        <w:spacing w:line="360" w:lineRule="auto"/>
        <w:jc w:val="both"/>
        <w:rPr>
          <w:rFonts w:cs="Arial"/>
          <w:b/>
          <w:sz w:val="22"/>
        </w:rPr>
      </w:pPr>
      <w:r w:rsidRPr="00D14EAF">
        <w:rPr>
          <w:rFonts w:cs="Arial"/>
          <w:b/>
          <w:sz w:val="22"/>
        </w:rPr>
        <w:t>************</w:t>
      </w:r>
    </w:p>
    <w:p w14:paraId="390AA8EA" w14:textId="77777777" w:rsidR="009D03FE" w:rsidRDefault="009D03FE" w:rsidP="009D03FE">
      <w:pPr>
        <w:spacing w:line="360" w:lineRule="auto"/>
        <w:jc w:val="both"/>
        <w:rPr>
          <w:rFonts w:cs="Arial"/>
          <w:b/>
          <w:bCs/>
          <w:sz w:val="22"/>
          <w:szCs w:val="22"/>
          <w:u w:val="single"/>
          <w:lang w:val="es-ES_tradnl"/>
        </w:rPr>
      </w:pPr>
    </w:p>
    <w:p w14:paraId="68FEDBFE" w14:textId="5DF74B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02D21" w:rsidRPr="00A02D21">
        <w:rPr>
          <w:rFonts w:cs="Arial"/>
          <w:b/>
          <w:bCs/>
          <w:sz w:val="22"/>
          <w:szCs w:val="22"/>
          <w:u w:val="single"/>
          <w:lang w:val="es-ES_tradnl"/>
        </w:rPr>
        <w:t>Información sobre labor realizada en torno a la normativa del bono ordinario y propuesta para implementar unidades ejecutoras de los proyectos en terrenos del BANHVI</w:t>
      </w:r>
    </w:p>
    <w:p w14:paraId="144A87F4" w14:textId="77777777" w:rsidR="009D03FE" w:rsidRDefault="009D03FE" w:rsidP="009D03FE">
      <w:pPr>
        <w:spacing w:line="360" w:lineRule="auto"/>
        <w:jc w:val="both"/>
        <w:rPr>
          <w:rFonts w:cs="Arial"/>
          <w:sz w:val="22"/>
          <w:szCs w:val="22"/>
        </w:rPr>
      </w:pPr>
    </w:p>
    <w:p w14:paraId="07750729" w14:textId="77777777" w:rsidR="00FC00AF"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B1610">
        <w:rPr>
          <w:rFonts w:cs="Arial"/>
          <w:sz w:val="22"/>
          <w:u w:val="single"/>
          <w:lang w:val="es-ES_tradnl"/>
        </w:rPr>
        <w:t>36</w:t>
      </w:r>
      <w:r w:rsidRPr="0039311E">
        <w:rPr>
          <w:rFonts w:cs="Arial"/>
          <w:sz w:val="22"/>
          <w:u w:val="single"/>
          <w:lang w:val="es-ES_tradnl"/>
        </w:rPr>
        <w:t>:</w:t>
      </w:r>
      <w:r w:rsidR="00FB1610">
        <w:rPr>
          <w:rFonts w:cs="Arial"/>
          <w:sz w:val="22"/>
          <w:u w:val="single"/>
          <w:lang w:val="es-ES_tradnl"/>
        </w:rPr>
        <w:t>13</w:t>
      </w:r>
      <w:r w:rsidR="001137A0">
        <w:rPr>
          <w:rFonts w:cs="Arial"/>
          <w:sz w:val="22"/>
          <w:u w:val="single"/>
          <w:lang w:val="es-ES_tradnl"/>
        </w:rPr>
        <w:t xml:space="preserve"> (grabación B)</w:t>
      </w:r>
      <w:r>
        <w:rPr>
          <w:rFonts w:cs="Arial"/>
          <w:sz w:val="22"/>
          <w:lang w:val="es-ES_tradnl"/>
        </w:rPr>
        <w:t xml:space="preserve"> </w:t>
      </w:r>
      <w:r w:rsidR="00FC00AF">
        <w:rPr>
          <w:rFonts w:cs="Arial"/>
          <w:sz w:val="22"/>
          <w:lang w:val="es-ES_tradnl"/>
        </w:rPr>
        <w:t xml:space="preserve">El señor Gerente General toma nota de una solicitud de la Directora </w:t>
      </w:r>
      <w:r w:rsidR="00FC00AF" w:rsidRPr="00CE73BE">
        <w:rPr>
          <w:rFonts w:cs="Arial"/>
          <w:bCs/>
          <w:sz w:val="22"/>
          <w:lang w:val="es-ES_tradnl"/>
        </w:rPr>
        <w:t>Ulibarri Pernús</w:t>
      </w:r>
      <w:r w:rsidR="00FC00AF">
        <w:rPr>
          <w:rFonts w:cs="Arial"/>
          <w:sz w:val="22"/>
          <w:lang w:val="es-ES_tradnl"/>
        </w:rPr>
        <w:t>, para que se realice la presentación del trabajo realizado en comisión, respecto a la normativa del bono ordinario.</w:t>
      </w:r>
    </w:p>
    <w:p w14:paraId="38637DF5" w14:textId="75AD526D" w:rsidR="00FC00AF" w:rsidRDefault="00FC00AF" w:rsidP="009D03FE">
      <w:pPr>
        <w:spacing w:line="360" w:lineRule="auto"/>
        <w:jc w:val="both"/>
        <w:rPr>
          <w:rFonts w:cs="Arial"/>
          <w:sz w:val="22"/>
          <w:lang w:val="es-ES_tradnl"/>
        </w:rPr>
      </w:pPr>
    </w:p>
    <w:p w14:paraId="11D64D37" w14:textId="1D5482E0" w:rsidR="00FC00AF" w:rsidRDefault="00FC00AF" w:rsidP="009D03FE">
      <w:pPr>
        <w:spacing w:line="360" w:lineRule="auto"/>
        <w:jc w:val="both"/>
        <w:rPr>
          <w:rFonts w:cs="Arial"/>
          <w:sz w:val="22"/>
          <w:lang w:val="es-ES_tradnl"/>
        </w:rPr>
      </w:pPr>
      <w:r>
        <w:rPr>
          <w:rFonts w:cs="Arial"/>
          <w:sz w:val="22"/>
          <w:lang w:val="es-ES_tradnl"/>
        </w:rPr>
        <w:t xml:space="preserve">Adicionalmente, se acoge una propuesta de la Directora </w:t>
      </w:r>
      <w:r w:rsidRPr="00FC00AF">
        <w:rPr>
          <w:rFonts w:cs="Arial"/>
          <w:bCs/>
          <w:sz w:val="22"/>
          <w:lang w:val="es-ES_tradnl"/>
        </w:rPr>
        <w:t>Ulibarri Pernús</w:t>
      </w:r>
      <w:r>
        <w:rPr>
          <w:rFonts w:cs="Arial"/>
          <w:sz w:val="22"/>
          <w:lang w:val="es-ES_tradnl"/>
        </w:rPr>
        <w:t xml:space="preserve">, para que se giren instrucciones a la </w:t>
      </w:r>
      <w:r w:rsidRPr="00FC00AF">
        <w:rPr>
          <w:rFonts w:cs="Arial"/>
          <w:sz w:val="22"/>
          <w:lang w:val="es-ES_tradnl"/>
        </w:rPr>
        <w:t>Administración</w:t>
      </w:r>
      <w:r>
        <w:rPr>
          <w:rFonts w:cs="Arial"/>
          <w:sz w:val="22"/>
          <w:lang w:val="es-ES_tradnl"/>
        </w:rPr>
        <w:t xml:space="preserve">, con el propósito de que valore la viabilidad y elabore un planteamiento, para establecer unidades ejecutoras para el desarrollo de proyectos de vivienda, a fin de hacer más expedita la ejecución de los proyectos. Lo anterior, según se consigna en el </w:t>
      </w:r>
      <w:r w:rsidRPr="00264745">
        <w:rPr>
          <w:rFonts w:cs="Arial"/>
          <w:b/>
          <w:bCs/>
          <w:sz w:val="22"/>
          <w:lang w:val="es-ES_tradnl"/>
        </w:rPr>
        <w:t xml:space="preserve">Acuerdo N° </w:t>
      </w:r>
      <w:r>
        <w:rPr>
          <w:rFonts w:cs="Arial"/>
          <w:b/>
          <w:bCs/>
          <w:sz w:val="22"/>
          <w:lang w:val="es-ES_tradnl"/>
        </w:rPr>
        <w:t>6</w:t>
      </w:r>
      <w:r>
        <w:rPr>
          <w:rFonts w:cs="Arial"/>
          <w:sz w:val="22"/>
          <w:lang w:val="es-ES_tradnl"/>
        </w:rPr>
        <w:t xml:space="preserve"> que se anexa a esta minuta.</w:t>
      </w:r>
    </w:p>
    <w:p w14:paraId="0A41D260" w14:textId="77777777" w:rsidR="009D03FE" w:rsidRPr="00D14EAF" w:rsidRDefault="009D03FE" w:rsidP="009D03FE">
      <w:pPr>
        <w:spacing w:line="360" w:lineRule="auto"/>
        <w:jc w:val="both"/>
        <w:rPr>
          <w:rFonts w:cs="Arial"/>
          <w:b/>
          <w:sz w:val="22"/>
        </w:rPr>
      </w:pPr>
      <w:r w:rsidRPr="00D14EAF">
        <w:rPr>
          <w:rFonts w:cs="Arial"/>
          <w:b/>
          <w:sz w:val="22"/>
        </w:rPr>
        <w:t>************</w:t>
      </w:r>
    </w:p>
    <w:p w14:paraId="1A305BC8" w14:textId="77777777" w:rsidR="009D03FE" w:rsidRDefault="009D03FE" w:rsidP="009D03FE">
      <w:pPr>
        <w:spacing w:line="360" w:lineRule="auto"/>
        <w:jc w:val="both"/>
        <w:rPr>
          <w:rFonts w:cs="Arial"/>
          <w:b/>
          <w:bCs/>
          <w:sz w:val="22"/>
          <w:szCs w:val="22"/>
          <w:u w:val="single"/>
          <w:lang w:val="es-ES_tradnl"/>
        </w:rPr>
      </w:pPr>
    </w:p>
    <w:p w14:paraId="4C3DD641" w14:textId="7B6A64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02D21" w:rsidRPr="00A02D21">
        <w:rPr>
          <w:rFonts w:cs="Arial"/>
          <w:b/>
          <w:bCs/>
          <w:sz w:val="22"/>
          <w:szCs w:val="22"/>
          <w:u w:val="single"/>
          <w:lang w:val="es-ES_tradnl"/>
        </w:rPr>
        <w:t>Informe sobre estudios realizados por la Auditoría Interna en las últimas semanas</w:t>
      </w:r>
    </w:p>
    <w:p w14:paraId="7B516A34" w14:textId="77777777" w:rsidR="009D03FE" w:rsidRDefault="009D03FE" w:rsidP="009D03FE">
      <w:pPr>
        <w:spacing w:line="360" w:lineRule="auto"/>
        <w:jc w:val="both"/>
        <w:rPr>
          <w:rFonts w:cs="Arial"/>
          <w:sz w:val="22"/>
          <w:szCs w:val="22"/>
        </w:rPr>
      </w:pPr>
    </w:p>
    <w:p w14:paraId="7D6450FC" w14:textId="0402375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860B6">
        <w:rPr>
          <w:rFonts w:cs="Arial"/>
          <w:sz w:val="22"/>
          <w:u w:val="single"/>
          <w:lang w:val="es-ES_tradnl"/>
        </w:rPr>
        <w:t>40</w:t>
      </w:r>
      <w:r w:rsidRPr="0039311E">
        <w:rPr>
          <w:rFonts w:cs="Arial"/>
          <w:sz w:val="22"/>
          <w:u w:val="single"/>
          <w:lang w:val="es-ES_tradnl"/>
        </w:rPr>
        <w:t>:</w:t>
      </w:r>
      <w:r w:rsidR="003860B6">
        <w:rPr>
          <w:rFonts w:cs="Arial"/>
          <w:sz w:val="22"/>
          <w:u w:val="single"/>
          <w:lang w:val="es-ES_tradnl"/>
        </w:rPr>
        <w:t>19</w:t>
      </w:r>
      <w:r w:rsidR="001137A0">
        <w:rPr>
          <w:rFonts w:cs="Arial"/>
          <w:sz w:val="22"/>
          <w:u w:val="single"/>
          <w:lang w:val="es-ES_tradnl"/>
        </w:rPr>
        <w:t xml:space="preserve"> (grabación B)</w:t>
      </w:r>
      <w:r>
        <w:rPr>
          <w:rFonts w:cs="Arial"/>
          <w:sz w:val="22"/>
          <w:lang w:val="es-ES_tradnl"/>
        </w:rPr>
        <w:t xml:space="preserve"> </w:t>
      </w:r>
      <w:r w:rsidR="00FC00AF">
        <w:rPr>
          <w:rFonts w:cs="Arial"/>
          <w:sz w:val="22"/>
          <w:lang w:val="es-ES_tradnl"/>
        </w:rPr>
        <w:t xml:space="preserve">La </w:t>
      </w:r>
      <w:r w:rsidR="00FC00AF" w:rsidRPr="00FC00AF">
        <w:rPr>
          <w:rFonts w:cs="Arial"/>
          <w:sz w:val="22"/>
          <w:lang w:val="es-ES_tradnl"/>
        </w:rPr>
        <w:t>Junta Directiva</w:t>
      </w:r>
      <w:r w:rsidR="00FC00AF">
        <w:rPr>
          <w:rFonts w:cs="Arial"/>
          <w:sz w:val="22"/>
          <w:lang w:val="es-ES_tradnl"/>
        </w:rPr>
        <w:t xml:space="preserve"> toma </w:t>
      </w:r>
      <w:r w:rsidR="003860B6">
        <w:rPr>
          <w:rFonts w:cs="Arial"/>
          <w:sz w:val="22"/>
          <w:lang w:val="es-ES_tradnl"/>
        </w:rPr>
        <w:t xml:space="preserve">nota de una información que brinda el señor Auditor, con respecto a varios estudios que en las últimas semanas ha concluido la </w:t>
      </w:r>
      <w:r w:rsidR="003860B6" w:rsidRPr="003860B6">
        <w:rPr>
          <w:rFonts w:cs="Arial"/>
          <w:sz w:val="22"/>
          <w:lang w:val="es-ES_tradnl"/>
        </w:rPr>
        <w:t>Auditoría Interna</w:t>
      </w:r>
      <w:r w:rsidR="003860B6">
        <w:rPr>
          <w:rFonts w:cs="Arial"/>
          <w:sz w:val="22"/>
          <w:lang w:val="es-ES_tradnl"/>
        </w:rPr>
        <w:t xml:space="preserve"> y que han sido entregados tanto al Comité de </w:t>
      </w:r>
      <w:r w:rsidR="003860B6" w:rsidRPr="003860B6">
        <w:rPr>
          <w:rFonts w:cs="Arial"/>
          <w:sz w:val="22"/>
          <w:lang w:val="es-ES_tradnl"/>
        </w:rPr>
        <w:t>Auditoría</w:t>
      </w:r>
      <w:r w:rsidR="003860B6">
        <w:rPr>
          <w:rFonts w:cs="Arial"/>
          <w:sz w:val="22"/>
          <w:lang w:val="es-ES_tradnl"/>
        </w:rPr>
        <w:t xml:space="preserve"> como a la </w:t>
      </w:r>
      <w:r w:rsidR="003860B6" w:rsidRPr="003860B6">
        <w:rPr>
          <w:rFonts w:cs="Arial"/>
          <w:sz w:val="22"/>
          <w:lang w:val="es-ES_tradnl"/>
        </w:rPr>
        <w:t>Junta Directiva</w:t>
      </w:r>
      <w:r w:rsidR="003860B6">
        <w:rPr>
          <w:rFonts w:cs="Arial"/>
          <w:sz w:val="22"/>
          <w:lang w:val="es-ES_tradnl"/>
        </w:rPr>
        <w:t xml:space="preserve">, para su </w:t>
      </w:r>
      <w:r w:rsidR="00F83E52">
        <w:rPr>
          <w:rFonts w:cs="Arial"/>
          <w:sz w:val="22"/>
          <w:lang w:val="es-ES_tradnl"/>
        </w:rPr>
        <w:t>o</w:t>
      </w:r>
      <w:r w:rsidR="003860B6">
        <w:rPr>
          <w:rFonts w:cs="Arial"/>
          <w:sz w:val="22"/>
          <w:lang w:val="es-ES_tradnl"/>
        </w:rPr>
        <w:t>portuno conocimiento.</w:t>
      </w:r>
    </w:p>
    <w:p w14:paraId="7D9F0B6F" w14:textId="77777777" w:rsidR="009D03FE" w:rsidRPr="00D14EAF" w:rsidRDefault="009D03FE" w:rsidP="009D03FE">
      <w:pPr>
        <w:spacing w:line="360" w:lineRule="auto"/>
        <w:jc w:val="both"/>
        <w:rPr>
          <w:rFonts w:cs="Arial"/>
          <w:b/>
          <w:sz w:val="22"/>
        </w:rPr>
      </w:pPr>
      <w:r w:rsidRPr="00D14EAF">
        <w:rPr>
          <w:rFonts w:cs="Arial"/>
          <w:b/>
          <w:sz w:val="22"/>
        </w:rPr>
        <w:t>************</w:t>
      </w:r>
    </w:p>
    <w:p w14:paraId="59869B15" w14:textId="77777777" w:rsidR="009D03FE" w:rsidRDefault="009D03FE" w:rsidP="009D03FE">
      <w:pPr>
        <w:spacing w:line="360" w:lineRule="auto"/>
        <w:jc w:val="both"/>
        <w:rPr>
          <w:rFonts w:cs="Arial"/>
          <w:b/>
          <w:bCs/>
          <w:sz w:val="22"/>
          <w:szCs w:val="22"/>
          <w:u w:val="single"/>
          <w:lang w:val="es-ES_tradnl"/>
        </w:rPr>
      </w:pPr>
    </w:p>
    <w:p w14:paraId="1BF854EA" w14:textId="2A4B7B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02D21" w:rsidRPr="00A02D21">
        <w:rPr>
          <w:rFonts w:cs="Arial"/>
          <w:b/>
          <w:bCs/>
          <w:sz w:val="22"/>
          <w:szCs w:val="22"/>
          <w:u w:val="single"/>
          <w:lang w:val="es-CR"/>
        </w:rPr>
        <w:t xml:space="preserve">Copia de escrito enviado por una empresa denunciante a la </w:t>
      </w:r>
      <w:r w:rsidR="00A02D21" w:rsidRPr="00A02D21">
        <w:rPr>
          <w:rFonts w:cs="Arial"/>
          <w:b/>
          <w:bCs/>
          <w:sz w:val="22"/>
          <w:szCs w:val="22"/>
          <w:u w:val="single"/>
          <w:lang w:val="es-ES_tradnl"/>
        </w:rPr>
        <w:t xml:space="preserve">Gerencia General, remitiendo ampliación </w:t>
      </w:r>
      <w:r w:rsidR="00A02D21" w:rsidRPr="00A02D21">
        <w:rPr>
          <w:rFonts w:cs="Arial"/>
          <w:b/>
          <w:bCs/>
          <w:sz w:val="22"/>
          <w:szCs w:val="22"/>
          <w:u w:val="single"/>
          <w:lang w:val="es-CR"/>
        </w:rPr>
        <w:t>a los argumentos sobre los contratos de construcción de esa empresa con beneficiarios de bono y que, según su criterio, una entidad autorizada ha invalidado indebidamente</w:t>
      </w:r>
    </w:p>
    <w:p w14:paraId="20DE5825" w14:textId="77777777" w:rsidR="009D03FE" w:rsidRDefault="009D03FE" w:rsidP="009D03FE">
      <w:pPr>
        <w:spacing w:line="360" w:lineRule="auto"/>
        <w:jc w:val="both"/>
        <w:rPr>
          <w:rFonts w:cs="Arial"/>
          <w:sz w:val="22"/>
          <w:szCs w:val="22"/>
        </w:rPr>
      </w:pPr>
    </w:p>
    <w:p w14:paraId="58F355B3" w14:textId="78C042BA" w:rsidR="00F83E52" w:rsidRDefault="009D03FE" w:rsidP="009D03FE">
      <w:pPr>
        <w:spacing w:line="360" w:lineRule="auto"/>
        <w:jc w:val="both"/>
        <w:rPr>
          <w:sz w:val="22"/>
          <w:szCs w:val="22"/>
        </w:rPr>
      </w:pPr>
      <w:r w:rsidRPr="0039311E">
        <w:rPr>
          <w:rFonts w:cs="Arial"/>
          <w:sz w:val="22"/>
          <w:u w:val="single"/>
          <w:lang w:val="es-ES_tradnl"/>
        </w:rPr>
        <w:t xml:space="preserve">Minuto </w:t>
      </w:r>
      <w:r w:rsidR="00F83E52">
        <w:rPr>
          <w:rFonts w:cs="Arial"/>
          <w:sz w:val="22"/>
          <w:u w:val="single"/>
          <w:lang w:val="es-ES_tradnl"/>
        </w:rPr>
        <w:t>41</w:t>
      </w:r>
      <w:r w:rsidRPr="0039311E">
        <w:rPr>
          <w:rFonts w:cs="Arial"/>
          <w:sz w:val="22"/>
          <w:u w:val="single"/>
          <w:lang w:val="es-ES_tradnl"/>
        </w:rPr>
        <w:t>:</w:t>
      </w:r>
      <w:r w:rsidR="00F83E52">
        <w:rPr>
          <w:rFonts w:cs="Arial"/>
          <w:sz w:val="22"/>
          <w:u w:val="single"/>
          <w:lang w:val="es-ES_tradnl"/>
        </w:rPr>
        <w:t>21</w:t>
      </w:r>
      <w:r w:rsidR="001137A0">
        <w:rPr>
          <w:rFonts w:cs="Arial"/>
          <w:sz w:val="22"/>
          <w:u w:val="single"/>
          <w:lang w:val="es-ES_tradnl"/>
        </w:rPr>
        <w:t xml:space="preserve"> (grabación B)</w:t>
      </w:r>
      <w:r>
        <w:rPr>
          <w:rFonts w:cs="Arial"/>
          <w:sz w:val="22"/>
          <w:lang w:val="es-ES_tradnl"/>
        </w:rPr>
        <w:t xml:space="preserve"> Se conoce </w:t>
      </w:r>
      <w:r w:rsidR="00F83E52">
        <w:rPr>
          <w:rFonts w:cs="Arial"/>
          <w:sz w:val="22"/>
          <w:lang w:val="es-ES_tradnl"/>
        </w:rPr>
        <w:t xml:space="preserve">copia de escrito del 21 de diciembre de 2020, por medio del cual, una empresa denunciante remite al Gerente General, una ampliación a </w:t>
      </w:r>
      <w:r w:rsidR="00F83E52">
        <w:rPr>
          <w:sz w:val="22"/>
          <w:szCs w:val="22"/>
        </w:rPr>
        <w:t>los argumentos presentados anteriormente, sobre los contratos de construcción de esa empresa con beneficiarios de bono y que, según su criterio, una entidad autorizada ha invalidado de forma indebida.</w:t>
      </w:r>
    </w:p>
    <w:p w14:paraId="3CD842AB" w14:textId="04487841" w:rsidR="00F83E52" w:rsidRDefault="00F83E52" w:rsidP="009D03FE">
      <w:pPr>
        <w:spacing w:line="360" w:lineRule="auto"/>
        <w:jc w:val="both"/>
        <w:rPr>
          <w:rFonts w:cs="Arial"/>
          <w:sz w:val="22"/>
          <w:lang w:val="es-ES_tradnl"/>
        </w:rPr>
      </w:pPr>
      <w:r>
        <w:rPr>
          <w:sz w:val="22"/>
          <w:szCs w:val="22"/>
        </w:rPr>
        <w:lastRenderedPageBreak/>
        <w:br/>
        <w:t xml:space="preserve">Sobre el particular, la </w:t>
      </w:r>
      <w:r w:rsidRPr="00F83E52">
        <w:rPr>
          <w:rFonts w:cs="Arial"/>
          <w:sz w:val="22"/>
          <w:szCs w:val="22"/>
          <w:lang w:val="es-ES_tradnl"/>
        </w:rPr>
        <w:t>Junta Directiva</w:t>
      </w:r>
      <w:r>
        <w:rPr>
          <w:rFonts w:cs="Arial"/>
          <w:sz w:val="22"/>
          <w:szCs w:val="22"/>
          <w:lang w:val="es-ES_tradnl"/>
        </w:rPr>
        <w:t xml:space="preserve"> da por conocido dicho escrito.</w:t>
      </w:r>
    </w:p>
    <w:p w14:paraId="41F2963B" w14:textId="77777777" w:rsidR="009D03FE" w:rsidRPr="00D14EAF" w:rsidRDefault="009D03FE" w:rsidP="009D03FE">
      <w:pPr>
        <w:spacing w:line="360" w:lineRule="auto"/>
        <w:jc w:val="both"/>
        <w:rPr>
          <w:rFonts w:cs="Arial"/>
          <w:b/>
          <w:sz w:val="22"/>
        </w:rPr>
      </w:pPr>
      <w:r w:rsidRPr="00D14EAF">
        <w:rPr>
          <w:rFonts w:cs="Arial"/>
          <w:b/>
          <w:sz w:val="22"/>
        </w:rPr>
        <w:t>************</w:t>
      </w:r>
    </w:p>
    <w:p w14:paraId="127A2875" w14:textId="77777777" w:rsidR="009D03FE" w:rsidRDefault="009D03FE" w:rsidP="009D03FE">
      <w:pPr>
        <w:spacing w:line="360" w:lineRule="auto"/>
        <w:jc w:val="both"/>
        <w:rPr>
          <w:rFonts w:cs="Arial"/>
          <w:b/>
          <w:bCs/>
          <w:sz w:val="22"/>
          <w:szCs w:val="22"/>
          <w:u w:val="single"/>
          <w:lang w:val="es-ES_tradnl"/>
        </w:rPr>
      </w:pPr>
    </w:p>
    <w:p w14:paraId="736ECDDE" w14:textId="550D20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02D21" w:rsidRPr="00A02D21">
        <w:rPr>
          <w:rFonts w:cs="Arial"/>
          <w:b/>
          <w:bCs/>
          <w:sz w:val="22"/>
          <w:szCs w:val="22"/>
          <w:u w:val="single"/>
          <w:lang w:val="es-ES_tradnl"/>
        </w:rPr>
        <w:t xml:space="preserve">Copia de oficio enviado por la Gerencia General a la Constructora León Aguilar, comunicando la </w:t>
      </w:r>
      <w:r w:rsidR="00A02D21" w:rsidRPr="00A02D21">
        <w:rPr>
          <w:rFonts w:cs="Arial"/>
          <w:b/>
          <w:bCs/>
          <w:sz w:val="22"/>
          <w:szCs w:val="22"/>
          <w:u w:val="single"/>
          <w:lang w:val="es-CR"/>
        </w:rPr>
        <w:t>disponibilidad de horario para fotocopiar los documentos requeridos sobre un grupo de proyectos de vivienda</w:t>
      </w:r>
    </w:p>
    <w:p w14:paraId="7CDCB4C8" w14:textId="77777777" w:rsidR="009D03FE" w:rsidRDefault="009D03FE" w:rsidP="009D03FE">
      <w:pPr>
        <w:spacing w:line="360" w:lineRule="auto"/>
        <w:jc w:val="both"/>
        <w:rPr>
          <w:rFonts w:cs="Arial"/>
          <w:sz w:val="22"/>
          <w:szCs w:val="22"/>
        </w:rPr>
      </w:pPr>
    </w:p>
    <w:p w14:paraId="3A1055AB" w14:textId="3D5574F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83E52">
        <w:rPr>
          <w:rFonts w:cs="Arial"/>
          <w:sz w:val="22"/>
          <w:u w:val="single"/>
          <w:lang w:val="es-ES_tradnl"/>
        </w:rPr>
        <w:t>41</w:t>
      </w:r>
      <w:r w:rsidRPr="0039311E">
        <w:rPr>
          <w:rFonts w:cs="Arial"/>
          <w:sz w:val="22"/>
          <w:u w:val="single"/>
          <w:lang w:val="es-ES_tradnl"/>
        </w:rPr>
        <w:t>:</w:t>
      </w:r>
      <w:r w:rsidR="00F83E52">
        <w:rPr>
          <w:rFonts w:cs="Arial"/>
          <w:sz w:val="22"/>
          <w:u w:val="single"/>
          <w:lang w:val="es-ES_tradnl"/>
        </w:rPr>
        <w:t>39</w:t>
      </w:r>
      <w:r w:rsidR="001137A0">
        <w:rPr>
          <w:rFonts w:cs="Arial"/>
          <w:sz w:val="22"/>
          <w:u w:val="single"/>
          <w:lang w:val="es-ES_tradnl"/>
        </w:rPr>
        <w:t xml:space="preserve"> (grabación B)</w:t>
      </w:r>
      <w:r>
        <w:rPr>
          <w:rFonts w:cs="Arial"/>
          <w:sz w:val="22"/>
          <w:lang w:val="es-ES_tradnl"/>
        </w:rPr>
        <w:t xml:space="preserve"> Se conoce </w:t>
      </w:r>
      <w:r w:rsidR="00F83E52">
        <w:rPr>
          <w:rFonts w:cs="Arial"/>
          <w:sz w:val="22"/>
          <w:lang w:val="es-ES_tradnl"/>
        </w:rPr>
        <w:t xml:space="preserve">copia </w:t>
      </w:r>
      <w:r>
        <w:rPr>
          <w:rFonts w:cs="Arial"/>
          <w:sz w:val="22"/>
          <w:lang w:val="es-ES_tradnl"/>
        </w:rPr>
        <w:t xml:space="preserve">el </w:t>
      </w:r>
      <w:r w:rsidR="00F83E52">
        <w:rPr>
          <w:rFonts w:cs="Arial"/>
          <w:sz w:val="22"/>
          <w:lang w:val="es-ES_tradnl"/>
        </w:rPr>
        <w:t xml:space="preserve">escrito del 21 de diciembre de 2020, mediante el cual, la </w:t>
      </w:r>
      <w:r w:rsidR="00F83E52" w:rsidRPr="00F83E52">
        <w:rPr>
          <w:rFonts w:cs="Arial"/>
          <w:sz w:val="22"/>
          <w:lang w:val="es-ES_tradnl"/>
        </w:rPr>
        <w:t>Gerencia General</w:t>
      </w:r>
      <w:r w:rsidR="00F83E52">
        <w:rPr>
          <w:rFonts w:cs="Arial"/>
          <w:sz w:val="22"/>
          <w:lang w:val="es-ES_tradnl"/>
        </w:rPr>
        <w:t xml:space="preserve"> le informa a la empresa </w:t>
      </w:r>
      <w:r w:rsidR="00F83E52" w:rsidRPr="00F83E52">
        <w:rPr>
          <w:rFonts w:cs="Arial"/>
          <w:sz w:val="22"/>
          <w:szCs w:val="22"/>
          <w:lang w:val="es-ES_tradnl"/>
        </w:rPr>
        <w:t xml:space="preserve">Constructora León Aguilar, la </w:t>
      </w:r>
      <w:r w:rsidR="00F83E52" w:rsidRPr="00F83E52">
        <w:rPr>
          <w:rFonts w:cs="Arial"/>
          <w:sz w:val="22"/>
          <w:szCs w:val="22"/>
          <w:lang w:val="es-CR"/>
        </w:rPr>
        <w:t>disponibilidad de horario</w:t>
      </w:r>
      <w:r w:rsidR="00F83E52">
        <w:rPr>
          <w:rFonts w:cs="Arial"/>
          <w:sz w:val="22"/>
          <w:szCs w:val="22"/>
          <w:lang w:val="es-CR"/>
        </w:rPr>
        <w:t>s</w:t>
      </w:r>
      <w:r w:rsidR="00F83E52" w:rsidRPr="00F83E52">
        <w:rPr>
          <w:rFonts w:cs="Arial"/>
          <w:sz w:val="22"/>
          <w:szCs w:val="22"/>
          <w:lang w:val="es-CR"/>
        </w:rPr>
        <w:t xml:space="preserve"> para fotocopiar los documentos requeridos sobre un grupo de proyectos de vivienda</w:t>
      </w:r>
      <w:r w:rsidR="00F83E52">
        <w:rPr>
          <w:rFonts w:cs="Arial"/>
          <w:sz w:val="22"/>
          <w:szCs w:val="22"/>
          <w:lang w:val="es-CR"/>
        </w:rPr>
        <w:t>.</w:t>
      </w:r>
    </w:p>
    <w:p w14:paraId="1FB34216" w14:textId="0B180144" w:rsidR="009D03FE" w:rsidRDefault="009D03FE" w:rsidP="009D03FE">
      <w:pPr>
        <w:spacing w:line="360" w:lineRule="auto"/>
        <w:jc w:val="both"/>
        <w:rPr>
          <w:rFonts w:cs="Arial"/>
          <w:sz w:val="22"/>
          <w:szCs w:val="22"/>
        </w:rPr>
      </w:pPr>
    </w:p>
    <w:p w14:paraId="51C90DCF" w14:textId="0265BCCB" w:rsidR="009D03FE" w:rsidRDefault="00F83E52" w:rsidP="009D03FE">
      <w:pPr>
        <w:spacing w:line="360" w:lineRule="auto"/>
        <w:jc w:val="both"/>
        <w:rPr>
          <w:rFonts w:cs="Arial"/>
          <w:sz w:val="22"/>
          <w:lang w:val="es-ES_tradnl"/>
        </w:rPr>
      </w:pPr>
      <w:r>
        <w:rPr>
          <w:sz w:val="22"/>
          <w:szCs w:val="22"/>
        </w:rPr>
        <w:t xml:space="preserve">Al respecto, la </w:t>
      </w:r>
      <w:r w:rsidRPr="00F83E52">
        <w:rPr>
          <w:rFonts w:cs="Arial"/>
          <w:sz w:val="22"/>
          <w:szCs w:val="22"/>
          <w:lang w:val="es-ES_tradnl"/>
        </w:rPr>
        <w:t>Junta Directiva</w:t>
      </w:r>
      <w:r>
        <w:rPr>
          <w:rFonts w:cs="Arial"/>
          <w:sz w:val="22"/>
          <w:szCs w:val="22"/>
          <w:lang w:val="es-ES_tradnl"/>
        </w:rPr>
        <w:t xml:space="preserve"> da por conocida dicha nota.</w:t>
      </w:r>
    </w:p>
    <w:p w14:paraId="29239724" w14:textId="77777777" w:rsidR="009D03FE" w:rsidRPr="00D14EAF" w:rsidRDefault="009D03FE" w:rsidP="009D03FE">
      <w:pPr>
        <w:spacing w:line="360" w:lineRule="auto"/>
        <w:jc w:val="both"/>
        <w:rPr>
          <w:rFonts w:cs="Arial"/>
          <w:b/>
          <w:sz w:val="22"/>
        </w:rPr>
      </w:pPr>
      <w:r w:rsidRPr="00D14EAF">
        <w:rPr>
          <w:rFonts w:cs="Arial"/>
          <w:b/>
          <w:sz w:val="22"/>
        </w:rPr>
        <w:t>************</w:t>
      </w:r>
    </w:p>
    <w:p w14:paraId="6D72BAD2" w14:textId="77777777" w:rsidR="00E97960" w:rsidRDefault="00E97960" w:rsidP="00E97960">
      <w:pPr>
        <w:spacing w:line="360" w:lineRule="auto"/>
        <w:jc w:val="both"/>
        <w:rPr>
          <w:rFonts w:cs="Arial"/>
          <w:sz w:val="22"/>
          <w:szCs w:val="22"/>
        </w:rPr>
      </w:pPr>
    </w:p>
    <w:p w14:paraId="6575EA1F" w14:textId="1A7CD49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83E52">
        <w:rPr>
          <w:rFonts w:cs="Arial"/>
          <w:szCs w:val="22"/>
          <w:u w:val="single"/>
        </w:rPr>
        <w:t>43</w:t>
      </w:r>
      <w:r w:rsidRPr="00E97960">
        <w:rPr>
          <w:rFonts w:cs="Arial"/>
          <w:szCs w:val="22"/>
          <w:u w:val="single"/>
        </w:rPr>
        <w:t>:</w:t>
      </w:r>
      <w:r w:rsidR="00F83E52">
        <w:rPr>
          <w:rFonts w:cs="Arial"/>
          <w:szCs w:val="22"/>
          <w:u w:val="single"/>
        </w:rPr>
        <w:t>19</w:t>
      </w:r>
      <w:r w:rsidR="001137A0">
        <w:rPr>
          <w:rFonts w:cs="Arial"/>
          <w:szCs w:val="22"/>
          <w:u w:val="single"/>
        </w:rPr>
        <w:t xml:space="preserve"> </w:t>
      </w:r>
      <w:r w:rsidR="001137A0">
        <w:rPr>
          <w:rFonts w:cs="Arial"/>
          <w:u w:val="single"/>
          <w:lang w:val="es-ES_tradnl"/>
        </w:rPr>
        <w:t>(grabación B)</w:t>
      </w:r>
      <w:r>
        <w:rPr>
          <w:rFonts w:cs="Arial"/>
          <w:szCs w:val="22"/>
        </w:rPr>
        <w:t xml:space="preserve"> </w:t>
      </w:r>
      <w:r w:rsidR="00FA4CCB" w:rsidRPr="00AB2826">
        <w:rPr>
          <w:rFonts w:cs="Arial"/>
          <w:szCs w:val="22"/>
        </w:rPr>
        <w:t xml:space="preserve">Siendo las </w:t>
      </w:r>
      <w:r w:rsidR="006E370D">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6E370D">
        <w:rPr>
          <w:rFonts w:cs="Arial"/>
          <w:szCs w:val="22"/>
        </w:rPr>
        <w:t>treinta</w:t>
      </w:r>
      <w:r w:rsidR="00EC7E01">
        <w:rPr>
          <w:rFonts w:cs="Arial"/>
          <w:szCs w:val="22"/>
        </w:rPr>
        <w:t xml:space="preserve"> minutos</w:t>
      </w:r>
      <w:r w:rsidR="00FA4CCB" w:rsidRPr="00AB2826">
        <w:rPr>
          <w:rFonts w:cs="Arial"/>
          <w:szCs w:val="22"/>
        </w:rPr>
        <w:t>, se levanta la sesión.</w:t>
      </w:r>
    </w:p>
    <w:p w14:paraId="77A38D63" w14:textId="77777777" w:rsidR="006321F4" w:rsidRPr="00D14EAF" w:rsidRDefault="006321F4" w:rsidP="002D0146">
      <w:pPr>
        <w:spacing w:line="360" w:lineRule="auto"/>
        <w:jc w:val="both"/>
        <w:rPr>
          <w:rFonts w:cs="Arial"/>
          <w:b/>
          <w:sz w:val="22"/>
        </w:rPr>
      </w:pPr>
      <w:r w:rsidRPr="00D14EAF">
        <w:rPr>
          <w:rFonts w:cs="Arial"/>
          <w:b/>
          <w:sz w:val="22"/>
        </w:rPr>
        <w:t>************</w:t>
      </w:r>
    </w:p>
    <w:p w14:paraId="5873FEE8" w14:textId="77777777" w:rsidR="002B71CC" w:rsidRDefault="002B71CC">
      <w:pPr>
        <w:rPr>
          <w:rFonts w:cs="Arial"/>
          <w:sz w:val="22"/>
          <w:szCs w:val="22"/>
        </w:rPr>
      </w:pPr>
      <w:r>
        <w:rPr>
          <w:rFonts w:cs="Arial"/>
          <w:sz w:val="22"/>
          <w:szCs w:val="22"/>
        </w:rPr>
        <w:br w:type="page"/>
      </w:r>
    </w:p>
    <w:p w14:paraId="7506F281" w14:textId="77777777" w:rsidR="00FA4CCB" w:rsidRDefault="00FA4CCB" w:rsidP="00AB2826">
      <w:pPr>
        <w:spacing w:line="360" w:lineRule="auto"/>
        <w:jc w:val="both"/>
        <w:rPr>
          <w:rFonts w:cs="Arial"/>
          <w:sz w:val="22"/>
          <w:szCs w:val="22"/>
        </w:rPr>
      </w:pPr>
    </w:p>
    <w:p w14:paraId="2692321B" w14:textId="77777777" w:rsidR="002B71CC" w:rsidRDefault="002B71CC" w:rsidP="00AB2826">
      <w:pPr>
        <w:spacing w:line="360" w:lineRule="auto"/>
        <w:jc w:val="both"/>
        <w:rPr>
          <w:rFonts w:cs="Arial"/>
          <w:sz w:val="22"/>
          <w:szCs w:val="22"/>
        </w:rPr>
      </w:pPr>
    </w:p>
    <w:p w14:paraId="5198F75F" w14:textId="77777777" w:rsidR="002B71CC" w:rsidRDefault="002B71CC" w:rsidP="002B71CC">
      <w:pPr>
        <w:pStyle w:val="Ttulo"/>
        <w:ind w:right="51"/>
        <w:rPr>
          <w:rFonts w:cs="Arial"/>
        </w:rPr>
      </w:pPr>
      <w:r>
        <w:rPr>
          <w:rFonts w:cs="Arial"/>
        </w:rPr>
        <w:t>BANCO HIPOTECARIO DE LA VIVIENDA</w:t>
      </w:r>
    </w:p>
    <w:p w14:paraId="7456CEE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14B5FA3" w14:textId="77777777" w:rsidR="002B71CC" w:rsidRDefault="002B71CC" w:rsidP="002B71CC">
      <w:pPr>
        <w:spacing w:line="360" w:lineRule="auto"/>
        <w:ind w:right="51"/>
        <w:jc w:val="center"/>
        <w:rPr>
          <w:rFonts w:cs="Arial"/>
          <w:b/>
          <w:sz w:val="22"/>
          <w:u w:val="single"/>
        </w:rPr>
      </w:pPr>
    </w:p>
    <w:p w14:paraId="03A0B83A" w14:textId="128A9DB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E370D">
        <w:rPr>
          <w:rFonts w:cs="Arial"/>
          <w:b/>
          <w:sz w:val="22"/>
          <w:u w:val="single"/>
        </w:rPr>
        <w:t>01</w:t>
      </w:r>
      <w:r>
        <w:rPr>
          <w:rFonts w:cs="Arial"/>
          <w:b/>
          <w:sz w:val="22"/>
          <w:u w:val="single"/>
        </w:rPr>
        <w:t>-20</w:t>
      </w:r>
      <w:r w:rsidR="00E97960">
        <w:rPr>
          <w:rFonts w:cs="Arial"/>
          <w:b/>
          <w:sz w:val="22"/>
          <w:u w:val="single"/>
        </w:rPr>
        <w:t>2</w:t>
      </w:r>
      <w:r w:rsidR="009449EE">
        <w:rPr>
          <w:rFonts w:cs="Arial"/>
          <w:b/>
          <w:sz w:val="22"/>
          <w:u w:val="single"/>
        </w:rPr>
        <w:t>1</w:t>
      </w:r>
    </w:p>
    <w:p w14:paraId="47C82B8A" w14:textId="6D59A756" w:rsidR="002B71CC" w:rsidRDefault="002B71CC" w:rsidP="002B71CC">
      <w:pPr>
        <w:spacing w:line="360" w:lineRule="auto"/>
        <w:ind w:right="51"/>
        <w:jc w:val="center"/>
        <w:rPr>
          <w:rFonts w:cs="Arial"/>
          <w:b/>
          <w:sz w:val="22"/>
          <w:u w:val="single"/>
        </w:rPr>
      </w:pPr>
      <w:r>
        <w:rPr>
          <w:rFonts w:cs="Arial"/>
          <w:b/>
          <w:sz w:val="22"/>
          <w:u w:val="single"/>
        </w:rPr>
        <w:t xml:space="preserve">DEL </w:t>
      </w:r>
      <w:r w:rsidR="006E370D">
        <w:rPr>
          <w:rFonts w:cs="Arial"/>
          <w:b/>
          <w:sz w:val="22"/>
          <w:u w:val="single"/>
        </w:rPr>
        <w:t>04</w:t>
      </w:r>
      <w:r>
        <w:rPr>
          <w:rFonts w:cs="Arial"/>
          <w:b/>
          <w:sz w:val="22"/>
          <w:u w:val="single"/>
        </w:rPr>
        <w:t xml:space="preserve"> DE </w:t>
      </w:r>
      <w:r w:rsidR="006E370D">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653B15E3" w14:textId="77777777" w:rsidR="002B71CC" w:rsidRDefault="002B71CC" w:rsidP="00AB2826">
      <w:pPr>
        <w:spacing w:line="360" w:lineRule="auto"/>
        <w:jc w:val="both"/>
        <w:rPr>
          <w:rFonts w:cs="Arial"/>
          <w:sz w:val="22"/>
          <w:szCs w:val="22"/>
        </w:rPr>
      </w:pPr>
    </w:p>
    <w:p w14:paraId="26C38D9E" w14:textId="77777777" w:rsidR="002B71CC" w:rsidRDefault="002B71CC" w:rsidP="002B71CC">
      <w:pPr>
        <w:spacing w:line="360" w:lineRule="auto"/>
        <w:jc w:val="both"/>
        <w:rPr>
          <w:rFonts w:cs="Arial"/>
          <w:sz w:val="22"/>
          <w:lang w:val="es-ES_tradnl"/>
        </w:rPr>
      </w:pPr>
    </w:p>
    <w:p w14:paraId="371CAC4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7E3E9F2" w14:textId="77777777" w:rsidR="002767BE" w:rsidRPr="00581B6C" w:rsidRDefault="002767BE" w:rsidP="002767BE">
      <w:pPr>
        <w:spacing w:line="360" w:lineRule="auto"/>
        <w:jc w:val="both"/>
        <w:rPr>
          <w:rFonts w:cs="Arial"/>
          <w:b/>
          <w:bCs/>
          <w:sz w:val="22"/>
          <w:szCs w:val="22"/>
        </w:rPr>
      </w:pPr>
      <w:r w:rsidRPr="00581B6C">
        <w:rPr>
          <w:rFonts w:cs="Arial"/>
          <w:b/>
          <w:bCs/>
          <w:sz w:val="22"/>
          <w:szCs w:val="22"/>
        </w:rPr>
        <w:t>Considerando:</w:t>
      </w:r>
    </w:p>
    <w:p w14:paraId="1D92B498" w14:textId="3DD47A26" w:rsidR="002767BE" w:rsidRDefault="002767BE" w:rsidP="002767BE">
      <w:pPr>
        <w:spacing w:line="360" w:lineRule="auto"/>
        <w:jc w:val="both"/>
        <w:rPr>
          <w:rFonts w:cs="Arial"/>
          <w:sz w:val="22"/>
          <w:szCs w:val="22"/>
          <w:lang w:val="es-CR"/>
        </w:rPr>
      </w:pPr>
      <w:r w:rsidRPr="00581B6C">
        <w:rPr>
          <w:rFonts w:cs="Arial"/>
          <w:b/>
          <w:bCs/>
          <w:sz w:val="22"/>
          <w:szCs w:val="22"/>
        </w:rPr>
        <w:t>Primero:</w:t>
      </w:r>
      <w:r>
        <w:rPr>
          <w:rFonts w:cs="Arial"/>
          <w:sz w:val="22"/>
          <w:szCs w:val="22"/>
        </w:rPr>
        <w:t xml:space="preserve"> Que por medio de los oficios SGF-ME-0016-2020</w:t>
      </w:r>
      <w:r w:rsidRPr="002767BE">
        <w:rPr>
          <w:rFonts w:cs="Arial"/>
          <w:sz w:val="22"/>
          <w:szCs w:val="22"/>
        </w:rPr>
        <w:t xml:space="preserve"> </w:t>
      </w:r>
      <w:r>
        <w:rPr>
          <w:rFonts w:cs="Arial"/>
          <w:sz w:val="22"/>
          <w:szCs w:val="22"/>
        </w:rPr>
        <w:t>y DF-OF-1517-2020, ambos del 21 de diciembre de 2020, la Subgerencia Financiera y la Dirección FOSUVI respectivamente, someten</w:t>
      </w:r>
      <w:r>
        <w:rPr>
          <w:rFonts w:cs="Arial"/>
          <w:sz w:val="22"/>
          <w:szCs w:val="22"/>
          <w:lang w:val="es-ES_tradnl"/>
        </w:rPr>
        <w:t xml:space="preserve"> a la consideración de esta </w:t>
      </w:r>
      <w:r w:rsidRPr="00581B6C">
        <w:rPr>
          <w:rFonts w:cs="Arial"/>
          <w:sz w:val="22"/>
          <w:szCs w:val="22"/>
          <w:lang w:val="es-ES_tradnl"/>
        </w:rPr>
        <w:t>Junta Directiva</w:t>
      </w:r>
      <w:r>
        <w:rPr>
          <w:rFonts w:cs="Arial"/>
          <w:sz w:val="22"/>
          <w:szCs w:val="22"/>
          <w:lang w:val="es-ES_tradnl"/>
        </w:rPr>
        <w:t xml:space="preserve">, el informe DF-DT-OF-1121-2020 del Departamento Técnico, que contiene los resultados del estudio efectuado a las dos propuestas de anteproyecto presentadas por </w:t>
      </w:r>
      <w:r>
        <w:rPr>
          <w:rFonts w:cs="Arial"/>
          <w:sz w:val="22"/>
          <w:szCs w:val="22"/>
        </w:rPr>
        <w:t xml:space="preserve">Mutual Cartago </w:t>
      </w:r>
      <w:r w:rsidRPr="00581B6C">
        <w:rPr>
          <w:rFonts w:cs="Arial"/>
          <w:sz w:val="22"/>
          <w:szCs w:val="22"/>
          <w:lang w:val="es-ES_tradnl"/>
        </w:rPr>
        <w:t>de Ahorro y Préstamo</w:t>
      </w:r>
      <w:r>
        <w:rPr>
          <w:rFonts w:cs="Arial"/>
          <w:sz w:val="22"/>
          <w:szCs w:val="22"/>
          <w:lang w:val="es-ES_tradnl"/>
        </w:rPr>
        <w:t xml:space="preserve"> (MUCAP), con el </w:t>
      </w:r>
      <w:r w:rsidRPr="00581B6C">
        <w:rPr>
          <w:rFonts w:cs="Arial"/>
          <w:sz w:val="22"/>
          <w:szCs w:val="22"/>
          <w:lang w:val="es-CR"/>
        </w:rPr>
        <w:t>oficio DIP-0</w:t>
      </w:r>
      <w:r>
        <w:rPr>
          <w:rFonts w:cs="Arial"/>
          <w:sz w:val="22"/>
          <w:szCs w:val="22"/>
          <w:lang w:val="es-CR"/>
        </w:rPr>
        <w:t>516</w:t>
      </w:r>
      <w:r w:rsidRPr="00581B6C">
        <w:rPr>
          <w:rFonts w:cs="Arial"/>
          <w:sz w:val="22"/>
          <w:szCs w:val="22"/>
          <w:lang w:val="es-CR"/>
        </w:rPr>
        <w:t>-2020</w:t>
      </w:r>
      <w:r>
        <w:rPr>
          <w:rFonts w:cs="Arial"/>
          <w:sz w:val="22"/>
          <w:szCs w:val="22"/>
          <w:lang w:val="es-CR"/>
        </w:rPr>
        <w:t>, para el</w:t>
      </w:r>
      <w:r w:rsidRPr="00581B6C">
        <w:rPr>
          <w:rFonts w:cs="Arial"/>
          <w:sz w:val="22"/>
          <w:szCs w:val="22"/>
          <w:lang w:val="es-CR"/>
        </w:rPr>
        <w:t xml:space="preserve"> desarrollo del proyecto </w:t>
      </w:r>
      <w:proofErr w:type="spellStart"/>
      <w:r>
        <w:rPr>
          <w:rFonts w:cs="Arial"/>
          <w:sz w:val="22"/>
          <w:szCs w:val="22"/>
          <w:lang w:val="es-CR"/>
        </w:rPr>
        <w:t>Cobasur</w:t>
      </w:r>
      <w:proofErr w:type="spellEnd"/>
      <w:r>
        <w:rPr>
          <w:rFonts w:cs="Arial"/>
          <w:sz w:val="22"/>
          <w:szCs w:val="22"/>
          <w:lang w:val="es-CR"/>
        </w:rPr>
        <w:t>,</w:t>
      </w:r>
      <w:r w:rsidRPr="00581B6C">
        <w:rPr>
          <w:rFonts w:cs="Arial"/>
          <w:sz w:val="22"/>
          <w:szCs w:val="22"/>
          <w:lang w:val="es-CR"/>
        </w:rPr>
        <w:t xml:space="preserve"> ubicado en </w:t>
      </w:r>
      <w:r>
        <w:rPr>
          <w:rFonts w:cs="Arial"/>
          <w:sz w:val="22"/>
          <w:szCs w:val="22"/>
          <w:lang w:val="es-CR"/>
        </w:rPr>
        <w:t>el distrito Palmar Sur del cantón de Osa, provincia de Puntarenas.</w:t>
      </w:r>
    </w:p>
    <w:p w14:paraId="2026F03B" w14:textId="77777777" w:rsidR="002767BE" w:rsidRDefault="002767BE" w:rsidP="002767BE">
      <w:pPr>
        <w:spacing w:line="360" w:lineRule="auto"/>
        <w:jc w:val="both"/>
        <w:rPr>
          <w:rFonts w:cs="Arial"/>
          <w:sz w:val="22"/>
          <w:szCs w:val="22"/>
          <w:lang w:val="es-CR"/>
        </w:rPr>
      </w:pPr>
    </w:p>
    <w:p w14:paraId="10DAC614" w14:textId="761947F7" w:rsidR="002767BE" w:rsidRDefault="002767BE" w:rsidP="002767BE">
      <w:pPr>
        <w:spacing w:line="360" w:lineRule="auto"/>
        <w:jc w:val="both"/>
        <w:rPr>
          <w:rFonts w:cs="Arial"/>
          <w:sz w:val="22"/>
          <w:szCs w:val="22"/>
          <w:lang w:val="es-CR"/>
        </w:rPr>
      </w:pPr>
      <w:r w:rsidRPr="008C1A44">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informe, el Departamento Técnico recomienda acoger la propuesta </w:t>
      </w:r>
      <w:r w:rsidR="00FA0B7F">
        <w:rPr>
          <w:rFonts w:cs="Arial"/>
          <w:sz w:val="22"/>
          <w:szCs w:val="22"/>
          <w:lang w:val="es-CR"/>
        </w:rPr>
        <w:t xml:space="preserve">denominada “Opción </w:t>
      </w:r>
      <w:r>
        <w:rPr>
          <w:rFonts w:cs="Arial"/>
          <w:sz w:val="22"/>
          <w:szCs w:val="22"/>
          <w:lang w:val="es-CR"/>
        </w:rPr>
        <w:t>A</w:t>
      </w:r>
      <w:r w:rsidR="00FA0B7F">
        <w:rPr>
          <w:rFonts w:cs="Arial"/>
          <w:sz w:val="22"/>
          <w:szCs w:val="22"/>
          <w:lang w:val="es-CR"/>
        </w:rPr>
        <w:t>”</w:t>
      </w:r>
      <w:r>
        <w:rPr>
          <w:rFonts w:cs="Arial"/>
          <w:sz w:val="22"/>
          <w:szCs w:val="22"/>
          <w:lang w:val="es-CR"/>
        </w:rPr>
        <w:t xml:space="preserve"> del anteproyecto, fundamentalmente por las siguientes razones:</w:t>
      </w:r>
    </w:p>
    <w:p w14:paraId="712E31A7" w14:textId="32AD6B84" w:rsidR="002767BE" w:rsidRPr="002767BE" w:rsidRDefault="002767BE" w:rsidP="002767BE">
      <w:pPr>
        <w:spacing w:line="360" w:lineRule="auto"/>
        <w:jc w:val="both"/>
        <w:rPr>
          <w:rFonts w:cs="Arial"/>
          <w:sz w:val="22"/>
          <w:szCs w:val="22"/>
          <w:lang w:val="es-CR"/>
        </w:rPr>
      </w:pPr>
      <w:r>
        <w:rPr>
          <w:rFonts w:cs="Arial"/>
          <w:sz w:val="22"/>
          <w:szCs w:val="22"/>
          <w:lang w:val="es-CR"/>
        </w:rPr>
        <w:t xml:space="preserve">a) </w:t>
      </w:r>
      <w:r w:rsidRPr="002767BE">
        <w:rPr>
          <w:rFonts w:cs="Arial"/>
          <w:sz w:val="22"/>
          <w:szCs w:val="22"/>
          <w:lang w:val="es-CR"/>
        </w:rPr>
        <w:t xml:space="preserve">Contempla un total de 163 lotes, mayor a </w:t>
      </w:r>
      <w:r w:rsidR="00FA0B7F">
        <w:rPr>
          <w:rFonts w:cs="Arial"/>
          <w:sz w:val="22"/>
          <w:szCs w:val="22"/>
          <w:lang w:val="es-CR"/>
        </w:rPr>
        <w:t>l</w:t>
      </w:r>
      <w:r w:rsidRPr="002767BE">
        <w:rPr>
          <w:rFonts w:cs="Arial"/>
          <w:sz w:val="22"/>
          <w:szCs w:val="22"/>
          <w:lang w:val="es-CR"/>
        </w:rPr>
        <w:t xml:space="preserve">a segunda propuesta </w:t>
      </w:r>
      <w:r w:rsidR="00FA0B7F">
        <w:rPr>
          <w:rFonts w:cs="Arial"/>
          <w:sz w:val="22"/>
          <w:szCs w:val="22"/>
          <w:lang w:val="es-CR"/>
        </w:rPr>
        <w:t xml:space="preserve">(opción B) </w:t>
      </w:r>
      <w:r w:rsidRPr="002767BE">
        <w:rPr>
          <w:rFonts w:cs="Arial"/>
          <w:sz w:val="22"/>
          <w:szCs w:val="22"/>
          <w:lang w:val="es-CR"/>
        </w:rPr>
        <w:t>que</w:t>
      </w:r>
      <w:r w:rsidR="00FA0B7F">
        <w:rPr>
          <w:rFonts w:cs="Arial"/>
          <w:sz w:val="22"/>
          <w:szCs w:val="22"/>
          <w:lang w:val="es-CR"/>
        </w:rPr>
        <w:t xml:space="preserve"> ú</w:t>
      </w:r>
      <w:r w:rsidRPr="002767BE">
        <w:rPr>
          <w:rFonts w:cs="Arial"/>
          <w:sz w:val="22"/>
          <w:szCs w:val="22"/>
          <w:lang w:val="es-CR"/>
        </w:rPr>
        <w:t>nicamente incluye 157 lotes.</w:t>
      </w:r>
    </w:p>
    <w:p w14:paraId="203A8774" w14:textId="07389AE4" w:rsidR="002767BE" w:rsidRPr="002767BE" w:rsidRDefault="00FA0B7F" w:rsidP="002767BE">
      <w:pPr>
        <w:spacing w:line="360" w:lineRule="auto"/>
        <w:jc w:val="both"/>
        <w:rPr>
          <w:rFonts w:cs="Arial"/>
          <w:sz w:val="22"/>
          <w:szCs w:val="22"/>
          <w:lang w:val="es-CR"/>
        </w:rPr>
      </w:pPr>
      <w:r>
        <w:rPr>
          <w:rFonts w:cs="Arial"/>
          <w:sz w:val="22"/>
          <w:szCs w:val="22"/>
          <w:lang w:val="es-CR"/>
        </w:rPr>
        <w:t xml:space="preserve">b) </w:t>
      </w:r>
      <w:r w:rsidR="002767BE" w:rsidRPr="002767BE">
        <w:rPr>
          <w:rFonts w:cs="Arial"/>
          <w:sz w:val="22"/>
          <w:szCs w:val="22"/>
          <w:lang w:val="es-CR"/>
        </w:rPr>
        <w:t xml:space="preserve">Se logra una alta densidad y un aprovechamiento del 59,7%, con un </w:t>
      </w:r>
      <w:r>
        <w:rPr>
          <w:rFonts w:cs="Arial"/>
          <w:sz w:val="22"/>
          <w:szCs w:val="22"/>
          <w:lang w:val="es-CR"/>
        </w:rPr>
        <w:t>á</w:t>
      </w:r>
      <w:r w:rsidR="002767BE" w:rsidRPr="002767BE">
        <w:rPr>
          <w:rFonts w:cs="Arial"/>
          <w:sz w:val="22"/>
          <w:szCs w:val="22"/>
          <w:lang w:val="es-CR"/>
        </w:rPr>
        <w:t>rea</w:t>
      </w:r>
      <w:r>
        <w:rPr>
          <w:rFonts w:cs="Arial"/>
          <w:sz w:val="22"/>
          <w:szCs w:val="22"/>
          <w:lang w:val="es-CR"/>
        </w:rPr>
        <w:t xml:space="preserve"> </w:t>
      </w:r>
      <w:r w:rsidR="002767BE" w:rsidRPr="002767BE">
        <w:rPr>
          <w:rFonts w:cs="Arial"/>
          <w:sz w:val="22"/>
          <w:szCs w:val="22"/>
          <w:lang w:val="es-CR"/>
        </w:rPr>
        <w:t>vendible de 35.273 m</w:t>
      </w:r>
      <w:r>
        <w:rPr>
          <w:rFonts w:cs="Arial"/>
          <w:sz w:val="22"/>
          <w:szCs w:val="22"/>
          <w:lang w:val="es-CR"/>
        </w:rPr>
        <w:t>etros cuadrados</w:t>
      </w:r>
      <w:r w:rsidR="002767BE" w:rsidRPr="002767BE">
        <w:rPr>
          <w:rFonts w:cs="Arial"/>
          <w:sz w:val="22"/>
          <w:szCs w:val="22"/>
          <w:lang w:val="es-CR"/>
        </w:rPr>
        <w:t>.</w:t>
      </w:r>
    </w:p>
    <w:p w14:paraId="2D8388E2" w14:textId="7578AFF3" w:rsidR="002767BE" w:rsidRPr="002767BE" w:rsidRDefault="00FA0B7F" w:rsidP="002767BE">
      <w:pPr>
        <w:spacing w:line="360" w:lineRule="auto"/>
        <w:jc w:val="both"/>
        <w:rPr>
          <w:rFonts w:cs="Arial"/>
          <w:sz w:val="22"/>
          <w:szCs w:val="22"/>
          <w:lang w:val="es-CR"/>
        </w:rPr>
      </w:pPr>
      <w:r>
        <w:rPr>
          <w:rFonts w:cs="Arial"/>
          <w:sz w:val="22"/>
          <w:szCs w:val="22"/>
          <w:lang w:val="es-CR"/>
        </w:rPr>
        <w:t xml:space="preserve">c) </w:t>
      </w:r>
      <w:r w:rsidR="002767BE" w:rsidRPr="002767BE">
        <w:rPr>
          <w:rFonts w:cs="Arial"/>
          <w:sz w:val="22"/>
          <w:szCs w:val="22"/>
          <w:lang w:val="es-CR"/>
        </w:rPr>
        <w:t>Presenta una mayor continuidad vial, no posee calles sin salida (martillos)</w:t>
      </w:r>
      <w:r>
        <w:rPr>
          <w:rFonts w:cs="Arial"/>
          <w:sz w:val="22"/>
          <w:szCs w:val="22"/>
          <w:lang w:val="es-CR"/>
        </w:rPr>
        <w:t xml:space="preserve"> como sí tiene la </w:t>
      </w:r>
      <w:r w:rsidR="002767BE" w:rsidRPr="002767BE">
        <w:rPr>
          <w:rFonts w:cs="Arial"/>
          <w:sz w:val="22"/>
          <w:szCs w:val="22"/>
          <w:lang w:val="es-CR"/>
        </w:rPr>
        <w:t>opci</w:t>
      </w:r>
      <w:r>
        <w:rPr>
          <w:rFonts w:cs="Arial"/>
          <w:sz w:val="22"/>
          <w:szCs w:val="22"/>
          <w:lang w:val="es-CR"/>
        </w:rPr>
        <w:t xml:space="preserve">ón </w:t>
      </w:r>
      <w:r w:rsidR="002767BE" w:rsidRPr="002767BE">
        <w:rPr>
          <w:rFonts w:cs="Arial"/>
          <w:sz w:val="22"/>
          <w:szCs w:val="22"/>
          <w:lang w:val="es-CR"/>
        </w:rPr>
        <w:t>B.</w:t>
      </w:r>
    </w:p>
    <w:p w14:paraId="1DF19C94" w14:textId="356641CC" w:rsidR="002767BE" w:rsidRDefault="00FA0B7F" w:rsidP="002767BE">
      <w:pPr>
        <w:spacing w:line="360" w:lineRule="auto"/>
        <w:jc w:val="both"/>
        <w:rPr>
          <w:rFonts w:cs="Arial"/>
          <w:sz w:val="22"/>
          <w:szCs w:val="22"/>
          <w:lang w:val="es-CR"/>
        </w:rPr>
      </w:pPr>
      <w:r>
        <w:rPr>
          <w:rFonts w:cs="Arial"/>
          <w:sz w:val="22"/>
          <w:szCs w:val="22"/>
          <w:lang w:val="es-CR"/>
        </w:rPr>
        <w:t xml:space="preserve">d) </w:t>
      </w:r>
      <w:r w:rsidR="002767BE" w:rsidRPr="002767BE">
        <w:rPr>
          <w:rFonts w:cs="Arial"/>
          <w:sz w:val="22"/>
          <w:szCs w:val="22"/>
          <w:lang w:val="es-CR"/>
        </w:rPr>
        <w:t xml:space="preserve">A pesar de lo anterior, presenta menos </w:t>
      </w:r>
      <w:r>
        <w:rPr>
          <w:rFonts w:cs="Arial"/>
          <w:sz w:val="22"/>
          <w:szCs w:val="22"/>
          <w:lang w:val="es-CR"/>
        </w:rPr>
        <w:t>á</w:t>
      </w:r>
      <w:r w:rsidR="002767BE" w:rsidRPr="002767BE">
        <w:rPr>
          <w:rFonts w:cs="Arial"/>
          <w:sz w:val="22"/>
          <w:szCs w:val="22"/>
          <w:lang w:val="es-CR"/>
        </w:rPr>
        <w:t>rea de calles (asfaltado), aceras y</w:t>
      </w:r>
      <w:r>
        <w:rPr>
          <w:rFonts w:cs="Arial"/>
          <w:sz w:val="22"/>
          <w:szCs w:val="22"/>
          <w:lang w:val="es-CR"/>
        </w:rPr>
        <w:t xml:space="preserve"> </w:t>
      </w:r>
      <w:r w:rsidR="002767BE" w:rsidRPr="002767BE">
        <w:rPr>
          <w:rFonts w:cs="Arial"/>
          <w:sz w:val="22"/>
          <w:szCs w:val="22"/>
          <w:lang w:val="es-CR"/>
        </w:rPr>
        <w:t>cord</w:t>
      </w:r>
      <w:r>
        <w:rPr>
          <w:rFonts w:cs="Arial"/>
          <w:sz w:val="22"/>
          <w:szCs w:val="22"/>
          <w:lang w:val="es-CR"/>
        </w:rPr>
        <w:t>ó</w:t>
      </w:r>
      <w:r w:rsidR="002767BE" w:rsidRPr="002767BE">
        <w:rPr>
          <w:rFonts w:cs="Arial"/>
          <w:sz w:val="22"/>
          <w:szCs w:val="22"/>
          <w:lang w:val="es-CR"/>
        </w:rPr>
        <w:t>n de c</w:t>
      </w:r>
      <w:r>
        <w:rPr>
          <w:rFonts w:cs="Arial"/>
          <w:sz w:val="22"/>
          <w:szCs w:val="22"/>
          <w:lang w:val="es-CR"/>
        </w:rPr>
        <w:t>año</w:t>
      </w:r>
      <w:r w:rsidR="002767BE" w:rsidRPr="002767BE">
        <w:rPr>
          <w:rFonts w:cs="Arial"/>
          <w:sz w:val="22"/>
          <w:szCs w:val="22"/>
          <w:lang w:val="es-CR"/>
        </w:rPr>
        <w:t>, lo que representa menos costos en el presupuesto.</w:t>
      </w:r>
    </w:p>
    <w:p w14:paraId="28B128E4" w14:textId="70C147E3" w:rsidR="00FA0B7F" w:rsidRPr="00FA0B7F" w:rsidRDefault="00FA0B7F" w:rsidP="00FA0B7F">
      <w:pPr>
        <w:spacing w:line="360" w:lineRule="auto"/>
        <w:jc w:val="both"/>
        <w:rPr>
          <w:rFonts w:cs="Arial"/>
          <w:sz w:val="22"/>
          <w:szCs w:val="22"/>
          <w:lang w:val="es-CR"/>
        </w:rPr>
      </w:pPr>
      <w:r>
        <w:rPr>
          <w:rFonts w:cs="Arial"/>
          <w:sz w:val="22"/>
          <w:szCs w:val="22"/>
          <w:lang w:val="es-CR"/>
        </w:rPr>
        <w:t xml:space="preserve">e) Las </w:t>
      </w:r>
      <w:r w:rsidRPr="00FA0B7F">
        <w:rPr>
          <w:rFonts w:cs="Arial"/>
          <w:sz w:val="22"/>
          <w:szCs w:val="22"/>
          <w:lang w:val="es-CR"/>
        </w:rPr>
        <w:t>zonas de parques y juegos infantiles se encuentran mejor distribuidas por</w:t>
      </w:r>
      <w:r>
        <w:rPr>
          <w:rFonts w:cs="Arial"/>
          <w:sz w:val="22"/>
          <w:szCs w:val="22"/>
          <w:lang w:val="es-CR"/>
        </w:rPr>
        <w:t xml:space="preserve"> </w:t>
      </w:r>
      <w:r w:rsidRPr="00FA0B7F">
        <w:rPr>
          <w:rFonts w:cs="Arial"/>
          <w:sz w:val="22"/>
          <w:szCs w:val="22"/>
          <w:lang w:val="es-CR"/>
        </w:rPr>
        <w:t>todos los bloques de viviendas,</w:t>
      </w:r>
      <w:r>
        <w:rPr>
          <w:rFonts w:cs="Arial"/>
          <w:sz w:val="22"/>
          <w:szCs w:val="22"/>
          <w:lang w:val="es-CR"/>
        </w:rPr>
        <w:t xml:space="preserve"> lo que </w:t>
      </w:r>
      <w:r w:rsidRPr="00FA0B7F">
        <w:rPr>
          <w:rFonts w:cs="Arial"/>
          <w:sz w:val="22"/>
          <w:szCs w:val="22"/>
          <w:lang w:val="es-CR"/>
        </w:rPr>
        <w:t>permite que las distancias que los</w:t>
      </w:r>
      <w:r>
        <w:rPr>
          <w:rFonts w:cs="Arial"/>
          <w:sz w:val="22"/>
          <w:szCs w:val="22"/>
          <w:lang w:val="es-CR"/>
        </w:rPr>
        <w:t xml:space="preserve"> </w:t>
      </w:r>
      <w:r w:rsidRPr="00FA0B7F">
        <w:rPr>
          <w:rFonts w:cs="Arial"/>
          <w:sz w:val="22"/>
          <w:szCs w:val="22"/>
          <w:lang w:val="es-CR"/>
        </w:rPr>
        <w:t>usuarios tengan que recorrer desde sus viviendas para utilizar estas zonas sea</w:t>
      </w:r>
      <w:r>
        <w:rPr>
          <w:rFonts w:cs="Arial"/>
          <w:sz w:val="22"/>
          <w:szCs w:val="22"/>
          <w:lang w:val="es-CR"/>
        </w:rPr>
        <w:t xml:space="preserve"> </w:t>
      </w:r>
      <w:r w:rsidRPr="00FA0B7F">
        <w:rPr>
          <w:rFonts w:cs="Arial"/>
          <w:sz w:val="22"/>
          <w:szCs w:val="22"/>
          <w:lang w:val="es-CR"/>
        </w:rPr>
        <w:t>menor.</w:t>
      </w:r>
    </w:p>
    <w:p w14:paraId="613F617B" w14:textId="7EEB0AE9" w:rsidR="002767BE" w:rsidRDefault="00FA0B7F" w:rsidP="00FA0B7F">
      <w:pPr>
        <w:spacing w:line="360" w:lineRule="auto"/>
        <w:jc w:val="both"/>
        <w:rPr>
          <w:rFonts w:cs="Arial"/>
          <w:sz w:val="22"/>
          <w:szCs w:val="22"/>
          <w:lang w:val="es-CR"/>
        </w:rPr>
      </w:pPr>
      <w:r>
        <w:rPr>
          <w:rFonts w:cs="Arial"/>
          <w:sz w:val="22"/>
          <w:szCs w:val="22"/>
          <w:lang w:val="es-CR"/>
        </w:rPr>
        <w:lastRenderedPageBreak/>
        <w:t>f) Las</w:t>
      </w:r>
      <w:r w:rsidRPr="00FA0B7F">
        <w:rPr>
          <w:rFonts w:cs="Arial"/>
          <w:sz w:val="22"/>
          <w:szCs w:val="22"/>
          <w:lang w:val="es-CR"/>
        </w:rPr>
        <w:t xml:space="preserve"> zonas de arborizaci</w:t>
      </w:r>
      <w:r>
        <w:rPr>
          <w:rFonts w:cs="Arial"/>
          <w:sz w:val="22"/>
          <w:szCs w:val="22"/>
          <w:lang w:val="es-CR"/>
        </w:rPr>
        <w:t>ó</w:t>
      </w:r>
      <w:r w:rsidRPr="00FA0B7F">
        <w:rPr>
          <w:rFonts w:cs="Arial"/>
          <w:sz w:val="22"/>
          <w:szCs w:val="22"/>
          <w:lang w:val="es-CR"/>
        </w:rPr>
        <w:t>n entre los bloques de viviendas</w:t>
      </w:r>
      <w:r>
        <w:rPr>
          <w:rFonts w:cs="Arial"/>
          <w:sz w:val="22"/>
          <w:szCs w:val="22"/>
          <w:lang w:val="es-CR"/>
        </w:rPr>
        <w:t>,</w:t>
      </w:r>
      <w:r w:rsidRPr="00FA0B7F">
        <w:rPr>
          <w:rFonts w:cs="Arial"/>
          <w:sz w:val="22"/>
          <w:szCs w:val="22"/>
          <w:lang w:val="es-CR"/>
        </w:rPr>
        <w:t xml:space="preserve"> debido a los parques</w:t>
      </w:r>
      <w:r>
        <w:rPr>
          <w:rFonts w:cs="Arial"/>
          <w:sz w:val="22"/>
          <w:szCs w:val="22"/>
          <w:lang w:val="es-CR"/>
        </w:rPr>
        <w:t xml:space="preserve"> </w:t>
      </w:r>
      <w:r w:rsidRPr="00FA0B7F">
        <w:rPr>
          <w:rFonts w:cs="Arial"/>
          <w:sz w:val="22"/>
          <w:szCs w:val="22"/>
          <w:lang w:val="es-CR"/>
        </w:rPr>
        <w:t>y</w:t>
      </w:r>
      <w:r>
        <w:rPr>
          <w:rFonts w:cs="Arial"/>
          <w:sz w:val="22"/>
          <w:szCs w:val="22"/>
          <w:lang w:val="es-CR"/>
        </w:rPr>
        <w:t xml:space="preserve"> </w:t>
      </w:r>
      <w:r w:rsidRPr="00FA0B7F">
        <w:rPr>
          <w:rFonts w:cs="Arial"/>
          <w:sz w:val="22"/>
          <w:szCs w:val="22"/>
          <w:lang w:val="es-CR"/>
        </w:rPr>
        <w:t>juegos infantiles</w:t>
      </w:r>
      <w:r>
        <w:rPr>
          <w:rFonts w:cs="Arial"/>
          <w:sz w:val="22"/>
          <w:szCs w:val="22"/>
          <w:lang w:val="es-CR"/>
        </w:rPr>
        <w:t>,</w:t>
      </w:r>
      <w:r w:rsidRPr="00FA0B7F">
        <w:rPr>
          <w:rFonts w:cs="Arial"/>
          <w:sz w:val="22"/>
          <w:szCs w:val="22"/>
          <w:lang w:val="es-CR"/>
        </w:rPr>
        <w:t xml:space="preserve"> generan una percepci</w:t>
      </w:r>
      <w:r>
        <w:rPr>
          <w:rFonts w:cs="Arial"/>
          <w:sz w:val="22"/>
          <w:szCs w:val="22"/>
          <w:lang w:val="es-CR"/>
        </w:rPr>
        <w:t>ó</w:t>
      </w:r>
      <w:r w:rsidRPr="00FA0B7F">
        <w:rPr>
          <w:rFonts w:cs="Arial"/>
          <w:sz w:val="22"/>
          <w:szCs w:val="22"/>
          <w:lang w:val="es-CR"/>
        </w:rPr>
        <w:t>n del espacio menos densificado que</w:t>
      </w:r>
      <w:r>
        <w:rPr>
          <w:rFonts w:cs="Arial"/>
          <w:sz w:val="22"/>
          <w:szCs w:val="22"/>
          <w:lang w:val="es-CR"/>
        </w:rPr>
        <w:t xml:space="preserve"> </w:t>
      </w:r>
      <w:r w:rsidRPr="00FA0B7F">
        <w:rPr>
          <w:rFonts w:cs="Arial"/>
          <w:sz w:val="22"/>
          <w:szCs w:val="22"/>
          <w:lang w:val="es-CR"/>
        </w:rPr>
        <w:t xml:space="preserve">lo mostrado en </w:t>
      </w:r>
      <w:r>
        <w:rPr>
          <w:rFonts w:cs="Arial"/>
          <w:sz w:val="22"/>
          <w:szCs w:val="22"/>
          <w:lang w:val="es-CR"/>
        </w:rPr>
        <w:t>l</w:t>
      </w:r>
      <w:r w:rsidRPr="00FA0B7F">
        <w:rPr>
          <w:rFonts w:cs="Arial"/>
          <w:sz w:val="22"/>
          <w:szCs w:val="22"/>
          <w:lang w:val="es-CR"/>
        </w:rPr>
        <w:t>a opci</w:t>
      </w:r>
      <w:r>
        <w:rPr>
          <w:rFonts w:cs="Arial"/>
          <w:sz w:val="22"/>
          <w:szCs w:val="22"/>
          <w:lang w:val="es-CR"/>
        </w:rPr>
        <w:t>ó</w:t>
      </w:r>
      <w:r w:rsidRPr="00FA0B7F">
        <w:rPr>
          <w:rFonts w:cs="Arial"/>
          <w:sz w:val="22"/>
          <w:szCs w:val="22"/>
          <w:lang w:val="es-CR"/>
        </w:rPr>
        <w:t>n B</w:t>
      </w:r>
      <w:r>
        <w:rPr>
          <w:rFonts w:cs="Arial"/>
          <w:sz w:val="22"/>
          <w:szCs w:val="22"/>
          <w:lang w:val="es-CR"/>
        </w:rPr>
        <w:t xml:space="preserve">, siendo </w:t>
      </w:r>
      <w:r w:rsidRPr="00FA0B7F">
        <w:rPr>
          <w:rFonts w:cs="Arial"/>
          <w:sz w:val="22"/>
          <w:szCs w:val="22"/>
          <w:lang w:val="es-CR"/>
        </w:rPr>
        <w:t xml:space="preserve">mayores las </w:t>
      </w:r>
      <w:r>
        <w:rPr>
          <w:rFonts w:cs="Arial"/>
          <w:sz w:val="22"/>
          <w:szCs w:val="22"/>
          <w:lang w:val="es-CR"/>
        </w:rPr>
        <w:t>á</w:t>
      </w:r>
      <w:r w:rsidRPr="00FA0B7F">
        <w:rPr>
          <w:rFonts w:cs="Arial"/>
          <w:sz w:val="22"/>
          <w:szCs w:val="22"/>
          <w:lang w:val="es-CR"/>
        </w:rPr>
        <w:t>reas destinadas a estas zonas.</w:t>
      </w:r>
    </w:p>
    <w:p w14:paraId="34DEF7C4" w14:textId="77777777" w:rsidR="002767BE" w:rsidRDefault="002767BE" w:rsidP="002767BE">
      <w:pPr>
        <w:spacing w:line="360" w:lineRule="auto"/>
        <w:jc w:val="both"/>
        <w:rPr>
          <w:rFonts w:cs="Arial"/>
          <w:sz w:val="22"/>
          <w:szCs w:val="22"/>
          <w:lang w:val="es-CR"/>
        </w:rPr>
      </w:pPr>
    </w:p>
    <w:p w14:paraId="68D3E4FB" w14:textId="5B5A0B7B" w:rsidR="002767BE" w:rsidRDefault="002767BE" w:rsidP="002767B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estima pertinente actuar de la forma que recomienda la Administración, en los términos planteados en el informe </w:t>
      </w:r>
      <w:r>
        <w:rPr>
          <w:rFonts w:cs="Arial"/>
          <w:sz w:val="22"/>
          <w:szCs w:val="22"/>
          <w:lang w:val="es-ES_tradnl"/>
        </w:rPr>
        <w:t>DF-DT-OF-1</w:t>
      </w:r>
      <w:r w:rsidR="00FA0B7F">
        <w:rPr>
          <w:rFonts w:cs="Arial"/>
          <w:sz w:val="22"/>
          <w:szCs w:val="22"/>
          <w:lang w:val="es-ES_tradnl"/>
        </w:rPr>
        <w:t>121</w:t>
      </w:r>
      <w:r>
        <w:rPr>
          <w:rFonts w:cs="Arial"/>
          <w:sz w:val="22"/>
          <w:szCs w:val="22"/>
          <w:lang w:val="es-ES_tradnl"/>
        </w:rPr>
        <w:t>-2020</w:t>
      </w:r>
      <w:r>
        <w:rPr>
          <w:rFonts w:cs="Arial"/>
          <w:bCs/>
          <w:sz w:val="22"/>
          <w:szCs w:val="22"/>
        </w:rPr>
        <w:t>.</w:t>
      </w:r>
    </w:p>
    <w:p w14:paraId="240455AA" w14:textId="77777777" w:rsidR="002767BE" w:rsidRDefault="002767BE" w:rsidP="002767BE">
      <w:pPr>
        <w:spacing w:line="360" w:lineRule="auto"/>
        <w:jc w:val="both"/>
        <w:rPr>
          <w:rFonts w:cs="Arial"/>
          <w:sz w:val="22"/>
          <w:szCs w:val="22"/>
          <w:lang w:val="es-CR"/>
        </w:rPr>
      </w:pPr>
    </w:p>
    <w:p w14:paraId="5557247C" w14:textId="77777777" w:rsidR="002767BE" w:rsidRPr="00662239" w:rsidRDefault="002767BE" w:rsidP="002767BE">
      <w:pPr>
        <w:spacing w:line="360" w:lineRule="auto"/>
        <w:jc w:val="both"/>
        <w:rPr>
          <w:rFonts w:cs="Arial"/>
          <w:b/>
          <w:bCs/>
          <w:sz w:val="22"/>
          <w:szCs w:val="22"/>
          <w:lang w:val="es-CR"/>
        </w:rPr>
      </w:pPr>
      <w:r w:rsidRPr="00662239">
        <w:rPr>
          <w:rFonts w:cs="Arial"/>
          <w:b/>
          <w:bCs/>
          <w:sz w:val="22"/>
          <w:szCs w:val="22"/>
          <w:lang w:val="es-CR"/>
        </w:rPr>
        <w:t>Por tanto, se acuerda:</w:t>
      </w:r>
    </w:p>
    <w:p w14:paraId="0B1F9F10" w14:textId="22783476" w:rsidR="002767BE" w:rsidRPr="00CE4523" w:rsidRDefault="002767BE" w:rsidP="002767BE">
      <w:pPr>
        <w:spacing w:line="360" w:lineRule="auto"/>
        <w:jc w:val="both"/>
        <w:rPr>
          <w:rFonts w:cs="Arial"/>
          <w:sz w:val="22"/>
          <w:szCs w:val="22"/>
          <w:lang w:val="es-CR"/>
        </w:rPr>
      </w:pPr>
      <w:r>
        <w:rPr>
          <w:rFonts w:cs="Arial"/>
          <w:sz w:val="22"/>
          <w:szCs w:val="22"/>
          <w:lang w:val="es-CR"/>
        </w:rPr>
        <w:t xml:space="preserve">Autorizar, conforme lo recomendado en el informe </w:t>
      </w:r>
      <w:r>
        <w:rPr>
          <w:rFonts w:cs="Arial"/>
          <w:sz w:val="22"/>
          <w:szCs w:val="22"/>
          <w:lang w:val="es-ES_tradnl"/>
        </w:rPr>
        <w:t>DF-DT-OF-1</w:t>
      </w:r>
      <w:r w:rsidR="00FA0B7F">
        <w:rPr>
          <w:rFonts w:cs="Arial"/>
          <w:sz w:val="22"/>
          <w:szCs w:val="22"/>
          <w:lang w:val="es-ES_tradnl"/>
        </w:rPr>
        <w:t>121</w:t>
      </w:r>
      <w:r>
        <w:rPr>
          <w:rFonts w:cs="Arial"/>
          <w:sz w:val="22"/>
          <w:szCs w:val="22"/>
          <w:lang w:val="es-ES_tradnl"/>
        </w:rPr>
        <w:t xml:space="preserve">-2020 de la Dirección FOSUVI, </w:t>
      </w:r>
      <w:r>
        <w:rPr>
          <w:rFonts w:cs="Arial"/>
          <w:sz w:val="22"/>
          <w:szCs w:val="22"/>
          <w:lang w:val="es-CR"/>
        </w:rPr>
        <w:t xml:space="preserve">el </w:t>
      </w:r>
      <w:r w:rsidRPr="00946C27">
        <w:rPr>
          <w:rFonts w:cs="Arial"/>
          <w:sz w:val="22"/>
          <w:szCs w:val="22"/>
          <w:lang w:val="es-CR"/>
        </w:rPr>
        <w:t>desarroll</w:t>
      </w:r>
      <w:r>
        <w:rPr>
          <w:rFonts w:cs="Arial"/>
          <w:sz w:val="22"/>
          <w:szCs w:val="22"/>
          <w:lang w:val="es-CR"/>
        </w:rPr>
        <w:t>o de</w:t>
      </w:r>
      <w:r w:rsidRPr="00946C27">
        <w:rPr>
          <w:rFonts w:cs="Arial"/>
          <w:sz w:val="22"/>
          <w:szCs w:val="22"/>
          <w:lang w:val="es-CR"/>
        </w:rPr>
        <w:t xml:space="preserve"> </w:t>
      </w:r>
      <w:r>
        <w:rPr>
          <w:rFonts w:cs="Arial"/>
          <w:sz w:val="22"/>
          <w:szCs w:val="22"/>
          <w:lang w:val="es-CR"/>
        </w:rPr>
        <w:t>l</w:t>
      </w:r>
      <w:r w:rsidRPr="00946C27">
        <w:rPr>
          <w:rFonts w:cs="Arial"/>
          <w:sz w:val="22"/>
          <w:szCs w:val="22"/>
          <w:lang w:val="es-CR"/>
        </w:rPr>
        <w:t>a propuesta de anteproyecto</w:t>
      </w:r>
      <w:r>
        <w:rPr>
          <w:rFonts w:cs="Arial"/>
          <w:sz w:val="22"/>
          <w:szCs w:val="22"/>
          <w:lang w:val="es-CR"/>
        </w:rPr>
        <w:t xml:space="preserve"> </w:t>
      </w:r>
      <w:r w:rsidRPr="00CE4523">
        <w:rPr>
          <w:rFonts w:cs="Arial"/>
          <w:sz w:val="22"/>
          <w:szCs w:val="22"/>
          <w:lang w:val="es-CR"/>
        </w:rPr>
        <w:t>para el dise</w:t>
      </w:r>
      <w:r>
        <w:rPr>
          <w:rFonts w:cs="Arial"/>
          <w:sz w:val="22"/>
          <w:szCs w:val="22"/>
          <w:lang w:val="es-CR"/>
        </w:rPr>
        <w:t>ñ</w:t>
      </w:r>
      <w:r w:rsidRPr="00CE4523">
        <w:rPr>
          <w:rFonts w:cs="Arial"/>
          <w:sz w:val="22"/>
          <w:szCs w:val="22"/>
          <w:lang w:val="es-CR"/>
        </w:rPr>
        <w:t>o de sitio</w:t>
      </w:r>
      <w:r>
        <w:rPr>
          <w:rFonts w:cs="Arial"/>
          <w:sz w:val="22"/>
          <w:szCs w:val="22"/>
          <w:lang w:val="es-CR"/>
        </w:rPr>
        <w:t>,</w:t>
      </w:r>
      <w:r w:rsidRPr="00CE4523">
        <w:rPr>
          <w:rFonts w:cs="Arial"/>
          <w:sz w:val="22"/>
          <w:szCs w:val="22"/>
          <w:lang w:val="es-CR"/>
        </w:rPr>
        <w:t xml:space="preserve"> denominada Opci</w:t>
      </w:r>
      <w:r>
        <w:rPr>
          <w:rFonts w:cs="Arial"/>
          <w:sz w:val="22"/>
          <w:szCs w:val="22"/>
          <w:lang w:val="es-CR"/>
        </w:rPr>
        <w:t>ó</w:t>
      </w:r>
      <w:r w:rsidRPr="00CE4523">
        <w:rPr>
          <w:rFonts w:cs="Arial"/>
          <w:sz w:val="22"/>
          <w:szCs w:val="22"/>
          <w:lang w:val="es-CR"/>
        </w:rPr>
        <w:t xml:space="preserve">n A, para </w:t>
      </w:r>
      <w:r>
        <w:rPr>
          <w:rFonts w:cs="Arial"/>
          <w:sz w:val="22"/>
          <w:szCs w:val="22"/>
          <w:lang w:val="es-CR"/>
        </w:rPr>
        <w:t>l</w:t>
      </w:r>
      <w:r w:rsidRPr="00CE4523">
        <w:rPr>
          <w:rFonts w:cs="Arial"/>
          <w:sz w:val="22"/>
          <w:szCs w:val="22"/>
          <w:lang w:val="es-CR"/>
        </w:rPr>
        <w:t>a</w:t>
      </w:r>
      <w:r>
        <w:rPr>
          <w:rFonts w:cs="Arial"/>
          <w:sz w:val="22"/>
          <w:szCs w:val="22"/>
          <w:lang w:val="es-CR"/>
        </w:rPr>
        <w:t xml:space="preserve"> </w:t>
      </w:r>
      <w:r w:rsidRPr="00CE4523">
        <w:rPr>
          <w:rFonts w:cs="Arial"/>
          <w:sz w:val="22"/>
          <w:szCs w:val="22"/>
          <w:lang w:val="es-CR"/>
        </w:rPr>
        <w:t>maduraci</w:t>
      </w:r>
      <w:r>
        <w:rPr>
          <w:rFonts w:cs="Arial"/>
          <w:sz w:val="22"/>
          <w:szCs w:val="22"/>
          <w:lang w:val="es-CR"/>
        </w:rPr>
        <w:t>ó</w:t>
      </w:r>
      <w:r w:rsidRPr="00CE4523">
        <w:rPr>
          <w:rFonts w:cs="Arial"/>
          <w:sz w:val="22"/>
          <w:szCs w:val="22"/>
          <w:lang w:val="es-CR"/>
        </w:rPr>
        <w:t>n del proyecto</w:t>
      </w:r>
      <w:r w:rsidR="00FA0B7F">
        <w:rPr>
          <w:rFonts w:cs="Arial"/>
          <w:sz w:val="22"/>
          <w:szCs w:val="22"/>
          <w:lang w:val="es-CR"/>
        </w:rPr>
        <w:t xml:space="preserve"> </w:t>
      </w:r>
      <w:proofErr w:type="spellStart"/>
      <w:r w:rsidR="00FA0B7F">
        <w:rPr>
          <w:rFonts w:cs="Arial"/>
          <w:sz w:val="22"/>
          <w:szCs w:val="22"/>
          <w:lang w:val="es-CR"/>
        </w:rPr>
        <w:t>Cobasur</w:t>
      </w:r>
      <w:proofErr w:type="spellEnd"/>
      <w:r w:rsidRPr="00CE4523">
        <w:rPr>
          <w:rFonts w:cs="Arial"/>
          <w:sz w:val="22"/>
          <w:szCs w:val="22"/>
          <w:lang w:val="es-CR"/>
        </w:rPr>
        <w:t>.</w:t>
      </w:r>
    </w:p>
    <w:p w14:paraId="6C5B345D" w14:textId="7E2C3B6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1F4B51F" w14:textId="77777777" w:rsidR="002B71CC" w:rsidRPr="00D14EAF" w:rsidRDefault="002B71CC" w:rsidP="002B71CC">
      <w:pPr>
        <w:spacing w:line="360" w:lineRule="auto"/>
        <w:jc w:val="both"/>
        <w:rPr>
          <w:rFonts w:cs="Arial"/>
          <w:b/>
          <w:sz w:val="22"/>
        </w:rPr>
      </w:pPr>
      <w:r w:rsidRPr="00D14EAF">
        <w:rPr>
          <w:rFonts w:cs="Arial"/>
          <w:b/>
          <w:sz w:val="22"/>
        </w:rPr>
        <w:t>************</w:t>
      </w:r>
    </w:p>
    <w:p w14:paraId="23D517F1" w14:textId="77777777" w:rsidR="002B71CC" w:rsidRDefault="002B71CC" w:rsidP="002B71CC">
      <w:pPr>
        <w:spacing w:line="360" w:lineRule="auto"/>
        <w:jc w:val="both"/>
        <w:rPr>
          <w:rFonts w:cs="Arial"/>
          <w:sz w:val="22"/>
          <w:lang w:val="es-ES_tradnl"/>
        </w:rPr>
      </w:pPr>
    </w:p>
    <w:p w14:paraId="41043C7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A8F74E5" w14:textId="108EA2FF" w:rsidR="002B71CC" w:rsidRPr="00EC74F8" w:rsidRDefault="00EC74F8" w:rsidP="002B71CC">
      <w:pPr>
        <w:spacing w:line="360" w:lineRule="auto"/>
        <w:jc w:val="both"/>
        <w:rPr>
          <w:rFonts w:cs="Arial"/>
          <w:b/>
          <w:bCs/>
          <w:sz w:val="22"/>
          <w:szCs w:val="22"/>
        </w:rPr>
      </w:pPr>
      <w:r w:rsidRPr="00EC74F8">
        <w:rPr>
          <w:rFonts w:cs="Arial"/>
          <w:b/>
          <w:bCs/>
          <w:sz w:val="22"/>
          <w:szCs w:val="22"/>
        </w:rPr>
        <w:t>Considerando:</w:t>
      </w:r>
    </w:p>
    <w:p w14:paraId="4E4D49B6" w14:textId="1E9EC3F2" w:rsidR="00103A41" w:rsidRDefault="00EC74F8" w:rsidP="00103A41">
      <w:pPr>
        <w:spacing w:line="360" w:lineRule="auto"/>
        <w:jc w:val="both"/>
        <w:rPr>
          <w:rFonts w:cs="Arial"/>
          <w:sz w:val="22"/>
          <w:szCs w:val="22"/>
        </w:rPr>
      </w:pPr>
      <w:r w:rsidRPr="00EC74F8">
        <w:rPr>
          <w:rFonts w:cs="Arial"/>
          <w:b/>
          <w:bCs/>
          <w:sz w:val="22"/>
          <w:szCs w:val="22"/>
        </w:rPr>
        <w:t>Primero:</w:t>
      </w:r>
      <w:r>
        <w:rPr>
          <w:rFonts w:cs="Arial"/>
          <w:sz w:val="22"/>
          <w:szCs w:val="22"/>
        </w:rPr>
        <w:t xml:space="preserve"> Que por medio del oficio </w:t>
      </w:r>
      <w:r w:rsidR="00C71F8B">
        <w:rPr>
          <w:rFonts w:cs="Arial"/>
          <w:sz w:val="22"/>
          <w:szCs w:val="22"/>
        </w:rPr>
        <w:t>GG-ME-1546-2020</w:t>
      </w:r>
      <w:r w:rsidR="00103A41">
        <w:rPr>
          <w:rFonts w:cs="Arial"/>
          <w:sz w:val="22"/>
          <w:szCs w:val="22"/>
        </w:rPr>
        <w:t>,</w:t>
      </w:r>
      <w:r w:rsidR="00C71F8B">
        <w:rPr>
          <w:rFonts w:cs="Arial"/>
          <w:sz w:val="22"/>
          <w:szCs w:val="22"/>
        </w:rPr>
        <w:t xml:space="preserve"> del 21 de diciembre de 2020, la </w:t>
      </w:r>
      <w:r w:rsidR="00C71F8B" w:rsidRPr="00C71F8B">
        <w:rPr>
          <w:rFonts w:cs="Arial"/>
          <w:sz w:val="22"/>
          <w:szCs w:val="22"/>
          <w:lang w:val="es-ES_tradnl"/>
        </w:rPr>
        <w:t>Gerencia General</w:t>
      </w:r>
      <w:r w:rsidR="00C71F8B">
        <w:rPr>
          <w:rFonts w:cs="Arial"/>
          <w:sz w:val="22"/>
          <w:szCs w:val="22"/>
          <w:lang w:val="es-ES_tradnl"/>
        </w:rPr>
        <w:t xml:space="preserve"> </w:t>
      </w:r>
      <w:r w:rsidR="00103A41">
        <w:rPr>
          <w:rFonts w:cs="Arial"/>
          <w:sz w:val="22"/>
          <w:szCs w:val="22"/>
          <w:lang w:val="es-ES_tradnl"/>
        </w:rPr>
        <w:t xml:space="preserve">remite el informe SGF-ME-0015-2020/DFNV-ME-472-2020 de la Subgerencia Financiera y la Dirección FONAVI, relacionado con el </w:t>
      </w:r>
      <w:r w:rsidR="00103A41" w:rsidRPr="00103A41">
        <w:rPr>
          <w:rFonts w:cs="Arial"/>
          <w:sz w:val="22"/>
          <w:szCs w:val="22"/>
          <w:lang w:val="es-CR"/>
        </w:rPr>
        <w:t xml:space="preserve">estado y </w:t>
      </w:r>
      <w:r w:rsidR="00103A41">
        <w:rPr>
          <w:rFonts w:cs="Arial"/>
          <w:sz w:val="22"/>
          <w:szCs w:val="22"/>
          <w:lang w:val="es-CR"/>
        </w:rPr>
        <w:t xml:space="preserve">la </w:t>
      </w:r>
      <w:r w:rsidR="00103A41" w:rsidRPr="00103A41">
        <w:rPr>
          <w:rFonts w:cs="Arial"/>
          <w:sz w:val="22"/>
          <w:szCs w:val="22"/>
          <w:lang w:val="es-CR"/>
        </w:rPr>
        <w:t>recomendaci</w:t>
      </w:r>
      <w:r w:rsidR="00103A41">
        <w:rPr>
          <w:rFonts w:cs="Arial"/>
          <w:sz w:val="22"/>
          <w:szCs w:val="22"/>
          <w:lang w:val="es-CR"/>
        </w:rPr>
        <w:t>ón sobre</w:t>
      </w:r>
      <w:r w:rsidR="00103A41" w:rsidRPr="00103A41">
        <w:rPr>
          <w:rFonts w:cs="Arial"/>
          <w:sz w:val="22"/>
          <w:szCs w:val="22"/>
          <w:lang w:val="es-CR"/>
        </w:rPr>
        <w:t xml:space="preserve"> el conveni</w:t>
      </w:r>
      <w:r w:rsidR="00103A41">
        <w:rPr>
          <w:rFonts w:cs="Arial"/>
          <w:sz w:val="22"/>
          <w:szCs w:val="22"/>
          <w:lang w:val="es-CR"/>
        </w:rPr>
        <w:t>o</w:t>
      </w:r>
      <w:r w:rsidR="00103A41" w:rsidRPr="00103A41">
        <w:rPr>
          <w:rFonts w:cs="Arial"/>
          <w:sz w:val="22"/>
          <w:szCs w:val="22"/>
          <w:lang w:val="es-CR"/>
        </w:rPr>
        <w:t xml:space="preserve"> que se</w:t>
      </w:r>
      <w:r w:rsidR="00103A41">
        <w:rPr>
          <w:rFonts w:cs="Arial"/>
          <w:sz w:val="22"/>
          <w:szCs w:val="22"/>
          <w:lang w:val="es-CR"/>
        </w:rPr>
        <w:t xml:space="preserve"> </w:t>
      </w:r>
      <w:r w:rsidR="00103A41" w:rsidRPr="00103A41">
        <w:rPr>
          <w:rFonts w:cs="Arial"/>
          <w:sz w:val="22"/>
          <w:szCs w:val="22"/>
          <w:lang w:val="es-CR"/>
        </w:rPr>
        <w:t>ha venido gestionando para ser firmado con el Instituto d</w:t>
      </w:r>
      <w:r w:rsidR="00103A41">
        <w:rPr>
          <w:rFonts w:cs="Arial"/>
          <w:sz w:val="22"/>
          <w:szCs w:val="22"/>
          <w:lang w:val="es-CR"/>
        </w:rPr>
        <w:t>e</w:t>
      </w:r>
      <w:r w:rsidR="00103A41" w:rsidRPr="00103A41">
        <w:rPr>
          <w:rFonts w:cs="Arial"/>
          <w:sz w:val="22"/>
          <w:szCs w:val="22"/>
          <w:lang w:val="es-CR"/>
        </w:rPr>
        <w:t xml:space="preserve"> Desarrollo Rural (INDER), para</w:t>
      </w:r>
      <w:r w:rsidR="00103A41">
        <w:rPr>
          <w:rFonts w:cs="Arial"/>
          <w:sz w:val="22"/>
          <w:szCs w:val="22"/>
          <w:lang w:val="es-CR"/>
        </w:rPr>
        <w:t xml:space="preserve"> la</w:t>
      </w:r>
      <w:r w:rsidR="00103A41" w:rsidRPr="00103A41">
        <w:rPr>
          <w:rFonts w:cs="Arial"/>
          <w:sz w:val="22"/>
          <w:szCs w:val="22"/>
          <w:lang w:val="es-CR"/>
        </w:rPr>
        <w:t xml:space="preserve"> formalizaci</w:t>
      </w:r>
      <w:r w:rsidR="00103A41">
        <w:rPr>
          <w:rFonts w:cs="Arial"/>
          <w:sz w:val="22"/>
          <w:szCs w:val="22"/>
          <w:lang w:val="es-CR"/>
        </w:rPr>
        <w:t xml:space="preserve">ón </w:t>
      </w:r>
      <w:r w:rsidR="00103A41" w:rsidRPr="00103A41">
        <w:rPr>
          <w:rFonts w:cs="Arial"/>
          <w:sz w:val="22"/>
          <w:szCs w:val="22"/>
          <w:lang w:val="es-CR"/>
        </w:rPr>
        <w:t>del pr</w:t>
      </w:r>
      <w:r w:rsidR="00103A41">
        <w:rPr>
          <w:rFonts w:cs="Arial"/>
          <w:sz w:val="22"/>
          <w:szCs w:val="22"/>
          <w:lang w:val="es-CR"/>
        </w:rPr>
        <w:t>é</w:t>
      </w:r>
      <w:r w:rsidR="00103A41" w:rsidRPr="00103A41">
        <w:rPr>
          <w:rFonts w:cs="Arial"/>
          <w:sz w:val="22"/>
          <w:szCs w:val="22"/>
          <w:lang w:val="es-CR"/>
        </w:rPr>
        <w:t>stamo d</w:t>
      </w:r>
      <w:r w:rsidR="00103A41">
        <w:rPr>
          <w:rFonts w:cs="Arial"/>
          <w:sz w:val="22"/>
          <w:szCs w:val="22"/>
          <w:lang w:val="es-CR"/>
        </w:rPr>
        <w:t>e</w:t>
      </w:r>
      <w:r w:rsidR="00103A41" w:rsidRPr="00103A41">
        <w:rPr>
          <w:rFonts w:cs="Arial"/>
          <w:sz w:val="22"/>
          <w:szCs w:val="22"/>
          <w:lang w:val="es-CR"/>
        </w:rPr>
        <w:t xml:space="preserve"> </w:t>
      </w:r>
      <w:r w:rsidR="00103A41">
        <w:rPr>
          <w:rFonts w:cs="Arial"/>
          <w:sz w:val="22"/>
          <w:szCs w:val="22"/>
          <w:lang w:val="es-CR"/>
        </w:rPr>
        <w:t>l</w:t>
      </w:r>
      <w:r w:rsidR="00103A41" w:rsidRPr="00103A41">
        <w:rPr>
          <w:rFonts w:cs="Arial"/>
          <w:sz w:val="22"/>
          <w:szCs w:val="22"/>
          <w:lang w:val="es-CR"/>
        </w:rPr>
        <w:t xml:space="preserve">a propiedad denominada </w:t>
      </w:r>
      <w:proofErr w:type="spellStart"/>
      <w:r w:rsidR="00103A41" w:rsidRPr="00103A41">
        <w:rPr>
          <w:rFonts w:cs="Arial"/>
          <w:sz w:val="22"/>
          <w:szCs w:val="22"/>
          <w:lang w:val="es-CR"/>
        </w:rPr>
        <w:t>Cobasur</w:t>
      </w:r>
      <w:proofErr w:type="spellEnd"/>
      <w:r w:rsidR="00103A41">
        <w:rPr>
          <w:rFonts w:cs="Arial"/>
          <w:sz w:val="22"/>
          <w:szCs w:val="22"/>
          <w:lang w:val="es-CR"/>
        </w:rPr>
        <w:t xml:space="preserve">, </w:t>
      </w:r>
      <w:r w:rsidR="00103A41" w:rsidRPr="00103A41">
        <w:rPr>
          <w:rFonts w:cs="Arial"/>
          <w:sz w:val="22"/>
          <w:szCs w:val="22"/>
          <w:lang w:val="es-CR"/>
        </w:rPr>
        <w:t xml:space="preserve">para </w:t>
      </w:r>
      <w:r w:rsidR="00103A41">
        <w:rPr>
          <w:rFonts w:cs="Arial"/>
          <w:sz w:val="22"/>
          <w:szCs w:val="22"/>
          <w:lang w:val="es-CR"/>
        </w:rPr>
        <w:t>l</w:t>
      </w:r>
      <w:r w:rsidR="00103A41" w:rsidRPr="00103A41">
        <w:rPr>
          <w:rFonts w:cs="Arial"/>
          <w:sz w:val="22"/>
          <w:szCs w:val="22"/>
          <w:lang w:val="es-CR"/>
        </w:rPr>
        <w:t>a ubicaci</w:t>
      </w:r>
      <w:r w:rsidR="00103A41">
        <w:rPr>
          <w:rFonts w:cs="Arial"/>
          <w:sz w:val="22"/>
          <w:szCs w:val="22"/>
          <w:lang w:val="es-CR"/>
        </w:rPr>
        <w:t xml:space="preserve">ón </w:t>
      </w:r>
      <w:r w:rsidR="00103A41" w:rsidRPr="00103A41">
        <w:rPr>
          <w:rFonts w:cs="Arial"/>
          <w:sz w:val="22"/>
          <w:szCs w:val="22"/>
          <w:lang w:val="es-CR"/>
        </w:rPr>
        <w:t xml:space="preserve">temporal de las familias provenientes del asentamiento </w:t>
      </w:r>
      <w:r w:rsidR="00CA14A5">
        <w:rPr>
          <w:rFonts w:cs="Arial"/>
          <w:sz w:val="22"/>
          <w:szCs w:val="22"/>
          <w:lang w:val="es-CR"/>
        </w:rPr>
        <w:t xml:space="preserve">de </w:t>
      </w:r>
      <w:proofErr w:type="spellStart"/>
      <w:r w:rsidR="00103A41" w:rsidRPr="00103A41">
        <w:rPr>
          <w:rFonts w:cs="Arial"/>
          <w:sz w:val="22"/>
          <w:szCs w:val="22"/>
          <w:lang w:val="es-CR"/>
        </w:rPr>
        <w:t>Ch</w:t>
      </w:r>
      <w:r w:rsidR="00103A41">
        <w:rPr>
          <w:rFonts w:cs="Arial"/>
          <w:sz w:val="22"/>
          <w:szCs w:val="22"/>
          <w:lang w:val="es-CR"/>
        </w:rPr>
        <w:t>á</w:t>
      </w:r>
      <w:r w:rsidR="00103A41" w:rsidRPr="00103A41">
        <w:rPr>
          <w:rFonts w:cs="Arial"/>
          <w:sz w:val="22"/>
          <w:szCs w:val="22"/>
          <w:lang w:val="es-CR"/>
        </w:rPr>
        <w:t>nguena</w:t>
      </w:r>
      <w:proofErr w:type="spellEnd"/>
      <w:r w:rsidR="00103A41" w:rsidRPr="00103A41">
        <w:rPr>
          <w:rFonts w:cs="Arial"/>
          <w:sz w:val="22"/>
          <w:szCs w:val="22"/>
          <w:lang w:val="es-CR"/>
        </w:rPr>
        <w:t xml:space="preserve"> y Cuadrante Tres</w:t>
      </w:r>
      <w:r w:rsidR="00103A41">
        <w:rPr>
          <w:rFonts w:cs="Arial"/>
          <w:sz w:val="22"/>
          <w:szCs w:val="22"/>
          <w:lang w:val="es-CR"/>
        </w:rPr>
        <w:t>.</w:t>
      </w:r>
    </w:p>
    <w:p w14:paraId="6F53ACC4" w14:textId="23626503" w:rsidR="00103A41" w:rsidRDefault="00103A41" w:rsidP="002B71CC">
      <w:pPr>
        <w:spacing w:line="360" w:lineRule="auto"/>
        <w:jc w:val="both"/>
        <w:rPr>
          <w:rFonts w:cs="Arial"/>
          <w:sz w:val="22"/>
          <w:szCs w:val="22"/>
        </w:rPr>
      </w:pPr>
    </w:p>
    <w:p w14:paraId="581A80BE" w14:textId="4402A02F" w:rsidR="00103A41" w:rsidRDefault="00103A41" w:rsidP="00103A41">
      <w:pPr>
        <w:spacing w:line="360" w:lineRule="auto"/>
        <w:jc w:val="both"/>
        <w:rPr>
          <w:rFonts w:cs="Arial"/>
          <w:sz w:val="22"/>
          <w:szCs w:val="22"/>
        </w:rPr>
      </w:pPr>
      <w:r w:rsidRPr="001A5F6F">
        <w:rPr>
          <w:rFonts w:cs="Arial"/>
          <w:b/>
          <w:bCs/>
          <w:sz w:val="22"/>
          <w:szCs w:val="22"/>
        </w:rPr>
        <w:t>Segundo:</w:t>
      </w:r>
      <w:r>
        <w:rPr>
          <w:rFonts w:cs="Arial"/>
          <w:sz w:val="22"/>
          <w:szCs w:val="22"/>
        </w:rPr>
        <w:t xml:space="preserve"> Que </w:t>
      </w:r>
      <w:r w:rsidR="001A5F6F">
        <w:rPr>
          <w:rFonts w:cs="Arial"/>
          <w:sz w:val="22"/>
          <w:szCs w:val="22"/>
        </w:rPr>
        <w:t xml:space="preserve">con base en el análisis </w:t>
      </w:r>
      <w:r w:rsidR="00CC3C3F">
        <w:rPr>
          <w:rFonts w:cs="Arial"/>
          <w:sz w:val="22"/>
          <w:szCs w:val="22"/>
        </w:rPr>
        <w:t>de los hechos descritos en dicho informe, la Subgerencia Financiera y la Dirección FONAVI reiteran</w:t>
      </w:r>
      <w:r w:rsidRPr="00103A41">
        <w:rPr>
          <w:rFonts w:cs="Arial"/>
          <w:sz w:val="22"/>
          <w:szCs w:val="22"/>
          <w:lang w:val="es-CR"/>
        </w:rPr>
        <w:t xml:space="preserve"> </w:t>
      </w:r>
      <w:r w:rsidR="00CC3C3F">
        <w:rPr>
          <w:rFonts w:cs="Arial"/>
          <w:sz w:val="22"/>
          <w:szCs w:val="22"/>
          <w:lang w:val="es-CR"/>
        </w:rPr>
        <w:t>l</w:t>
      </w:r>
      <w:r w:rsidRPr="00103A41">
        <w:rPr>
          <w:rFonts w:cs="Arial"/>
          <w:sz w:val="22"/>
          <w:szCs w:val="22"/>
          <w:lang w:val="es-CR"/>
        </w:rPr>
        <w:t xml:space="preserve">a necesidad de formalizar </w:t>
      </w:r>
      <w:r w:rsidR="00CC3C3F">
        <w:rPr>
          <w:rFonts w:cs="Arial"/>
          <w:sz w:val="22"/>
          <w:szCs w:val="22"/>
          <w:lang w:val="es-CR"/>
        </w:rPr>
        <w:t>la</w:t>
      </w:r>
      <w:r w:rsidRPr="00103A41">
        <w:rPr>
          <w:rFonts w:cs="Arial"/>
          <w:sz w:val="22"/>
          <w:szCs w:val="22"/>
          <w:lang w:val="es-CR"/>
        </w:rPr>
        <w:t xml:space="preserve"> </w:t>
      </w:r>
      <w:r w:rsidR="00CC3C3F">
        <w:rPr>
          <w:rFonts w:cs="Arial"/>
          <w:sz w:val="22"/>
          <w:szCs w:val="22"/>
          <w:lang w:val="es-CR"/>
        </w:rPr>
        <w:t xml:space="preserve">situación </w:t>
      </w:r>
      <w:r w:rsidRPr="00103A41">
        <w:rPr>
          <w:rFonts w:cs="Arial"/>
          <w:sz w:val="22"/>
          <w:szCs w:val="22"/>
          <w:lang w:val="es-CR"/>
        </w:rPr>
        <w:t>de</w:t>
      </w:r>
      <w:r w:rsidR="00CC3C3F">
        <w:rPr>
          <w:rFonts w:cs="Arial"/>
          <w:sz w:val="22"/>
          <w:szCs w:val="22"/>
          <w:lang w:val="es-CR"/>
        </w:rPr>
        <w:t xml:space="preserve"> </w:t>
      </w:r>
      <w:r w:rsidRPr="00103A41">
        <w:rPr>
          <w:rFonts w:cs="Arial"/>
          <w:sz w:val="22"/>
          <w:szCs w:val="22"/>
          <w:lang w:val="es-CR"/>
        </w:rPr>
        <w:t>ocupaci</w:t>
      </w:r>
      <w:r w:rsidR="00CC3C3F">
        <w:rPr>
          <w:rFonts w:cs="Arial"/>
          <w:sz w:val="22"/>
          <w:szCs w:val="22"/>
          <w:lang w:val="es-CR"/>
        </w:rPr>
        <w:t xml:space="preserve">ón </w:t>
      </w:r>
      <w:r w:rsidRPr="00103A41">
        <w:rPr>
          <w:rFonts w:cs="Arial"/>
          <w:sz w:val="22"/>
          <w:szCs w:val="22"/>
          <w:lang w:val="es-CR"/>
        </w:rPr>
        <w:t xml:space="preserve">de </w:t>
      </w:r>
      <w:r w:rsidR="00CC3C3F">
        <w:rPr>
          <w:rFonts w:cs="Arial"/>
          <w:sz w:val="22"/>
          <w:szCs w:val="22"/>
          <w:lang w:val="es-CR"/>
        </w:rPr>
        <w:t>l</w:t>
      </w:r>
      <w:r w:rsidRPr="00103A41">
        <w:rPr>
          <w:rFonts w:cs="Arial"/>
          <w:sz w:val="22"/>
          <w:szCs w:val="22"/>
          <w:lang w:val="es-CR"/>
        </w:rPr>
        <w:t xml:space="preserve">a finca </w:t>
      </w:r>
      <w:proofErr w:type="spellStart"/>
      <w:r w:rsidRPr="00103A41">
        <w:rPr>
          <w:rFonts w:cs="Arial"/>
          <w:sz w:val="22"/>
          <w:szCs w:val="22"/>
          <w:lang w:val="es-CR"/>
        </w:rPr>
        <w:t>Cobasur</w:t>
      </w:r>
      <w:proofErr w:type="spellEnd"/>
      <w:r w:rsidR="00CC3C3F">
        <w:rPr>
          <w:rFonts w:cs="Arial"/>
          <w:sz w:val="22"/>
          <w:szCs w:val="22"/>
          <w:lang w:val="es-CR"/>
        </w:rPr>
        <w:t>,</w:t>
      </w:r>
      <w:r w:rsidRPr="00103A41">
        <w:rPr>
          <w:rFonts w:cs="Arial"/>
          <w:sz w:val="22"/>
          <w:szCs w:val="22"/>
          <w:lang w:val="es-CR"/>
        </w:rPr>
        <w:t xml:space="preserve"> mediante </w:t>
      </w:r>
      <w:r w:rsidR="00CC3C3F">
        <w:rPr>
          <w:rFonts w:cs="Arial"/>
          <w:sz w:val="22"/>
          <w:szCs w:val="22"/>
          <w:lang w:val="es-CR"/>
        </w:rPr>
        <w:t>l</w:t>
      </w:r>
      <w:r w:rsidRPr="00103A41">
        <w:rPr>
          <w:rFonts w:cs="Arial"/>
          <w:sz w:val="22"/>
          <w:szCs w:val="22"/>
          <w:lang w:val="es-CR"/>
        </w:rPr>
        <w:t xml:space="preserve">a firma del </w:t>
      </w:r>
      <w:r w:rsidR="00170D8F">
        <w:rPr>
          <w:rFonts w:cs="Arial"/>
          <w:sz w:val="22"/>
          <w:szCs w:val="22"/>
          <w:lang w:val="es-CR"/>
        </w:rPr>
        <w:t>c</w:t>
      </w:r>
      <w:r w:rsidRPr="00103A41">
        <w:rPr>
          <w:rFonts w:cs="Arial"/>
          <w:sz w:val="22"/>
          <w:szCs w:val="22"/>
          <w:lang w:val="es-CR"/>
        </w:rPr>
        <w:t xml:space="preserve">onvenio de </w:t>
      </w:r>
      <w:r w:rsidR="00170D8F">
        <w:rPr>
          <w:rFonts w:cs="Arial"/>
          <w:sz w:val="22"/>
          <w:szCs w:val="22"/>
          <w:lang w:val="es-CR"/>
        </w:rPr>
        <w:t>c</w:t>
      </w:r>
      <w:r w:rsidRPr="00103A41">
        <w:rPr>
          <w:rFonts w:cs="Arial"/>
          <w:sz w:val="22"/>
          <w:szCs w:val="22"/>
          <w:lang w:val="es-CR"/>
        </w:rPr>
        <w:t>ooperaci</w:t>
      </w:r>
      <w:r w:rsidR="00CC3C3F">
        <w:rPr>
          <w:rFonts w:cs="Arial"/>
          <w:sz w:val="22"/>
          <w:szCs w:val="22"/>
          <w:lang w:val="es-CR"/>
        </w:rPr>
        <w:t>ón</w:t>
      </w:r>
      <w:r w:rsidR="00170D8F">
        <w:rPr>
          <w:rFonts w:cs="Arial"/>
          <w:sz w:val="22"/>
          <w:szCs w:val="22"/>
          <w:lang w:val="es-CR"/>
        </w:rPr>
        <w:t xml:space="preserve"> entre el </w:t>
      </w:r>
      <w:r w:rsidRPr="00103A41">
        <w:rPr>
          <w:rFonts w:cs="Arial"/>
          <w:sz w:val="22"/>
          <w:szCs w:val="22"/>
          <w:lang w:val="es-CR"/>
        </w:rPr>
        <w:t>BAN</w:t>
      </w:r>
      <w:r w:rsidR="00CC3C3F">
        <w:rPr>
          <w:rFonts w:cs="Arial"/>
          <w:sz w:val="22"/>
          <w:szCs w:val="22"/>
          <w:lang w:val="es-CR"/>
        </w:rPr>
        <w:t>H</w:t>
      </w:r>
      <w:r w:rsidRPr="00103A41">
        <w:rPr>
          <w:rFonts w:cs="Arial"/>
          <w:sz w:val="22"/>
          <w:szCs w:val="22"/>
          <w:lang w:val="es-CR"/>
        </w:rPr>
        <w:t xml:space="preserve">VI </w:t>
      </w:r>
      <w:r w:rsidR="00170D8F">
        <w:rPr>
          <w:rFonts w:cs="Arial"/>
          <w:sz w:val="22"/>
          <w:szCs w:val="22"/>
          <w:lang w:val="es-CR"/>
        </w:rPr>
        <w:t xml:space="preserve">y el </w:t>
      </w:r>
      <w:r w:rsidRPr="00103A41">
        <w:rPr>
          <w:rFonts w:cs="Arial"/>
          <w:sz w:val="22"/>
          <w:szCs w:val="22"/>
          <w:lang w:val="es-CR"/>
        </w:rPr>
        <w:t>INDER y</w:t>
      </w:r>
      <w:r w:rsidR="00170D8F">
        <w:rPr>
          <w:rFonts w:cs="Arial"/>
          <w:sz w:val="22"/>
          <w:szCs w:val="22"/>
          <w:lang w:val="es-CR"/>
        </w:rPr>
        <w:t xml:space="preserve"> –c</w:t>
      </w:r>
      <w:r w:rsidRPr="00103A41">
        <w:rPr>
          <w:rFonts w:cs="Arial"/>
          <w:sz w:val="22"/>
          <w:szCs w:val="22"/>
          <w:lang w:val="es-CR"/>
        </w:rPr>
        <w:t>onsiderando</w:t>
      </w:r>
      <w:r w:rsidR="00170D8F">
        <w:rPr>
          <w:rFonts w:cs="Arial"/>
          <w:sz w:val="22"/>
          <w:szCs w:val="22"/>
          <w:lang w:val="es-CR"/>
        </w:rPr>
        <w:t xml:space="preserve"> </w:t>
      </w:r>
      <w:r w:rsidRPr="00103A41">
        <w:rPr>
          <w:rFonts w:cs="Arial"/>
          <w:sz w:val="22"/>
          <w:szCs w:val="22"/>
          <w:lang w:val="es-CR"/>
        </w:rPr>
        <w:t xml:space="preserve">las limitaciones que enfrenta el INDER para </w:t>
      </w:r>
      <w:r w:rsidR="00CC3C3F">
        <w:rPr>
          <w:rFonts w:cs="Arial"/>
          <w:sz w:val="22"/>
          <w:szCs w:val="22"/>
          <w:lang w:val="es-CR"/>
        </w:rPr>
        <w:t>l</w:t>
      </w:r>
      <w:r w:rsidRPr="00103A41">
        <w:rPr>
          <w:rFonts w:cs="Arial"/>
          <w:sz w:val="22"/>
          <w:szCs w:val="22"/>
          <w:lang w:val="es-CR"/>
        </w:rPr>
        <w:t>a desocupaci</w:t>
      </w:r>
      <w:r w:rsidR="00CC3C3F">
        <w:rPr>
          <w:rFonts w:cs="Arial"/>
          <w:sz w:val="22"/>
          <w:szCs w:val="22"/>
          <w:lang w:val="es-CR"/>
        </w:rPr>
        <w:t xml:space="preserve">ón </w:t>
      </w:r>
      <w:r w:rsidRPr="00103A41">
        <w:rPr>
          <w:rFonts w:cs="Arial"/>
          <w:sz w:val="22"/>
          <w:szCs w:val="22"/>
          <w:lang w:val="es-CR"/>
        </w:rPr>
        <w:t>del</w:t>
      </w:r>
      <w:r w:rsidR="00CC3C3F">
        <w:rPr>
          <w:rFonts w:cs="Arial"/>
          <w:sz w:val="22"/>
          <w:szCs w:val="22"/>
          <w:lang w:val="es-CR"/>
        </w:rPr>
        <w:t xml:space="preserve"> </w:t>
      </w:r>
      <w:r w:rsidRPr="00103A41">
        <w:rPr>
          <w:rFonts w:cs="Arial"/>
          <w:sz w:val="22"/>
          <w:szCs w:val="22"/>
          <w:lang w:val="es-CR"/>
        </w:rPr>
        <w:t>inmueble</w:t>
      </w:r>
      <w:r w:rsidR="00170D8F">
        <w:rPr>
          <w:rFonts w:cs="Arial"/>
          <w:sz w:val="22"/>
          <w:szCs w:val="22"/>
          <w:lang w:val="es-CR"/>
        </w:rPr>
        <w:t>–</w:t>
      </w:r>
      <w:r w:rsidRPr="00103A41">
        <w:rPr>
          <w:rFonts w:cs="Arial"/>
          <w:sz w:val="22"/>
          <w:szCs w:val="22"/>
          <w:lang w:val="es-CR"/>
        </w:rPr>
        <w:t xml:space="preserve"> </w:t>
      </w:r>
      <w:r w:rsidR="00170D8F">
        <w:rPr>
          <w:rFonts w:cs="Arial"/>
          <w:sz w:val="22"/>
          <w:szCs w:val="22"/>
          <w:lang w:val="es-CR"/>
        </w:rPr>
        <w:t xml:space="preserve">recomiendan </w:t>
      </w:r>
      <w:r w:rsidR="00CC3C3F">
        <w:rPr>
          <w:rFonts w:cs="Arial"/>
          <w:sz w:val="22"/>
          <w:szCs w:val="22"/>
          <w:lang w:val="es-CR"/>
        </w:rPr>
        <w:t xml:space="preserve">que se autorice la firma </w:t>
      </w:r>
      <w:r w:rsidRPr="00103A41">
        <w:rPr>
          <w:rFonts w:cs="Arial"/>
          <w:sz w:val="22"/>
          <w:szCs w:val="22"/>
          <w:lang w:val="es-CR"/>
        </w:rPr>
        <w:t xml:space="preserve">del mencionado </w:t>
      </w:r>
      <w:r w:rsidR="00CC3C3F">
        <w:rPr>
          <w:rFonts w:cs="Arial"/>
          <w:sz w:val="22"/>
          <w:szCs w:val="22"/>
          <w:lang w:val="es-CR"/>
        </w:rPr>
        <w:t>c</w:t>
      </w:r>
      <w:r w:rsidRPr="00103A41">
        <w:rPr>
          <w:rFonts w:cs="Arial"/>
          <w:sz w:val="22"/>
          <w:szCs w:val="22"/>
          <w:lang w:val="es-CR"/>
        </w:rPr>
        <w:t xml:space="preserve">onvenio en </w:t>
      </w:r>
      <w:r w:rsidR="00CC3C3F">
        <w:rPr>
          <w:rFonts w:cs="Arial"/>
          <w:sz w:val="22"/>
          <w:szCs w:val="22"/>
          <w:lang w:val="es-CR"/>
        </w:rPr>
        <w:t>la</w:t>
      </w:r>
      <w:r w:rsidRPr="00103A41">
        <w:rPr>
          <w:rFonts w:cs="Arial"/>
          <w:sz w:val="22"/>
          <w:szCs w:val="22"/>
          <w:lang w:val="es-CR"/>
        </w:rPr>
        <w:t xml:space="preserve"> misma versi</w:t>
      </w:r>
      <w:r w:rsidR="00CC3C3F">
        <w:rPr>
          <w:rFonts w:cs="Arial"/>
          <w:sz w:val="22"/>
          <w:szCs w:val="22"/>
          <w:lang w:val="es-CR"/>
        </w:rPr>
        <w:t xml:space="preserve">ón </w:t>
      </w:r>
      <w:r w:rsidRPr="00103A41">
        <w:rPr>
          <w:rFonts w:cs="Arial"/>
          <w:sz w:val="22"/>
          <w:szCs w:val="22"/>
          <w:lang w:val="es-CR"/>
        </w:rPr>
        <w:t>aprobada</w:t>
      </w:r>
      <w:r w:rsidR="00CC3C3F">
        <w:rPr>
          <w:rFonts w:cs="Arial"/>
          <w:sz w:val="22"/>
          <w:szCs w:val="22"/>
          <w:lang w:val="es-CR"/>
        </w:rPr>
        <w:t xml:space="preserve"> </w:t>
      </w:r>
      <w:r w:rsidRPr="00103A41">
        <w:rPr>
          <w:rFonts w:cs="Arial"/>
          <w:sz w:val="22"/>
          <w:szCs w:val="22"/>
          <w:lang w:val="es-CR"/>
        </w:rPr>
        <w:t xml:space="preserve">mediante </w:t>
      </w:r>
      <w:r w:rsidR="00CC3C3F">
        <w:rPr>
          <w:rFonts w:cs="Arial"/>
          <w:sz w:val="22"/>
          <w:szCs w:val="22"/>
          <w:lang w:val="es-CR"/>
        </w:rPr>
        <w:t>el a</w:t>
      </w:r>
      <w:r w:rsidRPr="00103A41">
        <w:rPr>
          <w:rFonts w:cs="Arial"/>
          <w:sz w:val="22"/>
          <w:szCs w:val="22"/>
          <w:lang w:val="es-CR"/>
        </w:rPr>
        <w:t>cuerdo N°</w:t>
      </w:r>
      <w:r w:rsidR="00CC3C3F">
        <w:rPr>
          <w:rFonts w:cs="Arial"/>
          <w:sz w:val="22"/>
          <w:szCs w:val="22"/>
          <w:lang w:val="es-CR"/>
        </w:rPr>
        <w:t xml:space="preserve"> </w:t>
      </w:r>
      <w:r w:rsidRPr="00103A41">
        <w:rPr>
          <w:rFonts w:cs="Arial"/>
          <w:sz w:val="22"/>
          <w:szCs w:val="22"/>
          <w:lang w:val="es-CR"/>
        </w:rPr>
        <w:t xml:space="preserve">2 de </w:t>
      </w:r>
      <w:r w:rsidR="00CC3C3F">
        <w:rPr>
          <w:rFonts w:cs="Arial"/>
          <w:sz w:val="22"/>
          <w:szCs w:val="22"/>
          <w:lang w:val="es-CR"/>
        </w:rPr>
        <w:t>la</w:t>
      </w:r>
      <w:r w:rsidRPr="00103A41">
        <w:rPr>
          <w:rFonts w:cs="Arial"/>
          <w:sz w:val="22"/>
          <w:szCs w:val="22"/>
          <w:lang w:val="es-CR"/>
        </w:rPr>
        <w:t xml:space="preserve"> sesi</w:t>
      </w:r>
      <w:r w:rsidR="00CC3C3F">
        <w:rPr>
          <w:rFonts w:cs="Arial"/>
          <w:sz w:val="22"/>
          <w:szCs w:val="22"/>
          <w:lang w:val="es-CR"/>
        </w:rPr>
        <w:t xml:space="preserve">ón </w:t>
      </w:r>
      <w:r w:rsidRPr="00103A41">
        <w:rPr>
          <w:rFonts w:cs="Arial"/>
          <w:sz w:val="22"/>
          <w:szCs w:val="22"/>
          <w:lang w:val="es-CR"/>
        </w:rPr>
        <w:t>39-2019</w:t>
      </w:r>
      <w:r w:rsidR="00CC3C3F">
        <w:rPr>
          <w:rFonts w:cs="Arial"/>
          <w:sz w:val="22"/>
          <w:szCs w:val="22"/>
          <w:lang w:val="es-CR"/>
        </w:rPr>
        <w:t>,</w:t>
      </w:r>
      <w:r w:rsidRPr="00103A41">
        <w:rPr>
          <w:rFonts w:cs="Arial"/>
          <w:sz w:val="22"/>
          <w:szCs w:val="22"/>
          <w:lang w:val="es-CR"/>
        </w:rPr>
        <w:t xml:space="preserve"> del 23 de mayo de 2019, ajustando el plazo</w:t>
      </w:r>
      <w:r w:rsidR="00CC3C3F">
        <w:rPr>
          <w:rFonts w:cs="Arial"/>
          <w:sz w:val="22"/>
          <w:szCs w:val="22"/>
          <w:lang w:val="es-CR"/>
        </w:rPr>
        <w:t xml:space="preserve"> </w:t>
      </w:r>
      <w:r w:rsidRPr="00103A41">
        <w:rPr>
          <w:rFonts w:cs="Arial"/>
          <w:sz w:val="22"/>
          <w:szCs w:val="22"/>
          <w:lang w:val="es-CR"/>
        </w:rPr>
        <w:t xml:space="preserve">de vigencia </w:t>
      </w:r>
      <w:r w:rsidR="00CC3C3F">
        <w:rPr>
          <w:rFonts w:cs="Arial"/>
          <w:sz w:val="22"/>
          <w:szCs w:val="22"/>
          <w:lang w:val="es-CR"/>
        </w:rPr>
        <w:t>al</w:t>
      </w:r>
      <w:r w:rsidRPr="00103A41">
        <w:rPr>
          <w:rFonts w:cs="Arial"/>
          <w:sz w:val="22"/>
          <w:szCs w:val="22"/>
          <w:lang w:val="es-CR"/>
        </w:rPr>
        <w:t xml:space="preserve"> </w:t>
      </w:r>
      <w:r w:rsidR="00CC3C3F">
        <w:rPr>
          <w:rFonts w:cs="Arial"/>
          <w:sz w:val="22"/>
          <w:szCs w:val="22"/>
          <w:lang w:val="es-CR"/>
        </w:rPr>
        <w:t>1</w:t>
      </w:r>
      <w:r w:rsidRPr="00103A41">
        <w:rPr>
          <w:rFonts w:cs="Arial"/>
          <w:sz w:val="22"/>
          <w:szCs w:val="22"/>
          <w:lang w:val="es-CR"/>
        </w:rPr>
        <w:t>5 de octubre de 2021.</w:t>
      </w:r>
    </w:p>
    <w:p w14:paraId="59C7CD27" w14:textId="61163891" w:rsidR="00103A41" w:rsidRDefault="00103A41" w:rsidP="002B71CC">
      <w:pPr>
        <w:spacing w:line="360" w:lineRule="auto"/>
        <w:jc w:val="both"/>
        <w:rPr>
          <w:rFonts w:cs="Arial"/>
          <w:sz w:val="22"/>
          <w:szCs w:val="22"/>
        </w:rPr>
      </w:pPr>
    </w:p>
    <w:p w14:paraId="46095E1D" w14:textId="77777777" w:rsidR="00835D3D" w:rsidRDefault="00091AFD" w:rsidP="002B71CC">
      <w:pPr>
        <w:spacing w:line="360" w:lineRule="auto"/>
        <w:jc w:val="both"/>
        <w:rPr>
          <w:rFonts w:cs="Arial"/>
          <w:sz w:val="22"/>
          <w:szCs w:val="22"/>
          <w:lang w:val="es-CR"/>
        </w:rPr>
      </w:pPr>
      <w:r w:rsidRPr="00091AFD">
        <w:rPr>
          <w:rFonts w:cs="Arial"/>
          <w:b/>
          <w:bCs/>
          <w:sz w:val="22"/>
          <w:szCs w:val="22"/>
        </w:rPr>
        <w:lastRenderedPageBreak/>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835D3D">
        <w:rPr>
          <w:rFonts w:cs="Arial"/>
          <w:sz w:val="22"/>
          <w:szCs w:val="22"/>
        </w:rPr>
        <w:t xml:space="preserve">una vez analizado el informe de la Subgerencia Financiera y la Dirección FONAVI, esta </w:t>
      </w:r>
      <w:r w:rsidR="00835D3D" w:rsidRPr="00835D3D">
        <w:rPr>
          <w:rFonts w:cs="Arial"/>
          <w:sz w:val="22"/>
          <w:szCs w:val="22"/>
          <w:lang w:val="es-ES_tradnl"/>
        </w:rPr>
        <w:t>Junta Directiva</w:t>
      </w:r>
      <w:r w:rsidR="00835D3D">
        <w:rPr>
          <w:rFonts w:cs="Arial"/>
          <w:sz w:val="22"/>
          <w:szCs w:val="22"/>
          <w:lang w:val="es-ES_tradnl"/>
        </w:rPr>
        <w:t xml:space="preserve"> estima pertinente autorizar </w:t>
      </w:r>
      <w:r w:rsidR="00835D3D">
        <w:rPr>
          <w:rFonts w:cs="Arial"/>
          <w:sz w:val="22"/>
          <w:szCs w:val="22"/>
          <w:lang w:val="es-CR"/>
        </w:rPr>
        <w:t xml:space="preserve">la firma </w:t>
      </w:r>
      <w:r w:rsidR="00835D3D" w:rsidRPr="00103A41">
        <w:rPr>
          <w:rFonts w:cs="Arial"/>
          <w:sz w:val="22"/>
          <w:szCs w:val="22"/>
          <w:lang w:val="es-CR"/>
        </w:rPr>
        <w:t xml:space="preserve">del </w:t>
      </w:r>
      <w:r w:rsidR="00835D3D">
        <w:rPr>
          <w:rFonts w:cs="Arial"/>
          <w:sz w:val="22"/>
          <w:szCs w:val="22"/>
          <w:lang w:val="es-CR"/>
        </w:rPr>
        <w:t>citado</w:t>
      </w:r>
      <w:r w:rsidR="00835D3D" w:rsidRPr="00103A41">
        <w:rPr>
          <w:rFonts w:cs="Arial"/>
          <w:sz w:val="22"/>
          <w:szCs w:val="22"/>
          <w:lang w:val="es-CR"/>
        </w:rPr>
        <w:t xml:space="preserve"> </w:t>
      </w:r>
      <w:r w:rsidR="00835D3D">
        <w:rPr>
          <w:rFonts w:cs="Arial"/>
          <w:sz w:val="22"/>
          <w:szCs w:val="22"/>
          <w:lang w:val="es-CR"/>
        </w:rPr>
        <w:t>c</w:t>
      </w:r>
      <w:r w:rsidR="00835D3D" w:rsidRPr="00103A41">
        <w:rPr>
          <w:rFonts w:cs="Arial"/>
          <w:sz w:val="22"/>
          <w:szCs w:val="22"/>
          <w:lang w:val="es-CR"/>
        </w:rPr>
        <w:t>onvenio</w:t>
      </w:r>
      <w:r w:rsidR="00835D3D">
        <w:rPr>
          <w:rFonts w:cs="Arial"/>
          <w:sz w:val="22"/>
          <w:szCs w:val="22"/>
          <w:lang w:val="es-CR"/>
        </w:rPr>
        <w:t xml:space="preserve"> según la</w:t>
      </w:r>
      <w:r w:rsidR="00835D3D" w:rsidRPr="00103A41">
        <w:rPr>
          <w:rFonts w:cs="Arial"/>
          <w:sz w:val="22"/>
          <w:szCs w:val="22"/>
          <w:lang w:val="es-CR"/>
        </w:rPr>
        <w:t xml:space="preserve"> versi</w:t>
      </w:r>
      <w:r w:rsidR="00835D3D">
        <w:rPr>
          <w:rFonts w:cs="Arial"/>
          <w:sz w:val="22"/>
          <w:szCs w:val="22"/>
          <w:lang w:val="es-CR"/>
        </w:rPr>
        <w:t xml:space="preserve">ón </w:t>
      </w:r>
      <w:r w:rsidR="00835D3D" w:rsidRPr="00103A41">
        <w:rPr>
          <w:rFonts w:cs="Arial"/>
          <w:sz w:val="22"/>
          <w:szCs w:val="22"/>
          <w:lang w:val="es-CR"/>
        </w:rPr>
        <w:t>aprobada</w:t>
      </w:r>
      <w:r w:rsidR="00835D3D">
        <w:rPr>
          <w:rFonts w:cs="Arial"/>
          <w:sz w:val="22"/>
          <w:szCs w:val="22"/>
          <w:lang w:val="es-CR"/>
        </w:rPr>
        <w:t xml:space="preserve"> </w:t>
      </w:r>
      <w:r w:rsidR="00835D3D" w:rsidRPr="00103A41">
        <w:rPr>
          <w:rFonts w:cs="Arial"/>
          <w:sz w:val="22"/>
          <w:szCs w:val="22"/>
          <w:lang w:val="es-CR"/>
        </w:rPr>
        <w:t xml:space="preserve">mediante </w:t>
      </w:r>
      <w:r w:rsidR="00835D3D">
        <w:rPr>
          <w:rFonts w:cs="Arial"/>
          <w:sz w:val="22"/>
          <w:szCs w:val="22"/>
          <w:lang w:val="es-CR"/>
        </w:rPr>
        <w:t>el a</w:t>
      </w:r>
      <w:r w:rsidR="00835D3D" w:rsidRPr="00103A41">
        <w:rPr>
          <w:rFonts w:cs="Arial"/>
          <w:sz w:val="22"/>
          <w:szCs w:val="22"/>
          <w:lang w:val="es-CR"/>
        </w:rPr>
        <w:t>cuerdo N°</w:t>
      </w:r>
      <w:r w:rsidR="00835D3D">
        <w:rPr>
          <w:rFonts w:cs="Arial"/>
          <w:sz w:val="22"/>
          <w:szCs w:val="22"/>
          <w:lang w:val="es-CR"/>
        </w:rPr>
        <w:t xml:space="preserve"> </w:t>
      </w:r>
      <w:r w:rsidR="00835D3D" w:rsidRPr="00103A41">
        <w:rPr>
          <w:rFonts w:cs="Arial"/>
          <w:sz w:val="22"/>
          <w:szCs w:val="22"/>
          <w:lang w:val="es-CR"/>
        </w:rPr>
        <w:t xml:space="preserve">2 de </w:t>
      </w:r>
      <w:r w:rsidR="00835D3D">
        <w:rPr>
          <w:rFonts w:cs="Arial"/>
          <w:sz w:val="22"/>
          <w:szCs w:val="22"/>
          <w:lang w:val="es-CR"/>
        </w:rPr>
        <w:t>la</w:t>
      </w:r>
      <w:r w:rsidR="00835D3D" w:rsidRPr="00103A41">
        <w:rPr>
          <w:rFonts w:cs="Arial"/>
          <w:sz w:val="22"/>
          <w:szCs w:val="22"/>
          <w:lang w:val="es-CR"/>
        </w:rPr>
        <w:t xml:space="preserve"> sesi</w:t>
      </w:r>
      <w:r w:rsidR="00835D3D">
        <w:rPr>
          <w:rFonts w:cs="Arial"/>
          <w:sz w:val="22"/>
          <w:szCs w:val="22"/>
          <w:lang w:val="es-CR"/>
        </w:rPr>
        <w:t xml:space="preserve">ón </w:t>
      </w:r>
      <w:r w:rsidR="00835D3D" w:rsidRPr="00103A41">
        <w:rPr>
          <w:rFonts w:cs="Arial"/>
          <w:sz w:val="22"/>
          <w:szCs w:val="22"/>
          <w:lang w:val="es-CR"/>
        </w:rPr>
        <w:t>39-2019</w:t>
      </w:r>
      <w:r w:rsidR="00835D3D">
        <w:rPr>
          <w:rFonts w:cs="Arial"/>
          <w:sz w:val="22"/>
          <w:szCs w:val="22"/>
          <w:lang w:val="es-CR"/>
        </w:rPr>
        <w:t xml:space="preserve"> y ajustar el plazo de la vigencia del mismo, pero estableciendo una vigencia de hasta el 31 de agosto de 2021, sin posibilidad de</w:t>
      </w:r>
      <w:r w:rsidR="00835D3D" w:rsidRPr="00835D3D">
        <w:rPr>
          <w:rFonts w:cs="Arial"/>
          <w:sz w:val="22"/>
          <w:szCs w:val="22"/>
          <w:lang w:val="es-CR"/>
        </w:rPr>
        <w:t xml:space="preserve"> prórroga</w:t>
      </w:r>
      <w:r w:rsidR="00835D3D">
        <w:rPr>
          <w:rFonts w:cs="Arial"/>
          <w:sz w:val="22"/>
          <w:szCs w:val="22"/>
          <w:lang w:val="es-CR"/>
        </w:rPr>
        <w:t>, considerando para ello las siguientes situaciones:</w:t>
      </w:r>
    </w:p>
    <w:p w14:paraId="6F356115" w14:textId="03EC16FE" w:rsidR="00091AFD" w:rsidRDefault="003D5EE6" w:rsidP="00091AFD">
      <w:pPr>
        <w:spacing w:line="360" w:lineRule="auto"/>
        <w:jc w:val="both"/>
        <w:rPr>
          <w:rFonts w:cs="Arial"/>
          <w:sz w:val="22"/>
          <w:szCs w:val="22"/>
          <w:lang w:val="es-CR"/>
        </w:rPr>
      </w:pPr>
      <w:r>
        <w:rPr>
          <w:rFonts w:cs="Arial"/>
          <w:sz w:val="22"/>
          <w:szCs w:val="22"/>
          <w:lang w:val="es-CR"/>
        </w:rPr>
        <w:t xml:space="preserve">a) </w:t>
      </w:r>
      <w:r w:rsidR="00CA14A5">
        <w:rPr>
          <w:rFonts w:cs="Arial"/>
          <w:sz w:val="22"/>
          <w:szCs w:val="22"/>
          <w:lang w:val="es-CR"/>
        </w:rPr>
        <w:t xml:space="preserve">Tal y como </w:t>
      </w:r>
      <w:r w:rsidR="00D82927">
        <w:rPr>
          <w:rFonts w:cs="Arial"/>
          <w:sz w:val="22"/>
          <w:szCs w:val="22"/>
          <w:lang w:val="es-CR"/>
        </w:rPr>
        <w:t xml:space="preserve">consta en </w:t>
      </w:r>
      <w:r w:rsidR="00091AFD" w:rsidRPr="00091AFD">
        <w:rPr>
          <w:rFonts w:cs="Arial"/>
          <w:sz w:val="22"/>
          <w:szCs w:val="22"/>
          <w:lang w:val="es-CR"/>
        </w:rPr>
        <w:t>los acuerdos N°</w:t>
      </w:r>
      <w:r w:rsidR="009A3421">
        <w:rPr>
          <w:rFonts w:cs="Arial"/>
          <w:sz w:val="22"/>
          <w:szCs w:val="22"/>
          <w:lang w:val="es-CR"/>
        </w:rPr>
        <w:t xml:space="preserve"> </w:t>
      </w:r>
      <w:r w:rsidR="00091AFD" w:rsidRPr="00091AFD">
        <w:rPr>
          <w:rFonts w:cs="Arial"/>
          <w:sz w:val="22"/>
          <w:szCs w:val="22"/>
          <w:lang w:val="es-CR"/>
        </w:rPr>
        <w:t xml:space="preserve">5 de </w:t>
      </w:r>
      <w:r w:rsidR="00091AFD">
        <w:rPr>
          <w:rFonts w:cs="Arial"/>
          <w:sz w:val="22"/>
          <w:szCs w:val="22"/>
          <w:lang w:val="es-CR"/>
        </w:rPr>
        <w:t>la</w:t>
      </w:r>
      <w:r w:rsidR="00091AFD" w:rsidRPr="00091AFD">
        <w:rPr>
          <w:rFonts w:cs="Arial"/>
          <w:sz w:val="22"/>
          <w:szCs w:val="22"/>
          <w:lang w:val="es-CR"/>
        </w:rPr>
        <w:t xml:space="preserve"> sesi</w:t>
      </w:r>
      <w:r w:rsidR="00091AFD">
        <w:rPr>
          <w:rFonts w:cs="Arial"/>
          <w:sz w:val="22"/>
          <w:szCs w:val="22"/>
          <w:lang w:val="es-CR"/>
        </w:rPr>
        <w:t>ón</w:t>
      </w:r>
      <w:r w:rsidR="00091AFD" w:rsidRPr="00091AFD">
        <w:rPr>
          <w:rFonts w:cs="Arial"/>
          <w:sz w:val="22"/>
          <w:szCs w:val="22"/>
          <w:lang w:val="es-CR"/>
        </w:rPr>
        <w:t xml:space="preserve"> 64-2018</w:t>
      </w:r>
      <w:r w:rsidR="009A3421">
        <w:rPr>
          <w:rFonts w:cs="Arial"/>
          <w:sz w:val="22"/>
          <w:szCs w:val="22"/>
          <w:lang w:val="es-CR"/>
        </w:rPr>
        <w:t>,</w:t>
      </w:r>
      <w:r w:rsidR="00091AFD" w:rsidRPr="00091AFD">
        <w:rPr>
          <w:rFonts w:cs="Arial"/>
          <w:sz w:val="22"/>
          <w:szCs w:val="22"/>
          <w:lang w:val="es-CR"/>
        </w:rPr>
        <w:t xml:space="preserve"> del 01 de noviembre de 2018</w:t>
      </w:r>
      <w:r w:rsidR="00D82927">
        <w:rPr>
          <w:rFonts w:cs="Arial"/>
          <w:sz w:val="22"/>
          <w:szCs w:val="22"/>
          <w:lang w:val="es-CR"/>
        </w:rPr>
        <w:t xml:space="preserve">, </w:t>
      </w:r>
      <w:r w:rsidR="00091AFD" w:rsidRPr="00091AFD">
        <w:rPr>
          <w:rFonts w:cs="Arial"/>
          <w:sz w:val="22"/>
          <w:szCs w:val="22"/>
          <w:lang w:val="es-CR"/>
        </w:rPr>
        <w:t>N°</w:t>
      </w:r>
      <w:r w:rsidR="009A3421">
        <w:rPr>
          <w:rFonts w:cs="Arial"/>
          <w:sz w:val="22"/>
          <w:szCs w:val="22"/>
          <w:lang w:val="es-CR"/>
        </w:rPr>
        <w:t xml:space="preserve"> </w:t>
      </w:r>
      <w:r w:rsidR="00091AFD" w:rsidRPr="00091AFD">
        <w:rPr>
          <w:rFonts w:cs="Arial"/>
          <w:sz w:val="22"/>
          <w:szCs w:val="22"/>
          <w:lang w:val="es-CR"/>
        </w:rPr>
        <w:t xml:space="preserve">4 de </w:t>
      </w:r>
      <w:r w:rsidR="00091AFD">
        <w:rPr>
          <w:rFonts w:cs="Arial"/>
          <w:sz w:val="22"/>
          <w:szCs w:val="22"/>
          <w:lang w:val="es-CR"/>
        </w:rPr>
        <w:t>la</w:t>
      </w:r>
      <w:r w:rsidR="00091AFD" w:rsidRPr="00091AFD">
        <w:rPr>
          <w:rFonts w:cs="Arial"/>
          <w:sz w:val="22"/>
          <w:szCs w:val="22"/>
          <w:lang w:val="es-CR"/>
        </w:rPr>
        <w:t xml:space="preserve"> sesi</w:t>
      </w:r>
      <w:r w:rsidR="00091AFD">
        <w:rPr>
          <w:rFonts w:cs="Arial"/>
          <w:sz w:val="22"/>
          <w:szCs w:val="22"/>
          <w:lang w:val="es-CR"/>
        </w:rPr>
        <w:t xml:space="preserve">ón </w:t>
      </w:r>
      <w:r w:rsidR="00091AFD" w:rsidRPr="00091AFD">
        <w:rPr>
          <w:rFonts w:cs="Arial"/>
          <w:sz w:val="22"/>
          <w:szCs w:val="22"/>
          <w:lang w:val="es-CR"/>
        </w:rPr>
        <w:t>23-2019</w:t>
      </w:r>
      <w:r w:rsidR="00D82927">
        <w:rPr>
          <w:rFonts w:cs="Arial"/>
          <w:sz w:val="22"/>
          <w:szCs w:val="22"/>
          <w:lang w:val="es-CR"/>
        </w:rPr>
        <w:t>,</w:t>
      </w:r>
      <w:r w:rsidR="00091AFD" w:rsidRPr="00091AFD">
        <w:rPr>
          <w:rFonts w:cs="Arial"/>
          <w:sz w:val="22"/>
          <w:szCs w:val="22"/>
          <w:lang w:val="es-CR"/>
        </w:rPr>
        <w:t xml:space="preserve"> del 21 de marzo de 2019,</w:t>
      </w:r>
      <w:r w:rsidR="00091AFD">
        <w:rPr>
          <w:rFonts w:cs="Arial"/>
          <w:sz w:val="22"/>
          <w:szCs w:val="22"/>
          <w:lang w:val="es-CR"/>
        </w:rPr>
        <w:t xml:space="preserve"> </w:t>
      </w:r>
      <w:r w:rsidR="00D82927">
        <w:rPr>
          <w:rFonts w:cs="Arial"/>
          <w:sz w:val="22"/>
          <w:szCs w:val="22"/>
          <w:lang w:val="es-CR"/>
        </w:rPr>
        <w:t xml:space="preserve">y </w:t>
      </w:r>
      <w:r w:rsidR="00D82927" w:rsidRPr="00103A41">
        <w:rPr>
          <w:rFonts w:cs="Arial"/>
          <w:sz w:val="22"/>
          <w:szCs w:val="22"/>
          <w:lang w:val="es-CR"/>
        </w:rPr>
        <w:t>N°</w:t>
      </w:r>
      <w:r w:rsidR="00D82927">
        <w:rPr>
          <w:rFonts w:cs="Arial"/>
          <w:sz w:val="22"/>
          <w:szCs w:val="22"/>
          <w:lang w:val="es-CR"/>
        </w:rPr>
        <w:t xml:space="preserve"> </w:t>
      </w:r>
      <w:r w:rsidR="00D82927" w:rsidRPr="00103A41">
        <w:rPr>
          <w:rFonts w:cs="Arial"/>
          <w:sz w:val="22"/>
          <w:szCs w:val="22"/>
          <w:lang w:val="es-CR"/>
        </w:rPr>
        <w:t xml:space="preserve">2 de </w:t>
      </w:r>
      <w:r w:rsidR="00D82927">
        <w:rPr>
          <w:rFonts w:cs="Arial"/>
          <w:sz w:val="22"/>
          <w:szCs w:val="22"/>
          <w:lang w:val="es-CR"/>
        </w:rPr>
        <w:t>la</w:t>
      </w:r>
      <w:r w:rsidR="00D82927" w:rsidRPr="00103A41">
        <w:rPr>
          <w:rFonts w:cs="Arial"/>
          <w:sz w:val="22"/>
          <w:szCs w:val="22"/>
          <w:lang w:val="es-CR"/>
        </w:rPr>
        <w:t xml:space="preserve"> sesi</w:t>
      </w:r>
      <w:r w:rsidR="00D82927">
        <w:rPr>
          <w:rFonts w:cs="Arial"/>
          <w:sz w:val="22"/>
          <w:szCs w:val="22"/>
          <w:lang w:val="es-CR"/>
        </w:rPr>
        <w:t xml:space="preserve">ón </w:t>
      </w:r>
      <w:r w:rsidR="00D82927" w:rsidRPr="00103A41">
        <w:rPr>
          <w:rFonts w:cs="Arial"/>
          <w:sz w:val="22"/>
          <w:szCs w:val="22"/>
          <w:lang w:val="es-CR"/>
        </w:rPr>
        <w:t>39-2019</w:t>
      </w:r>
      <w:r w:rsidR="00D82927">
        <w:rPr>
          <w:rFonts w:cs="Arial"/>
          <w:sz w:val="22"/>
          <w:szCs w:val="22"/>
          <w:lang w:val="es-CR"/>
        </w:rPr>
        <w:t>,</w:t>
      </w:r>
      <w:r w:rsidR="00D82927" w:rsidRPr="00103A41">
        <w:rPr>
          <w:rFonts w:cs="Arial"/>
          <w:sz w:val="22"/>
          <w:szCs w:val="22"/>
          <w:lang w:val="es-CR"/>
        </w:rPr>
        <w:t xml:space="preserve"> del 23 de mayo de 2019</w:t>
      </w:r>
      <w:r w:rsidR="00D82927">
        <w:rPr>
          <w:rFonts w:cs="Arial"/>
          <w:sz w:val="22"/>
          <w:szCs w:val="22"/>
          <w:lang w:val="es-CR"/>
        </w:rPr>
        <w:t xml:space="preserve">, </w:t>
      </w:r>
      <w:r w:rsidR="00091AFD" w:rsidRPr="00091AFD">
        <w:rPr>
          <w:rFonts w:cs="Arial"/>
          <w:sz w:val="22"/>
          <w:szCs w:val="22"/>
          <w:lang w:val="es-CR"/>
        </w:rPr>
        <w:t>este Banco ha estado gestionando ante el INDER</w:t>
      </w:r>
      <w:r w:rsidR="00D82927">
        <w:rPr>
          <w:rFonts w:cs="Arial"/>
          <w:sz w:val="22"/>
          <w:szCs w:val="22"/>
          <w:lang w:val="es-CR"/>
        </w:rPr>
        <w:t>,</w:t>
      </w:r>
      <w:r w:rsidR="00091AFD" w:rsidRPr="00091AFD">
        <w:rPr>
          <w:rFonts w:cs="Arial"/>
          <w:sz w:val="22"/>
          <w:szCs w:val="22"/>
          <w:lang w:val="es-CR"/>
        </w:rPr>
        <w:t xml:space="preserve"> </w:t>
      </w:r>
      <w:r w:rsidR="00091AFD">
        <w:rPr>
          <w:rFonts w:cs="Arial"/>
          <w:sz w:val="22"/>
          <w:szCs w:val="22"/>
          <w:lang w:val="es-CR"/>
        </w:rPr>
        <w:t>la</w:t>
      </w:r>
      <w:r w:rsidR="00091AFD" w:rsidRPr="00091AFD">
        <w:rPr>
          <w:rFonts w:cs="Arial"/>
          <w:sz w:val="22"/>
          <w:szCs w:val="22"/>
          <w:lang w:val="es-CR"/>
        </w:rPr>
        <w:t xml:space="preserve"> firma de</w:t>
      </w:r>
      <w:r w:rsidR="00D82927">
        <w:rPr>
          <w:rFonts w:cs="Arial"/>
          <w:sz w:val="22"/>
          <w:szCs w:val="22"/>
          <w:lang w:val="es-CR"/>
        </w:rPr>
        <w:t xml:space="preserve"> </w:t>
      </w:r>
      <w:r w:rsidR="00091AFD" w:rsidRPr="00091AFD">
        <w:rPr>
          <w:rFonts w:cs="Arial"/>
          <w:sz w:val="22"/>
          <w:szCs w:val="22"/>
          <w:lang w:val="es-CR"/>
        </w:rPr>
        <w:t xml:space="preserve">un </w:t>
      </w:r>
      <w:r w:rsidR="00D82927">
        <w:rPr>
          <w:rFonts w:cs="Arial"/>
          <w:sz w:val="22"/>
          <w:szCs w:val="22"/>
          <w:lang w:val="es-CR"/>
        </w:rPr>
        <w:t>c</w:t>
      </w:r>
      <w:r w:rsidR="00091AFD" w:rsidRPr="00091AFD">
        <w:rPr>
          <w:rFonts w:cs="Arial"/>
          <w:sz w:val="22"/>
          <w:szCs w:val="22"/>
          <w:lang w:val="es-CR"/>
        </w:rPr>
        <w:t xml:space="preserve">onvenio de </w:t>
      </w:r>
      <w:r w:rsidR="00D82927">
        <w:rPr>
          <w:rFonts w:cs="Arial"/>
          <w:sz w:val="22"/>
          <w:szCs w:val="22"/>
          <w:lang w:val="es-CR"/>
        </w:rPr>
        <w:t>c</w:t>
      </w:r>
      <w:r w:rsidR="00091AFD" w:rsidRPr="00091AFD">
        <w:rPr>
          <w:rFonts w:cs="Arial"/>
          <w:sz w:val="22"/>
          <w:szCs w:val="22"/>
          <w:lang w:val="es-CR"/>
        </w:rPr>
        <w:t>ooperaci</w:t>
      </w:r>
      <w:r w:rsidR="00091AFD">
        <w:rPr>
          <w:rFonts w:cs="Arial"/>
          <w:sz w:val="22"/>
          <w:szCs w:val="22"/>
          <w:lang w:val="es-CR"/>
        </w:rPr>
        <w:t xml:space="preserve">ón </w:t>
      </w:r>
      <w:r w:rsidR="00D82927">
        <w:rPr>
          <w:rFonts w:cs="Arial"/>
          <w:sz w:val="22"/>
          <w:szCs w:val="22"/>
          <w:lang w:val="es-CR"/>
        </w:rPr>
        <w:t xml:space="preserve">entre ambas instituciones, </w:t>
      </w:r>
      <w:r w:rsidR="00091AFD" w:rsidRPr="00091AFD">
        <w:rPr>
          <w:rFonts w:cs="Arial"/>
          <w:sz w:val="22"/>
          <w:szCs w:val="22"/>
          <w:lang w:val="es-CR"/>
        </w:rPr>
        <w:t>con el objetivo fundamental de formalizar</w:t>
      </w:r>
      <w:r w:rsidR="00091AFD">
        <w:rPr>
          <w:rFonts w:cs="Arial"/>
          <w:sz w:val="22"/>
          <w:szCs w:val="22"/>
          <w:lang w:val="es-CR"/>
        </w:rPr>
        <w:t xml:space="preserve"> </w:t>
      </w:r>
      <w:r w:rsidR="00091AFD" w:rsidRPr="00091AFD">
        <w:rPr>
          <w:rFonts w:cs="Arial"/>
          <w:sz w:val="22"/>
          <w:szCs w:val="22"/>
          <w:lang w:val="es-CR"/>
        </w:rPr>
        <w:t>el pr</w:t>
      </w:r>
      <w:r w:rsidR="00091AFD">
        <w:rPr>
          <w:rFonts w:cs="Arial"/>
          <w:sz w:val="22"/>
          <w:szCs w:val="22"/>
          <w:lang w:val="es-CR"/>
        </w:rPr>
        <w:t>é</w:t>
      </w:r>
      <w:r w:rsidR="00091AFD" w:rsidRPr="00091AFD">
        <w:rPr>
          <w:rFonts w:cs="Arial"/>
          <w:sz w:val="22"/>
          <w:szCs w:val="22"/>
          <w:lang w:val="es-CR"/>
        </w:rPr>
        <w:t xml:space="preserve">stamo de </w:t>
      </w:r>
      <w:r w:rsidR="00091AFD">
        <w:rPr>
          <w:rFonts w:cs="Arial"/>
          <w:sz w:val="22"/>
          <w:szCs w:val="22"/>
          <w:lang w:val="es-CR"/>
        </w:rPr>
        <w:t>la</w:t>
      </w:r>
      <w:r w:rsidR="00091AFD" w:rsidRPr="00091AFD">
        <w:rPr>
          <w:rFonts w:cs="Arial"/>
          <w:sz w:val="22"/>
          <w:szCs w:val="22"/>
          <w:lang w:val="es-CR"/>
        </w:rPr>
        <w:t xml:space="preserve"> finca </w:t>
      </w:r>
      <w:proofErr w:type="spellStart"/>
      <w:r w:rsidR="00091AFD" w:rsidRPr="00091AFD">
        <w:rPr>
          <w:rFonts w:cs="Arial"/>
          <w:sz w:val="22"/>
          <w:szCs w:val="22"/>
          <w:lang w:val="es-CR"/>
        </w:rPr>
        <w:t>Cobasur</w:t>
      </w:r>
      <w:proofErr w:type="spellEnd"/>
      <w:r w:rsidR="00091AFD" w:rsidRPr="00091AFD">
        <w:rPr>
          <w:rFonts w:cs="Arial"/>
          <w:sz w:val="22"/>
          <w:szCs w:val="22"/>
          <w:lang w:val="es-CR"/>
        </w:rPr>
        <w:t xml:space="preserve">, </w:t>
      </w:r>
      <w:r w:rsidR="00CA14A5">
        <w:rPr>
          <w:rFonts w:cs="Arial"/>
          <w:sz w:val="22"/>
          <w:szCs w:val="22"/>
          <w:lang w:val="es-CR"/>
        </w:rPr>
        <w:t xml:space="preserve">la </w:t>
      </w:r>
      <w:r w:rsidR="00091AFD" w:rsidRPr="00091AFD">
        <w:rPr>
          <w:rFonts w:cs="Arial"/>
          <w:sz w:val="22"/>
          <w:szCs w:val="22"/>
          <w:lang w:val="es-CR"/>
        </w:rPr>
        <w:t xml:space="preserve">que </w:t>
      </w:r>
      <w:r w:rsidR="009D7387">
        <w:rPr>
          <w:rFonts w:cs="Arial"/>
          <w:sz w:val="22"/>
          <w:szCs w:val="22"/>
          <w:lang w:val="es-CR"/>
        </w:rPr>
        <w:t xml:space="preserve">según lo autorizado por la </w:t>
      </w:r>
      <w:r w:rsidR="009D7387" w:rsidRPr="00D82927">
        <w:rPr>
          <w:rFonts w:cs="Arial"/>
          <w:sz w:val="22"/>
          <w:szCs w:val="22"/>
          <w:lang w:val="es-ES_tradnl"/>
        </w:rPr>
        <w:t>Gerencia General</w:t>
      </w:r>
      <w:r w:rsidR="009D7387">
        <w:rPr>
          <w:rFonts w:cs="Arial"/>
          <w:sz w:val="22"/>
          <w:szCs w:val="22"/>
          <w:lang w:val="es-ES_tradnl"/>
        </w:rPr>
        <w:t xml:space="preserve"> de este Banco</w:t>
      </w:r>
      <w:r w:rsidR="00E75FDD">
        <w:rPr>
          <w:rFonts w:cs="Arial"/>
          <w:sz w:val="22"/>
          <w:szCs w:val="22"/>
          <w:lang w:val="es-ES_tradnl"/>
        </w:rPr>
        <w:t xml:space="preserve"> </w:t>
      </w:r>
      <w:r w:rsidR="00E75FDD" w:rsidRPr="00E75FDD">
        <w:rPr>
          <w:rFonts w:cs="Arial"/>
          <w:b/>
          <w:bCs/>
          <w:sz w:val="22"/>
          <w:szCs w:val="22"/>
          <w:lang w:val="es-ES_tradnl"/>
        </w:rPr>
        <w:t>desde hace cinco años</w:t>
      </w:r>
      <w:r w:rsidR="009D7387">
        <w:rPr>
          <w:rFonts w:cs="Arial"/>
          <w:sz w:val="22"/>
          <w:szCs w:val="22"/>
          <w:lang w:val="es-ES_tradnl"/>
        </w:rPr>
        <w:t xml:space="preserve">, </w:t>
      </w:r>
      <w:r w:rsidR="00091AFD" w:rsidRPr="00091AFD">
        <w:rPr>
          <w:rFonts w:cs="Arial"/>
          <w:sz w:val="22"/>
          <w:szCs w:val="22"/>
          <w:lang w:val="es-CR"/>
        </w:rPr>
        <w:t xml:space="preserve">alberga </w:t>
      </w:r>
      <w:r w:rsidR="00D82927">
        <w:rPr>
          <w:rFonts w:cs="Arial"/>
          <w:sz w:val="22"/>
          <w:szCs w:val="22"/>
          <w:lang w:val="es-CR"/>
        </w:rPr>
        <w:t>de</w:t>
      </w:r>
      <w:r w:rsidR="00091AFD" w:rsidRPr="00091AFD">
        <w:rPr>
          <w:rFonts w:cs="Arial"/>
          <w:sz w:val="22"/>
          <w:szCs w:val="22"/>
          <w:lang w:val="es-CR"/>
        </w:rPr>
        <w:t xml:space="preserve"> forma temporal</w:t>
      </w:r>
      <w:r w:rsidR="009D7387">
        <w:rPr>
          <w:rFonts w:cs="Arial"/>
          <w:sz w:val="22"/>
          <w:szCs w:val="22"/>
          <w:lang w:val="es-ES_tradnl"/>
        </w:rPr>
        <w:t xml:space="preserve"> </w:t>
      </w:r>
      <w:r w:rsidR="00091AFD" w:rsidRPr="00091AFD">
        <w:rPr>
          <w:rFonts w:cs="Arial"/>
          <w:sz w:val="22"/>
          <w:szCs w:val="22"/>
          <w:lang w:val="es-CR"/>
        </w:rPr>
        <w:t>a las familias del</w:t>
      </w:r>
      <w:r w:rsidR="00091AFD">
        <w:rPr>
          <w:rFonts w:cs="Arial"/>
          <w:sz w:val="22"/>
          <w:szCs w:val="22"/>
          <w:lang w:val="es-CR"/>
        </w:rPr>
        <w:t xml:space="preserve"> </w:t>
      </w:r>
      <w:r w:rsidR="00091AFD" w:rsidRPr="00091AFD">
        <w:rPr>
          <w:rFonts w:cs="Arial"/>
          <w:sz w:val="22"/>
          <w:szCs w:val="22"/>
          <w:lang w:val="es-CR"/>
        </w:rPr>
        <w:t xml:space="preserve">Asentamiento de </w:t>
      </w:r>
      <w:proofErr w:type="spellStart"/>
      <w:r w:rsidR="00091AFD" w:rsidRPr="00091AFD">
        <w:rPr>
          <w:rFonts w:cs="Arial"/>
          <w:sz w:val="22"/>
          <w:szCs w:val="22"/>
          <w:lang w:val="es-CR"/>
        </w:rPr>
        <w:t>Ch</w:t>
      </w:r>
      <w:r w:rsidR="00091AFD">
        <w:rPr>
          <w:rFonts w:cs="Arial"/>
          <w:sz w:val="22"/>
          <w:szCs w:val="22"/>
          <w:lang w:val="es-CR"/>
        </w:rPr>
        <w:t>á</w:t>
      </w:r>
      <w:r w:rsidR="00091AFD" w:rsidRPr="00091AFD">
        <w:rPr>
          <w:rFonts w:cs="Arial"/>
          <w:sz w:val="22"/>
          <w:szCs w:val="22"/>
          <w:lang w:val="es-CR"/>
        </w:rPr>
        <w:t>nguena</w:t>
      </w:r>
      <w:proofErr w:type="spellEnd"/>
      <w:r w:rsidR="00091AFD" w:rsidRPr="00091AFD">
        <w:rPr>
          <w:rFonts w:cs="Arial"/>
          <w:sz w:val="22"/>
          <w:szCs w:val="22"/>
          <w:lang w:val="es-CR"/>
        </w:rPr>
        <w:t xml:space="preserve"> y Cuadrante Tres, mientras se efect</w:t>
      </w:r>
      <w:r w:rsidR="00091AFD">
        <w:rPr>
          <w:rFonts w:cs="Arial"/>
          <w:sz w:val="22"/>
          <w:szCs w:val="22"/>
          <w:lang w:val="es-CR"/>
        </w:rPr>
        <w:t>ú</w:t>
      </w:r>
      <w:r w:rsidR="00091AFD" w:rsidRPr="00091AFD">
        <w:rPr>
          <w:rFonts w:cs="Arial"/>
          <w:sz w:val="22"/>
          <w:szCs w:val="22"/>
          <w:lang w:val="es-CR"/>
        </w:rPr>
        <w:t>a su traslado y ubicaci</w:t>
      </w:r>
      <w:r w:rsidR="00091AFD">
        <w:rPr>
          <w:rFonts w:cs="Arial"/>
          <w:sz w:val="22"/>
          <w:szCs w:val="22"/>
          <w:lang w:val="es-CR"/>
        </w:rPr>
        <w:t>ó</w:t>
      </w:r>
      <w:r w:rsidR="00091AFD" w:rsidRPr="00091AFD">
        <w:rPr>
          <w:rFonts w:cs="Arial"/>
          <w:sz w:val="22"/>
          <w:szCs w:val="22"/>
          <w:lang w:val="es-CR"/>
        </w:rPr>
        <w:t>n</w:t>
      </w:r>
      <w:r w:rsidR="009D7387">
        <w:rPr>
          <w:rFonts w:cs="Arial"/>
          <w:sz w:val="22"/>
          <w:szCs w:val="22"/>
          <w:lang w:val="es-CR"/>
        </w:rPr>
        <w:t xml:space="preserve"> </w:t>
      </w:r>
      <w:r w:rsidR="00091AFD" w:rsidRPr="00091AFD">
        <w:rPr>
          <w:rFonts w:cs="Arial"/>
          <w:sz w:val="22"/>
          <w:szCs w:val="22"/>
          <w:lang w:val="es-CR"/>
        </w:rPr>
        <w:t>a otro lugar.</w:t>
      </w:r>
    </w:p>
    <w:p w14:paraId="53B5F23E" w14:textId="662BFEDD" w:rsidR="009D3731" w:rsidRDefault="009D3731" w:rsidP="009D3731">
      <w:pPr>
        <w:spacing w:line="360" w:lineRule="auto"/>
        <w:jc w:val="both"/>
        <w:rPr>
          <w:rFonts w:cs="Arial"/>
          <w:sz w:val="22"/>
          <w:szCs w:val="22"/>
          <w:lang w:val="es-CR"/>
        </w:rPr>
      </w:pPr>
      <w:r>
        <w:rPr>
          <w:rFonts w:cs="Arial"/>
          <w:sz w:val="22"/>
          <w:szCs w:val="22"/>
          <w:lang w:val="es-CR"/>
        </w:rPr>
        <w:t xml:space="preserve">b) </w:t>
      </w:r>
      <w:r w:rsidRPr="00091AFD">
        <w:rPr>
          <w:rFonts w:cs="Arial"/>
          <w:sz w:val="22"/>
          <w:szCs w:val="22"/>
          <w:lang w:val="es-CR"/>
        </w:rPr>
        <w:t xml:space="preserve">La </w:t>
      </w:r>
      <w:r>
        <w:rPr>
          <w:rFonts w:cs="Arial"/>
          <w:sz w:val="22"/>
          <w:szCs w:val="22"/>
          <w:lang w:val="es-CR"/>
        </w:rPr>
        <w:t>ú</w:t>
      </w:r>
      <w:r w:rsidRPr="00091AFD">
        <w:rPr>
          <w:rFonts w:cs="Arial"/>
          <w:sz w:val="22"/>
          <w:szCs w:val="22"/>
          <w:lang w:val="es-CR"/>
        </w:rPr>
        <w:t>ltima versi</w:t>
      </w:r>
      <w:r>
        <w:rPr>
          <w:rFonts w:cs="Arial"/>
          <w:sz w:val="22"/>
          <w:szCs w:val="22"/>
          <w:lang w:val="es-CR"/>
        </w:rPr>
        <w:t xml:space="preserve">ón </w:t>
      </w:r>
      <w:r w:rsidRPr="00091AFD">
        <w:rPr>
          <w:rFonts w:cs="Arial"/>
          <w:sz w:val="22"/>
          <w:szCs w:val="22"/>
          <w:lang w:val="es-CR"/>
        </w:rPr>
        <w:t xml:space="preserve">del </w:t>
      </w:r>
      <w:r>
        <w:rPr>
          <w:rFonts w:cs="Arial"/>
          <w:sz w:val="22"/>
          <w:szCs w:val="22"/>
          <w:lang w:val="es-CR"/>
        </w:rPr>
        <w:t>c</w:t>
      </w:r>
      <w:r w:rsidRPr="00091AFD">
        <w:rPr>
          <w:rFonts w:cs="Arial"/>
          <w:sz w:val="22"/>
          <w:szCs w:val="22"/>
          <w:lang w:val="es-CR"/>
        </w:rPr>
        <w:t>onvenio de cooperaci</w:t>
      </w:r>
      <w:r>
        <w:rPr>
          <w:rFonts w:cs="Arial"/>
          <w:sz w:val="22"/>
          <w:szCs w:val="22"/>
          <w:lang w:val="es-CR"/>
        </w:rPr>
        <w:t xml:space="preserve">ón </w:t>
      </w:r>
      <w:r w:rsidRPr="00091AFD">
        <w:rPr>
          <w:rFonts w:cs="Arial"/>
          <w:sz w:val="22"/>
          <w:szCs w:val="22"/>
          <w:lang w:val="es-CR"/>
        </w:rPr>
        <w:t xml:space="preserve">entre el INDER y el BANHVI, </w:t>
      </w:r>
      <w:r w:rsidR="0091743D">
        <w:rPr>
          <w:rFonts w:cs="Arial"/>
          <w:sz w:val="22"/>
          <w:szCs w:val="22"/>
          <w:lang w:val="es-CR"/>
        </w:rPr>
        <w:t xml:space="preserve">atendiendo además lo recomendado por la </w:t>
      </w:r>
      <w:r w:rsidR="0091743D" w:rsidRPr="0091743D">
        <w:rPr>
          <w:rFonts w:cs="Arial"/>
          <w:sz w:val="22"/>
          <w:szCs w:val="22"/>
          <w:lang w:val="es-ES_tradnl"/>
        </w:rPr>
        <w:t>Auditoría Interna</w:t>
      </w:r>
      <w:r w:rsidR="0091743D">
        <w:rPr>
          <w:rFonts w:cs="Arial"/>
          <w:sz w:val="22"/>
          <w:szCs w:val="22"/>
          <w:lang w:val="es-ES_tradnl"/>
        </w:rPr>
        <w:t xml:space="preserve"> </w:t>
      </w:r>
      <w:r w:rsidR="0091743D">
        <w:rPr>
          <w:rFonts w:cs="Arial"/>
          <w:sz w:val="22"/>
          <w:szCs w:val="22"/>
          <w:lang w:val="es-CR"/>
        </w:rPr>
        <w:t xml:space="preserve">en </w:t>
      </w:r>
      <w:r w:rsidR="0091743D" w:rsidRPr="004B1182">
        <w:rPr>
          <w:rFonts w:cs="Arial"/>
          <w:sz w:val="22"/>
          <w:szCs w:val="22"/>
          <w:lang w:val="es-CR"/>
        </w:rPr>
        <w:t>el Informe F</w:t>
      </w:r>
      <w:r w:rsidR="0091743D">
        <w:rPr>
          <w:rFonts w:cs="Arial"/>
          <w:sz w:val="22"/>
          <w:szCs w:val="22"/>
          <w:lang w:val="es-CR"/>
        </w:rPr>
        <w:t>O</w:t>
      </w:r>
      <w:r w:rsidR="0091743D" w:rsidRPr="004B1182">
        <w:rPr>
          <w:rFonts w:cs="Arial"/>
          <w:sz w:val="22"/>
          <w:szCs w:val="22"/>
          <w:lang w:val="es-CR"/>
        </w:rPr>
        <w:t>-ESP-011-2016 “</w:t>
      </w:r>
      <w:r w:rsidR="0091743D">
        <w:rPr>
          <w:rFonts w:cs="Arial"/>
          <w:sz w:val="22"/>
          <w:szCs w:val="22"/>
          <w:lang w:val="es-CR"/>
        </w:rPr>
        <w:t>I</w:t>
      </w:r>
      <w:r w:rsidR="0091743D" w:rsidRPr="004B1182">
        <w:rPr>
          <w:rFonts w:cs="Arial"/>
          <w:sz w:val="22"/>
          <w:szCs w:val="22"/>
          <w:lang w:val="es-CR"/>
        </w:rPr>
        <w:t>nvestigaci</w:t>
      </w:r>
      <w:r w:rsidR="0091743D">
        <w:rPr>
          <w:rFonts w:cs="Arial"/>
          <w:sz w:val="22"/>
          <w:szCs w:val="22"/>
          <w:lang w:val="es-CR"/>
        </w:rPr>
        <w:t xml:space="preserve">ón </w:t>
      </w:r>
      <w:r w:rsidR="0091743D" w:rsidRPr="004B1182">
        <w:rPr>
          <w:rFonts w:cs="Arial"/>
          <w:sz w:val="22"/>
          <w:szCs w:val="22"/>
          <w:lang w:val="es-CR"/>
        </w:rPr>
        <w:t>Proyecto</w:t>
      </w:r>
      <w:r w:rsidR="0091743D">
        <w:rPr>
          <w:rFonts w:cs="Arial"/>
          <w:sz w:val="22"/>
          <w:szCs w:val="22"/>
          <w:lang w:val="es-CR"/>
        </w:rPr>
        <w:t xml:space="preserve"> </w:t>
      </w:r>
      <w:proofErr w:type="spellStart"/>
      <w:r w:rsidR="0091743D" w:rsidRPr="004B1182">
        <w:rPr>
          <w:rFonts w:cs="Arial"/>
          <w:sz w:val="22"/>
          <w:szCs w:val="22"/>
          <w:lang w:val="es-CR"/>
        </w:rPr>
        <w:t>Cobasur</w:t>
      </w:r>
      <w:proofErr w:type="spellEnd"/>
      <w:r w:rsidR="0091743D" w:rsidRPr="004B1182">
        <w:rPr>
          <w:rFonts w:cs="Arial"/>
          <w:sz w:val="22"/>
          <w:szCs w:val="22"/>
          <w:lang w:val="es-CR"/>
        </w:rPr>
        <w:t>”</w:t>
      </w:r>
      <w:r w:rsidR="0091743D">
        <w:rPr>
          <w:rFonts w:cs="Arial"/>
          <w:sz w:val="22"/>
          <w:szCs w:val="22"/>
          <w:lang w:val="es-CR"/>
        </w:rPr>
        <w:t xml:space="preserve">, fue </w:t>
      </w:r>
      <w:r w:rsidRPr="00091AFD">
        <w:rPr>
          <w:rFonts w:cs="Arial"/>
          <w:sz w:val="22"/>
          <w:szCs w:val="22"/>
          <w:lang w:val="es-CR"/>
        </w:rPr>
        <w:t xml:space="preserve">aprobada por </w:t>
      </w:r>
      <w:r>
        <w:rPr>
          <w:rFonts w:cs="Arial"/>
          <w:sz w:val="22"/>
          <w:szCs w:val="22"/>
          <w:lang w:val="es-CR"/>
        </w:rPr>
        <w:t>esta</w:t>
      </w:r>
      <w:r w:rsidRPr="00091AFD">
        <w:rPr>
          <w:rFonts w:cs="Arial"/>
          <w:sz w:val="22"/>
          <w:szCs w:val="22"/>
          <w:lang w:val="es-CR"/>
        </w:rPr>
        <w:t xml:space="preserve"> Junta Directiva mediante </w:t>
      </w:r>
      <w:r>
        <w:rPr>
          <w:rFonts w:cs="Arial"/>
          <w:sz w:val="22"/>
          <w:szCs w:val="22"/>
          <w:lang w:val="es-CR"/>
        </w:rPr>
        <w:t>el a</w:t>
      </w:r>
      <w:r w:rsidRPr="00091AFD">
        <w:rPr>
          <w:rFonts w:cs="Arial"/>
          <w:sz w:val="22"/>
          <w:szCs w:val="22"/>
          <w:lang w:val="es-CR"/>
        </w:rPr>
        <w:t>cuerdo N°</w:t>
      </w:r>
      <w:r w:rsidR="00F73750">
        <w:rPr>
          <w:rFonts w:cs="Arial"/>
          <w:sz w:val="22"/>
          <w:szCs w:val="22"/>
          <w:lang w:val="es-CR"/>
        </w:rPr>
        <w:t xml:space="preserve"> </w:t>
      </w:r>
      <w:r w:rsidRPr="00091AFD">
        <w:rPr>
          <w:rFonts w:cs="Arial"/>
          <w:sz w:val="22"/>
          <w:szCs w:val="22"/>
          <w:lang w:val="es-CR"/>
        </w:rPr>
        <w:t xml:space="preserve">2 de </w:t>
      </w:r>
      <w:r>
        <w:rPr>
          <w:rFonts w:cs="Arial"/>
          <w:sz w:val="22"/>
          <w:szCs w:val="22"/>
          <w:lang w:val="es-CR"/>
        </w:rPr>
        <w:t xml:space="preserve">la </w:t>
      </w:r>
      <w:r w:rsidRPr="00091AFD">
        <w:rPr>
          <w:rFonts w:cs="Arial"/>
          <w:sz w:val="22"/>
          <w:szCs w:val="22"/>
          <w:lang w:val="es-CR"/>
        </w:rPr>
        <w:t>sesi</w:t>
      </w:r>
      <w:r>
        <w:rPr>
          <w:rFonts w:cs="Arial"/>
          <w:sz w:val="22"/>
          <w:szCs w:val="22"/>
          <w:lang w:val="es-CR"/>
        </w:rPr>
        <w:t xml:space="preserve">ón </w:t>
      </w:r>
      <w:r w:rsidRPr="00091AFD">
        <w:rPr>
          <w:rFonts w:cs="Arial"/>
          <w:sz w:val="22"/>
          <w:szCs w:val="22"/>
          <w:lang w:val="es-CR"/>
        </w:rPr>
        <w:t>39-2019</w:t>
      </w:r>
      <w:r>
        <w:rPr>
          <w:rFonts w:cs="Arial"/>
          <w:sz w:val="22"/>
          <w:szCs w:val="22"/>
          <w:lang w:val="es-CR"/>
        </w:rPr>
        <w:t>,</w:t>
      </w:r>
      <w:r w:rsidRPr="00091AFD">
        <w:rPr>
          <w:rFonts w:cs="Arial"/>
          <w:sz w:val="22"/>
          <w:szCs w:val="22"/>
          <w:lang w:val="es-CR"/>
        </w:rPr>
        <w:t xml:space="preserve"> del 23 de mayo de 2019</w:t>
      </w:r>
      <w:r w:rsidR="004139D2">
        <w:rPr>
          <w:rFonts w:cs="Arial"/>
          <w:sz w:val="22"/>
          <w:szCs w:val="22"/>
          <w:lang w:val="es-CR"/>
        </w:rPr>
        <w:t>, estableciendo su vigencia hasta el 31 de mayo de 2020.</w:t>
      </w:r>
      <w:r>
        <w:rPr>
          <w:rFonts w:cs="Arial"/>
          <w:sz w:val="22"/>
          <w:szCs w:val="22"/>
          <w:lang w:val="es-CR"/>
        </w:rPr>
        <w:t xml:space="preserve">  Este c</w:t>
      </w:r>
      <w:r w:rsidRPr="00091AFD">
        <w:rPr>
          <w:rFonts w:cs="Arial"/>
          <w:sz w:val="22"/>
          <w:szCs w:val="22"/>
          <w:lang w:val="es-CR"/>
        </w:rPr>
        <w:t>onvenio fue remitido al INDER mediante</w:t>
      </w:r>
      <w:r>
        <w:rPr>
          <w:rFonts w:cs="Arial"/>
          <w:sz w:val="22"/>
          <w:szCs w:val="22"/>
          <w:lang w:val="es-CR"/>
        </w:rPr>
        <w:t xml:space="preserve"> el </w:t>
      </w:r>
      <w:r w:rsidRPr="00091AFD">
        <w:rPr>
          <w:rFonts w:cs="Arial"/>
          <w:sz w:val="22"/>
          <w:szCs w:val="22"/>
          <w:lang w:val="es-CR"/>
        </w:rPr>
        <w:t>oficio GG-OF-0566-2019</w:t>
      </w:r>
      <w:r>
        <w:rPr>
          <w:rFonts w:cs="Arial"/>
          <w:sz w:val="22"/>
          <w:szCs w:val="22"/>
          <w:lang w:val="es-CR"/>
        </w:rPr>
        <w:t>,</w:t>
      </w:r>
      <w:r w:rsidRPr="00091AFD">
        <w:rPr>
          <w:rFonts w:cs="Arial"/>
          <w:sz w:val="22"/>
          <w:szCs w:val="22"/>
          <w:lang w:val="es-CR"/>
        </w:rPr>
        <w:t xml:space="preserve"> del 29 de mayo de 2019</w:t>
      </w:r>
      <w:r>
        <w:rPr>
          <w:rFonts w:cs="Arial"/>
          <w:sz w:val="22"/>
          <w:szCs w:val="22"/>
          <w:lang w:val="es-CR"/>
        </w:rPr>
        <w:t>,</w:t>
      </w:r>
      <w:r w:rsidRPr="00091AFD">
        <w:rPr>
          <w:rFonts w:cs="Arial"/>
          <w:sz w:val="22"/>
          <w:szCs w:val="22"/>
          <w:lang w:val="es-CR"/>
        </w:rPr>
        <w:t xml:space="preserve"> solicitando gestionar su aprobaci</w:t>
      </w:r>
      <w:r>
        <w:rPr>
          <w:rFonts w:cs="Arial"/>
          <w:sz w:val="22"/>
          <w:szCs w:val="22"/>
          <w:lang w:val="es-CR"/>
        </w:rPr>
        <w:t xml:space="preserve">ón </w:t>
      </w:r>
      <w:r w:rsidRPr="00091AFD">
        <w:rPr>
          <w:rFonts w:cs="Arial"/>
          <w:sz w:val="22"/>
          <w:szCs w:val="22"/>
          <w:lang w:val="es-CR"/>
        </w:rPr>
        <w:t>por</w:t>
      </w:r>
      <w:r>
        <w:rPr>
          <w:rFonts w:cs="Arial"/>
          <w:sz w:val="22"/>
          <w:szCs w:val="22"/>
          <w:lang w:val="es-CR"/>
        </w:rPr>
        <w:t xml:space="preserve"> </w:t>
      </w:r>
      <w:r w:rsidRPr="00091AFD">
        <w:rPr>
          <w:rFonts w:cs="Arial"/>
          <w:sz w:val="22"/>
          <w:szCs w:val="22"/>
          <w:lang w:val="es-CR"/>
        </w:rPr>
        <w:t xml:space="preserve">parte de </w:t>
      </w:r>
      <w:r>
        <w:rPr>
          <w:rFonts w:cs="Arial"/>
          <w:sz w:val="22"/>
          <w:szCs w:val="22"/>
          <w:lang w:val="es-CR"/>
        </w:rPr>
        <w:t>la</w:t>
      </w:r>
      <w:r w:rsidRPr="00091AFD">
        <w:rPr>
          <w:rFonts w:cs="Arial"/>
          <w:sz w:val="22"/>
          <w:szCs w:val="22"/>
          <w:lang w:val="es-CR"/>
        </w:rPr>
        <w:t xml:space="preserve"> Junta Directiva de ese Instituto y proceder con su firma.</w:t>
      </w:r>
    </w:p>
    <w:p w14:paraId="3BEE415E" w14:textId="0222FC31" w:rsidR="00F73750" w:rsidRDefault="00F73750" w:rsidP="00F73750">
      <w:pPr>
        <w:spacing w:line="360" w:lineRule="auto"/>
        <w:jc w:val="both"/>
        <w:rPr>
          <w:rFonts w:cs="Arial"/>
          <w:sz w:val="22"/>
          <w:szCs w:val="22"/>
          <w:lang w:val="es-CR"/>
        </w:rPr>
      </w:pPr>
      <w:r>
        <w:rPr>
          <w:rFonts w:cs="Arial"/>
          <w:sz w:val="22"/>
          <w:szCs w:val="22"/>
          <w:lang w:val="es-CR"/>
        </w:rPr>
        <w:t xml:space="preserve">c) </w:t>
      </w:r>
      <w:r w:rsidRPr="00091AFD">
        <w:rPr>
          <w:rFonts w:cs="Arial"/>
          <w:sz w:val="22"/>
          <w:szCs w:val="22"/>
          <w:lang w:val="es-CR"/>
        </w:rPr>
        <w:t>Debido a que el INDER no procedi</w:t>
      </w:r>
      <w:r>
        <w:rPr>
          <w:rFonts w:cs="Arial"/>
          <w:sz w:val="22"/>
          <w:szCs w:val="22"/>
          <w:lang w:val="es-CR"/>
        </w:rPr>
        <w:t>ó</w:t>
      </w:r>
      <w:r w:rsidRPr="00091AFD">
        <w:rPr>
          <w:rFonts w:cs="Arial"/>
          <w:sz w:val="22"/>
          <w:szCs w:val="22"/>
          <w:lang w:val="es-CR"/>
        </w:rPr>
        <w:t xml:space="preserve"> con </w:t>
      </w:r>
      <w:r>
        <w:rPr>
          <w:rFonts w:cs="Arial"/>
          <w:sz w:val="22"/>
          <w:szCs w:val="22"/>
          <w:lang w:val="es-CR"/>
        </w:rPr>
        <w:t>la</w:t>
      </w:r>
      <w:r w:rsidRPr="00091AFD">
        <w:rPr>
          <w:rFonts w:cs="Arial"/>
          <w:sz w:val="22"/>
          <w:szCs w:val="22"/>
          <w:lang w:val="es-CR"/>
        </w:rPr>
        <w:t xml:space="preserve"> firma del </w:t>
      </w:r>
      <w:r w:rsidR="004139D2">
        <w:rPr>
          <w:rFonts w:cs="Arial"/>
          <w:sz w:val="22"/>
          <w:szCs w:val="22"/>
          <w:lang w:val="es-CR"/>
        </w:rPr>
        <w:t>convenio</w:t>
      </w:r>
      <w:r w:rsidRPr="00091AFD">
        <w:rPr>
          <w:rFonts w:cs="Arial"/>
          <w:sz w:val="22"/>
          <w:szCs w:val="22"/>
          <w:lang w:val="es-CR"/>
        </w:rPr>
        <w:t xml:space="preserve">, </w:t>
      </w:r>
      <w:r>
        <w:rPr>
          <w:rFonts w:cs="Arial"/>
          <w:sz w:val="22"/>
          <w:szCs w:val="22"/>
          <w:lang w:val="es-CR"/>
        </w:rPr>
        <w:t xml:space="preserve">esta </w:t>
      </w:r>
      <w:r w:rsidRPr="00F73750">
        <w:rPr>
          <w:rFonts w:cs="Arial"/>
          <w:sz w:val="22"/>
          <w:szCs w:val="22"/>
          <w:lang w:val="es-ES_tradnl"/>
        </w:rPr>
        <w:t>Junta Directiva</w:t>
      </w:r>
      <w:r>
        <w:rPr>
          <w:rFonts w:cs="Arial"/>
          <w:sz w:val="22"/>
          <w:szCs w:val="22"/>
          <w:lang w:val="es-ES_tradnl"/>
        </w:rPr>
        <w:t xml:space="preserve">, por medio del </w:t>
      </w:r>
      <w:r w:rsidRPr="00091AFD">
        <w:rPr>
          <w:rFonts w:cs="Arial"/>
          <w:sz w:val="22"/>
          <w:szCs w:val="22"/>
          <w:lang w:val="es-CR"/>
        </w:rPr>
        <w:t>acuerdo N°</w:t>
      </w:r>
      <w:r>
        <w:rPr>
          <w:rFonts w:cs="Arial"/>
          <w:sz w:val="22"/>
          <w:szCs w:val="22"/>
          <w:lang w:val="es-CR"/>
        </w:rPr>
        <w:t xml:space="preserve"> </w:t>
      </w:r>
      <w:r w:rsidRPr="00091AFD">
        <w:rPr>
          <w:rFonts w:cs="Arial"/>
          <w:sz w:val="22"/>
          <w:szCs w:val="22"/>
          <w:lang w:val="es-CR"/>
        </w:rPr>
        <w:t xml:space="preserve">14 de </w:t>
      </w:r>
      <w:r>
        <w:rPr>
          <w:rFonts w:cs="Arial"/>
          <w:sz w:val="22"/>
          <w:szCs w:val="22"/>
          <w:lang w:val="es-CR"/>
        </w:rPr>
        <w:t>l</w:t>
      </w:r>
      <w:r w:rsidRPr="00091AFD">
        <w:rPr>
          <w:rFonts w:cs="Arial"/>
          <w:sz w:val="22"/>
          <w:szCs w:val="22"/>
          <w:lang w:val="es-CR"/>
        </w:rPr>
        <w:t>a</w:t>
      </w:r>
      <w:r>
        <w:rPr>
          <w:rFonts w:cs="Arial"/>
          <w:sz w:val="22"/>
          <w:szCs w:val="22"/>
          <w:lang w:val="es-CR"/>
        </w:rPr>
        <w:t xml:space="preserve"> </w:t>
      </w:r>
      <w:r w:rsidRPr="00091AFD">
        <w:rPr>
          <w:rFonts w:cs="Arial"/>
          <w:sz w:val="22"/>
          <w:szCs w:val="22"/>
          <w:lang w:val="es-CR"/>
        </w:rPr>
        <w:t>sesi</w:t>
      </w:r>
      <w:r>
        <w:rPr>
          <w:rFonts w:cs="Arial"/>
          <w:sz w:val="22"/>
          <w:szCs w:val="22"/>
          <w:lang w:val="es-CR"/>
        </w:rPr>
        <w:t>ón</w:t>
      </w:r>
      <w:r w:rsidRPr="00091AFD">
        <w:rPr>
          <w:rFonts w:cs="Arial"/>
          <w:sz w:val="22"/>
          <w:szCs w:val="22"/>
          <w:lang w:val="es-CR"/>
        </w:rPr>
        <w:t xml:space="preserve"> 57-2019</w:t>
      </w:r>
      <w:r>
        <w:rPr>
          <w:rFonts w:cs="Arial"/>
          <w:sz w:val="22"/>
          <w:szCs w:val="22"/>
          <w:lang w:val="es-CR"/>
        </w:rPr>
        <w:t>,</w:t>
      </w:r>
      <w:r w:rsidRPr="00091AFD">
        <w:rPr>
          <w:rFonts w:cs="Arial"/>
          <w:sz w:val="22"/>
          <w:szCs w:val="22"/>
          <w:lang w:val="es-CR"/>
        </w:rPr>
        <w:t xml:space="preserve"> del 29 de julio de 2019</w:t>
      </w:r>
      <w:r>
        <w:rPr>
          <w:rFonts w:cs="Arial"/>
          <w:sz w:val="22"/>
          <w:szCs w:val="22"/>
          <w:lang w:val="es-CR"/>
        </w:rPr>
        <w:t>,</w:t>
      </w:r>
      <w:r w:rsidRPr="00091AFD">
        <w:rPr>
          <w:rFonts w:cs="Arial"/>
          <w:sz w:val="22"/>
          <w:szCs w:val="22"/>
          <w:lang w:val="es-CR"/>
        </w:rPr>
        <w:t xml:space="preserve"> solicit</w:t>
      </w:r>
      <w:r>
        <w:rPr>
          <w:rFonts w:cs="Arial"/>
          <w:sz w:val="22"/>
          <w:szCs w:val="22"/>
          <w:lang w:val="es-CR"/>
        </w:rPr>
        <w:t>ó</w:t>
      </w:r>
      <w:r w:rsidRPr="00091AFD">
        <w:rPr>
          <w:rFonts w:cs="Arial"/>
          <w:sz w:val="22"/>
          <w:szCs w:val="22"/>
          <w:lang w:val="es-CR"/>
        </w:rPr>
        <w:t xml:space="preserve"> una audiencia</w:t>
      </w:r>
      <w:r>
        <w:rPr>
          <w:rFonts w:cs="Arial"/>
          <w:sz w:val="22"/>
          <w:szCs w:val="22"/>
          <w:lang w:val="es-CR"/>
        </w:rPr>
        <w:t xml:space="preserve"> </w:t>
      </w:r>
      <w:r w:rsidRPr="00091AFD">
        <w:rPr>
          <w:rFonts w:cs="Arial"/>
          <w:sz w:val="22"/>
          <w:szCs w:val="22"/>
          <w:lang w:val="es-CR"/>
        </w:rPr>
        <w:t xml:space="preserve">a </w:t>
      </w:r>
      <w:r>
        <w:rPr>
          <w:rFonts w:cs="Arial"/>
          <w:sz w:val="22"/>
          <w:szCs w:val="22"/>
          <w:lang w:val="es-CR"/>
        </w:rPr>
        <w:t>l</w:t>
      </w:r>
      <w:r w:rsidRPr="00091AFD">
        <w:rPr>
          <w:rFonts w:cs="Arial"/>
          <w:sz w:val="22"/>
          <w:szCs w:val="22"/>
          <w:lang w:val="es-CR"/>
        </w:rPr>
        <w:t xml:space="preserve">a Junta Directiva del </w:t>
      </w:r>
      <w:r w:rsidR="00CA14A5">
        <w:rPr>
          <w:rFonts w:cs="Arial"/>
          <w:sz w:val="22"/>
          <w:szCs w:val="22"/>
          <w:lang w:val="es-CR"/>
        </w:rPr>
        <w:t>Instituto de Desarrollo Rural</w:t>
      </w:r>
      <w:r w:rsidRPr="00091AFD">
        <w:rPr>
          <w:rFonts w:cs="Arial"/>
          <w:sz w:val="22"/>
          <w:szCs w:val="22"/>
          <w:lang w:val="es-CR"/>
        </w:rPr>
        <w:t>, con el</w:t>
      </w:r>
      <w:r>
        <w:rPr>
          <w:rFonts w:cs="Arial"/>
          <w:sz w:val="22"/>
          <w:szCs w:val="22"/>
          <w:lang w:val="es-CR"/>
        </w:rPr>
        <w:t xml:space="preserve"> </w:t>
      </w:r>
      <w:r w:rsidRPr="00091AFD">
        <w:rPr>
          <w:rFonts w:cs="Arial"/>
          <w:sz w:val="22"/>
          <w:szCs w:val="22"/>
          <w:lang w:val="es-CR"/>
        </w:rPr>
        <w:t xml:space="preserve">fin de discutir los alcances del </w:t>
      </w:r>
      <w:r w:rsidR="00CA14A5">
        <w:rPr>
          <w:rFonts w:cs="Arial"/>
          <w:sz w:val="22"/>
          <w:szCs w:val="22"/>
          <w:lang w:val="es-CR"/>
        </w:rPr>
        <w:t>c</w:t>
      </w:r>
      <w:r w:rsidRPr="00091AFD">
        <w:rPr>
          <w:rFonts w:cs="Arial"/>
          <w:sz w:val="22"/>
          <w:szCs w:val="22"/>
          <w:lang w:val="es-CR"/>
        </w:rPr>
        <w:t>onvenio</w:t>
      </w:r>
      <w:r>
        <w:rPr>
          <w:rFonts w:cs="Arial"/>
          <w:sz w:val="22"/>
          <w:szCs w:val="22"/>
          <w:lang w:val="es-CR"/>
        </w:rPr>
        <w:t>.  No obstante, esta</w:t>
      </w:r>
      <w:r w:rsidRPr="00091AFD">
        <w:rPr>
          <w:rFonts w:cs="Arial"/>
          <w:sz w:val="22"/>
          <w:szCs w:val="22"/>
          <w:lang w:val="es-CR"/>
        </w:rPr>
        <w:t xml:space="preserve"> gesti</w:t>
      </w:r>
      <w:r>
        <w:rPr>
          <w:rFonts w:cs="Arial"/>
          <w:sz w:val="22"/>
          <w:szCs w:val="22"/>
          <w:lang w:val="es-CR"/>
        </w:rPr>
        <w:t xml:space="preserve">ón </w:t>
      </w:r>
      <w:r w:rsidRPr="00091AFD">
        <w:rPr>
          <w:rFonts w:cs="Arial"/>
          <w:sz w:val="22"/>
          <w:szCs w:val="22"/>
          <w:lang w:val="es-CR"/>
        </w:rPr>
        <w:t>tambi</w:t>
      </w:r>
      <w:r>
        <w:rPr>
          <w:rFonts w:cs="Arial"/>
          <w:sz w:val="22"/>
          <w:szCs w:val="22"/>
          <w:lang w:val="es-CR"/>
        </w:rPr>
        <w:t xml:space="preserve">én </w:t>
      </w:r>
      <w:r w:rsidRPr="00091AFD">
        <w:rPr>
          <w:rFonts w:cs="Arial"/>
          <w:sz w:val="22"/>
          <w:szCs w:val="22"/>
          <w:lang w:val="es-CR"/>
        </w:rPr>
        <w:t>result</w:t>
      </w:r>
      <w:r>
        <w:rPr>
          <w:rFonts w:cs="Arial"/>
          <w:sz w:val="22"/>
          <w:szCs w:val="22"/>
          <w:lang w:val="es-CR"/>
        </w:rPr>
        <w:t>ó</w:t>
      </w:r>
      <w:r w:rsidRPr="00091AFD">
        <w:rPr>
          <w:rFonts w:cs="Arial"/>
          <w:sz w:val="22"/>
          <w:szCs w:val="22"/>
          <w:lang w:val="es-CR"/>
        </w:rPr>
        <w:t xml:space="preserve"> infructuosa.</w:t>
      </w:r>
    </w:p>
    <w:p w14:paraId="0AAF0518" w14:textId="65F35E57" w:rsidR="0091743D" w:rsidRDefault="0091743D" w:rsidP="0091743D">
      <w:pPr>
        <w:spacing w:line="360" w:lineRule="auto"/>
        <w:jc w:val="both"/>
        <w:rPr>
          <w:rFonts w:cs="Arial"/>
          <w:sz w:val="22"/>
          <w:szCs w:val="22"/>
          <w:lang w:val="es-CR"/>
        </w:rPr>
      </w:pPr>
      <w:r>
        <w:rPr>
          <w:rFonts w:cs="Arial"/>
          <w:sz w:val="22"/>
          <w:szCs w:val="22"/>
          <w:lang w:val="es-CR"/>
        </w:rPr>
        <w:t xml:space="preserve">d) Según lo indica la Administración en el informe </w:t>
      </w:r>
      <w:r>
        <w:rPr>
          <w:rFonts w:cs="Arial"/>
          <w:sz w:val="22"/>
          <w:szCs w:val="22"/>
          <w:lang w:val="es-ES_tradnl"/>
        </w:rPr>
        <w:t xml:space="preserve">SGF-ME-0015-2020/DFNV-ME-472-2020, como producto de las gestiones que se han venido realizando, </w:t>
      </w:r>
      <w:r w:rsidRPr="00781096">
        <w:rPr>
          <w:rFonts w:cs="Arial"/>
          <w:sz w:val="22"/>
          <w:szCs w:val="22"/>
          <w:lang w:val="es-CR"/>
        </w:rPr>
        <w:t>el INDER inform</w:t>
      </w:r>
      <w:r>
        <w:rPr>
          <w:rFonts w:cs="Arial"/>
          <w:sz w:val="22"/>
          <w:szCs w:val="22"/>
          <w:lang w:val="es-CR"/>
        </w:rPr>
        <w:t xml:space="preserve">ó a este Banco, </w:t>
      </w:r>
      <w:r w:rsidRPr="00781096">
        <w:rPr>
          <w:rFonts w:cs="Arial"/>
          <w:sz w:val="22"/>
          <w:szCs w:val="22"/>
          <w:lang w:val="es-CR"/>
        </w:rPr>
        <w:t>mediante oficio GG-DRT-0779-2020</w:t>
      </w:r>
      <w:r>
        <w:rPr>
          <w:rFonts w:cs="Arial"/>
          <w:sz w:val="22"/>
          <w:szCs w:val="22"/>
          <w:lang w:val="es-CR"/>
        </w:rPr>
        <w:t>,</w:t>
      </w:r>
      <w:r w:rsidRPr="00781096">
        <w:rPr>
          <w:rFonts w:cs="Arial"/>
          <w:sz w:val="22"/>
          <w:szCs w:val="22"/>
          <w:lang w:val="es-CR"/>
        </w:rPr>
        <w:t xml:space="preserve"> del 23</w:t>
      </w:r>
      <w:r>
        <w:rPr>
          <w:rFonts w:cs="Arial"/>
          <w:sz w:val="22"/>
          <w:szCs w:val="22"/>
          <w:lang w:val="es-CR"/>
        </w:rPr>
        <w:t xml:space="preserve"> de octubre de </w:t>
      </w:r>
      <w:r w:rsidRPr="00781096">
        <w:rPr>
          <w:rFonts w:cs="Arial"/>
          <w:sz w:val="22"/>
          <w:szCs w:val="22"/>
          <w:lang w:val="es-CR"/>
        </w:rPr>
        <w:t>2020</w:t>
      </w:r>
      <w:r>
        <w:rPr>
          <w:rFonts w:cs="Arial"/>
          <w:sz w:val="22"/>
          <w:szCs w:val="22"/>
          <w:lang w:val="es-CR"/>
        </w:rPr>
        <w:t>,</w:t>
      </w:r>
      <w:r w:rsidRPr="00781096">
        <w:rPr>
          <w:rFonts w:cs="Arial"/>
          <w:sz w:val="22"/>
          <w:szCs w:val="22"/>
          <w:lang w:val="es-CR"/>
        </w:rPr>
        <w:t xml:space="preserve"> que </w:t>
      </w:r>
      <w:r>
        <w:rPr>
          <w:rFonts w:cs="Arial"/>
          <w:sz w:val="22"/>
          <w:szCs w:val="22"/>
          <w:lang w:val="es-CR"/>
        </w:rPr>
        <w:t>l</w:t>
      </w:r>
      <w:r w:rsidRPr="00781096">
        <w:rPr>
          <w:rFonts w:cs="Arial"/>
          <w:sz w:val="22"/>
          <w:szCs w:val="22"/>
          <w:lang w:val="es-CR"/>
        </w:rPr>
        <w:t>a</w:t>
      </w:r>
      <w:r>
        <w:rPr>
          <w:rFonts w:cs="Arial"/>
          <w:sz w:val="22"/>
          <w:szCs w:val="22"/>
          <w:lang w:val="es-CR"/>
        </w:rPr>
        <w:t xml:space="preserve"> </w:t>
      </w:r>
      <w:r w:rsidRPr="00781096">
        <w:rPr>
          <w:rFonts w:cs="Arial"/>
          <w:sz w:val="22"/>
          <w:szCs w:val="22"/>
          <w:lang w:val="es-CR"/>
        </w:rPr>
        <w:t>programaci</w:t>
      </w:r>
      <w:r>
        <w:rPr>
          <w:rFonts w:cs="Arial"/>
          <w:sz w:val="22"/>
          <w:szCs w:val="22"/>
          <w:lang w:val="es-CR"/>
        </w:rPr>
        <w:t xml:space="preserve">ón </w:t>
      </w:r>
      <w:r w:rsidRPr="00781096">
        <w:rPr>
          <w:rFonts w:cs="Arial"/>
          <w:sz w:val="22"/>
          <w:szCs w:val="22"/>
          <w:lang w:val="es-CR"/>
        </w:rPr>
        <w:t>para el desalojo y reubicaci</w:t>
      </w:r>
      <w:r>
        <w:rPr>
          <w:rFonts w:cs="Arial"/>
          <w:sz w:val="22"/>
          <w:szCs w:val="22"/>
          <w:lang w:val="es-CR"/>
        </w:rPr>
        <w:t xml:space="preserve">ón </w:t>
      </w:r>
      <w:r w:rsidRPr="00781096">
        <w:rPr>
          <w:rFonts w:cs="Arial"/>
          <w:sz w:val="22"/>
          <w:szCs w:val="22"/>
          <w:lang w:val="es-CR"/>
        </w:rPr>
        <w:t xml:space="preserve">de las familias de </w:t>
      </w:r>
      <w:r>
        <w:rPr>
          <w:rFonts w:cs="Arial"/>
          <w:sz w:val="22"/>
          <w:szCs w:val="22"/>
          <w:lang w:val="es-CR"/>
        </w:rPr>
        <w:t>l</w:t>
      </w:r>
      <w:r w:rsidRPr="00781096">
        <w:rPr>
          <w:rFonts w:cs="Arial"/>
          <w:sz w:val="22"/>
          <w:szCs w:val="22"/>
          <w:lang w:val="es-CR"/>
        </w:rPr>
        <w:t xml:space="preserve">a finca </w:t>
      </w:r>
      <w:proofErr w:type="spellStart"/>
      <w:r w:rsidRPr="00781096">
        <w:rPr>
          <w:rFonts w:cs="Arial"/>
          <w:sz w:val="22"/>
          <w:szCs w:val="22"/>
          <w:lang w:val="es-CR"/>
        </w:rPr>
        <w:t>Cobasur</w:t>
      </w:r>
      <w:proofErr w:type="spellEnd"/>
      <w:r w:rsidRPr="00781096">
        <w:rPr>
          <w:rFonts w:cs="Arial"/>
          <w:sz w:val="22"/>
          <w:szCs w:val="22"/>
          <w:lang w:val="es-CR"/>
        </w:rPr>
        <w:t xml:space="preserve"> depende</w:t>
      </w:r>
      <w:r>
        <w:rPr>
          <w:rFonts w:cs="Arial"/>
          <w:sz w:val="22"/>
          <w:szCs w:val="22"/>
          <w:lang w:val="es-CR"/>
        </w:rPr>
        <w:t xml:space="preserve"> </w:t>
      </w:r>
      <w:r w:rsidRPr="00781096">
        <w:rPr>
          <w:rFonts w:cs="Arial"/>
          <w:sz w:val="22"/>
          <w:szCs w:val="22"/>
          <w:lang w:val="es-CR"/>
        </w:rPr>
        <w:t>de un hecho futuro e incierto en relaci</w:t>
      </w:r>
      <w:r>
        <w:rPr>
          <w:rFonts w:cs="Arial"/>
          <w:sz w:val="22"/>
          <w:szCs w:val="22"/>
          <w:lang w:val="es-CR"/>
        </w:rPr>
        <w:t xml:space="preserve">ón </w:t>
      </w:r>
      <w:r w:rsidRPr="00781096">
        <w:rPr>
          <w:rFonts w:cs="Arial"/>
          <w:sz w:val="22"/>
          <w:szCs w:val="22"/>
          <w:lang w:val="es-CR"/>
        </w:rPr>
        <w:t xml:space="preserve">con </w:t>
      </w:r>
      <w:r>
        <w:rPr>
          <w:rFonts w:cs="Arial"/>
          <w:sz w:val="22"/>
          <w:szCs w:val="22"/>
          <w:lang w:val="es-CR"/>
        </w:rPr>
        <w:t>l</w:t>
      </w:r>
      <w:r w:rsidRPr="00781096">
        <w:rPr>
          <w:rFonts w:cs="Arial"/>
          <w:sz w:val="22"/>
          <w:szCs w:val="22"/>
          <w:lang w:val="es-CR"/>
        </w:rPr>
        <w:t>a toma de posesi</w:t>
      </w:r>
      <w:r>
        <w:rPr>
          <w:rFonts w:cs="Arial"/>
          <w:sz w:val="22"/>
          <w:szCs w:val="22"/>
          <w:lang w:val="es-CR"/>
        </w:rPr>
        <w:t xml:space="preserve">ón </w:t>
      </w:r>
      <w:r w:rsidRPr="00781096">
        <w:rPr>
          <w:rFonts w:cs="Arial"/>
          <w:sz w:val="22"/>
          <w:szCs w:val="22"/>
          <w:lang w:val="es-CR"/>
        </w:rPr>
        <w:t xml:space="preserve">de </w:t>
      </w:r>
      <w:r>
        <w:rPr>
          <w:rFonts w:cs="Arial"/>
          <w:sz w:val="22"/>
          <w:szCs w:val="22"/>
          <w:lang w:val="es-CR"/>
        </w:rPr>
        <w:t>l</w:t>
      </w:r>
      <w:r w:rsidRPr="00781096">
        <w:rPr>
          <w:rFonts w:cs="Arial"/>
          <w:sz w:val="22"/>
          <w:szCs w:val="22"/>
          <w:lang w:val="es-CR"/>
        </w:rPr>
        <w:t>a finca</w:t>
      </w:r>
      <w:r w:rsidR="00CA14A5">
        <w:rPr>
          <w:rFonts w:cs="Arial"/>
          <w:sz w:val="22"/>
          <w:szCs w:val="22"/>
          <w:lang w:val="es-CR"/>
        </w:rPr>
        <w:t>; sin embargo,</w:t>
      </w:r>
      <w:r w:rsidRPr="00781096">
        <w:rPr>
          <w:rFonts w:cs="Arial"/>
          <w:sz w:val="22"/>
          <w:szCs w:val="22"/>
          <w:lang w:val="es-CR"/>
        </w:rPr>
        <w:t xml:space="preserve"> ha</w:t>
      </w:r>
      <w:r>
        <w:rPr>
          <w:rFonts w:cs="Arial"/>
          <w:sz w:val="22"/>
          <w:szCs w:val="22"/>
          <w:lang w:val="es-CR"/>
        </w:rPr>
        <w:t xml:space="preserve"> </w:t>
      </w:r>
      <w:r w:rsidRPr="00781096">
        <w:rPr>
          <w:rFonts w:cs="Arial"/>
          <w:sz w:val="22"/>
          <w:szCs w:val="22"/>
          <w:lang w:val="es-CR"/>
        </w:rPr>
        <w:t>establecido como punto de referen</w:t>
      </w:r>
      <w:r>
        <w:rPr>
          <w:rFonts w:cs="Arial"/>
          <w:sz w:val="22"/>
          <w:szCs w:val="22"/>
          <w:lang w:val="es-CR"/>
        </w:rPr>
        <w:t>cia</w:t>
      </w:r>
      <w:r w:rsidRPr="00781096">
        <w:rPr>
          <w:rFonts w:cs="Arial"/>
          <w:sz w:val="22"/>
          <w:szCs w:val="22"/>
          <w:lang w:val="es-CR"/>
        </w:rPr>
        <w:t xml:space="preserve"> el </w:t>
      </w:r>
      <w:r w:rsidRPr="0091743D">
        <w:rPr>
          <w:rFonts w:cs="Arial"/>
          <w:b/>
          <w:bCs/>
          <w:sz w:val="22"/>
          <w:szCs w:val="22"/>
          <w:lang w:val="es-CR"/>
        </w:rPr>
        <w:t>30 de junio de 2021</w:t>
      </w:r>
      <w:r>
        <w:rPr>
          <w:rFonts w:cs="Arial"/>
          <w:sz w:val="22"/>
          <w:szCs w:val="22"/>
          <w:lang w:val="es-CR"/>
        </w:rPr>
        <w:t>.</w:t>
      </w:r>
    </w:p>
    <w:p w14:paraId="0D64FD90" w14:textId="63D43C2E" w:rsidR="0068041D" w:rsidRDefault="0068041D" w:rsidP="00781096">
      <w:pPr>
        <w:spacing w:line="360" w:lineRule="auto"/>
        <w:jc w:val="both"/>
        <w:rPr>
          <w:rFonts w:cs="Arial"/>
          <w:sz w:val="22"/>
          <w:szCs w:val="22"/>
          <w:lang w:val="es-CR"/>
        </w:rPr>
      </w:pPr>
      <w:r>
        <w:rPr>
          <w:rFonts w:cs="Arial"/>
          <w:sz w:val="22"/>
          <w:szCs w:val="22"/>
          <w:lang w:val="es-CR"/>
        </w:rPr>
        <w:t xml:space="preserve">e) De conformidad con el cronograma </w:t>
      </w:r>
      <w:r w:rsidR="00781096" w:rsidRPr="00781096">
        <w:rPr>
          <w:rFonts w:cs="Arial"/>
          <w:sz w:val="22"/>
          <w:szCs w:val="22"/>
          <w:lang w:val="es-CR"/>
        </w:rPr>
        <w:t xml:space="preserve">de actividades para el desarrollo del proyecto </w:t>
      </w:r>
      <w:proofErr w:type="spellStart"/>
      <w:r w:rsidR="00781096" w:rsidRPr="00781096">
        <w:rPr>
          <w:rFonts w:cs="Arial"/>
          <w:sz w:val="22"/>
          <w:szCs w:val="22"/>
          <w:lang w:val="es-CR"/>
        </w:rPr>
        <w:t>Cobasur</w:t>
      </w:r>
      <w:proofErr w:type="spellEnd"/>
      <w:r w:rsidR="00781096">
        <w:rPr>
          <w:rFonts w:cs="Arial"/>
          <w:sz w:val="22"/>
          <w:szCs w:val="22"/>
          <w:lang w:val="es-CR"/>
        </w:rPr>
        <w:t xml:space="preserve">, </w:t>
      </w:r>
      <w:r>
        <w:rPr>
          <w:rFonts w:cs="Arial"/>
          <w:sz w:val="22"/>
          <w:szCs w:val="22"/>
          <w:lang w:val="es-CR"/>
        </w:rPr>
        <w:t xml:space="preserve">la Mutual Cartago </w:t>
      </w:r>
      <w:r w:rsidRPr="0068041D">
        <w:rPr>
          <w:rFonts w:cs="Arial"/>
          <w:sz w:val="22"/>
          <w:szCs w:val="22"/>
          <w:lang w:val="es-ES_tradnl"/>
        </w:rPr>
        <w:t>de Ahorro y Préstamo</w:t>
      </w:r>
      <w:r>
        <w:rPr>
          <w:rFonts w:cs="Arial"/>
          <w:sz w:val="22"/>
          <w:szCs w:val="22"/>
          <w:lang w:val="es-ES_tradnl"/>
        </w:rPr>
        <w:t xml:space="preserve"> (MUCAP), en su condición de Fiduciario, ha</w:t>
      </w:r>
      <w:r w:rsidR="00781096" w:rsidRPr="00781096">
        <w:rPr>
          <w:rFonts w:cs="Arial"/>
          <w:sz w:val="22"/>
          <w:szCs w:val="22"/>
          <w:lang w:val="es-CR"/>
        </w:rPr>
        <w:t xml:space="preserve"> se</w:t>
      </w:r>
      <w:r w:rsidR="00781096">
        <w:rPr>
          <w:rFonts w:cs="Arial"/>
          <w:sz w:val="22"/>
          <w:szCs w:val="22"/>
          <w:lang w:val="es-CR"/>
        </w:rPr>
        <w:t>ñ</w:t>
      </w:r>
      <w:r w:rsidR="00781096" w:rsidRPr="00781096">
        <w:rPr>
          <w:rFonts w:cs="Arial"/>
          <w:sz w:val="22"/>
          <w:szCs w:val="22"/>
          <w:lang w:val="es-CR"/>
        </w:rPr>
        <w:t xml:space="preserve">alado que el desalojo de las familias que ocupan </w:t>
      </w:r>
      <w:r w:rsidR="00781096">
        <w:rPr>
          <w:rFonts w:cs="Arial"/>
          <w:sz w:val="22"/>
          <w:szCs w:val="22"/>
          <w:lang w:val="es-CR"/>
        </w:rPr>
        <w:t>l</w:t>
      </w:r>
      <w:r w:rsidR="00781096" w:rsidRPr="00781096">
        <w:rPr>
          <w:rFonts w:cs="Arial"/>
          <w:sz w:val="22"/>
          <w:szCs w:val="22"/>
          <w:lang w:val="es-CR"/>
        </w:rPr>
        <w:t>a</w:t>
      </w:r>
      <w:r w:rsidR="00781096">
        <w:rPr>
          <w:rFonts w:cs="Arial"/>
          <w:sz w:val="22"/>
          <w:szCs w:val="22"/>
          <w:lang w:val="es-CR"/>
        </w:rPr>
        <w:t xml:space="preserve"> </w:t>
      </w:r>
      <w:r w:rsidR="00781096" w:rsidRPr="00781096">
        <w:rPr>
          <w:rFonts w:cs="Arial"/>
          <w:sz w:val="22"/>
          <w:szCs w:val="22"/>
          <w:lang w:val="es-CR"/>
        </w:rPr>
        <w:t>finca debe estar con</w:t>
      </w:r>
      <w:r w:rsidR="00781096">
        <w:rPr>
          <w:rFonts w:cs="Arial"/>
          <w:sz w:val="22"/>
          <w:szCs w:val="22"/>
          <w:lang w:val="es-CR"/>
        </w:rPr>
        <w:t xml:space="preserve">cluido </w:t>
      </w:r>
      <w:r w:rsidR="00781096" w:rsidRPr="00781096">
        <w:rPr>
          <w:rFonts w:cs="Arial"/>
          <w:sz w:val="22"/>
          <w:szCs w:val="22"/>
          <w:lang w:val="es-CR"/>
        </w:rPr>
        <w:t>antes de que se inicie el proceso de licitac</w:t>
      </w:r>
      <w:r w:rsidR="00781096">
        <w:rPr>
          <w:rFonts w:cs="Arial"/>
          <w:sz w:val="22"/>
          <w:szCs w:val="22"/>
          <w:lang w:val="es-CR"/>
        </w:rPr>
        <w:t xml:space="preserve">ión </w:t>
      </w:r>
      <w:r w:rsidR="00781096" w:rsidRPr="00781096">
        <w:rPr>
          <w:rFonts w:cs="Arial"/>
          <w:sz w:val="22"/>
          <w:szCs w:val="22"/>
          <w:lang w:val="es-CR"/>
        </w:rPr>
        <w:t>p</w:t>
      </w:r>
      <w:r w:rsidR="00781096">
        <w:rPr>
          <w:rFonts w:cs="Arial"/>
          <w:sz w:val="22"/>
          <w:szCs w:val="22"/>
          <w:lang w:val="es-CR"/>
        </w:rPr>
        <w:t>ú</w:t>
      </w:r>
      <w:r w:rsidR="00781096" w:rsidRPr="00781096">
        <w:rPr>
          <w:rFonts w:cs="Arial"/>
          <w:sz w:val="22"/>
          <w:szCs w:val="22"/>
          <w:lang w:val="es-CR"/>
        </w:rPr>
        <w:t xml:space="preserve">blica para </w:t>
      </w:r>
      <w:r w:rsidR="00781096">
        <w:rPr>
          <w:rFonts w:cs="Arial"/>
          <w:sz w:val="22"/>
          <w:szCs w:val="22"/>
          <w:lang w:val="es-CR"/>
        </w:rPr>
        <w:t>l</w:t>
      </w:r>
      <w:r w:rsidR="00781096" w:rsidRPr="00781096">
        <w:rPr>
          <w:rFonts w:cs="Arial"/>
          <w:sz w:val="22"/>
          <w:szCs w:val="22"/>
          <w:lang w:val="es-CR"/>
        </w:rPr>
        <w:t>a</w:t>
      </w:r>
      <w:r w:rsidR="00781096">
        <w:rPr>
          <w:rFonts w:cs="Arial"/>
          <w:sz w:val="22"/>
          <w:szCs w:val="22"/>
          <w:lang w:val="es-CR"/>
        </w:rPr>
        <w:t xml:space="preserve"> </w:t>
      </w:r>
      <w:r w:rsidR="00781096" w:rsidRPr="00781096">
        <w:rPr>
          <w:rFonts w:cs="Arial"/>
          <w:sz w:val="22"/>
          <w:szCs w:val="22"/>
          <w:lang w:val="es-CR"/>
        </w:rPr>
        <w:t>construcci</w:t>
      </w:r>
      <w:r w:rsidR="00781096">
        <w:rPr>
          <w:rFonts w:cs="Arial"/>
          <w:sz w:val="22"/>
          <w:szCs w:val="22"/>
          <w:lang w:val="es-CR"/>
        </w:rPr>
        <w:t xml:space="preserve">ón </w:t>
      </w:r>
      <w:r w:rsidR="00781096" w:rsidRPr="00781096">
        <w:rPr>
          <w:rFonts w:cs="Arial"/>
          <w:sz w:val="22"/>
          <w:szCs w:val="22"/>
          <w:lang w:val="es-CR"/>
        </w:rPr>
        <w:t xml:space="preserve">de las obras, puesto </w:t>
      </w:r>
      <w:r w:rsidR="00781096" w:rsidRPr="00781096">
        <w:rPr>
          <w:rFonts w:cs="Arial"/>
          <w:sz w:val="22"/>
          <w:szCs w:val="22"/>
          <w:lang w:val="es-CR"/>
        </w:rPr>
        <w:lastRenderedPageBreak/>
        <w:t>que se requiere contar con seguridad jur</w:t>
      </w:r>
      <w:r w:rsidR="00781096">
        <w:rPr>
          <w:rFonts w:cs="Arial"/>
          <w:sz w:val="22"/>
          <w:szCs w:val="22"/>
          <w:lang w:val="es-CR"/>
        </w:rPr>
        <w:t>í</w:t>
      </w:r>
      <w:r w:rsidR="00781096" w:rsidRPr="00781096">
        <w:rPr>
          <w:rFonts w:cs="Arial"/>
          <w:sz w:val="22"/>
          <w:szCs w:val="22"/>
          <w:lang w:val="es-CR"/>
        </w:rPr>
        <w:t xml:space="preserve">dica sobre </w:t>
      </w:r>
      <w:r w:rsidR="00781096">
        <w:rPr>
          <w:rFonts w:cs="Arial"/>
          <w:sz w:val="22"/>
          <w:szCs w:val="22"/>
          <w:lang w:val="es-CR"/>
        </w:rPr>
        <w:t>l</w:t>
      </w:r>
      <w:r w:rsidR="00781096" w:rsidRPr="00781096">
        <w:rPr>
          <w:rFonts w:cs="Arial"/>
          <w:sz w:val="22"/>
          <w:szCs w:val="22"/>
          <w:lang w:val="es-CR"/>
        </w:rPr>
        <w:t>a</w:t>
      </w:r>
      <w:r w:rsidR="00781096">
        <w:rPr>
          <w:rFonts w:cs="Arial"/>
          <w:sz w:val="22"/>
          <w:szCs w:val="22"/>
          <w:lang w:val="es-CR"/>
        </w:rPr>
        <w:t xml:space="preserve"> </w:t>
      </w:r>
      <w:r w:rsidR="00781096" w:rsidRPr="00781096">
        <w:rPr>
          <w:rFonts w:cs="Arial"/>
          <w:sz w:val="22"/>
          <w:szCs w:val="22"/>
          <w:lang w:val="es-CR"/>
        </w:rPr>
        <w:t>condici</w:t>
      </w:r>
      <w:r w:rsidR="00781096">
        <w:rPr>
          <w:rFonts w:cs="Arial"/>
          <w:sz w:val="22"/>
          <w:szCs w:val="22"/>
          <w:lang w:val="es-CR"/>
        </w:rPr>
        <w:t xml:space="preserve">ón </w:t>
      </w:r>
      <w:r w:rsidR="00781096" w:rsidRPr="00781096">
        <w:rPr>
          <w:rFonts w:cs="Arial"/>
          <w:sz w:val="22"/>
          <w:szCs w:val="22"/>
          <w:lang w:val="es-CR"/>
        </w:rPr>
        <w:t xml:space="preserve">de </w:t>
      </w:r>
      <w:r w:rsidR="00781096">
        <w:rPr>
          <w:rFonts w:cs="Arial"/>
          <w:sz w:val="22"/>
          <w:szCs w:val="22"/>
          <w:lang w:val="es-CR"/>
        </w:rPr>
        <w:t>l</w:t>
      </w:r>
      <w:r w:rsidR="00781096" w:rsidRPr="00781096">
        <w:rPr>
          <w:rFonts w:cs="Arial"/>
          <w:sz w:val="22"/>
          <w:szCs w:val="22"/>
          <w:lang w:val="es-CR"/>
        </w:rPr>
        <w:t>a finca antes de iniciar esa licitaci</w:t>
      </w:r>
      <w:r w:rsidR="00781096">
        <w:rPr>
          <w:rFonts w:cs="Arial"/>
          <w:sz w:val="22"/>
          <w:szCs w:val="22"/>
          <w:lang w:val="es-CR"/>
        </w:rPr>
        <w:t>ón</w:t>
      </w:r>
      <w:r w:rsidR="00781096" w:rsidRPr="00781096">
        <w:rPr>
          <w:rFonts w:cs="Arial"/>
          <w:sz w:val="22"/>
          <w:szCs w:val="22"/>
          <w:lang w:val="es-CR"/>
        </w:rPr>
        <w:t xml:space="preserve">. </w:t>
      </w:r>
      <w:r>
        <w:rPr>
          <w:rFonts w:cs="Arial"/>
          <w:sz w:val="22"/>
          <w:szCs w:val="22"/>
          <w:lang w:val="es-CR"/>
        </w:rPr>
        <w:t xml:space="preserve">Y </w:t>
      </w:r>
      <w:r w:rsidR="00CF6538">
        <w:rPr>
          <w:rFonts w:cs="Arial"/>
          <w:sz w:val="22"/>
          <w:szCs w:val="22"/>
          <w:lang w:val="es-CR"/>
        </w:rPr>
        <w:t>en este sentido</w:t>
      </w:r>
      <w:r w:rsidR="00781096" w:rsidRPr="00781096">
        <w:rPr>
          <w:rFonts w:cs="Arial"/>
          <w:sz w:val="22"/>
          <w:szCs w:val="22"/>
          <w:lang w:val="es-CR"/>
        </w:rPr>
        <w:t xml:space="preserve">, </w:t>
      </w:r>
      <w:r>
        <w:rPr>
          <w:rFonts w:cs="Arial"/>
          <w:sz w:val="22"/>
          <w:szCs w:val="22"/>
          <w:lang w:val="es-CR"/>
        </w:rPr>
        <w:t xml:space="preserve">plantea que la actividad relacionada con el traslado y desalojo de las familias debe estar concluido el </w:t>
      </w:r>
      <w:r w:rsidRPr="0068041D">
        <w:rPr>
          <w:rFonts w:cs="Arial"/>
          <w:b/>
          <w:bCs/>
          <w:sz w:val="22"/>
          <w:szCs w:val="22"/>
          <w:lang w:val="es-CR"/>
        </w:rPr>
        <w:t>4 de agosto de 2021</w:t>
      </w:r>
      <w:r>
        <w:rPr>
          <w:rFonts w:cs="Arial"/>
          <w:sz w:val="22"/>
          <w:szCs w:val="22"/>
          <w:lang w:val="es-CR"/>
        </w:rPr>
        <w:t>.</w:t>
      </w:r>
    </w:p>
    <w:p w14:paraId="601592DE" w14:textId="77777777" w:rsidR="00B74A4D" w:rsidRDefault="00B74A4D" w:rsidP="00781096">
      <w:pPr>
        <w:spacing w:line="360" w:lineRule="auto"/>
        <w:jc w:val="both"/>
        <w:rPr>
          <w:rFonts w:cs="Arial"/>
          <w:sz w:val="22"/>
          <w:szCs w:val="22"/>
          <w:lang w:val="es-CR"/>
        </w:rPr>
      </w:pPr>
    </w:p>
    <w:p w14:paraId="305E168E" w14:textId="3AF2EF01" w:rsidR="00E6167A" w:rsidRDefault="00B233DB" w:rsidP="00781096">
      <w:pPr>
        <w:spacing w:line="360" w:lineRule="auto"/>
        <w:jc w:val="both"/>
        <w:rPr>
          <w:rFonts w:cs="Arial"/>
          <w:sz w:val="22"/>
          <w:szCs w:val="22"/>
          <w:lang w:val="es-CR"/>
        </w:rPr>
      </w:pPr>
      <w:r w:rsidRPr="00091AFD">
        <w:rPr>
          <w:rFonts w:cs="Arial"/>
          <w:b/>
          <w:bCs/>
          <w:sz w:val="22"/>
          <w:szCs w:val="22"/>
        </w:rPr>
        <w:t>Tercero:</w:t>
      </w:r>
      <w:r>
        <w:rPr>
          <w:rFonts w:cs="Arial"/>
          <w:sz w:val="22"/>
          <w:szCs w:val="22"/>
        </w:rPr>
        <w:t xml:space="preserve"> Que </w:t>
      </w:r>
      <w:r>
        <w:rPr>
          <w:rFonts w:cs="Arial"/>
          <w:sz w:val="22"/>
          <w:szCs w:val="22"/>
          <w:lang w:val="es-CR"/>
        </w:rPr>
        <w:t xml:space="preserve">adicionalmente, </w:t>
      </w:r>
      <w:r w:rsidR="00CA14A5">
        <w:rPr>
          <w:rFonts w:cs="Arial"/>
          <w:sz w:val="22"/>
          <w:szCs w:val="22"/>
          <w:lang w:val="es-CR"/>
        </w:rPr>
        <w:t xml:space="preserve">dado </w:t>
      </w:r>
      <w:r>
        <w:rPr>
          <w:rFonts w:cs="Arial"/>
          <w:sz w:val="22"/>
          <w:szCs w:val="22"/>
          <w:lang w:val="es-CR"/>
        </w:rPr>
        <w:t xml:space="preserve">que la nueva fecha plateada por el INDER </w:t>
      </w:r>
      <w:r w:rsidR="008C24B9">
        <w:rPr>
          <w:rFonts w:cs="Arial"/>
          <w:sz w:val="22"/>
          <w:szCs w:val="22"/>
          <w:lang w:val="es-CR"/>
        </w:rPr>
        <w:t xml:space="preserve">para reubicar a las familias </w:t>
      </w:r>
      <w:r>
        <w:rPr>
          <w:rFonts w:cs="Arial"/>
          <w:sz w:val="22"/>
          <w:szCs w:val="22"/>
          <w:lang w:val="es-CR"/>
        </w:rPr>
        <w:t>(30 de junio de 2021), sigue siendo i</w:t>
      </w:r>
      <w:r w:rsidR="00DE10DC">
        <w:rPr>
          <w:rFonts w:cs="Arial"/>
          <w:sz w:val="22"/>
          <w:szCs w:val="22"/>
          <w:lang w:val="es-CR"/>
        </w:rPr>
        <w:t>nsegura</w:t>
      </w:r>
      <w:r w:rsidR="00CA14A5">
        <w:rPr>
          <w:rFonts w:cs="Arial"/>
          <w:sz w:val="22"/>
          <w:szCs w:val="22"/>
          <w:lang w:val="es-CR"/>
        </w:rPr>
        <w:t xml:space="preserve">, esta </w:t>
      </w:r>
      <w:r w:rsidR="00CA14A5" w:rsidRPr="00CA14A5">
        <w:rPr>
          <w:rFonts w:cs="Arial"/>
          <w:sz w:val="22"/>
          <w:szCs w:val="22"/>
          <w:lang w:val="es-ES_tradnl"/>
        </w:rPr>
        <w:t>Junta Directiva</w:t>
      </w:r>
      <w:r w:rsidR="00CA14A5">
        <w:rPr>
          <w:rFonts w:cs="Arial"/>
          <w:sz w:val="22"/>
          <w:szCs w:val="22"/>
          <w:lang w:val="es-ES_tradnl"/>
        </w:rPr>
        <w:t xml:space="preserve"> estima que para </w:t>
      </w:r>
      <w:r w:rsidR="008C24B9">
        <w:rPr>
          <w:rFonts w:cs="Arial"/>
          <w:sz w:val="22"/>
          <w:szCs w:val="22"/>
          <w:lang w:val="es-CR"/>
        </w:rPr>
        <w:t xml:space="preserve">no seguir afectando la finalidad de desarrollar un proyecto de vivienda en la finca </w:t>
      </w:r>
      <w:proofErr w:type="spellStart"/>
      <w:r w:rsidR="008C24B9">
        <w:rPr>
          <w:rFonts w:cs="Arial"/>
          <w:sz w:val="22"/>
          <w:szCs w:val="22"/>
          <w:lang w:val="es-CR"/>
        </w:rPr>
        <w:t>Cobasur</w:t>
      </w:r>
      <w:proofErr w:type="spellEnd"/>
      <w:r w:rsidR="008C24B9">
        <w:rPr>
          <w:rFonts w:cs="Arial"/>
          <w:sz w:val="22"/>
          <w:szCs w:val="22"/>
          <w:lang w:val="es-CR"/>
        </w:rPr>
        <w:t xml:space="preserve">, </w:t>
      </w:r>
      <w:r w:rsidR="00CA14A5">
        <w:rPr>
          <w:rFonts w:cs="Arial"/>
          <w:sz w:val="22"/>
          <w:szCs w:val="22"/>
          <w:lang w:val="es-CR"/>
        </w:rPr>
        <w:t xml:space="preserve">es oportuno </w:t>
      </w:r>
      <w:r w:rsidR="008C24B9">
        <w:rPr>
          <w:rFonts w:cs="Arial"/>
          <w:sz w:val="22"/>
          <w:szCs w:val="22"/>
          <w:lang w:val="es-CR"/>
        </w:rPr>
        <w:t xml:space="preserve">girar instrucciones a la </w:t>
      </w:r>
      <w:r w:rsidR="008C24B9" w:rsidRPr="008C24B9">
        <w:rPr>
          <w:rFonts w:cs="Arial"/>
          <w:sz w:val="22"/>
          <w:szCs w:val="22"/>
          <w:lang w:val="es-ES_tradnl"/>
        </w:rPr>
        <w:t>Administración</w:t>
      </w:r>
      <w:r w:rsidR="008C24B9">
        <w:rPr>
          <w:rFonts w:cs="Arial"/>
          <w:sz w:val="22"/>
          <w:szCs w:val="22"/>
          <w:lang w:val="es-ES_tradnl"/>
        </w:rPr>
        <w:t xml:space="preserve">, para que </w:t>
      </w:r>
      <w:r w:rsidR="0057640D">
        <w:rPr>
          <w:rFonts w:cs="Arial"/>
          <w:sz w:val="22"/>
          <w:szCs w:val="22"/>
          <w:lang w:val="es-ES_tradnl"/>
        </w:rPr>
        <w:t xml:space="preserve">inicie los estudios </w:t>
      </w:r>
      <w:r w:rsidR="00B70FA6">
        <w:rPr>
          <w:rFonts w:cs="Arial"/>
          <w:sz w:val="22"/>
          <w:szCs w:val="22"/>
          <w:lang w:val="es-ES_tradnl"/>
        </w:rPr>
        <w:t xml:space="preserve">y las gestiones </w:t>
      </w:r>
      <w:r w:rsidR="00B70FA6">
        <w:rPr>
          <w:rFonts w:cs="Arial"/>
          <w:sz w:val="22"/>
          <w:szCs w:val="22"/>
        </w:rPr>
        <w:t xml:space="preserve">que correspondan para realizar, en caso necesario, el desalojo de las familias </w:t>
      </w:r>
      <w:r w:rsidR="00B70FA6" w:rsidRPr="00103A41">
        <w:rPr>
          <w:rFonts w:cs="Arial"/>
          <w:sz w:val="22"/>
          <w:szCs w:val="22"/>
          <w:lang w:val="es-CR"/>
        </w:rPr>
        <w:t xml:space="preserve">provenientes del asentamiento de </w:t>
      </w:r>
      <w:proofErr w:type="spellStart"/>
      <w:r w:rsidR="00B70FA6" w:rsidRPr="00103A41">
        <w:rPr>
          <w:rFonts w:cs="Arial"/>
          <w:sz w:val="22"/>
          <w:szCs w:val="22"/>
          <w:lang w:val="es-CR"/>
        </w:rPr>
        <w:t>Ch</w:t>
      </w:r>
      <w:r w:rsidR="00B70FA6">
        <w:rPr>
          <w:rFonts w:cs="Arial"/>
          <w:sz w:val="22"/>
          <w:szCs w:val="22"/>
          <w:lang w:val="es-CR"/>
        </w:rPr>
        <w:t>á</w:t>
      </w:r>
      <w:r w:rsidR="00B70FA6" w:rsidRPr="00103A41">
        <w:rPr>
          <w:rFonts w:cs="Arial"/>
          <w:sz w:val="22"/>
          <w:szCs w:val="22"/>
          <w:lang w:val="es-CR"/>
        </w:rPr>
        <w:t>nguena</w:t>
      </w:r>
      <w:proofErr w:type="spellEnd"/>
      <w:r w:rsidR="00B70FA6" w:rsidRPr="00103A41">
        <w:rPr>
          <w:rFonts w:cs="Arial"/>
          <w:sz w:val="22"/>
          <w:szCs w:val="22"/>
          <w:lang w:val="es-CR"/>
        </w:rPr>
        <w:t xml:space="preserve"> y Cuadrante Tres</w:t>
      </w:r>
      <w:r w:rsidR="00B70FA6">
        <w:rPr>
          <w:rFonts w:cs="Arial"/>
          <w:sz w:val="22"/>
          <w:szCs w:val="22"/>
          <w:lang w:val="es-CR"/>
        </w:rPr>
        <w:t>.</w:t>
      </w:r>
    </w:p>
    <w:p w14:paraId="604A387E" w14:textId="77777777" w:rsidR="00E6167A" w:rsidRDefault="00E6167A" w:rsidP="00781096">
      <w:pPr>
        <w:spacing w:line="360" w:lineRule="auto"/>
        <w:jc w:val="both"/>
        <w:rPr>
          <w:rFonts w:cs="Arial"/>
          <w:sz w:val="22"/>
          <w:szCs w:val="22"/>
          <w:lang w:val="es-CR"/>
        </w:rPr>
      </w:pPr>
    </w:p>
    <w:p w14:paraId="4871EA4B" w14:textId="4037E106" w:rsidR="00EC74F8" w:rsidRPr="00EC74F8" w:rsidRDefault="00EC74F8" w:rsidP="002B71CC">
      <w:pPr>
        <w:spacing w:line="360" w:lineRule="auto"/>
        <w:jc w:val="both"/>
        <w:rPr>
          <w:rFonts w:cs="Arial"/>
          <w:b/>
          <w:bCs/>
          <w:sz w:val="22"/>
          <w:szCs w:val="22"/>
        </w:rPr>
      </w:pPr>
      <w:r w:rsidRPr="00EC74F8">
        <w:rPr>
          <w:rFonts w:cs="Arial"/>
          <w:b/>
          <w:bCs/>
          <w:sz w:val="22"/>
          <w:szCs w:val="22"/>
        </w:rPr>
        <w:t>Por tanto, se acuerda:</w:t>
      </w:r>
    </w:p>
    <w:p w14:paraId="17776DED" w14:textId="74D04BC5" w:rsidR="00B70FA6" w:rsidRDefault="004C3E1D" w:rsidP="002B71CC">
      <w:pPr>
        <w:spacing w:line="360" w:lineRule="auto"/>
        <w:jc w:val="both"/>
        <w:rPr>
          <w:rFonts w:cs="Arial"/>
          <w:sz w:val="22"/>
          <w:szCs w:val="22"/>
        </w:rPr>
      </w:pPr>
      <w:r w:rsidRPr="004C3E1D">
        <w:rPr>
          <w:rFonts w:cs="Arial"/>
          <w:b/>
          <w:bCs/>
          <w:sz w:val="22"/>
          <w:szCs w:val="22"/>
        </w:rPr>
        <w:t>A)</w:t>
      </w:r>
      <w:r>
        <w:rPr>
          <w:rFonts w:cs="Arial"/>
          <w:sz w:val="22"/>
          <w:szCs w:val="22"/>
        </w:rPr>
        <w:t xml:space="preserve"> </w:t>
      </w:r>
      <w:r w:rsidR="00EC74F8">
        <w:rPr>
          <w:rFonts w:cs="Arial"/>
          <w:sz w:val="22"/>
          <w:szCs w:val="22"/>
        </w:rPr>
        <w:t xml:space="preserve">Autorizar a la </w:t>
      </w:r>
      <w:r w:rsidR="00EC74F8" w:rsidRPr="00EC74F8">
        <w:rPr>
          <w:rFonts w:cs="Arial"/>
          <w:sz w:val="22"/>
          <w:szCs w:val="22"/>
          <w:lang w:val="es-ES_tradnl"/>
        </w:rPr>
        <w:t>Gerencia General</w:t>
      </w:r>
      <w:r w:rsidR="00EC74F8">
        <w:rPr>
          <w:rFonts w:cs="Arial"/>
          <w:sz w:val="22"/>
          <w:szCs w:val="22"/>
          <w:lang w:val="es-ES_tradnl"/>
        </w:rPr>
        <w:t xml:space="preserve">, para que suscriba el </w:t>
      </w:r>
      <w:r w:rsidR="00EC74F8" w:rsidRPr="00EC74F8">
        <w:rPr>
          <w:rFonts w:cs="Arial"/>
          <w:sz w:val="22"/>
          <w:szCs w:val="22"/>
          <w:lang w:val="es-CR"/>
        </w:rPr>
        <w:t>“</w:t>
      </w:r>
      <w:r w:rsidR="00EC74F8" w:rsidRPr="004C3E1D">
        <w:rPr>
          <w:rFonts w:cs="Arial"/>
          <w:i/>
          <w:iCs/>
          <w:sz w:val="22"/>
          <w:szCs w:val="22"/>
          <w:lang w:val="es-CR"/>
        </w:rPr>
        <w:t xml:space="preserve">Convenio de cooperación entre el Instituto de Desarrollo Rural (INDER) y el Banco Hipotecario de la Vivienda (BANHVI), para la atención de familias procedentes del asentamiento de </w:t>
      </w:r>
      <w:proofErr w:type="spellStart"/>
      <w:r w:rsidR="00EC74F8" w:rsidRPr="004C3E1D">
        <w:rPr>
          <w:rFonts w:cs="Arial"/>
          <w:i/>
          <w:iCs/>
          <w:sz w:val="22"/>
          <w:szCs w:val="22"/>
          <w:lang w:val="es-CR"/>
        </w:rPr>
        <w:t>Changuena</w:t>
      </w:r>
      <w:proofErr w:type="spellEnd"/>
      <w:r w:rsidR="00EC74F8" w:rsidRPr="004C3E1D">
        <w:rPr>
          <w:rFonts w:cs="Arial"/>
          <w:i/>
          <w:iCs/>
          <w:sz w:val="22"/>
          <w:szCs w:val="22"/>
          <w:lang w:val="es-CR"/>
        </w:rPr>
        <w:t xml:space="preserve"> y Cuadrante Tres ubicadas en la finca </w:t>
      </w:r>
      <w:proofErr w:type="spellStart"/>
      <w:r w:rsidR="00EC74F8" w:rsidRPr="004C3E1D">
        <w:rPr>
          <w:rFonts w:cs="Arial"/>
          <w:i/>
          <w:iCs/>
          <w:sz w:val="22"/>
          <w:szCs w:val="22"/>
          <w:lang w:val="es-CR"/>
        </w:rPr>
        <w:t>Cobasur</w:t>
      </w:r>
      <w:proofErr w:type="spellEnd"/>
      <w:r w:rsidR="00EC74F8">
        <w:rPr>
          <w:rFonts w:cs="Arial"/>
          <w:sz w:val="22"/>
          <w:szCs w:val="22"/>
          <w:lang w:val="es-CR"/>
        </w:rPr>
        <w:t xml:space="preserve">”, en los mismos términos </w:t>
      </w:r>
      <w:r w:rsidR="00B70FA6">
        <w:rPr>
          <w:rFonts w:cs="Arial"/>
          <w:sz w:val="22"/>
          <w:szCs w:val="22"/>
          <w:lang w:val="es-CR"/>
        </w:rPr>
        <w:t xml:space="preserve">establecidos en el acuerdo </w:t>
      </w:r>
      <w:r w:rsidR="00B70FA6" w:rsidRPr="00103A41">
        <w:rPr>
          <w:rFonts w:cs="Arial"/>
          <w:sz w:val="22"/>
          <w:szCs w:val="22"/>
          <w:lang w:val="es-CR"/>
        </w:rPr>
        <w:t>N°</w:t>
      </w:r>
      <w:r w:rsidR="00B70FA6">
        <w:rPr>
          <w:rFonts w:cs="Arial"/>
          <w:sz w:val="22"/>
          <w:szCs w:val="22"/>
          <w:lang w:val="es-CR"/>
        </w:rPr>
        <w:t xml:space="preserve"> </w:t>
      </w:r>
      <w:r w:rsidR="00B70FA6" w:rsidRPr="00103A41">
        <w:rPr>
          <w:rFonts w:cs="Arial"/>
          <w:sz w:val="22"/>
          <w:szCs w:val="22"/>
          <w:lang w:val="es-CR"/>
        </w:rPr>
        <w:t xml:space="preserve">2 de </w:t>
      </w:r>
      <w:r w:rsidR="00B70FA6">
        <w:rPr>
          <w:rFonts w:cs="Arial"/>
          <w:sz w:val="22"/>
          <w:szCs w:val="22"/>
          <w:lang w:val="es-CR"/>
        </w:rPr>
        <w:t>la</w:t>
      </w:r>
      <w:r w:rsidR="00B70FA6" w:rsidRPr="00103A41">
        <w:rPr>
          <w:rFonts w:cs="Arial"/>
          <w:sz w:val="22"/>
          <w:szCs w:val="22"/>
          <w:lang w:val="es-CR"/>
        </w:rPr>
        <w:t xml:space="preserve"> sesi</w:t>
      </w:r>
      <w:r w:rsidR="00B70FA6">
        <w:rPr>
          <w:rFonts w:cs="Arial"/>
          <w:sz w:val="22"/>
          <w:szCs w:val="22"/>
          <w:lang w:val="es-CR"/>
        </w:rPr>
        <w:t xml:space="preserve">ón </w:t>
      </w:r>
      <w:r w:rsidR="00B70FA6" w:rsidRPr="00103A41">
        <w:rPr>
          <w:rFonts w:cs="Arial"/>
          <w:sz w:val="22"/>
          <w:szCs w:val="22"/>
          <w:lang w:val="es-CR"/>
        </w:rPr>
        <w:t>39-2019</w:t>
      </w:r>
      <w:r w:rsidR="00B70FA6">
        <w:rPr>
          <w:rFonts w:cs="Arial"/>
          <w:sz w:val="22"/>
          <w:szCs w:val="22"/>
          <w:lang w:val="es-CR"/>
        </w:rPr>
        <w:t>,</w:t>
      </w:r>
      <w:r w:rsidR="00B70FA6" w:rsidRPr="00103A41">
        <w:rPr>
          <w:rFonts w:cs="Arial"/>
          <w:sz w:val="22"/>
          <w:szCs w:val="22"/>
          <w:lang w:val="es-CR"/>
        </w:rPr>
        <w:t xml:space="preserve"> del 23 de mayo de 2019</w:t>
      </w:r>
      <w:r w:rsidR="00B70FA6">
        <w:rPr>
          <w:rFonts w:cs="Arial"/>
          <w:sz w:val="22"/>
          <w:szCs w:val="22"/>
          <w:lang w:val="es-CR"/>
        </w:rPr>
        <w:t xml:space="preserve">, modificando el plazo de la vigencia al 31 de agosto de 2021, </w:t>
      </w:r>
      <w:r w:rsidR="00B70FA6" w:rsidRPr="00835D3D">
        <w:rPr>
          <w:rFonts w:cs="Arial"/>
          <w:sz w:val="22"/>
          <w:szCs w:val="22"/>
          <w:lang w:val="es-CR"/>
        </w:rPr>
        <w:t>sin posibilidad de prórroga y en el tanto no se acuerde o determine su resolución o rescisión.</w:t>
      </w:r>
    </w:p>
    <w:p w14:paraId="42BCADF4" w14:textId="75F7CB36" w:rsidR="00B70FA6" w:rsidRDefault="00B70FA6" w:rsidP="002B71CC">
      <w:pPr>
        <w:spacing w:line="360" w:lineRule="auto"/>
        <w:jc w:val="both"/>
        <w:rPr>
          <w:rFonts w:cs="Arial"/>
          <w:sz w:val="22"/>
          <w:szCs w:val="22"/>
        </w:rPr>
      </w:pPr>
    </w:p>
    <w:p w14:paraId="2EEF7D79" w14:textId="7A3187C9" w:rsidR="002B71CC" w:rsidRDefault="004C3E1D" w:rsidP="002B71CC">
      <w:pPr>
        <w:spacing w:line="360" w:lineRule="auto"/>
        <w:jc w:val="both"/>
        <w:rPr>
          <w:rFonts w:cs="Arial"/>
          <w:sz w:val="22"/>
          <w:szCs w:val="22"/>
        </w:rPr>
      </w:pPr>
      <w:r w:rsidRPr="004C3E1D">
        <w:rPr>
          <w:rFonts w:cs="Arial"/>
          <w:b/>
          <w:bCs/>
          <w:sz w:val="22"/>
          <w:szCs w:val="22"/>
        </w:rPr>
        <w:t>B)</w:t>
      </w:r>
      <w:r>
        <w:rPr>
          <w:rFonts w:cs="Arial"/>
          <w:sz w:val="22"/>
          <w:szCs w:val="22"/>
        </w:rPr>
        <w:t xml:space="preserve"> Instruir a la </w:t>
      </w:r>
      <w:r w:rsidR="00EE5985">
        <w:rPr>
          <w:rFonts w:cs="Arial"/>
          <w:sz w:val="22"/>
          <w:szCs w:val="22"/>
        </w:rPr>
        <w:t>Administración</w:t>
      </w:r>
      <w:r>
        <w:rPr>
          <w:rFonts w:cs="Arial"/>
          <w:sz w:val="22"/>
          <w:szCs w:val="22"/>
          <w:lang w:val="es-ES_tradnl"/>
        </w:rPr>
        <w:t xml:space="preserve">, para que inicie los estudios y las gestiones </w:t>
      </w:r>
      <w:r>
        <w:rPr>
          <w:rFonts w:cs="Arial"/>
          <w:sz w:val="22"/>
          <w:szCs w:val="22"/>
        </w:rPr>
        <w:t>que correspondan, para que</w:t>
      </w:r>
      <w:r w:rsidR="00DE10DC">
        <w:rPr>
          <w:rFonts w:cs="Arial"/>
          <w:sz w:val="22"/>
          <w:szCs w:val="22"/>
        </w:rPr>
        <w:t>,</w:t>
      </w:r>
      <w:r>
        <w:rPr>
          <w:rFonts w:cs="Arial"/>
          <w:sz w:val="22"/>
          <w:szCs w:val="22"/>
        </w:rPr>
        <w:t xml:space="preserve"> en caso de ser necesario, se </w:t>
      </w:r>
      <w:r w:rsidR="0057655F">
        <w:rPr>
          <w:rFonts w:cs="Arial"/>
          <w:sz w:val="22"/>
          <w:szCs w:val="22"/>
        </w:rPr>
        <w:t>realice</w:t>
      </w:r>
      <w:r>
        <w:rPr>
          <w:rFonts w:cs="Arial"/>
          <w:sz w:val="22"/>
          <w:szCs w:val="22"/>
        </w:rPr>
        <w:t xml:space="preserve"> </w:t>
      </w:r>
      <w:r w:rsidR="0057655F">
        <w:rPr>
          <w:rFonts w:cs="Arial"/>
          <w:sz w:val="22"/>
          <w:szCs w:val="22"/>
        </w:rPr>
        <w:t>e</w:t>
      </w:r>
      <w:r>
        <w:rPr>
          <w:rFonts w:cs="Arial"/>
          <w:sz w:val="22"/>
          <w:szCs w:val="22"/>
        </w:rPr>
        <w:t xml:space="preserve">l desalojo de las familias </w:t>
      </w:r>
      <w:r w:rsidRPr="00103A41">
        <w:rPr>
          <w:rFonts w:cs="Arial"/>
          <w:sz w:val="22"/>
          <w:szCs w:val="22"/>
          <w:lang w:val="es-CR"/>
        </w:rPr>
        <w:t xml:space="preserve">provenientes del asentamiento de </w:t>
      </w:r>
      <w:proofErr w:type="spellStart"/>
      <w:r w:rsidRPr="00103A41">
        <w:rPr>
          <w:rFonts w:cs="Arial"/>
          <w:sz w:val="22"/>
          <w:szCs w:val="22"/>
          <w:lang w:val="es-CR"/>
        </w:rPr>
        <w:t>Ch</w:t>
      </w:r>
      <w:r>
        <w:rPr>
          <w:rFonts w:cs="Arial"/>
          <w:sz w:val="22"/>
          <w:szCs w:val="22"/>
          <w:lang w:val="es-CR"/>
        </w:rPr>
        <w:t>á</w:t>
      </w:r>
      <w:r w:rsidRPr="00103A41">
        <w:rPr>
          <w:rFonts w:cs="Arial"/>
          <w:sz w:val="22"/>
          <w:szCs w:val="22"/>
          <w:lang w:val="es-CR"/>
        </w:rPr>
        <w:t>nguena</w:t>
      </w:r>
      <w:proofErr w:type="spellEnd"/>
      <w:r w:rsidRPr="00103A41">
        <w:rPr>
          <w:rFonts w:cs="Arial"/>
          <w:sz w:val="22"/>
          <w:szCs w:val="22"/>
          <w:lang w:val="es-CR"/>
        </w:rPr>
        <w:t xml:space="preserve"> y Cuadrante Tres</w:t>
      </w:r>
      <w:r>
        <w:rPr>
          <w:rFonts w:cs="Arial"/>
          <w:sz w:val="22"/>
          <w:szCs w:val="22"/>
          <w:lang w:val="es-CR"/>
        </w:rPr>
        <w:t>.</w:t>
      </w:r>
    </w:p>
    <w:p w14:paraId="34AD5E4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06A308" w14:textId="77777777" w:rsidR="002B71CC" w:rsidRPr="00D14EAF" w:rsidRDefault="002B71CC" w:rsidP="002B71CC">
      <w:pPr>
        <w:spacing w:line="360" w:lineRule="auto"/>
        <w:jc w:val="both"/>
        <w:rPr>
          <w:rFonts w:cs="Arial"/>
          <w:b/>
          <w:sz w:val="22"/>
        </w:rPr>
      </w:pPr>
      <w:r w:rsidRPr="00D14EAF">
        <w:rPr>
          <w:rFonts w:cs="Arial"/>
          <w:b/>
          <w:sz w:val="22"/>
        </w:rPr>
        <w:t>************</w:t>
      </w:r>
    </w:p>
    <w:p w14:paraId="6BA9508E" w14:textId="4CD612B5" w:rsidR="002B71CC" w:rsidRDefault="002B71CC" w:rsidP="002B71CC">
      <w:pPr>
        <w:spacing w:line="360" w:lineRule="auto"/>
        <w:jc w:val="both"/>
        <w:rPr>
          <w:rFonts w:cs="Arial"/>
          <w:sz w:val="22"/>
          <w:lang w:val="es-ES_tradnl"/>
        </w:rPr>
      </w:pPr>
    </w:p>
    <w:p w14:paraId="598452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320D5F9" w14:textId="6CBD1BC1" w:rsidR="00FF31D2" w:rsidRPr="00BB303F" w:rsidRDefault="00900F11" w:rsidP="00FF31D2">
      <w:pPr>
        <w:spacing w:line="360" w:lineRule="auto"/>
        <w:jc w:val="both"/>
        <w:rPr>
          <w:rFonts w:cs="Arial"/>
          <w:b/>
          <w:sz w:val="22"/>
          <w:szCs w:val="22"/>
        </w:rPr>
      </w:pPr>
      <w:r w:rsidRPr="00BB303F">
        <w:rPr>
          <w:rFonts w:cs="Arial"/>
          <w:b/>
          <w:sz w:val="22"/>
          <w:szCs w:val="22"/>
        </w:rPr>
        <w:t>CONSIDERANDO:</w:t>
      </w:r>
    </w:p>
    <w:p w14:paraId="1DBD5307" w14:textId="3E1B1BBE" w:rsidR="00FF31D2" w:rsidRPr="00BB303F" w:rsidRDefault="00FF31D2" w:rsidP="00FF31D2">
      <w:pPr>
        <w:spacing w:line="360" w:lineRule="auto"/>
        <w:jc w:val="both"/>
        <w:rPr>
          <w:rFonts w:cs="Arial"/>
          <w:color w:val="000000"/>
          <w:sz w:val="22"/>
          <w:szCs w:val="22"/>
        </w:rPr>
      </w:pPr>
      <w:r w:rsidRPr="00BB303F">
        <w:rPr>
          <w:rFonts w:cs="Arial"/>
          <w:b/>
          <w:bCs/>
          <w:color w:val="000000"/>
          <w:sz w:val="22"/>
          <w:szCs w:val="22"/>
        </w:rPr>
        <w:t>A)</w:t>
      </w:r>
      <w:r w:rsidRPr="00BB303F">
        <w:rPr>
          <w:rFonts w:cs="Arial"/>
          <w:color w:val="000000"/>
          <w:sz w:val="22"/>
          <w:szCs w:val="22"/>
        </w:rPr>
        <w:t xml:space="preserve"> Que mediante el oficio </w:t>
      </w:r>
      <w:r>
        <w:rPr>
          <w:rFonts w:cs="Arial"/>
          <w:color w:val="000000"/>
          <w:sz w:val="22"/>
          <w:szCs w:val="22"/>
        </w:rPr>
        <w:t>GG-ME-1</w:t>
      </w:r>
      <w:r w:rsidR="00660832">
        <w:rPr>
          <w:rFonts w:cs="Arial"/>
          <w:color w:val="000000"/>
          <w:sz w:val="22"/>
          <w:szCs w:val="22"/>
        </w:rPr>
        <w:t>539</w:t>
      </w:r>
      <w:r>
        <w:rPr>
          <w:rFonts w:cs="Arial"/>
          <w:color w:val="000000"/>
          <w:sz w:val="22"/>
          <w:szCs w:val="22"/>
        </w:rPr>
        <w:t>-20</w:t>
      </w:r>
      <w:r w:rsidR="00660832">
        <w:rPr>
          <w:rFonts w:cs="Arial"/>
          <w:color w:val="000000"/>
          <w:sz w:val="22"/>
          <w:szCs w:val="22"/>
        </w:rPr>
        <w:t>20</w:t>
      </w:r>
      <w:r>
        <w:rPr>
          <w:rFonts w:cs="Arial"/>
          <w:color w:val="000000"/>
          <w:sz w:val="22"/>
          <w:szCs w:val="22"/>
        </w:rPr>
        <w:t xml:space="preserve"> del 18 de diciembre de 20</w:t>
      </w:r>
      <w:r w:rsidR="00660832">
        <w:rPr>
          <w:rFonts w:cs="Arial"/>
          <w:color w:val="000000"/>
          <w:sz w:val="22"/>
          <w:szCs w:val="22"/>
        </w:rPr>
        <w:t>20</w:t>
      </w:r>
      <w:r>
        <w:rPr>
          <w:rFonts w:cs="Arial"/>
          <w:color w:val="000000"/>
          <w:sz w:val="22"/>
          <w:szCs w:val="22"/>
        </w:rPr>
        <w:t xml:space="preserve">, </w:t>
      </w:r>
      <w:r w:rsidRPr="00BB303F">
        <w:rPr>
          <w:rFonts w:cs="Arial"/>
          <w:color w:val="000000"/>
          <w:sz w:val="22"/>
          <w:szCs w:val="22"/>
        </w:rPr>
        <w:t xml:space="preserve">la </w:t>
      </w:r>
      <w:r w:rsidRPr="00F571F7">
        <w:rPr>
          <w:rFonts w:cs="Arial"/>
          <w:color w:val="000000"/>
          <w:sz w:val="22"/>
          <w:szCs w:val="22"/>
          <w:lang w:val="es-ES_tradnl"/>
        </w:rPr>
        <w:t>Gerencia General</w:t>
      </w:r>
      <w:r w:rsidRPr="00BB303F">
        <w:rPr>
          <w:rFonts w:cs="Arial"/>
          <w:color w:val="000000"/>
          <w:sz w:val="22"/>
          <w:szCs w:val="22"/>
        </w:rPr>
        <w:t xml:space="preserve"> remite a esta Junta Directiva, con su respectivo aval, el informe </w:t>
      </w:r>
      <w:r w:rsidR="00660832">
        <w:rPr>
          <w:rFonts w:cs="Arial"/>
          <w:color w:val="000000"/>
          <w:sz w:val="22"/>
          <w:szCs w:val="22"/>
        </w:rPr>
        <w:t>SGF-ME-0012-2020/</w:t>
      </w:r>
      <w:r w:rsidRPr="00BB303F">
        <w:rPr>
          <w:rFonts w:cs="Arial"/>
          <w:color w:val="000000"/>
          <w:sz w:val="22"/>
          <w:szCs w:val="22"/>
        </w:rPr>
        <w:t>DFNV-ME-</w:t>
      </w:r>
      <w:r w:rsidR="00660832">
        <w:rPr>
          <w:rFonts w:cs="Arial"/>
          <w:color w:val="000000"/>
          <w:sz w:val="22"/>
          <w:szCs w:val="22"/>
        </w:rPr>
        <w:t>471</w:t>
      </w:r>
      <w:r w:rsidRPr="00BB303F">
        <w:rPr>
          <w:rFonts w:cs="Arial"/>
          <w:color w:val="000000"/>
          <w:sz w:val="22"/>
          <w:szCs w:val="22"/>
        </w:rPr>
        <w:t>-20</w:t>
      </w:r>
      <w:r w:rsidR="00660832">
        <w:rPr>
          <w:rFonts w:cs="Arial"/>
          <w:color w:val="000000"/>
          <w:sz w:val="22"/>
          <w:szCs w:val="22"/>
        </w:rPr>
        <w:t>20</w:t>
      </w:r>
      <w:r w:rsidRPr="00BB303F">
        <w:rPr>
          <w:rFonts w:cs="Arial"/>
          <w:color w:val="000000"/>
          <w:sz w:val="22"/>
          <w:szCs w:val="22"/>
        </w:rPr>
        <w:t xml:space="preserve"> de la</w:t>
      </w:r>
      <w:r w:rsidR="00660832">
        <w:rPr>
          <w:rFonts w:cs="Arial"/>
          <w:color w:val="000000"/>
          <w:sz w:val="22"/>
          <w:szCs w:val="22"/>
        </w:rPr>
        <w:t xml:space="preserve"> Subgerencia Financiera y la</w:t>
      </w:r>
      <w:r w:rsidRPr="00BB303F">
        <w:rPr>
          <w:rFonts w:cs="Arial"/>
          <w:color w:val="000000"/>
          <w:sz w:val="22"/>
          <w:szCs w:val="22"/>
        </w:rPr>
        <w:t xml:space="preserve"> Dirección FONAVI, que contiene la propuesta de los Programas de </w:t>
      </w:r>
      <w:r>
        <w:rPr>
          <w:rFonts w:cs="Arial"/>
          <w:color w:val="000000"/>
          <w:sz w:val="22"/>
          <w:szCs w:val="22"/>
        </w:rPr>
        <w:t xml:space="preserve">Colocación de </w:t>
      </w:r>
      <w:r w:rsidRPr="00BB303F">
        <w:rPr>
          <w:rFonts w:cs="Arial"/>
          <w:color w:val="000000"/>
          <w:sz w:val="22"/>
          <w:szCs w:val="22"/>
        </w:rPr>
        <w:t>Crédito y el Plan Anual de Captaciones a ejecutar por el BANHVI en el año 20</w:t>
      </w:r>
      <w:r>
        <w:rPr>
          <w:rFonts w:cs="Arial"/>
          <w:color w:val="000000"/>
          <w:sz w:val="22"/>
          <w:szCs w:val="22"/>
        </w:rPr>
        <w:t>2</w:t>
      </w:r>
      <w:r w:rsidR="00660832">
        <w:rPr>
          <w:rFonts w:cs="Arial"/>
          <w:color w:val="000000"/>
          <w:sz w:val="22"/>
          <w:szCs w:val="22"/>
        </w:rPr>
        <w:t>1</w:t>
      </w:r>
      <w:r w:rsidRPr="00BB303F">
        <w:rPr>
          <w:rFonts w:cs="Arial"/>
          <w:color w:val="000000"/>
          <w:sz w:val="22"/>
          <w:szCs w:val="22"/>
        </w:rPr>
        <w:t>, así como los principales resultados generados por la estrategia de colocación de crédito y captación de recursos propuesta.</w:t>
      </w:r>
    </w:p>
    <w:p w14:paraId="0326F569" w14:textId="77777777" w:rsidR="00FF31D2" w:rsidRPr="00BB303F" w:rsidRDefault="00FF31D2" w:rsidP="00FF31D2">
      <w:pPr>
        <w:spacing w:line="360" w:lineRule="auto"/>
        <w:jc w:val="both"/>
        <w:rPr>
          <w:rFonts w:cs="Arial"/>
          <w:color w:val="000000"/>
          <w:sz w:val="22"/>
          <w:szCs w:val="22"/>
        </w:rPr>
      </w:pPr>
    </w:p>
    <w:p w14:paraId="08A17AAA" w14:textId="6C45174F" w:rsidR="00FF31D2" w:rsidRPr="00BB303F" w:rsidRDefault="00FF31D2" w:rsidP="00FF31D2">
      <w:pPr>
        <w:spacing w:line="360" w:lineRule="auto"/>
        <w:jc w:val="both"/>
        <w:rPr>
          <w:rFonts w:cs="Arial"/>
          <w:color w:val="000000"/>
          <w:sz w:val="22"/>
          <w:szCs w:val="22"/>
        </w:rPr>
      </w:pPr>
      <w:r w:rsidRPr="00BB303F">
        <w:rPr>
          <w:rFonts w:cs="Arial"/>
          <w:b/>
          <w:bCs/>
          <w:color w:val="000000"/>
          <w:sz w:val="22"/>
          <w:szCs w:val="22"/>
        </w:rPr>
        <w:t>B)</w:t>
      </w:r>
      <w:r w:rsidRPr="00BB303F">
        <w:rPr>
          <w:rFonts w:cs="Arial"/>
          <w:color w:val="000000"/>
          <w:sz w:val="22"/>
          <w:szCs w:val="22"/>
        </w:rPr>
        <w:t xml:space="preserve"> Que con vista de la información suministrada por la Administración y del análisis realizado al respecto, esta Junta Directiva no encuentra objeción en aprobar los referidos programas, en los mismos términos propuestos en el documento adjunto al oficio </w:t>
      </w:r>
      <w:r w:rsidR="00660832">
        <w:rPr>
          <w:rFonts w:cs="Arial"/>
          <w:color w:val="000000"/>
          <w:sz w:val="22"/>
          <w:szCs w:val="22"/>
        </w:rPr>
        <w:t>SGF-ME-0012-2020/</w:t>
      </w:r>
      <w:r w:rsidR="00660832" w:rsidRPr="00BB303F">
        <w:rPr>
          <w:rFonts w:cs="Arial"/>
          <w:color w:val="000000"/>
          <w:sz w:val="22"/>
          <w:szCs w:val="22"/>
        </w:rPr>
        <w:t>DFNV-ME-</w:t>
      </w:r>
      <w:r w:rsidR="00660832">
        <w:rPr>
          <w:rFonts w:cs="Arial"/>
          <w:color w:val="000000"/>
          <w:sz w:val="22"/>
          <w:szCs w:val="22"/>
        </w:rPr>
        <w:t>471</w:t>
      </w:r>
      <w:r w:rsidR="00660832" w:rsidRPr="00BB303F">
        <w:rPr>
          <w:rFonts w:cs="Arial"/>
          <w:color w:val="000000"/>
          <w:sz w:val="22"/>
          <w:szCs w:val="22"/>
        </w:rPr>
        <w:t>-20</w:t>
      </w:r>
      <w:r w:rsidR="00660832">
        <w:rPr>
          <w:rFonts w:cs="Arial"/>
          <w:color w:val="000000"/>
          <w:sz w:val="22"/>
          <w:szCs w:val="22"/>
        </w:rPr>
        <w:t>20</w:t>
      </w:r>
      <w:r w:rsidR="00900F11">
        <w:rPr>
          <w:rFonts w:cs="Arial"/>
          <w:color w:val="000000"/>
          <w:sz w:val="22"/>
          <w:szCs w:val="22"/>
        </w:rPr>
        <w:t>,</w:t>
      </w:r>
      <w:r w:rsidR="00900F11" w:rsidRPr="00900F11">
        <w:rPr>
          <w:rFonts w:cs="Arial"/>
          <w:color w:val="000000"/>
          <w:sz w:val="22"/>
          <w:szCs w:val="22"/>
        </w:rPr>
        <w:t xml:space="preserve"> </w:t>
      </w:r>
      <w:r w:rsidR="00900F11" w:rsidRPr="00BB303F">
        <w:rPr>
          <w:rFonts w:cs="Arial"/>
          <w:color w:val="000000"/>
          <w:sz w:val="22"/>
          <w:szCs w:val="22"/>
        </w:rPr>
        <w:t>de la</w:t>
      </w:r>
      <w:r w:rsidR="00900F11">
        <w:rPr>
          <w:rFonts w:cs="Arial"/>
          <w:color w:val="000000"/>
          <w:sz w:val="22"/>
          <w:szCs w:val="22"/>
        </w:rPr>
        <w:t xml:space="preserve"> Subgerencia Financiera y la</w:t>
      </w:r>
      <w:r w:rsidR="00900F11" w:rsidRPr="00BB303F">
        <w:rPr>
          <w:rFonts w:cs="Arial"/>
          <w:color w:val="000000"/>
          <w:sz w:val="22"/>
          <w:szCs w:val="22"/>
        </w:rPr>
        <w:t xml:space="preserve"> Dirección FONAVI</w:t>
      </w:r>
      <w:r w:rsidR="00660832">
        <w:rPr>
          <w:rFonts w:cs="Arial"/>
          <w:color w:val="000000"/>
          <w:sz w:val="22"/>
          <w:szCs w:val="22"/>
        </w:rPr>
        <w:t>.</w:t>
      </w:r>
    </w:p>
    <w:p w14:paraId="35EB841B" w14:textId="77777777" w:rsidR="00FF31D2" w:rsidRPr="00BB303F" w:rsidRDefault="00FF31D2" w:rsidP="00FF31D2">
      <w:pPr>
        <w:spacing w:line="360" w:lineRule="auto"/>
        <w:jc w:val="both"/>
        <w:rPr>
          <w:rFonts w:cs="Arial"/>
          <w:color w:val="000000"/>
          <w:sz w:val="22"/>
          <w:szCs w:val="22"/>
        </w:rPr>
      </w:pPr>
    </w:p>
    <w:p w14:paraId="2737E10F" w14:textId="4B25B6DC" w:rsidR="00FF31D2" w:rsidRPr="00BB303F" w:rsidRDefault="00900F11" w:rsidP="00FF31D2">
      <w:pPr>
        <w:spacing w:line="360" w:lineRule="auto"/>
        <w:jc w:val="both"/>
        <w:rPr>
          <w:rFonts w:cs="Arial"/>
          <w:b/>
          <w:sz w:val="22"/>
          <w:szCs w:val="22"/>
        </w:rPr>
      </w:pPr>
      <w:r w:rsidRPr="00BB303F">
        <w:rPr>
          <w:rFonts w:cs="Arial"/>
          <w:b/>
          <w:sz w:val="22"/>
          <w:szCs w:val="22"/>
        </w:rPr>
        <w:t>POR TANTO, SE ACUERDA:</w:t>
      </w:r>
    </w:p>
    <w:p w14:paraId="25C1BE2A" w14:textId="77777777" w:rsidR="00FF31D2" w:rsidRPr="00BB303F" w:rsidRDefault="00FF31D2" w:rsidP="00FF31D2">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Aprobar los siguientes:</w:t>
      </w:r>
    </w:p>
    <w:p w14:paraId="14A91033" w14:textId="77777777" w:rsidR="00FF31D2" w:rsidRPr="00BB303F" w:rsidRDefault="00FF31D2" w:rsidP="00FF31D2">
      <w:pPr>
        <w:spacing w:line="360" w:lineRule="auto"/>
        <w:jc w:val="both"/>
        <w:rPr>
          <w:rFonts w:cs="Arial"/>
          <w:sz w:val="22"/>
          <w:szCs w:val="22"/>
        </w:rPr>
      </w:pPr>
    </w:p>
    <w:p w14:paraId="34DF3E2F" w14:textId="77777777" w:rsidR="00FF31D2" w:rsidRPr="00BB303F" w:rsidRDefault="00FF31D2" w:rsidP="00FF31D2">
      <w:pPr>
        <w:spacing w:line="360" w:lineRule="auto"/>
        <w:jc w:val="center"/>
        <w:rPr>
          <w:rFonts w:cs="Arial"/>
          <w:b/>
          <w:sz w:val="22"/>
          <w:szCs w:val="22"/>
          <w:u w:val="single"/>
        </w:rPr>
      </w:pPr>
      <w:r w:rsidRPr="00BB303F">
        <w:rPr>
          <w:rFonts w:cs="Arial"/>
          <w:b/>
          <w:sz w:val="22"/>
          <w:szCs w:val="22"/>
          <w:u w:val="single"/>
        </w:rPr>
        <w:t>PROGRAMAS DE COLOCACIÓN DE CRÉDITO DEL FONAVI</w:t>
      </w:r>
    </w:p>
    <w:p w14:paraId="736159C0" w14:textId="70F2E20E" w:rsidR="00FF31D2" w:rsidRPr="00BB303F" w:rsidRDefault="00FF31D2" w:rsidP="00FF31D2">
      <w:pPr>
        <w:spacing w:line="360" w:lineRule="auto"/>
        <w:jc w:val="center"/>
        <w:rPr>
          <w:rFonts w:cs="Arial"/>
          <w:sz w:val="22"/>
          <w:szCs w:val="22"/>
        </w:rPr>
      </w:pPr>
      <w:r w:rsidRPr="00BB303F">
        <w:rPr>
          <w:rFonts w:cs="Arial"/>
          <w:b/>
          <w:sz w:val="22"/>
          <w:szCs w:val="22"/>
          <w:u w:val="single"/>
        </w:rPr>
        <w:t>PARA EL AÑO 20</w:t>
      </w:r>
      <w:r>
        <w:rPr>
          <w:rFonts w:cs="Arial"/>
          <w:b/>
          <w:sz w:val="22"/>
          <w:szCs w:val="22"/>
          <w:u w:val="single"/>
        </w:rPr>
        <w:t>2</w:t>
      </w:r>
      <w:r w:rsidR="00660832">
        <w:rPr>
          <w:rFonts w:cs="Arial"/>
          <w:b/>
          <w:sz w:val="22"/>
          <w:szCs w:val="22"/>
          <w:u w:val="single"/>
        </w:rPr>
        <w:t>1</w:t>
      </w:r>
    </w:p>
    <w:p w14:paraId="02E028A4" w14:textId="77777777" w:rsidR="00660832" w:rsidRPr="00414F6F" w:rsidRDefault="00660832" w:rsidP="00660832">
      <w:pPr>
        <w:jc w:val="right"/>
        <w:rPr>
          <w:rFonts w:ascii="Calibri" w:hAnsi="Calibri" w:cs="Calibri"/>
        </w:rPr>
      </w:pPr>
    </w:p>
    <w:p w14:paraId="6C83D2DF" w14:textId="77777777" w:rsidR="00660832" w:rsidRPr="00D11A3F" w:rsidRDefault="00660832" w:rsidP="00660832">
      <w:pPr>
        <w:numPr>
          <w:ilvl w:val="0"/>
          <w:numId w:val="9"/>
        </w:numPr>
        <w:ind w:hanging="218"/>
        <w:jc w:val="both"/>
        <w:rPr>
          <w:rFonts w:cs="Arial"/>
          <w:b/>
          <w:smallCaps/>
          <w:sz w:val="22"/>
          <w:szCs w:val="22"/>
        </w:rPr>
      </w:pPr>
      <w:r w:rsidRPr="00D11A3F">
        <w:rPr>
          <w:rFonts w:cs="Arial"/>
          <w:b/>
          <w:smallCaps/>
          <w:sz w:val="22"/>
          <w:szCs w:val="22"/>
        </w:rPr>
        <w:t xml:space="preserve">Programa de Crédito de Largo Plazo en Colones </w:t>
      </w:r>
    </w:p>
    <w:p w14:paraId="183DB72B" w14:textId="77777777" w:rsidR="00660832" w:rsidRPr="00414F6F" w:rsidRDefault="00660832" w:rsidP="00660832">
      <w:pPr>
        <w:ind w:left="360"/>
        <w:jc w:val="both"/>
        <w:rPr>
          <w:rFonts w:ascii="Calibri" w:hAnsi="Calibri" w:cs="Calibri"/>
        </w:rPr>
      </w:pPr>
    </w:p>
    <w:p w14:paraId="12A8A44C" w14:textId="27FCE339" w:rsidR="00660832" w:rsidRPr="00414F6F" w:rsidRDefault="00660832" w:rsidP="00660832">
      <w:pPr>
        <w:jc w:val="both"/>
        <w:rPr>
          <w:rFonts w:ascii="Calibri" w:hAnsi="Calibri" w:cs="Calibri"/>
        </w:rPr>
      </w:pPr>
      <w:r w:rsidRPr="00D11A3F">
        <w:rPr>
          <w:rFonts w:cs="Arial"/>
        </w:rPr>
        <w:t xml:space="preserve">Las condiciones para el </w:t>
      </w:r>
      <w:r w:rsidRPr="00D11A3F">
        <w:rPr>
          <w:rFonts w:cs="Arial"/>
          <w:b/>
          <w:u w:val="single"/>
        </w:rPr>
        <w:t>Programa de Crédito de Largo Plazo en Colones</w:t>
      </w:r>
      <w:r w:rsidRPr="00D11A3F">
        <w:rPr>
          <w:rFonts w:cs="Arial"/>
        </w:rPr>
        <w:t>, sea ejecutado mediante crédito convencional o mediante de línea de crédito, son las que se detallan a continuación</w:t>
      </w:r>
      <w:r w:rsidRPr="00414F6F">
        <w:rPr>
          <w:rFonts w:ascii="Calibri" w:hAnsi="Calibri" w:cs="Calibri"/>
        </w:rPr>
        <w:t>:</w:t>
      </w:r>
    </w:p>
    <w:p w14:paraId="6AB3A982" w14:textId="77777777" w:rsidR="00660832" w:rsidRPr="00414F6F" w:rsidRDefault="00660832" w:rsidP="00660832">
      <w:pPr>
        <w:jc w:val="both"/>
        <w:rPr>
          <w:rFonts w:ascii="Calibri" w:hAnsi="Calibri" w:cs="Calibri"/>
        </w:rPr>
      </w:pPr>
    </w:p>
    <w:p w14:paraId="097ADF62"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Plan de inversión</w:t>
      </w:r>
      <w:r w:rsidRPr="00414F6F">
        <w:rPr>
          <w:rFonts w:ascii="Calibri" w:hAnsi="Calibri" w:cs="Calibri"/>
        </w:rPr>
        <w:t xml:space="preserve">:  </w:t>
      </w:r>
      <w:r w:rsidRPr="00D11A3F">
        <w:rPr>
          <w:rFonts w:cs="Arial"/>
          <w:sz w:val="22"/>
          <w:szCs w:val="22"/>
        </w:rPr>
        <w:t>Financiamiento de soluciones individuales de vivienda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w:t>
      </w:r>
      <w:r w:rsidRPr="00D11A3F">
        <w:rPr>
          <w:rFonts w:cs="Arial"/>
          <w:sz w:val="22"/>
          <w:szCs w:val="22"/>
          <w:vertAlign w:val="superscript"/>
        </w:rPr>
        <w:footnoteReference w:id="1"/>
      </w:r>
      <w:r w:rsidRPr="00D11A3F">
        <w:rPr>
          <w:rFonts w:cs="Arial"/>
          <w:sz w:val="22"/>
          <w:szCs w:val="22"/>
        </w:rPr>
        <w:t>.</w:t>
      </w:r>
    </w:p>
    <w:p w14:paraId="49D86F71" w14:textId="77777777" w:rsidR="00660832" w:rsidRPr="00414F6F" w:rsidRDefault="00660832" w:rsidP="00660832">
      <w:pPr>
        <w:ind w:left="426" w:right="-160"/>
        <w:jc w:val="both"/>
        <w:rPr>
          <w:rFonts w:ascii="Calibri" w:hAnsi="Calibri" w:cs="Calibri"/>
          <w:b/>
        </w:rPr>
      </w:pPr>
    </w:p>
    <w:p w14:paraId="0F382EC6" w14:textId="77777777" w:rsidR="00660832" w:rsidRPr="00D11A3F" w:rsidRDefault="00660832" w:rsidP="00660832">
      <w:pPr>
        <w:ind w:left="360" w:right="-1"/>
        <w:jc w:val="both"/>
        <w:rPr>
          <w:rFonts w:cs="Arial"/>
          <w:sz w:val="22"/>
          <w:szCs w:val="22"/>
        </w:rPr>
      </w:pPr>
      <w:r w:rsidRPr="00D11A3F">
        <w:rPr>
          <w:rFonts w:cs="Arial"/>
          <w:sz w:val="22"/>
          <w:szCs w:val="22"/>
        </w:rPr>
        <w:t xml:space="preserve">Al menos el 10% de los recursos colocados en créditos para vivienda deberá ser dirigido a personas jóvenes entre los dieciocho y treinta y cinco </w:t>
      </w:r>
      <w:proofErr w:type="gramStart"/>
      <w:r w:rsidRPr="00D11A3F">
        <w:rPr>
          <w:rFonts w:cs="Arial"/>
          <w:sz w:val="22"/>
          <w:szCs w:val="22"/>
        </w:rPr>
        <w:t>años de edad</w:t>
      </w:r>
      <w:proofErr w:type="gramEnd"/>
      <w:r w:rsidRPr="00D11A3F">
        <w:rPr>
          <w:rFonts w:cs="Arial"/>
          <w:sz w:val="22"/>
          <w:szCs w:val="22"/>
        </w:rPr>
        <w:t>.</w:t>
      </w:r>
    </w:p>
    <w:p w14:paraId="79672AE8" w14:textId="77777777" w:rsidR="00660832" w:rsidRPr="00414F6F" w:rsidRDefault="00660832" w:rsidP="00660832">
      <w:pPr>
        <w:ind w:right="-160"/>
        <w:jc w:val="both"/>
        <w:rPr>
          <w:rFonts w:ascii="Calibri" w:hAnsi="Calibri" w:cs="Calibri"/>
        </w:rPr>
      </w:pPr>
    </w:p>
    <w:p w14:paraId="05E60357"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bCs/>
          <w:sz w:val="22"/>
          <w:szCs w:val="22"/>
        </w:rPr>
        <w:t>Moneda:</w:t>
      </w:r>
      <w:r w:rsidRPr="00414F6F">
        <w:rPr>
          <w:rFonts w:ascii="Calibri" w:hAnsi="Calibri" w:cs="Calibri"/>
          <w:b/>
          <w:bCs/>
        </w:rPr>
        <w:t xml:space="preserve">  </w:t>
      </w:r>
      <w:r w:rsidRPr="00D11A3F">
        <w:rPr>
          <w:rFonts w:cs="Arial"/>
          <w:sz w:val="22"/>
          <w:szCs w:val="22"/>
        </w:rPr>
        <w:t>Colones.</w:t>
      </w:r>
    </w:p>
    <w:p w14:paraId="641ADA39" w14:textId="77777777" w:rsidR="00660832" w:rsidRPr="00414F6F" w:rsidRDefault="00660832" w:rsidP="00660832">
      <w:pPr>
        <w:ind w:left="708"/>
        <w:rPr>
          <w:rStyle w:val="Refdenotaalpie"/>
          <w:rFonts w:ascii="Calibri" w:hAnsi="Calibri" w:cs="Calibri"/>
        </w:rPr>
      </w:pPr>
    </w:p>
    <w:p w14:paraId="7532B0B1" w14:textId="77777777" w:rsidR="00660832" w:rsidRPr="00D11A3F" w:rsidRDefault="00660832" w:rsidP="00660832">
      <w:pPr>
        <w:numPr>
          <w:ilvl w:val="0"/>
          <w:numId w:val="3"/>
        </w:numPr>
        <w:tabs>
          <w:tab w:val="num" w:pos="426"/>
        </w:tabs>
        <w:ind w:left="426" w:right="-160" w:hanging="426"/>
        <w:jc w:val="both"/>
        <w:rPr>
          <w:rFonts w:cs="Arial"/>
          <w:sz w:val="22"/>
          <w:szCs w:val="22"/>
        </w:rPr>
      </w:pPr>
      <w:r w:rsidRPr="00D11A3F">
        <w:rPr>
          <w:rFonts w:cs="Arial"/>
          <w:b/>
          <w:sz w:val="22"/>
          <w:szCs w:val="22"/>
        </w:rPr>
        <w:t>Tasa de interés corriente</w:t>
      </w:r>
      <w:r w:rsidRPr="00414F6F">
        <w:rPr>
          <w:rFonts w:ascii="Calibri" w:hAnsi="Calibri" w:cs="Calibri"/>
        </w:rPr>
        <w:t xml:space="preserve">:  </w:t>
      </w:r>
      <w:r w:rsidRPr="00D11A3F">
        <w:rPr>
          <w:rFonts w:cs="Arial"/>
          <w:sz w:val="22"/>
          <w:szCs w:val="22"/>
        </w:rPr>
        <w:t xml:space="preserve">Tasa Básica Pasiva (TBP) calculada por el Banco Central de Costa Rica más 2.00 puntos porcentuales en caso de Entidades sujetas al requerimiento de Encaje Mínimo Legal y TBP más 2.25 puntos porcentuales para el resto de las Entidades, ajustable mensualmente. </w:t>
      </w:r>
    </w:p>
    <w:p w14:paraId="34B17D66" w14:textId="77777777" w:rsidR="00660832" w:rsidRPr="00414F6F" w:rsidRDefault="00660832" w:rsidP="00660832">
      <w:pPr>
        <w:pStyle w:val="Prrafodelista"/>
        <w:rPr>
          <w:rFonts w:ascii="Calibri" w:hAnsi="Calibri" w:cs="Calibri"/>
          <w:b/>
        </w:rPr>
      </w:pPr>
    </w:p>
    <w:p w14:paraId="182478B7" w14:textId="77777777" w:rsidR="00660832" w:rsidRPr="00D11A3F" w:rsidRDefault="00660832" w:rsidP="00660832">
      <w:pPr>
        <w:numPr>
          <w:ilvl w:val="0"/>
          <w:numId w:val="3"/>
        </w:numPr>
        <w:tabs>
          <w:tab w:val="num" w:pos="426"/>
        </w:tabs>
        <w:ind w:left="426" w:right="-160" w:hanging="426"/>
        <w:jc w:val="both"/>
        <w:rPr>
          <w:rFonts w:cs="Arial"/>
          <w:sz w:val="22"/>
          <w:szCs w:val="22"/>
        </w:rPr>
      </w:pPr>
      <w:r w:rsidRPr="00D11A3F">
        <w:rPr>
          <w:rFonts w:cs="Arial"/>
          <w:b/>
          <w:sz w:val="22"/>
          <w:szCs w:val="22"/>
        </w:rPr>
        <w:t>Tasa de interés moratoria</w:t>
      </w:r>
      <w:r w:rsidRPr="00414F6F">
        <w:rPr>
          <w:rFonts w:ascii="Calibri" w:hAnsi="Calibri" w:cs="Calibri"/>
        </w:rPr>
        <w:t xml:space="preserve">:  </w:t>
      </w:r>
      <w:r w:rsidRPr="00D11A3F">
        <w:rPr>
          <w:rFonts w:cs="Arial"/>
          <w:sz w:val="22"/>
          <w:szCs w:val="22"/>
        </w:rPr>
        <w:t>Equivalente a la tasa de interés corriente más dos puntos porcentuales</w:t>
      </w:r>
      <w:r w:rsidRPr="00D11A3F">
        <w:rPr>
          <w:rStyle w:val="Refdenotaalpie"/>
          <w:rFonts w:cs="Arial"/>
          <w:sz w:val="22"/>
          <w:szCs w:val="22"/>
        </w:rPr>
        <w:footnoteReference w:id="2"/>
      </w:r>
      <w:r w:rsidRPr="00D11A3F">
        <w:rPr>
          <w:rFonts w:cs="Arial"/>
          <w:sz w:val="22"/>
          <w:szCs w:val="22"/>
        </w:rPr>
        <w:t xml:space="preserve">. </w:t>
      </w:r>
    </w:p>
    <w:p w14:paraId="4A37C2F8" w14:textId="77777777" w:rsidR="00660832" w:rsidRPr="00414F6F" w:rsidRDefault="00660832" w:rsidP="00660832">
      <w:pPr>
        <w:tabs>
          <w:tab w:val="num" w:pos="426"/>
        </w:tabs>
        <w:ind w:right="-160"/>
        <w:jc w:val="both"/>
        <w:rPr>
          <w:rFonts w:ascii="Calibri" w:hAnsi="Calibri" w:cs="Calibri"/>
        </w:rPr>
      </w:pPr>
    </w:p>
    <w:p w14:paraId="583F90AA"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lastRenderedPageBreak/>
        <w:t>Comisión de formalización</w:t>
      </w:r>
      <w:r w:rsidRPr="00D11A3F">
        <w:rPr>
          <w:rFonts w:cs="Arial"/>
          <w:sz w:val="22"/>
          <w:szCs w:val="22"/>
        </w:rPr>
        <w:t>:</w:t>
      </w:r>
      <w:r w:rsidRPr="00414F6F">
        <w:rPr>
          <w:rFonts w:ascii="Calibri" w:hAnsi="Calibri" w:cs="Calibri"/>
        </w:rPr>
        <w:t xml:space="preserve">  </w:t>
      </w:r>
      <w:r w:rsidRPr="00D11A3F">
        <w:rPr>
          <w:rFonts w:cs="Arial"/>
          <w:sz w:val="22"/>
          <w:szCs w:val="22"/>
        </w:rPr>
        <w:t>Uno por ciento (1%) sobre el monto desembolsado</w:t>
      </w:r>
      <w:r w:rsidRPr="00414F6F">
        <w:rPr>
          <w:rFonts w:ascii="Calibri" w:hAnsi="Calibri" w:cs="Calibri"/>
          <w:color w:val="000000"/>
        </w:rPr>
        <w:t>.</w:t>
      </w:r>
    </w:p>
    <w:p w14:paraId="199DAB2B" w14:textId="77777777" w:rsidR="00660832" w:rsidRPr="00414F6F" w:rsidRDefault="00660832" w:rsidP="00660832">
      <w:pPr>
        <w:tabs>
          <w:tab w:val="num" w:pos="426"/>
        </w:tabs>
        <w:ind w:right="-160"/>
        <w:jc w:val="both"/>
        <w:rPr>
          <w:rFonts w:ascii="Calibri" w:hAnsi="Calibri" w:cs="Calibri"/>
        </w:rPr>
      </w:pPr>
    </w:p>
    <w:p w14:paraId="50BC4931" w14:textId="77777777" w:rsidR="00660832" w:rsidRPr="00D11A3F" w:rsidRDefault="00660832" w:rsidP="00660832">
      <w:pPr>
        <w:numPr>
          <w:ilvl w:val="0"/>
          <w:numId w:val="3"/>
        </w:numPr>
        <w:tabs>
          <w:tab w:val="num" w:pos="426"/>
        </w:tabs>
        <w:ind w:left="426" w:right="-160" w:hanging="426"/>
        <w:jc w:val="both"/>
        <w:rPr>
          <w:rFonts w:cs="Arial"/>
          <w:sz w:val="22"/>
          <w:szCs w:val="22"/>
        </w:rPr>
      </w:pPr>
      <w:r w:rsidRPr="00D11A3F">
        <w:rPr>
          <w:rFonts w:cs="Arial"/>
          <w:b/>
          <w:sz w:val="22"/>
          <w:szCs w:val="22"/>
        </w:rPr>
        <w:t>Comisión por pago anticipado:</w:t>
      </w:r>
      <w:r w:rsidRPr="00414F6F">
        <w:rPr>
          <w:rFonts w:ascii="Calibri" w:hAnsi="Calibri" w:cs="Calibri"/>
        </w:rPr>
        <w:t xml:space="preserve">  </w:t>
      </w:r>
      <w:r w:rsidRPr="00D11A3F">
        <w:rPr>
          <w:rFonts w:cs="Arial"/>
          <w:sz w:val="22"/>
          <w:szCs w:val="22"/>
        </w:rPr>
        <w:t>Tres por ciento (</w:t>
      </w:r>
      <w:r w:rsidRPr="00D11A3F">
        <w:rPr>
          <w:rFonts w:cs="Arial"/>
          <w:color w:val="000000"/>
          <w:sz w:val="22"/>
          <w:szCs w:val="22"/>
        </w:rPr>
        <w:t>3%) sobre el monto del pago extraordinario durante los primeros 5 años del plazo del financiamiento</w:t>
      </w:r>
      <w:r w:rsidRPr="00D11A3F">
        <w:rPr>
          <w:rFonts w:cs="Arial"/>
          <w:sz w:val="22"/>
          <w:szCs w:val="22"/>
          <w:vertAlign w:val="superscript"/>
        </w:rPr>
        <w:footnoteReference w:id="3"/>
      </w:r>
      <w:r w:rsidRPr="00D11A3F">
        <w:rPr>
          <w:rFonts w:cs="Arial"/>
          <w:color w:val="000000"/>
          <w:sz w:val="22"/>
          <w:szCs w:val="22"/>
        </w:rPr>
        <w:t>.</w:t>
      </w:r>
      <w:r w:rsidRPr="00D11A3F">
        <w:rPr>
          <w:rFonts w:cs="Arial"/>
          <w:sz w:val="22"/>
          <w:szCs w:val="22"/>
        </w:rPr>
        <w:t xml:space="preserve"> </w:t>
      </w:r>
    </w:p>
    <w:p w14:paraId="6250BBF5" w14:textId="77777777" w:rsidR="00660832" w:rsidRPr="00414F6F" w:rsidRDefault="00660832" w:rsidP="00660832">
      <w:pPr>
        <w:tabs>
          <w:tab w:val="num" w:pos="426"/>
        </w:tabs>
        <w:ind w:right="-160"/>
        <w:jc w:val="both"/>
        <w:rPr>
          <w:rFonts w:ascii="Calibri" w:hAnsi="Calibri" w:cs="Calibri"/>
        </w:rPr>
      </w:pPr>
    </w:p>
    <w:p w14:paraId="4E479A11"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Plazo del financiamiento</w:t>
      </w:r>
      <w:r w:rsidRPr="00D11A3F">
        <w:rPr>
          <w:rFonts w:cs="Arial"/>
        </w:rPr>
        <w:t>:</w:t>
      </w:r>
      <w:r w:rsidRPr="00414F6F">
        <w:rPr>
          <w:rFonts w:ascii="Calibri" w:hAnsi="Calibri" w:cs="Calibri"/>
        </w:rPr>
        <w:t xml:space="preserve">  </w:t>
      </w:r>
      <w:r w:rsidRPr="00D11A3F">
        <w:rPr>
          <w:rFonts w:cs="Arial"/>
          <w:sz w:val="22"/>
          <w:szCs w:val="22"/>
        </w:rPr>
        <w:t>Máximo de 15 años.</w:t>
      </w:r>
    </w:p>
    <w:p w14:paraId="2BEE65E1" w14:textId="77777777" w:rsidR="00660832" w:rsidRPr="00414F6F" w:rsidRDefault="00660832" w:rsidP="00660832">
      <w:pPr>
        <w:pStyle w:val="Prrafodelista"/>
        <w:rPr>
          <w:rFonts w:ascii="Calibri" w:hAnsi="Calibri" w:cs="Calibri"/>
        </w:rPr>
      </w:pPr>
    </w:p>
    <w:p w14:paraId="73C72B32"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Forma de pago</w:t>
      </w:r>
      <w:r w:rsidRPr="00414F6F">
        <w:rPr>
          <w:rFonts w:ascii="Calibri" w:hAnsi="Calibri" w:cs="Calibri"/>
        </w:rPr>
        <w:t xml:space="preserve">:  </w:t>
      </w:r>
      <w:r w:rsidRPr="00D11A3F">
        <w:rPr>
          <w:rFonts w:cs="Arial"/>
          <w:sz w:val="22"/>
          <w:szCs w:val="22"/>
        </w:rPr>
        <w:t>Cuotas mensuales niveladas por mes vencido.</w:t>
      </w:r>
    </w:p>
    <w:p w14:paraId="3AD121CA" w14:textId="77777777" w:rsidR="00660832" w:rsidRPr="00414F6F" w:rsidRDefault="00660832" w:rsidP="00660832">
      <w:pPr>
        <w:tabs>
          <w:tab w:val="num" w:pos="426"/>
        </w:tabs>
        <w:ind w:right="-160"/>
        <w:jc w:val="both"/>
        <w:rPr>
          <w:rFonts w:ascii="Calibri" w:hAnsi="Calibri" w:cs="Calibri"/>
        </w:rPr>
      </w:pPr>
    </w:p>
    <w:p w14:paraId="040A0958" w14:textId="77777777" w:rsidR="00660832" w:rsidRPr="00D11A3F" w:rsidRDefault="00660832" w:rsidP="00660832">
      <w:pPr>
        <w:numPr>
          <w:ilvl w:val="0"/>
          <w:numId w:val="3"/>
        </w:numPr>
        <w:tabs>
          <w:tab w:val="num" w:pos="426"/>
        </w:tabs>
        <w:ind w:left="426" w:right="-160" w:hanging="426"/>
        <w:jc w:val="both"/>
        <w:rPr>
          <w:rFonts w:cs="Arial"/>
          <w:sz w:val="22"/>
          <w:szCs w:val="22"/>
        </w:rPr>
      </w:pPr>
      <w:r w:rsidRPr="00D11A3F">
        <w:rPr>
          <w:rFonts w:cs="Arial"/>
          <w:b/>
          <w:sz w:val="22"/>
          <w:szCs w:val="22"/>
        </w:rPr>
        <w:t>Monto máximo del crédito</w:t>
      </w:r>
      <w:r w:rsidRPr="00414F6F">
        <w:rPr>
          <w:rFonts w:ascii="Calibri" w:hAnsi="Calibri" w:cs="Calibri"/>
        </w:rPr>
        <w:t xml:space="preserve">:  </w:t>
      </w:r>
      <w:r w:rsidRPr="00D11A3F">
        <w:rPr>
          <w:rFonts w:cs="Arial"/>
          <w:sz w:val="22"/>
          <w:szCs w:val="22"/>
        </w:rPr>
        <w:t>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101528F9" w14:textId="77777777" w:rsidR="00660832" w:rsidRPr="00414F6F" w:rsidRDefault="00660832" w:rsidP="00660832">
      <w:pPr>
        <w:pStyle w:val="Prrafodelista"/>
        <w:rPr>
          <w:rFonts w:ascii="Calibri" w:hAnsi="Calibri" w:cs="Calibri"/>
          <w:b/>
        </w:rPr>
      </w:pPr>
    </w:p>
    <w:p w14:paraId="16D18E2F" w14:textId="77777777" w:rsidR="00660832" w:rsidRPr="00D11A3F" w:rsidRDefault="00660832" w:rsidP="00660832">
      <w:pPr>
        <w:numPr>
          <w:ilvl w:val="0"/>
          <w:numId w:val="3"/>
        </w:numPr>
        <w:tabs>
          <w:tab w:val="num" w:pos="426"/>
        </w:tabs>
        <w:ind w:left="426" w:right="-160" w:hanging="426"/>
        <w:jc w:val="both"/>
        <w:rPr>
          <w:rFonts w:cs="Arial"/>
          <w:sz w:val="22"/>
          <w:szCs w:val="22"/>
        </w:rPr>
      </w:pPr>
      <w:r w:rsidRPr="00D11A3F">
        <w:rPr>
          <w:rFonts w:cs="Arial"/>
          <w:b/>
          <w:sz w:val="22"/>
          <w:szCs w:val="22"/>
        </w:rPr>
        <w:t>Tipo de Garantías:</w:t>
      </w:r>
      <w:r w:rsidRPr="00414F6F">
        <w:rPr>
          <w:rFonts w:ascii="Calibri" w:hAnsi="Calibri" w:cs="Calibri"/>
          <w:b/>
        </w:rPr>
        <w:t xml:space="preserve">  </w:t>
      </w:r>
      <w:r w:rsidRPr="00D11A3F">
        <w:rPr>
          <w:rFonts w:cs="Arial"/>
          <w:sz w:val="22"/>
          <w:szCs w:val="22"/>
        </w:rPr>
        <w:t>Alternativas incorporadas en el “Reglamento de los Programas de Crédito y Avales del Fondo Nacional para la Vivienda del Banco Hipotecario de la Vivienda” vigente.</w:t>
      </w:r>
    </w:p>
    <w:p w14:paraId="00485D9F" w14:textId="77777777" w:rsidR="00660832" w:rsidRPr="001B36FB" w:rsidRDefault="00660832" w:rsidP="00660832">
      <w:pPr>
        <w:tabs>
          <w:tab w:val="num" w:pos="720"/>
        </w:tabs>
        <w:ind w:right="-160"/>
        <w:jc w:val="both"/>
        <w:rPr>
          <w:rFonts w:ascii="Calibri" w:hAnsi="Calibri" w:cs="Calibri"/>
          <w:highlight w:val="yellow"/>
        </w:rPr>
      </w:pPr>
    </w:p>
    <w:p w14:paraId="733C473E" w14:textId="77777777" w:rsidR="00660832" w:rsidRPr="00C544CB"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Monto global del programa</w:t>
      </w:r>
      <w:r w:rsidRPr="00D11A3F">
        <w:rPr>
          <w:rFonts w:ascii="Calibri" w:hAnsi="Calibri" w:cs="Calibri"/>
          <w:sz w:val="22"/>
          <w:szCs w:val="22"/>
        </w:rPr>
        <w:t>:</w:t>
      </w:r>
      <w:r w:rsidRPr="00C544CB">
        <w:rPr>
          <w:rFonts w:ascii="Calibri" w:hAnsi="Calibri" w:cs="Calibri"/>
        </w:rPr>
        <w:t xml:space="preserve">  </w:t>
      </w:r>
      <w:r w:rsidRPr="00D11A3F">
        <w:rPr>
          <w:rFonts w:cs="Arial"/>
          <w:sz w:val="22"/>
          <w:szCs w:val="22"/>
        </w:rPr>
        <w:t>¢30,000 millones.</w:t>
      </w:r>
    </w:p>
    <w:p w14:paraId="6A86155A" w14:textId="77777777" w:rsidR="00660832" w:rsidRPr="00414F6F" w:rsidRDefault="00660832" w:rsidP="00660832">
      <w:pPr>
        <w:pStyle w:val="Prrafodelista"/>
        <w:rPr>
          <w:rFonts w:ascii="Calibri" w:hAnsi="Calibri" w:cs="Calibri"/>
        </w:rPr>
      </w:pPr>
    </w:p>
    <w:p w14:paraId="34EE0147" w14:textId="77777777" w:rsidR="00660832" w:rsidRPr="00D11A3F" w:rsidRDefault="00660832" w:rsidP="00660832">
      <w:pPr>
        <w:tabs>
          <w:tab w:val="num" w:pos="426"/>
        </w:tabs>
        <w:ind w:right="-160"/>
        <w:jc w:val="both"/>
        <w:rPr>
          <w:rFonts w:cs="Arial"/>
          <w:sz w:val="22"/>
          <w:szCs w:val="22"/>
        </w:rPr>
      </w:pPr>
      <w:r w:rsidRPr="00D11A3F">
        <w:rPr>
          <w:rFonts w:cs="Arial"/>
          <w:sz w:val="22"/>
          <w:szCs w:val="22"/>
        </w:rPr>
        <w:t>Adicionalmente, en el caso de financiamiento mediante línea de crédito, se aplicarán las siguientes condiciones:</w:t>
      </w:r>
    </w:p>
    <w:p w14:paraId="29B3C3A1" w14:textId="77777777" w:rsidR="00660832" w:rsidRPr="00414F6F" w:rsidRDefault="00660832" w:rsidP="00660832">
      <w:pPr>
        <w:tabs>
          <w:tab w:val="num" w:pos="426"/>
        </w:tabs>
        <w:ind w:left="426" w:right="-160"/>
        <w:jc w:val="both"/>
        <w:rPr>
          <w:rFonts w:ascii="Calibri" w:hAnsi="Calibri" w:cs="Calibri"/>
        </w:rPr>
      </w:pPr>
      <w:r w:rsidRPr="00414F6F">
        <w:rPr>
          <w:rFonts w:ascii="Calibri" w:hAnsi="Calibri" w:cs="Calibri"/>
        </w:rPr>
        <w:t xml:space="preserve"> </w:t>
      </w:r>
    </w:p>
    <w:p w14:paraId="7064D239"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Tipo de línea de crédito:</w:t>
      </w:r>
      <w:r w:rsidRPr="00414F6F">
        <w:rPr>
          <w:rFonts w:ascii="Calibri" w:hAnsi="Calibri" w:cs="Calibri"/>
          <w:b/>
        </w:rPr>
        <w:t xml:space="preserve">  </w:t>
      </w:r>
      <w:proofErr w:type="spellStart"/>
      <w:r w:rsidRPr="00D11A3F">
        <w:rPr>
          <w:rFonts w:cs="Arial"/>
          <w:sz w:val="22"/>
          <w:szCs w:val="22"/>
        </w:rPr>
        <w:t>Revolutiva</w:t>
      </w:r>
      <w:proofErr w:type="spellEnd"/>
      <w:r w:rsidRPr="00D11A3F">
        <w:rPr>
          <w:rFonts w:cs="Arial"/>
          <w:sz w:val="22"/>
          <w:szCs w:val="22"/>
        </w:rPr>
        <w:t>, sin compromiso de desembolso y sujeta al límite de operaciones activas vigente.</w:t>
      </w:r>
      <w:r w:rsidRPr="00414F6F">
        <w:rPr>
          <w:rFonts w:ascii="Calibri" w:hAnsi="Calibri" w:cs="Calibri"/>
        </w:rPr>
        <w:t xml:space="preserve"> </w:t>
      </w:r>
    </w:p>
    <w:p w14:paraId="66E1D3A2" w14:textId="77777777" w:rsidR="00660832" w:rsidRPr="00414F6F" w:rsidRDefault="00660832" w:rsidP="00660832">
      <w:pPr>
        <w:tabs>
          <w:tab w:val="num" w:pos="426"/>
        </w:tabs>
        <w:ind w:left="426" w:right="-160"/>
        <w:jc w:val="both"/>
        <w:rPr>
          <w:rFonts w:ascii="Calibri" w:hAnsi="Calibri" w:cs="Calibri"/>
        </w:rPr>
      </w:pPr>
    </w:p>
    <w:p w14:paraId="0080E2AB" w14:textId="77777777" w:rsidR="00660832" w:rsidRPr="00414F6F" w:rsidRDefault="00660832" w:rsidP="00660832">
      <w:pPr>
        <w:numPr>
          <w:ilvl w:val="0"/>
          <w:numId w:val="3"/>
        </w:numPr>
        <w:tabs>
          <w:tab w:val="num" w:pos="426"/>
        </w:tabs>
        <w:ind w:left="426" w:right="-160" w:hanging="426"/>
        <w:jc w:val="both"/>
        <w:rPr>
          <w:rFonts w:ascii="Calibri" w:hAnsi="Calibri" w:cs="Calibri"/>
        </w:rPr>
      </w:pPr>
      <w:r w:rsidRPr="00D11A3F">
        <w:rPr>
          <w:rFonts w:cs="Arial"/>
          <w:b/>
          <w:sz w:val="22"/>
          <w:szCs w:val="22"/>
        </w:rPr>
        <w:t>Plazo de la línea de crédito:</w:t>
      </w:r>
      <w:r w:rsidRPr="00D11A3F">
        <w:rPr>
          <w:rFonts w:cs="Arial"/>
          <w:sz w:val="22"/>
          <w:szCs w:val="22"/>
        </w:rPr>
        <w:t xml:space="preserve">  20 años; el plazo de los subpréstamos que se formalicen al amparo de la línea de crédito será como máximo de 15 años y no podrá superar el plazo máximo de la línea de crédito.</w:t>
      </w:r>
    </w:p>
    <w:p w14:paraId="6B84746A" w14:textId="77777777" w:rsidR="00660832" w:rsidRDefault="00660832" w:rsidP="00660832">
      <w:pPr>
        <w:jc w:val="center"/>
        <w:rPr>
          <w:rFonts w:ascii="Calibri" w:hAnsi="Calibri" w:cs="Calibri"/>
          <w:b/>
          <w:smallCaps/>
        </w:rPr>
      </w:pPr>
    </w:p>
    <w:p w14:paraId="5372EC7C" w14:textId="77777777" w:rsidR="00660832" w:rsidRPr="00414F6F" w:rsidRDefault="00660832" w:rsidP="00660832">
      <w:pPr>
        <w:jc w:val="center"/>
        <w:rPr>
          <w:rFonts w:ascii="Calibri" w:hAnsi="Calibri" w:cs="Calibri"/>
          <w:b/>
          <w:smallCaps/>
        </w:rPr>
      </w:pPr>
    </w:p>
    <w:p w14:paraId="7AE73EAA" w14:textId="77777777" w:rsidR="00660832" w:rsidRPr="00D11A3F" w:rsidRDefault="00660832" w:rsidP="00660832">
      <w:pPr>
        <w:numPr>
          <w:ilvl w:val="0"/>
          <w:numId w:val="9"/>
        </w:numPr>
        <w:ind w:hanging="218"/>
        <w:jc w:val="both"/>
        <w:rPr>
          <w:rFonts w:cs="Arial"/>
          <w:b/>
          <w:smallCaps/>
          <w:sz w:val="22"/>
          <w:szCs w:val="22"/>
        </w:rPr>
      </w:pPr>
      <w:r w:rsidRPr="00D11A3F">
        <w:rPr>
          <w:rFonts w:cs="Arial"/>
          <w:b/>
          <w:smallCaps/>
          <w:sz w:val="22"/>
          <w:szCs w:val="22"/>
        </w:rPr>
        <w:t xml:space="preserve">Programa Integral de Financiamiento para familias de ingresos Medios </w:t>
      </w:r>
    </w:p>
    <w:p w14:paraId="145BF5FF" w14:textId="77777777" w:rsidR="00660832" w:rsidRPr="00414F6F" w:rsidRDefault="00660832" w:rsidP="00660832">
      <w:pPr>
        <w:jc w:val="both"/>
        <w:rPr>
          <w:rFonts w:ascii="Calibri" w:hAnsi="Calibri" w:cs="Calibri"/>
          <w:color w:val="833C0B"/>
        </w:rPr>
      </w:pPr>
    </w:p>
    <w:p w14:paraId="26F90364" w14:textId="77777777" w:rsidR="00660832" w:rsidRPr="00D11A3F" w:rsidRDefault="00660832" w:rsidP="00660832">
      <w:pPr>
        <w:jc w:val="both"/>
        <w:rPr>
          <w:rFonts w:cs="Arial"/>
          <w:sz w:val="22"/>
          <w:szCs w:val="22"/>
        </w:rPr>
      </w:pPr>
      <w:r w:rsidRPr="00D11A3F">
        <w:rPr>
          <w:rFonts w:cs="Arial"/>
          <w:sz w:val="22"/>
          <w:szCs w:val="22"/>
        </w:rPr>
        <w:t>Las condiciones para el Programa Integral de Financiamiento para Familias de Ingresos Medios son las que se detallan a continuación:</w:t>
      </w:r>
    </w:p>
    <w:p w14:paraId="3A03DF4E" w14:textId="77777777" w:rsidR="00660832" w:rsidRPr="00414F6F" w:rsidRDefault="00660832" w:rsidP="00660832">
      <w:pPr>
        <w:ind w:left="360"/>
        <w:jc w:val="both"/>
        <w:rPr>
          <w:rFonts w:ascii="Calibri" w:hAnsi="Calibri" w:cs="Calibri"/>
        </w:rPr>
      </w:pPr>
    </w:p>
    <w:p w14:paraId="419A9438" w14:textId="77777777" w:rsidR="00660832" w:rsidRPr="00414F6F" w:rsidRDefault="00660832" w:rsidP="00660832">
      <w:pPr>
        <w:numPr>
          <w:ilvl w:val="0"/>
          <w:numId w:val="7"/>
        </w:numPr>
        <w:tabs>
          <w:tab w:val="clear" w:pos="720"/>
          <w:tab w:val="num" w:pos="360"/>
        </w:tabs>
        <w:ind w:left="360"/>
        <w:jc w:val="both"/>
        <w:rPr>
          <w:rFonts w:ascii="Calibri" w:hAnsi="Calibri" w:cs="Calibri"/>
        </w:rPr>
      </w:pPr>
      <w:r w:rsidRPr="00D11A3F">
        <w:rPr>
          <w:rFonts w:cs="Arial"/>
          <w:b/>
          <w:sz w:val="22"/>
          <w:szCs w:val="22"/>
        </w:rPr>
        <w:t>Plan de inversión</w:t>
      </w:r>
      <w:r w:rsidRPr="00D11A3F">
        <w:rPr>
          <w:rFonts w:cs="Arial"/>
          <w:sz w:val="22"/>
          <w:szCs w:val="22"/>
        </w:rPr>
        <w:t>:</w:t>
      </w:r>
      <w:r w:rsidRPr="00414F6F">
        <w:rPr>
          <w:rFonts w:ascii="Calibri" w:hAnsi="Calibri" w:cs="Calibri"/>
        </w:rPr>
        <w:t xml:space="preserve">  </w:t>
      </w:r>
      <w:r w:rsidRPr="00D11A3F">
        <w:rPr>
          <w:rFonts w:cs="Arial"/>
          <w:sz w:val="22"/>
          <w:szCs w:val="22"/>
        </w:rPr>
        <w:t>Financiamiento de soluciones individuales de vivienda, bajo las modalidades de compra de vivienda, compra de lote y construcción, construcción de vivienda en lote propio y reparaciones, ampliaciones y mejoras.</w:t>
      </w:r>
      <w:r w:rsidRPr="00414F6F">
        <w:rPr>
          <w:rFonts w:ascii="Calibri" w:hAnsi="Calibri" w:cs="Calibri"/>
        </w:rPr>
        <w:t xml:space="preserve">  </w:t>
      </w:r>
    </w:p>
    <w:p w14:paraId="6234FCDC" w14:textId="77777777" w:rsidR="00660832" w:rsidRPr="00414F6F" w:rsidRDefault="00660832" w:rsidP="00660832">
      <w:pPr>
        <w:pStyle w:val="Prrafodelista"/>
        <w:rPr>
          <w:rFonts w:ascii="Calibri" w:hAnsi="Calibri" w:cs="Calibri"/>
        </w:rPr>
      </w:pPr>
    </w:p>
    <w:p w14:paraId="25D57FEE" w14:textId="77777777" w:rsidR="00660832" w:rsidRPr="00D11A3F" w:rsidRDefault="00660832" w:rsidP="00660832">
      <w:pPr>
        <w:pStyle w:val="Prrafodelista"/>
        <w:ind w:left="284"/>
        <w:jc w:val="both"/>
        <w:rPr>
          <w:rFonts w:cs="Arial"/>
          <w:sz w:val="22"/>
          <w:szCs w:val="22"/>
        </w:rPr>
      </w:pPr>
      <w:r w:rsidRPr="00D11A3F">
        <w:rPr>
          <w:rFonts w:cs="Arial"/>
          <w:sz w:val="22"/>
          <w:szCs w:val="22"/>
        </w:rPr>
        <w:t xml:space="preserve">En los casos en los que el plan de inversión es el de construcción en lote propio y el lote fue adquirido mediante un crédito hipotecario que se mantiene vigente con condiciones menos favorables a las del Programa, será factible la cancelación de la hipoteca original bajo las siguientes condiciones: </w:t>
      </w:r>
    </w:p>
    <w:p w14:paraId="0A99988B" w14:textId="77777777" w:rsidR="00660832" w:rsidRPr="00414F6F" w:rsidRDefault="00660832" w:rsidP="00660832">
      <w:pPr>
        <w:pStyle w:val="Prrafodelista"/>
        <w:ind w:left="284"/>
        <w:jc w:val="both"/>
        <w:rPr>
          <w:rFonts w:ascii="Calibri" w:hAnsi="Calibri" w:cs="Calibri"/>
        </w:rPr>
      </w:pPr>
    </w:p>
    <w:p w14:paraId="417DC01F" w14:textId="77777777" w:rsidR="00660832" w:rsidRPr="00414F6F" w:rsidRDefault="00660832" w:rsidP="00660832">
      <w:pPr>
        <w:pStyle w:val="Prrafodelista"/>
        <w:numPr>
          <w:ilvl w:val="0"/>
          <w:numId w:val="8"/>
        </w:numPr>
        <w:jc w:val="both"/>
        <w:rPr>
          <w:rFonts w:ascii="Calibri" w:hAnsi="Calibri" w:cs="Calibri"/>
        </w:rPr>
      </w:pPr>
      <w:r w:rsidRPr="00D11A3F">
        <w:rPr>
          <w:rFonts w:cs="Arial"/>
          <w:sz w:val="22"/>
          <w:szCs w:val="22"/>
        </w:rPr>
        <w:t>La verificación de que el origen del gravamen existente está relacionado con un objetivo de vivienda</w:t>
      </w:r>
      <w:r w:rsidRPr="00414F6F">
        <w:rPr>
          <w:rFonts w:ascii="Calibri" w:hAnsi="Calibri" w:cs="Calibri"/>
        </w:rPr>
        <w:t>.</w:t>
      </w:r>
    </w:p>
    <w:p w14:paraId="104044E0" w14:textId="77777777" w:rsidR="00660832" w:rsidRPr="00414F6F" w:rsidRDefault="00660832" w:rsidP="00660832">
      <w:pPr>
        <w:pStyle w:val="Prrafodelista"/>
        <w:numPr>
          <w:ilvl w:val="0"/>
          <w:numId w:val="8"/>
        </w:numPr>
        <w:jc w:val="both"/>
        <w:rPr>
          <w:rFonts w:ascii="Calibri" w:hAnsi="Calibri" w:cs="Calibri"/>
        </w:rPr>
      </w:pPr>
      <w:r w:rsidRPr="00D11A3F">
        <w:rPr>
          <w:rFonts w:cs="Arial"/>
          <w:sz w:val="22"/>
          <w:szCs w:val="22"/>
        </w:rPr>
        <w:t>Los recursos utilizados para la cancelación del gravamen corresponden en su totalidad al crédito que está otorgando la Entidad Autorizada, siendo que los recursos del bono familiar de vivienda no pueden ser utilizados para amortizar total o parcialmente ese gravamen</w:t>
      </w:r>
      <w:r w:rsidRPr="00414F6F">
        <w:rPr>
          <w:rFonts w:ascii="Calibri" w:hAnsi="Calibri" w:cs="Calibri"/>
        </w:rPr>
        <w:t xml:space="preserve">. </w:t>
      </w:r>
    </w:p>
    <w:p w14:paraId="0C9EF02A" w14:textId="77777777" w:rsidR="00660832" w:rsidRPr="00414F6F" w:rsidRDefault="00660832" w:rsidP="00660832">
      <w:pPr>
        <w:ind w:left="360"/>
        <w:jc w:val="both"/>
        <w:rPr>
          <w:rFonts w:ascii="Calibri" w:hAnsi="Calibri" w:cs="Calibri"/>
          <w:color w:val="833C0B"/>
        </w:rPr>
      </w:pPr>
    </w:p>
    <w:p w14:paraId="487023DE" w14:textId="77777777" w:rsidR="00660832" w:rsidRPr="00D11A3F" w:rsidRDefault="00660832" w:rsidP="00660832">
      <w:pPr>
        <w:numPr>
          <w:ilvl w:val="0"/>
          <w:numId w:val="7"/>
        </w:numPr>
        <w:tabs>
          <w:tab w:val="clear" w:pos="720"/>
          <w:tab w:val="num" w:pos="360"/>
        </w:tabs>
        <w:ind w:left="360"/>
        <w:jc w:val="both"/>
        <w:rPr>
          <w:rFonts w:cs="Arial"/>
          <w:sz w:val="22"/>
          <w:szCs w:val="22"/>
        </w:rPr>
      </w:pPr>
      <w:r w:rsidRPr="003005EC">
        <w:rPr>
          <w:rFonts w:cs="Arial"/>
          <w:b/>
          <w:sz w:val="22"/>
          <w:szCs w:val="22"/>
        </w:rPr>
        <w:t>Población objetivo:</w:t>
      </w:r>
      <w:r w:rsidRPr="00414F6F">
        <w:rPr>
          <w:rFonts w:ascii="Calibri" w:hAnsi="Calibri" w:cs="Calibri"/>
        </w:rPr>
        <w:t xml:space="preserve"> </w:t>
      </w:r>
      <w:r w:rsidRPr="00D11A3F">
        <w:rPr>
          <w:rFonts w:cs="Arial"/>
          <w:sz w:val="22"/>
          <w:szCs w:val="22"/>
        </w:rPr>
        <w:t>El programa está dirigido a las familias de los segmentos medios, identificados concretamente como los estratos 1.5 al 6 según la definición de la Ley 7052.</w:t>
      </w:r>
    </w:p>
    <w:p w14:paraId="111CE6B9" w14:textId="77777777" w:rsidR="00660832" w:rsidRDefault="00660832" w:rsidP="00660832">
      <w:pPr>
        <w:ind w:left="360"/>
        <w:jc w:val="both"/>
        <w:rPr>
          <w:rFonts w:ascii="Calibri" w:hAnsi="Calibri" w:cs="Calibri"/>
          <w:b/>
        </w:rPr>
      </w:pPr>
    </w:p>
    <w:p w14:paraId="1CCC1057" w14:textId="77777777" w:rsidR="00660832" w:rsidRPr="003005EC" w:rsidRDefault="00660832" w:rsidP="00660832">
      <w:pPr>
        <w:ind w:left="360"/>
        <w:jc w:val="both"/>
        <w:rPr>
          <w:rFonts w:cs="Arial"/>
          <w:sz w:val="22"/>
          <w:szCs w:val="22"/>
        </w:rPr>
      </w:pPr>
      <w:r w:rsidRPr="003005EC">
        <w:rPr>
          <w:rFonts w:cs="Arial"/>
          <w:sz w:val="22"/>
          <w:szCs w:val="22"/>
        </w:rPr>
        <w:t>Al menos el 10% de los recursos colocados en créditos para vivienda deberá ser dirigido a personas jóvenes entre los dieciocho y treinta y cinco años.</w:t>
      </w:r>
    </w:p>
    <w:p w14:paraId="5B9B97DF" w14:textId="77777777" w:rsidR="00660832" w:rsidRPr="003005EC" w:rsidRDefault="00660832" w:rsidP="00660832">
      <w:pPr>
        <w:ind w:left="360"/>
        <w:jc w:val="both"/>
        <w:rPr>
          <w:rFonts w:cs="Arial"/>
          <w:color w:val="833C0B"/>
          <w:sz w:val="22"/>
          <w:szCs w:val="22"/>
        </w:rPr>
      </w:pPr>
    </w:p>
    <w:p w14:paraId="7B1E1DAD" w14:textId="77777777" w:rsidR="00660832" w:rsidRPr="00414F6F" w:rsidRDefault="00660832" w:rsidP="00660832">
      <w:pPr>
        <w:numPr>
          <w:ilvl w:val="0"/>
          <w:numId w:val="7"/>
        </w:numPr>
        <w:tabs>
          <w:tab w:val="clear" w:pos="720"/>
          <w:tab w:val="num" w:pos="360"/>
        </w:tabs>
        <w:ind w:left="360"/>
        <w:jc w:val="both"/>
        <w:rPr>
          <w:rFonts w:ascii="Calibri" w:hAnsi="Calibri" w:cs="Calibri"/>
        </w:rPr>
      </w:pPr>
      <w:r w:rsidRPr="003005EC">
        <w:rPr>
          <w:rFonts w:cs="Arial"/>
          <w:b/>
          <w:sz w:val="22"/>
          <w:szCs w:val="22"/>
        </w:rPr>
        <w:t>Moneda:</w:t>
      </w:r>
      <w:r w:rsidRPr="00414F6F">
        <w:rPr>
          <w:rFonts w:ascii="Calibri" w:hAnsi="Calibri" w:cs="Calibri"/>
        </w:rPr>
        <w:t xml:space="preserve">  </w:t>
      </w:r>
      <w:r w:rsidRPr="003005EC">
        <w:rPr>
          <w:rFonts w:cs="Arial"/>
          <w:sz w:val="22"/>
          <w:szCs w:val="22"/>
        </w:rPr>
        <w:t>Colones</w:t>
      </w:r>
    </w:p>
    <w:p w14:paraId="4D65639E" w14:textId="77777777" w:rsidR="00660832" w:rsidRPr="00414F6F" w:rsidRDefault="00660832" w:rsidP="00660832">
      <w:pPr>
        <w:pStyle w:val="Prrafodelista"/>
        <w:rPr>
          <w:rFonts w:ascii="Calibri" w:hAnsi="Calibri" w:cs="Calibri"/>
          <w:b/>
          <w:color w:val="833C0B"/>
        </w:rPr>
      </w:pPr>
    </w:p>
    <w:p w14:paraId="45AB8249" w14:textId="77777777" w:rsidR="00660832" w:rsidRPr="00414F6F" w:rsidRDefault="00660832" w:rsidP="00660832">
      <w:pPr>
        <w:numPr>
          <w:ilvl w:val="0"/>
          <w:numId w:val="7"/>
        </w:numPr>
        <w:tabs>
          <w:tab w:val="clear" w:pos="720"/>
          <w:tab w:val="num" w:pos="360"/>
        </w:tabs>
        <w:ind w:left="360"/>
        <w:jc w:val="both"/>
        <w:rPr>
          <w:rFonts w:ascii="Calibri" w:hAnsi="Calibri" w:cs="Calibri"/>
        </w:rPr>
      </w:pPr>
      <w:r w:rsidRPr="003005EC">
        <w:rPr>
          <w:rFonts w:cs="Arial"/>
          <w:b/>
          <w:sz w:val="22"/>
          <w:szCs w:val="22"/>
        </w:rPr>
        <w:t>Tasa de interés corriente</w:t>
      </w:r>
      <w:r w:rsidRPr="00414F6F">
        <w:rPr>
          <w:rFonts w:ascii="Calibri" w:hAnsi="Calibri" w:cs="Calibri"/>
        </w:rPr>
        <w:t xml:space="preserve">:  </w:t>
      </w:r>
      <w:r w:rsidRPr="003005EC">
        <w:rPr>
          <w:rFonts w:cs="Arial"/>
          <w:sz w:val="22"/>
          <w:szCs w:val="22"/>
        </w:rPr>
        <w:t>Tasa Básica Pasiva (TBP) calculada por el Banco Central de Costa Rica menos 1.00 punto porcentual, ajustable mensualmente.</w:t>
      </w:r>
      <w:r w:rsidRPr="00414F6F">
        <w:rPr>
          <w:rFonts w:ascii="Calibri" w:hAnsi="Calibri" w:cs="Calibri"/>
        </w:rPr>
        <w:t xml:space="preserve"> </w:t>
      </w:r>
    </w:p>
    <w:p w14:paraId="5FB1F4D9" w14:textId="77777777" w:rsidR="00660832" w:rsidRPr="001B36FB" w:rsidRDefault="00660832" w:rsidP="00660832">
      <w:pPr>
        <w:pStyle w:val="Prrafodelista"/>
        <w:rPr>
          <w:rFonts w:ascii="Calibri" w:hAnsi="Calibri" w:cs="Calibri"/>
          <w:highlight w:val="yellow"/>
        </w:rPr>
      </w:pPr>
    </w:p>
    <w:p w14:paraId="490B09DD" w14:textId="77777777" w:rsidR="00660832" w:rsidRPr="003005EC" w:rsidRDefault="00660832" w:rsidP="00660832">
      <w:pPr>
        <w:numPr>
          <w:ilvl w:val="0"/>
          <w:numId w:val="7"/>
        </w:numPr>
        <w:tabs>
          <w:tab w:val="clear" w:pos="720"/>
          <w:tab w:val="num" w:pos="360"/>
        </w:tabs>
        <w:ind w:left="360"/>
        <w:jc w:val="both"/>
        <w:rPr>
          <w:rFonts w:cs="Arial"/>
          <w:sz w:val="22"/>
          <w:szCs w:val="22"/>
        </w:rPr>
      </w:pPr>
      <w:r w:rsidRPr="003005EC">
        <w:rPr>
          <w:rFonts w:cs="Arial"/>
          <w:b/>
          <w:sz w:val="22"/>
          <w:szCs w:val="22"/>
        </w:rPr>
        <w:t>Tasa de interés moratoria</w:t>
      </w:r>
      <w:r w:rsidRPr="00414F6F">
        <w:rPr>
          <w:rFonts w:ascii="Calibri" w:hAnsi="Calibri" w:cs="Calibri"/>
        </w:rPr>
        <w:t xml:space="preserve">:  </w:t>
      </w:r>
      <w:r w:rsidRPr="003005EC">
        <w:rPr>
          <w:rFonts w:cs="Arial"/>
          <w:sz w:val="22"/>
          <w:szCs w:val="22"/>
        </w:rPr>
        <w:t>Equivalente a la tasa de interés corriente más dos puntos porcentuales</w:t>
      </w:r>
      <w:r w:rsidRPr="003005EC">
        <w:rPr>
          <w:rStyle w:val="Refdenotaalpie"/>
          <w:rFonts w:cs="Arial"/>
          <w:sz w:val="22"/>
          <w:szCs w:val="22"/>
        </w:rPr>
        <w:footnoteReference w:id="4"/>
      </w:r>
      <w:r w:rsidRPr="003005EC">
        <w:rPr>
          <w:rFonts w:cs="Arial"/>
          <w:sz w:val="22"/>
          <w:szCs w:val="22"/>
        </w:rPr>
        <w:t xml:space="preserve">. </w:t>
      </w:r>
    </w:p>
    <w:p w14:paraId="478645BE" w14:textId="77777777" w:rsidR="00660832" w:rsidRPr="00414F6F" w:rsidRDefault="00660832" w:rsidP="00660832">
      <w:pPr>
        <w:tabs>
          <w:tab w:val="num" w:pos="426"/>
        </w:tabs>
        <w:ind w:right="-160"/>
        <w:jc w:val="both"/>
        <w:rPr>
          <w:rFonts w:ascii="Calibri" w:hAnsi="Calibri" w:cs="Calibri"/>
        </w:rPr>
      </w:pPr>
    </w:p>
    <w:p w14:paraId="052E576E" w14:textId="77777777" w:rsidR="00660832" w:rsidRPr="00414F6F" w:rsidRDefault="00660832" w:rsidP="00660832">
      <w:pPr>
        <w:numPr>
          <w:ilvl w:val="0"/>
          <w:numId w:val="7"/>
        </w:numPr>
        <w:tabs>
          <w:tab w:val="clear" w:pos="720"/>
          <w:tab w:val="num" w:pos="360"/>
          <w:tab w:val="num" w:pos="426"/>
        </w:tabs>
        <w:ind w:left="360" w:right="-160"/>
        <w:jc w:val="both"/>
        <w:rPr>
          <w:rFonts w:ascii="Calibri" w:hAnsi="Calibri" w:cs="Calibri"/>
        </w:rPr>
      </w:pPr>
      <w:r w:rsidRPr="003005EC">
        <w:rPr>
          <w:rFonts w:cs="Arial"/>
          <w:b/>
          <w:sz w:val="22"/>
          <w:szCs w:val="22"/>
        </w:rPr>
        <w:t>Comisión de formalización</w:t>
      </w:r>
      <w:r w:rsidRPr="00414F6F">
        <w:rPr>
          <w:rFonts w:ascii="Calibri" w:hAnsi="Calibri" w:cs="Calibri"/>
        </w:rPr>
        <w:t xml:space="preserve">:  </w:t>
      </w:r>
      <w:r w:rsidRPr="003005EC">
        <w:rPr>
          <w:rFonts w:ascii="Calibri" w:hAnsi="Calibri" w:cs="Calibri"/>
          <w:sz w:val="22"/>
          <w:szCs w:val="22"/>
        </w:rPr>
        <w:t>Uno por ciento (1%) sobre el monto desembolsado</w:t>
      </w:r>
      <w:r w:rsidRPr="003005EC">
        <w:rPr>
          <w:rStyle w:val="Refdenotaalpie"/>
          <w:rFonts w:ascii="Calibri" w:hAnsi="Calibri" w:cs="Calibri"/>
          <w:sz w:val="22"/>
          <w:szCs w:val="22"/>
        </w:rPr>
        <w:footnoteReference w:id="5"/>
      </w:r>
      <w:r w:rsidRPr="003005EC">
        <w:rPr>
          <w:rFonts w:ascii="Calibri" w:hAnsi="Calibri" w:cs="Calibri"/>
          <w:sz w:val="22"/>
          <w:szCs w:val="22"/>
        </w:rPr>
        <w:t>.</w:t>
      </w:r>
    </w:p>
    <w:p w14:paraId="5DDCBC6C" w14:textId="77777777" w:rsidR="00660832" w:rsidRPr="00414F6F" w:rsidRDefault="00660832" w:rsidP="00660832">
      <w:pPr>
        <w:tabs>
          <w:tab w:val="num" w:pos="426"/>
        </w:tabs>
        <w:ind w:right="-160"/>
        <w:jc w:val="both"/>
        <w:rPr>
          <w:rFonts w:ascii="Calibri" w:hAnsi="Calibri" w:cs="Calibri"/>
        </w:rPr>
      </w:pPr>
    </w:p>
    <w:p w14:paraId="7835748A" w14:textId="77777777" w:rsidR="00660832" w:rsidRPr="003005EC" w:rsidRDefault="00660832" w:rsidP="00660832">
      <w:pPr>
        <w:numPr>
          <w:ilvl w:val="0"/>
          <w:numId w:val="7"/>
        </w:numPr>
        <w:tabs>
          <w:tab w:val="clear" w:pos="720"/>
          <w:tab w:val="num" w:pos="360"/>
          <w:tab w:val="num" w:pos="426"/>
        </w:tabs>
        <w:ind w:left="360" w:right="-160"/>
        <w:jc w:val="both"/>
        <w:rPr>
          <w:rFonts w:cs="Arial"/>
          <w:sz w:val="22"/>
          <w:szCs w:val="22"/>
        </w:rPr>
      </w:pPr>
      <w:r w:rsidRPr="003005EC">
        <w:rPr>
          <w:rFonts w:cs="Arial"/>
          <w:b/>
          <w:sz w:val="22"/>
          <w:szCs w:val="22"/>
        </w:rPr>
        <w:t>Comisión por pago anticipado:</w:t>
      </w:r>
      <w:r w:rsidRPr="00414F6F">
        <w:rPr>
          <w:rFonts w:ascii="Calibri" w:hAnsi="Calibri" w:cs="Calibri"/>
        </w:rPr>
        <w:t xml:space="preserve">  </w:t>
      </w:r>
      <w:r w:rsidRPr="003005EC">
        <w:rPr>
          <w:rFonts w:cs="Arial"/>
          <w:sz w:val="22"/>
          <w:szCs w:val="22"/>
        </w:rPr>
        <w:t>Tres por ciento (3%) sobre el monto del pago extraordinario durante los primeros 5 años del plazo del financiamiento</w:t>
      </w:r>
      <w:r w:rsidRPr="003005EC">
        <w:rPr>
          <w:rFonts w:cs="Arial"/>
          <w:sz w:val="22"/>
          <w:szCs w:val="22"/>
          <w:vertAlign w:val="superscript"/>
        </w:rPr>
        <w:footnoteReference w:id="6"/>
      </w:r>
      <w:r w:rsidRPr="003005EC">
        <w:rPr>
          <w:rFonts w:cs="Arial"/>
          <w:sz w:val="22"/>
          <w:szCs w:val="22"/>
        </w:rPr>
        <w:t xml:space="preserve">. </w:t>
      </w:r>
    </w:p>
    <w:p w14:paraId="35C4D542" w14:textId="77777777" w:rsidR="00660832" w:rsidRPr="00414F6F" w:rsidRDefault="00660832" w:rsidP="00660832">
      <w:pPr>
        <w:tabs>
          <w:tab w:val="num" w:pos="426"/>
        </w:tabs>
        <w:ind w:right="-160"/>
        <w:jc w:val="both"/>
        <w:rPr>
          <w:rFonts w:ascii="Calibri" w:hAnsi="Calibri" w:cs="Calibri"/>
        </w:rPr>
      </w:pPr>
    </w:p>
    <w:p w14:paraId="5B361A05" w14:textId="77777777" w:rsidR="00660832" w:rsidRPr="003005EC" w:rsidRDefault="00660832" w:rsidP="00660832">
      <w:pPr>
        <w:numPr>
          <w:ilvl w:val="0"/>
          <w:numId w:val="7"/>
        </w:numPr>
        <w:tabs>
          <w:tab w:val="clear" w:pos="720"/>
          <w:tab w:val="num" w:pos="360"/>
          <w:tab w:val="num" w:pos="426"/>
        </w:tabs>
        <w:ind w:left="360" w:right="-160"/>
        <w:jc w:val="both"/>
        <w:rPr>
          <w:rFonts w:ascii="Calibri" w:hAnsi="Calibri" w:cs="Calibri"/>
          <w:sz w:val="22"/>
          <w:szCs w:val="22"/>
        </w:rPr>
      </w:pPr>
      <w:r w:rsidRPr="003005EC">
        <w:rPr>
          <w:rFonts w:cs="Arial"/>
          <w:b/>
          <w:sz w:val="22"/>
          <w:szCs w:val="22"/>
        </w:rPr>
        <w:t>Plazo del financiamiento</w:t>
      </w:r>
      <w:r w:rsidRPr="003005EC">
        <w:rPr>
          <w:rFonts w:cs="Arial"/>
          <w:sz w:val="22"/>
          <w:szCs w:val="22"/>
        </w:rPr>
        <w:t>:</w:t>
      </w:r>
      <w:r w:rsidRPr="00414F6F">
        <w:rPr>
          <w:rFonts w:ascii="Calibri" w:hAnsi="Calibri" w:cs="Calibri"/>
        </w:rPr>
        <w:t xml:space="preserve">  </w:t>
      </w:r>
      <w:r w:rsidRPr="003005EC">
        <w:rPr>
          <w:rFonts w:ascii="Calibri" w:hAnsi="Calibri" w:cs="Calibri"/>
          <w:sz w:val="22"/>
          <w:szCs w:val="22"/>
        </w:rPr>
        <w:t>Máximo de 15 años.</w:t>
      </w:r>
    </w:p>
    <w:p w14:paraId="459111E0" w14:textId="77777777" w:rsidR="00660832" w:rsidRPr="00414F6F" w:rsidRDefault="00660832" w:rsidP="00660832">
      <w:pPr>
        <w:pStyle w:val="Prrafodelista"/>
        <w:rPr>
          <w:rFonts w:ascii="Calibri" w:hAnsi="Calibri" w:cs="Calibri"/>
        </w:rPr>
      </w:pPr>
    </w:p>
    <w:p w14:paraId="696792F8" w14:textId="77777777" w:rsidR="00660832" w:rsidRPr="00414F6F" w:rsidRDefault="00660832" w:rsidP="00660832">
      <w:pPr>
        <w:numPr>
          <w:ilvl w:val="0"/>
          <w:numId w:val="7"/>
        </w:numPr>
        <w:tabs>
          <w:tab w:val="clear" w:pos="720"/>
          <w:tab w:val="num" w:pos="360"/>
          <w:tab w:val="num" w:pos="426"/>
        </w:tabs>
        <w:ind w:left="360" w:right="-160"/>
        <w:jc w:val="both"/>
        <w:rPr>
          <w:rFonts w:ascii="Calibri" w:hAnsi="Calibri" w:cs="Calibri"/>
        </w:rPr>
      </w:pPr>
      <w:r w:rsidRPr="003005EC">
        <w:rPr>
          <w:rFonts w:cs="Arial"/>
          <w:b/>
          <w:sz w:val="22"/>
          <w:szCs w:val="22"/>
        </w:rPr>
        <w:t>Forma de pago</w:t>
      </w:r>
      <w:r w:rsidRPr="003005EC">
        <w:rPr>
          <w:rFonts w:cs="Arial"/>
          <w:sz w:val="22"/>
          <w:szCs w:val="22"/>
        </w:rPr>
        <w:t>:</w:t>
      </w:r>
      <w:r w:rsidRPr="00414F6F">
        <w:rPr>
          <w:rFonts w:ascii="Calibri" w:hAnsi="Calibri" w:cs="Calibri"/>
        </w:rPr>
        <w:t xml:space="preserve">  </w:t>
      </w:r>
      <w:r w:rsidRPr="003005EC">
        <w:rPr>
          <w:rFonts w:cs="Arial"/>
          <w:sz w:val="22"/>
          <w:szCs w:val="22"/>
        </w:rPr>
        <w:t>Cuotas mensuales niveladas por mes vencido</w:t>
      </w:r>
      <w:r w:rsidRPr="00414F6F">
        <w:rPr>
          <w:rFonts w:ascii="Calibri" w:hAnsi="Calibri" w:cs="Calibri"/>
        </w:rPr>
        <w:t>.</w:t>
      </w:r>
    </w:p>
    <w:p w14:paraId="457E10B5" w14:textId="77777777" w:rsidR="00660832" w:rsidRPr="00414F6F" w:rsidRDefault="00660832" w:rsidP="00660832">
      <w:pPr>
        <w:tabs>
          <w:tab w:val="num" w:pos="426"/>
        </w:tabs>
        <w:ind w:right="-160"/>
        <w:jc w:val="both"/>
        <w:rPr>
          <w:rFonts w:ascii="Calibri" w:hAnsi="Calibri" w:cs="Calibri"/>
        </w:rPr>
      </w:pPr>
    </w:p>
    <w:p w14:paraId="1053B6B7" w14:textId="77777777" w:rsidR="00660832" w:rsidRPr="00414F6F" w:rsidRDefault="00660832" w:rsidP="00660832">
      <w:pPr>
        <w:numPr>
          <w:ilvl w:val="0"/>
          <w:numId w:val="7"/>
        </w:numPr>
        <w:tabs>
          <w:tab w:val="clear" w:pos="720"/>
          <w:tab w:val="num" w:pos="360"/>
          <w:tab w:val="num" w:pos="426"/>
        </w:tabs>
        <w:ind w:left="360" w:right="-160"/>
        <w:jc w:val="both"/>
        <w:rPr>
          <w:rFonts w:ascii="Calibri" w:hAnsi="Calibri" w:cs="Calibri"/>
        </w:rPr>
      </w:pPr>
      <w:r w:rsidRPr="003005EC">
        <w:rPr>
          <w:rFonts w:cs="Arial"/>
          <w:b/>
          <w:sz w:val="22"/>
          <w:szCs w:val="22"/>
        </w:rPr>
        <w:t>Monto máximo del crédito</w:t>
      </w:r>
      <w:r w:rsidRPr="003005EC">
        <w:rPr>
          <w:rFonts w:cs="Arial"/>
          <w:sz w:val="22"/>
          <w:szCs w:val="22"/>
        </w:rPr>
        <w:t>:</w:t>
      </w:r>
      <w:r w:rsidRPr="00414F6F">
        <w:rPr>
          <w:rFonts w:ascii="Calibri" w:hAnsi="Calibri" w:cs="Calibri"/>
        </w:rPr>
        <w:t xml:space="preserve">  </w:t>
      </w:r>
      <w:r w:rsidRPr="003005EC">
        <w:rPr>
          <w:rFonts w:cs="Arial"/>
          <w:sz w:val="22"/>
          <w:szCs w:val="22"/>
        </w:rPr>
        <w:t>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76953E7A" w14:textId="77777777" w:rsidR="00660832" w:rsidRPr="001B36FB" w:rsidRDefault="00660832" w:rsidP="00660832">
      <w:pPr>
        <w:pStyle w:val="Prrafodelista"/>
        <w:rPr>
          <w:rFonts w:ascii="Calibri" w:hAnsi="Calibri" w:cs="Calibri"/>
          <w:b/>
          <w:highlight w:val="yellow"/>
        </w:rPr>
      </w:pPr>
    </w:p>
    <w:p w14:paraId="568AD0C5" w14:textId="77777777" w:rsidR="00660832" w:rsidRPr="003005EC" w:rsidRDefault="00660832" w:rsidP="00660832">
      <w:pPr>
        <w:numPr>
          <w:ilvl w:val="0"/>
          <w:numId w:val="7"/>
        </w:numPr>
        <w:tabs>
          <w:tab w:val="clear" w:pos="720"/>
          <w:tab w:val="num" w:pos="360"/>
          <w:tab w:val="num" w:pos="426"/>
        </w:tabs>
        <w:ind w:left="360" w:right="-160"/>
        <w:jc w:val="both"/>
        <w:rPr>
          <w:rFonts w:cs="Arial"/>
          <w:sz w:val="22"/>
          <w:szCs w:val="22"/>
        </w:rPr>
      </w:pPr>
      <w:r w:rsidRPr="003005EC">
        <w:rPr>
          <w:rFonts w:cs="Arial"/>
          <w:b/>
          <w:sz w:val="22"/>
          <w:szCs w:val="22"/>
        </w:rPr>
        <w:t>Tipo de Garantías:</w:t>
      </w:r>
      <w:r w:rsidRPr="00414F6F">
        <w:rPr>
          <w:rFonts w:ascii="Calibri" w:hAnsi="Calibri" w:cs="Calibri"/>
          <w:b/>
        </w:rPr>
        <w:t xml:space="preserve">  </w:t>
      </w:r>
      <w:r w:rsidRPr="003005EC">
        <w:rPr>
          <w:rFonts w:cs="Arial"/>
          <w:sz w:val="22"/>
          <w:szCs w:val="22"/>
        </w:rPr>
        <w:t>Alternativas incorporadas en el “Reglamento de los Programas de Crédito y Avales del Fondo Nacional para la Vivienda del Banco Hipotecario de la Vivienda” vigente.</w:t>
      </w:r>
    </w:p>
    <w:p w14:paraId="2677F88C" w14:textId="77777777" w:rsidR="00660832" w:rsidRPr="00414F6F" w:rsidRDefault="00660832" w:rsidP="00660832">
      <w:pPr>
        <w:pStyle w:val="Prrafodelista"/>
        <w:rPr>
          <w:rFonts w:ascii="Calibri" w:hAnsi="Calibri" w:cs="Calibri"/>
          <w:b/>
        </w:rPr>
      </w:pPr>
    </w:p>
    <w:p w14:paraId="6386EAAC" w14:textId="77777777" w:rsidR="00660832" w:rsidRPr="00331F60" w:rsidRDefault="00660832" w:rsidP="00660832">
      <w:pPr>
        <w:numPr>
          <w:ilvl w:val="0"/>
          <w:numId w:val="7"/>
        </w:numPr>
        <w:tabs>
          <w:tab w:val="clear" w:pos="720"/>
          <w:tab w:val="num" w:pos="360"/>
          <w:tab w:val="num" w:pos="426"/>
        </w:tabs>
        <w:ind w:left="360" w:right="-160"/>
        <w:jc w:val="both"/>
        <w:rPr>
          <w:rFonts w:ascii="Calibri" w:hAnsi="Calibri" w:cs="Calibri"/>
          <w:sz w:val="22"/>
          <w:szCs w:val="22"/>
        </w:rPr>
      </w:pPr>
      <w:r w:rsidRPr="00331F60">
        <w:rPr>
          <w:rFonts w:cs="Arial"/>
          <w:b/>
          <w:sz w:val="22"/>
          <w:szCs w:val="22"/>
        </w:rPr>
        <w:lastRenderedPageBreak/>
        <w:t>Monto global del programa</w:t>
      </w:r>
      <w:r w:rsidRPr="00331F60">
        <w:rPr>
          <w:rFonts w:cs="Arial"/>
          <w:sz w:val="22"/>
          <w:szCs w:val="22"/>
        </w:rPr>
        <w:t>:</w:t>
      </w:r>
      <w:r w:rsidRPr="00414F6F">
        <w:rPr>
          <w:rFonts w:ascii="Calibri" w:hAnsi="Calibri" w:cs="Calibri"/>
        </w:rPr>
        <w:t xml:space="preserve">  </w:t>
      </w:r>
      <w:r w:rsidRPr="00331F60">
        <w:rPr>
          <w:rFonts w:cs="Arial"/>
        </w:rPr>
        <w:t>¢10,0000 millones</w:t>
      </w:r>
      <w:r w:rsidRPr="00331F60">
        <w:rPr>
          <w:rFonts w:ascii="Calibri" w:hAnsi="Calibri" w:cs="Calibri"/>
          <w:sz w:val="22"/>
          <w:szCs w:val="22"/>
        </w:rPr>
        <w:t>.</w:t>
      </w:r>
    </w:p>
    <w:p w14:paraId="49E5C431" w14:textId="77777777" w:rsidR="00660832" w:rsidRPr="001B36FB" w:rsidRDefault="00660832" w:rsidP="00660832">
      <w:pPr>
        <w:tabs>
          <w:tab w:val="num" w:pos="426"/>
        </w:tabs>
        <w:ind w:right="-160"/>
        <w:jc w:val="both"/>
        <w:rPr>
          <w:rFonts w:ascii="Calibri" w:hAnsi="Calibri" w:cs="Calibri"/>
          <w:highlight w:val="yellow"/>
        </w:rPr>
      </w:pPr>
    </w:p>
    <w:p w14:paraId="0EA4615F" w14:textId="77777777" w:rsidR="00660832" w:rsidRPr="00331F60" w:rsidRDefault="00660832" w:rsidP="00660832">
      <w:pPr>
        <w:tabs>
          <w:tab w:val="num" w:pos="426"/>
        </w:tabs>
        <w:ind w:right="-160"/>
        <w:jc w:val="both"/>
        <w:rPr>
          <w:rFonts w:cs="Arial"/>
          <w:sz w:val="22"/>
          <w:szCs w:val="22"/>
        </w:rPr>
      </w:pPr>
      <w:r w:rsidRPr="00331F60">
        <w:rPr>
          <w:rFonts w:cs="Arial"/>
          <w:sz w:val="22"/>
          <w:szCs w:val="22"/>
        </w:rPr>
        <w:t>Adicionalmente, en el caso de financiamiento mediante línea de crédito, se aplicarán las siguientes condiciones:</w:t>
      </w:r>
    </w:p>
    <w:p w14:paraId="53383D9F" w14:textId="77777777" w:rsidR="00660832" w:rsidRPr="00414F6F" w:rsidRDefault="00660832" w:rsidP="00660832">
      <w:pPr>
        <w:tabs>
          <w:tab w:val="num" w:pos="426"/>
        </w:tabs>
        <w:ind w:left="426" w:right="-160"/>
        <w:jc w:val="both"/>
        <w:rPr>
          <w:rFonts w:ascii="Calibri" w:hAnsi="Calibri" w:cs="Calibri"/>
        </w:rPr>
      </w:pPr>
      <w:r w:rsidRPr="00414F6F">
        <w:rPr>
          <w:rFonts w:ascii="Calibri" w:hAnsi="Calibri" w:cs="Calibri"/>
        </w:rPr>
        <w:t xml:space="preserve"> </w:t>
      </w:r>
    </w:p>
    <w:p w14:paraId="2FA0DADF" w14:textId="77777777" w:rsidR="00660832" w:rsidRPr="00331F60" w:rsidRDefault="00660832" w:rsidP="00660832">
      <w:pPr>
        <w:numPr>
          <w:ilvl w:val="0"/>
          <w:numId w:val="7"/>
        </w:numPr>
        <w:tabs>
          <w:tab w:val="clear" w:pos="720"/>
          <w:tab w:val="num" w:pos="360"/>
          <w:tab w:val="num" w:pos="426"/>
        </w:tabs>
        <w:ind w:left="360" w:right="-160"/>
        <w:jc w:val="both"/>
        <w:rPr>
          <w:rFonts w:cs="Arial"/>
          <w:sz w:val="22"/>
          <w:szCs w:val="22"/>
        </w:rPr>
      </w:pPr>
      <w:r w:rsidRPr="00331F60">
        <w:rPr>
          <w:rFonts w:cs="Arial"/>
          <w:b/>
          <w:sz w:val="22"/>
          <w:szCs w:val="22"/>
        </w:rPr>
        <w:t>Tipo de línea de crédito:</w:t>
      </w:r>
      <w:r w:rsidRPr="00414F6F">
        <w:rPr>
          <w:rFonts w:ascii="Calibri" w:hAnsi="Calibri" w:cs="Calibri"/>
          <w:b/>
        </w:rPr>
        <w:t xml:space="preserve">  </w:t>
      </w:r>
      <w:r w:rsidRPr="00331F60">
        <w:rPr>
          <w:rFonts w:cs="Arial"/>
          <w:sz w:val="22"/>
          <w:szCs w:val="22"/>
        </w:rPr>
        <w:t xml:space="preserve">Sin compromiso de desembolso y sujeta al límite de operaciones activas vigente. </w:t>
      </w:r>
    </w:p>
    <w:p w14:paraId="48F97C3F" w14:textId="77777777" w:rsidR="00660832" w:rsidRPr="00414F6F" w:rsidRDefault="00660832" w:rsidP="00660832">
      <w:pPr>
        <w:tabs>
          <w:tab w:val="num" w:pos="426"/>
        </w:tabs>
        <w:ind w:left="426" w:right="-160"/>
        <w:jc w:val="both"/>
        <w:rPr>
          <w:rFonts w:ascii="Calibri" w:hAnsi="Calibri" w:cs="Calibri"/>
        </w:rPr>
      </w:pPr>
    </w:p>
    <w:p w14:paraId="2620518F" w14:textId="77777777" w:rsidR="00660832" w:rsidRPr="00414F6F" w:rsidRDefault="00660832" w:rsidP="00660832">
      <w:pPr>
        <w:numPr>
          <w:ilvl w:val="0"/>
          <w:numId w:val="7"/>
        </w:numPr>
        <w:tabs>
          <w:tab w:val="clear" w:pos="720"/>
          <w:tab w:val="num" w:pos="360"/>
          <w:tab w:val="num" w:pos="426"/>
        </w:tabs>
        <w:ind w:left="360" w:right="-160"/>
        <w:jc w:val="both"/>
        <w:rPr>
          <w:rFonts w:ascii="Calibri" w:hAnsi="Calibri" w:cs="Calibri"/>
        </w:rPr>
      </w:pPr>
      <w:r w:rsidRPr="00647D3A">
        <w:rPr>
          <w:rFonts w:cs="Arial"/>
          <w:b/>
          <w:sz w:val="22"/>
          <w:szCs w:val="22"/>
        </w:rPr>
        <w:t>Plazo de la línea de crédito:</w:t>
      </w:r>
      <w:r w:rsidRPr="00414F6F">
        <w:rPr>
          <w:rFonts w:ascii="Calibri" w:hAnsi="Calibri" w:cs="Calibri"/>
        </w:rPr>
        <w:t xml:space="preserve">  </w:t>
      </w:r>
      <w:r w:rsidRPr="00331F60">
        <w:rPr>
          <w:rFonts w:cs="Arial"/>
          <w:sz w:val="22"/>
          <w:szCs w:val="22"/>
        </w:rPr>
        <w:t>20 años; el plazo de los subpréstamos que se formalicen al amparo de la línea de crédito será como máximo de 15 años y no podrá superar el plazo máximo de la línea de crédito.</w:t>
      </w:r>
    </w:p>
    <w:p w14:paraId="40E5982A" w14:textId="77777777" w:rsidR="00660832" w:rsidRPr="00414F6F" w:rsidRDefault="00660832" w:rsidP="00660832">
      <w:pPr>
        <w:pStyle w:val="Prrafodelista"/>
        <w:rPr>
          <w:rFonts w:ascii="Calibri" w:hAnsi="Calibri" w:cs="Calibri"/>
        </w:rPr>
      </w:pPr>
    </w:p>
    <w:p w14:paraId="430B6C75" w14:textId="77777777" w:rsidR="00660832" w:rsidRPr="008F1C74" w:rsidRDefault="00660832" w:rsidP="00660832">
      <w:pPr>
        <w:ind w:right="-160"/>
        <w:jc w:val="both"/>
        <w:rPr>
          <w:rFonts w:cs="Arial"/>
          <w:sz w:val="22"/>
          <w:szCs w:val="22"/>
        </w:rPr>
      </w:pPr>
      <w:r w:rsidRPr="008F1C74">
        <w:rPr>
          <w:rFonts w:cs="Arial"/>
          <w:sz w:val="22"/>
          <w:szCs w:val="22"/>
        </w:rPr>
        <w:t xml:space="preserve">En el caso de </w:t>
      </w:r>
      <w:proofErr w:type="gramStart"/>
      <w:r w:rsidRPr="008F1C74">
        <w:rPr>
          <w:rFonts w:cs="Arial"/>
          <w:sz w:val="22"/>
          <w:szCs w:val="22"/>
        </w:rPr>
        <w:t>que</w:t>
      </w:r>
      <w:proofErr w:type="gramEnd"/>
      <w:r w:rsidRPr="008F1C74">
        <w:rPr>
          <w:rFonts w:cs="Arial"/>
          <w:sz w:val="22"/>
          <w:szCs w:val="22"/>
        </w:rPr>
        <w:t xml:space="preserve"> al vencerse el plazo de los financiamientos otorgados por el BANHVI a las Entidades Autorizadas, se determina que éstas mantienen saldos vigentes en las operaciones de crédito de vivienda que fueron formalizadas al amparo del Programa Integral de Financiamiento para Familias de Ingresos Medios, se realizará una renovación del financiamiento otorgado por el BANHVI, manteniendo la condición establecida para la tasa de interés.  El monto del nuevo financiamiento será el equivalente a una proporción del saldo de principal de las operaciones pendientes de recuperación, de conformidad con la participación establecida para los recursos asociados al financiamiento del BANHVI (máximo del 70%); por su parte, el plazo será el equivalente al plazo promedio restante de las operaciones que mantienen vigentes las Entidades Autorizadas.</w:t>
      </w:r>
    </w:p>
    <w:p w14:paraId="284C9F3E" w14:textId="77777777" w:rsidR="00660832" w:rsidRPr="001B36FB" w:rsidRDefault="00660832" w:rsidP="00660832">
      <w:pPr>
        <w:pStyle w:val="Prrafodelista"/>
        <w:ind w:left="0"/>
        <w:rPr>
          <w:rFonts w:ascii="Calibri" w:hAnsi="Calibri" w:cs="Calibri"/>
          <w:b/>
          <w:highlight w:val="yellow"/>
        </w:rPr>
      </w:pPr>
    </w:p>
    <w:p w14:paraId="1E85E617" w14:textId="77777777" w:rsidR="00660832" w:rsidRPr="008F1C74" w:rsidRDefault="00660832" w:rsidP="00660832">
      <w:pPr>
        <w:ind w:right="-160"/>
        <w:jc w:val="both"/>
        <w:rPr>
          <w:rFonts w:cs="Arial"/>
          <w:sz w:val="22"/>
          <w:szCs w:val="22"/>
        </w:rPr>
      </w:pPr>
      <w:r w:rsidRPr="008F1C74">
        <w:rPr>
          <w:rFonts w:cs="Arial"/>
          <w:sz w:val="22"/>
          <w:szCs w:val="22"/>
        </w:rPr>
        <w:t>La renovación del financiamiento por parte del BANHVI a las Entidades Autorizadas, aplica tanto para los casos de los créditos actualmente vigentes a los que se realice el ajuste de tasa de interés, como para las nuevas operaciones que se formalicen al amparo de este Programa.</w:t>
      </w:r>
    </w:p>
    <w:p w14:paraId="11D8CEA9" w14:textId="77777777" w:rsidR="00660832" w:rsidRPr="00414F6F" w:rsidRDefault="00660832" w:rsidP="00660832">
      <w:pPr>
        <w:ind w:left="426" w:right="-160"/>
        <w:jc w:val="both"/>
        <w:rPr>
          <w:rFonts w:ascii="Calibri" w:hAnsi="Calibri" w:cs="Calibri"/>
        </w:rPr>
      </w:pPr>
    </w:p>
    <w:p w14:paraId="457CD5C1" w14:textId="77777777" w:rsidR="00660832" w:rsidRPr="00D27740" w:rsidRDefault="00660832" w:rsidP="00660832">
      <w:pPr>
        <w:pStyle w:val="Prrafodelista"/>
        <w:ind w:left="0"/>
        <w:rPr>
          <w:rFonts w:ascii="Calibri" w:hAnsi="Calibri" w:cs="Calibri"/>
        </w:rPr>
      </w:pPr>
    </w:p>
    <w:p w14:paraId="612114F8" w14:textId="77777777" w:rsidR="00660832" w:rsidRPr="008F1C74" w:rsidRDefault="00660832" w:rsidP="00660832">
      <w:pPr>
        <w:numPr>
          <w:ilvl w:val="0"/>
          <w:numId w:val="9"/>
        </w:numPr>
        <w:ind w:hanging="218"/>
        <w:jc w:val="both"/>
        <w:rPr>
          <w:rFonts w:cs="Arial"/>
          <w:b/>
          <w:smallCaps/>
          <w:sz w:val="22"/>
          <w:szCs w:val="22"/>
        </w:rPr>
      </w:pPr>
      <w:r w:rsidRPr="008F1C74">
        <w:rPr>
          <w:rFonts w:cs="Arial"/>
          <w:b/>
          <w:smallCaps/>
          <w:sz w:val="22"/>
          <w:szCs w:val="22"/>
        </w:rPr>
        <w:t>Programa de Crédito de Corto Plazo en Colones</w:t>
      </w:r>
    </w:p>
    <w:p w14:paraId="4D2E4F5A" w14:textId="77777777" w:rsidR="00660832" w:rsidRPr="00D27740" w:rsidRDefault="00660832" w:rsidP="00660832">
      <w:pPr>
        <w:tabs>
          <w:tab w:val="num" w:pos="720"/>
        </w:tabs>
        <w:ind w:right="-160"/>
        <w:jc w:val="both"/>
        <w:rPr>
          <w:rFonts w:ascii="Calibri" w:hAnsi="Calibri" w:cs="Calibri"/>
        </w:rPr>
      </w:pPr>
    </w:p>
    <w:p w14:paraId="04A700B2" w14:textId="7F2D130E" w:rsidR="00660832" w:rsidRPr="00B61F9F" w:rsidRDefault="00660832" w:rsidP="00660832">
      <w:pPr>
        <w:jc w:val="both"/>
        <w:rPr>
          <w:rFonts w:cs="Arial"/>
          <w:sz w:val="22"/>
          <w:szCs w:val="22"/>
        </w:rPr>
      </w:pPr>
      <w:r w:rsidRPr="00B61F9F">
        <w:rPr>
          <w:rFonts w:cs="Arial"/>
          <w:sz w:val="22"/>
          <w:szCs w:val="22"/>
        </w:rPr>
        <w:t xml:space="preserve">Para el caso del </w:t>
      </w:r>
      <w:r w:rsidRPr="00B61F9F">
        <w:rPr>
          <w:rFonts w:cs="Arial"/>
          <w:b/>
          <w:sz w:val="22"/>
          <w:szCs w:val="22"/>
          <w:u w:val="single"/>
        </w:rPr>
        <w:t xml:space="preserve">Programa de Crédito de Corto Plazo en Colones </w:t>
      </w:r>
      <w:r w:rsidRPr="00B61F9F">
        <w:rPr>
          <w:rFonts w:cs="Arial"/>
          <w:sz w:val="22"/>
          <w:szCs w:val="22"/>
        </w:rPr>
        <w:t xml:space="preserve">se </w:t>
      </w:r>
      <w:r w:rsidR="000F7734">
        <w:rPr>
          <w:rFonts w:cs="Arial"/>
          <w:sz w:val="22"/>
          <w:szCs w:val="22"/>
        </w:rPr>
        <w:t>tendrán</w:t>
      </w:r>
      <w:r w:rsidRPr="00B61F9F">
        <w:rPr>
          <w:rFonts w:cs="Arial"/>
          <w:sz w:val="22"/>
          <w:szCs w:val="22"/>
        </w:rPr>
        <w:t xml:space="preserve"> las siguientes condiciones:</w:t>
      </w:r>
    </w:p>
    <w:p w14:paraId="15D26DB4" w14:textId="77777777" w:rsidR="00660832" w:rsidRPr="00B61F9F" w:rsidRDefault="00660832" w:rsidP="00660832">
      <w:pPr>
        <w:jc w:val="both"/>
        <w:rPr>
          <w:rFonts w:cs="Arial"/>
        </w:rPr>
      </w:pPr>
    </w:p>
    <w:p w14:paraId="44C75F58"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Plan de inversión</w:t>
      </w:r>
      <w:r w:rsidRPr="00B61F9F">
        <w:rPr>
          <w:rFonts w:cs="Arial"/>
          <w:sz w:val="22"/>
          <w:szCs w:val="22"/>
        </w:rPr>
        <w:t>:</w:t>
      </w:r>
      <w:r w:rsidRPr="00D27740">
        <w:rPr>
          <w:rFonts w:ascii="Calibri" w:hAnsi="Calibri" w:cs="Calibri"/>
        </w:rPr>
        <w:t xml:space="preserve"> </w:t>
      </w:r>
      <w:r w:rsidRPr="00B61F9F">
        <w:rPr>
          <w:rFonts w:cs="Arial"/>
          <w:sz w:val="22"/>
          <w:szCs w:val="22"/>
        </w:rPr>
        <w:t xml:space="preserve">Formalización de operaciones de crédito para el desarrollo de proyectos de vivienda.  </w:t>
      </w:r>
    </w:p>
    <w:p w14:paraId="2FA17B5A" w14:textId="77777777" w:rsidR="00660832" w:rsidRPr="00B61F9F" w:rsidRDefault="00660832" w:rsidP="00660832">
      <w:pPr>
        <w:tabs>
          <w:tab w:val="num" w:pos="426"/>
        </w:tabs>
        <w:ind w:left="426" w:right="-160"/>
        <w:jc w:val="both"/>
        <w:rPr>
          <w:rFonts w:cs="Arial"/>
          <w:sz w:val="22"/>
          <w:szCs w:val="22"/>
        </w:rPr>
      </w:pPr>
    </w:p>
    <w:p w14:paraId="6105F101" w14:textId="77777777" w:rsidR="00660832" w:rsidRPr="00D27740" w:rsidRDefault="00660832" w:rsidP="00660832">
      <w:pPr>
        <w:numPr>
          <w:ilvl w:val="0"/>
          <w:numId w:val="4"/>
        </w:numPr>
        <w:tabs>
          <w:tab w:val="num" w:pos="426"/>
        </w:tabs>
        <w:ind w:left="426" w:right="-160" w:hanging="426"/>
        <w:jc w:val="both"/>
        <w:rPr>
          <w:rFonts w:ascii="Calibri" w:hAnsi="Calibri" w:cs="Calibri"/>
        </w:rPr>
      </w:pPr>
      <w:r w:rsidRPr="00B61F9F">
        <w:rPr>
          <w:rFonts w:cs="Arial"/>
          <w:b/>
          <w:bCs/>
          <w:sz w:val="22"/>
          <w:szCs w:val="22"/>
        </w:rPr>
        <w:t>Moneda:</w:t>
      </w:r>
      <w:r w:rsidRPr="00D27740">
        <w:rPr>
          <w:rFonts w:ascii="Calibri" w:hAnsi="Calibri" w:cs="Calibri"/>
          <w:b/>
          <w:bCs/>
        </w:rPr>
        <w:t xml:space="preserve">  </w:t>
      </w:r>
      <w:r w:rsidRPr="00B61F9F">
        <w:rPr>
          <w:rFonts w:ascii="Calibri" w:hAnsi="Calibri" w:cs="Calibri"/>
          <w:sz w:val="22"/>
          <w:szCs w:val="22"/>
        </w:rPr>
        <w:t>Colones.</w:t>
      </w:r>
    </w:p>
    <w:p w14:paraId="3BFB8DE1" w14:textId="77777777" w:rsidR="00660832" w:rsidRPr="00D27740" w:rsidRDefault="00660832" w:rsidP="00660832">
      <w:pPr>
        <w:tabs>
          <w:tab w:val="num" w:pos="426"/>
        </w:tabs>
        <w:ind w:right="-160"/>
        <w:jc w:val="both"/>
        <w:rPr>
          <w:rFonts w:ascii="Calibri" w:hAnsi="Calibri" w:cs="Calibri"/>
        </w:rPr>
      </w:pPr>
    </w:p>
    <w:p w14:paraId="3C7EB466" w14:textId="77777777" w:rsidR="00660832" w:rsidRPr="00B61F9F" w:rsidRDefault="00660832" w:rsidP="00660832">
      <w:pPr>
        <w:numPr>
          <w:ilvl w:val="0"/>
          <w:numId w:val="4"/>
        </w:numPr>
        <w:tabs>
          <w:tab w:val="num" w:pos="426"/>
        </w:tabs>
        <w:ind w:left="426" w:right="-160" w:hanging="426"/>
        <w:jc w:val="both"/>
        <w:rPr>
          <w:rFonts w:cs="Arial"/>
          <w:b/>
          <w:sz w:val="22"/>
          <w:szCs w:val="22"/>
        </w:rPr>
      </w:pPr>
      <w:r w:rsidRPr="00B61F9F">
        <w:rPr>
          <w:rFonts w:cs="Arial"/>
          <w:b/>
          <w:sz w:val="22"/>
          <w:szCs w:val="22"/>
        </w:rPr>
        <w:t>Tasa de interés corriente</w:t>
      </w:r>
      <w:r w:rsidRPr="00B61F9F">
        <w:rPr>
          <w:rFonts w:cs="Arial"/>
          <w:sz w:val="22"/>
          <w:szCs w:val="22"/>
        </w:rPr>
        <w:t>:</w:t>
      </w:r>
      <w:r w:rsidRPr="007A0EA6">
        <w:rPr>
          <w:rFonts w:ascii="Calibri" w:hAnsi="Calibri" w:cs="Calibri"/>
        </w:rPr>
        <w:t xml:space="preserve">  </w:t>
      </w:r>
      <w:r w:rsidRPr="00B61F9F">
        <w:rPr>
          <w:rFonts w:cs="Arial"/>
          <w:sz w:val="22"/>
          <w:szCs w:val="22"/>
        </w:rPr>
        <w:t>Tasa Básica (TB) calculada por el Banco Central de Costa Rica más 2.00 puntos porcentuales en caso de Entidades sujetas al requerimiento de Encaje Mínimo Legal y TB más 2.25 puntos porcentuales para el resto de las Entidades, ajustable mensualmente.</w:t>
      </w:r>
    </w:p>
    <w:p w14:paraId="63DB87B7" w14:textId="77777777" w:rsidR="00660832" w:rsidRPr="001B36FB" w:rsidRDefault="00660832" w:rsidP="00660832">
      <w:pPr>
        <w:ind w:left="426" w:right="-160"/>
        <w:jc w:val="both"/>
        <w:rPr>
          <w:rFonts w:ascii="Calibri" w:hAnsi="Calibri" w:cs="Calibri"/>
          <w:b/>
          <w:highlight w:val="yellow"/>
        </w:rPr>
      </w:pPr>
    </w:p>
    <w:p w14:paraId="77F26F70" w14:textId="77777777" w:rsidR="00660832" w:rsidRPr="00B61F9F" w:rsidRDefault="00660832" w:rsidP="00660832">
      <w:pPr>
        <w:numPr>
          <w:ilvl w:val="0"/>
          <w:numId w:val="4"/>
        </w:numPr>
        <w:ind w:left="426" w:right="-160" w:hanging="426"/>
        <w:jc w:val="both"/>
        <w:rPr>
          <w:rFonts w:cs="Arial"/>
          <w:sz w:val="22"/>
          <w:szCs w:val="22"/>
        </w:rPr>
      </w:pPr>
      <w:r w:rsidRPr="00B61F9F">
        <w:rPr>
          <w:rFonts w:cs="Arial"/>
          <w:b/>
          <w:sz w:val="22"/>
          <w:szCs w:val="22"/>
        </w:rPr>
        <w:t>Tasa de interés moratoria</w:t>
      </w:r>
      <w:r w:rsidRPr="00B61F9F">
        <w:rPr>
          <w:rFonts w:cs="Arial"/>
          <w:sz w:val="22"/>
          <w:szCs w:val="22"/>
        </w:rPr>
        <w:t>:</w:t>
      </w:r>
      <w:r w:rsidRPr="00D27740">
        <w:rPr>
          <w:rFonts w:ascii="Calibri" w:hAnsi="Calibri" w:cs="Calibri"/>
        </w:rPr>
        <w:t xml:space="preserve">  </w:t>
      </w:r>
      <w:r w:rsidRPr="00B61F9F">
        <w:rPr>
          <w:rFonts w:cs="Arial"/>
          <w:sz w:val="22"/>
          <w:szCs w:val="22"/>
        </w:rPr>
        <w:t>Equivalente a la tasa de interés corriente más dos puntos porcentuales</w:t>
      </w:r>
      <w:r w:rsidRPr="00B61F9F">
        <w:rPr>
          <w:rStyle w:val="Refdenotaalpie"/>
          <w:rFonts w:cs="Arial"/>
          <w:sz w:val="22"/>
          <w:szCs w:val="22"/>
        </w:rPr>
        <w:footnoteReference w:id="7"/>
      </w:r>
      <w:r w:rsidRPr="00B61F9F">
        <w:rPr>
          <w:rFonts w:cs="Arial"/>
          <w:sz w:val="22"/>
          <w:szCs w:val="22"/>
        </w:rPr>
        <w:t xml:space="preserve">. </w:t>
      </w:r>
    </w:p>
    <w:p w14:paraId="2AAA1479" w14:textId="77777777" w:rsidR="00660832" w:rsidRPr="00D27740" w:rsidRDefault="00660832" w:rsidP="00660832">
      <w:pPr>
        <w:ind w:left="426" w:right="-160"/>
        <w:jc w:val="both"/>
        <w:rPr>
          <w:rFonts w:ascii="Calibri" w:hAnsi="Calibri" w:cs="Calibri"/>
        </w:rPr>
      </w:pPr>
    </w:p>
    <w:p w14:paraId="59E0384D" w14:textId="77777777" w:rsidR="00660832" w:rsidRPr="00D27740" w:rsidRDefault="00660832" w:rsidP="00660832">
      <w:pPr>
        <w:numPr>
          <w:ilvl w:val="0"/>
          <w:numId w:val="4"/>
        </w:numPr>
        <w:tabs>
          <w:tab w:val="num" w:pos="426"/>
        </w:tabs>
        <w:ind w:left="426" w:right="-160" w:hanging="426"/>
        <w:jc w:val="both"/>
        <w:rPr>
          <w:rFonts w:ascii="Calibri" w:hAnsi="Calibri" w:cs="Calibri"/>
        </w:rPr>
      </w:pPr>
      <w:r w:rsidRPr="00B61F9F">
        <w:rPr>
          <w:rFonts w:cs="Arial"/>
          <w:b/>
          <w:sz w:val="22"/>
          <w:szCs w:val="22"/>
        </w:rPr>
        <w:t>Comisión de formalización</w:t>
      </w:r>
      <w:r w:rsidRPr="00B61F9F">
        <w:rPr>
          <w:rFonts w:cs="Arial"/>
          <w:sz w:val="22"/>
          <w:szCs w:val="22"/>
        </w:rPr>
        <w:t>:</w:t>
      </w:r>
      <w:r w:rsidRPr="00D27740">
        <w:rPr>
          <w:rFonts w:ascii="Calibri" w:hAnsi="Calibri" w:cs="Calibri"/>
        </w:rPr>
        <w:t xml:space="preserve">  </w:t>
      </w:r>
      <w:r w:rsidRPr="00B61F9F">
        <w:rPr>
          <w:rFonts w:cs="Arial"/>
          <w:sz w:val="22"/>
          <w:szCs w:val="22"/>
        </w:rPr>
        <w:t>Uno por ciento (</w:t>
      </w:r>
      <w:r w:rsidRPr="00B61F9F">
        <w:rPr>
          <w:rFonts w:cs="Arial"/>
          <w:color w:val="000000"/>
          <w:sz w:val="22"/>
          <w:szCs w:val="22"/>
        </w:rPr>
        <w:t>1%) sobre el monto desembolsado</w:t>
      </w:r>
      <w:r w:rsidRPr="00D27740">
        <w:rPr>
          <w:rFonts w:ascii="Calibri" w:hAnsi="Calibri" w:cs="Calibri"/>
          <w:color w:val="000000"/>
        </w:rPr>
        <w:t>.</w:t>
      </w:r>
    </w:p>
    <w:p w14:paraId="09DCD3B8" w14:textId="77777777" w:rsidR="00660832" w:rsidRPr="00D27740" w:rsidRDefault="00660832" w:rsidP="00660832">
      <w:pPr>
        <w:tabs>
          <w:tab w:val="num" w:pos="426"/>
        </w:tabs>
        <w:ind w:right="-160"/>
        <w:jc w:val="both"/>
        <w:rPr>
          <w:rFonts w:ascii="Calibri" w:hAnsi="Calibri" w:cs="Calibri"/>
          <w:b/>
        </w:rPr>
      </w:pPr>
    </w:p>
    <w:p w14:paraId="77B2E2FA"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 xml:space="preserve">Comisión por pago anticipado:  </w:t>
      </w:r>
      <w:r w:rsidRPr="00B61F9F">
        <w:rPr>
          <w:rFonts w:cs="Arial"/>
          <w:sz w:val="22"/>
          <w:szCs w:val="22"/>
        </w:rPr>
        <w:t>Tres por ciento (</w:t>
      </w:r>
      <w:r w:rsidRPr="00B61F9F">
        <w:rPr>
          <w:rFonts w:cs="Arial"/>
          <w:color w:val="000000"/>
          <w:sz w:val="22"/>
          <w:szCs w:val="22"/>
        </w:rPr>
        <w:t>3%) sobre el monto del pago extraordinario durante el primer año del plazo del financiamiento</w:t>
      </w:r>
      <w:r w:rsidRPr="00B61F9F">
        <w:rPr>
          <w:rFonts w:cs="Arial"/>
          <w:sz w:val="22"/>
          <w:szCs w:val="22"/>
          <w:vertAlign w:val="superscript"/>
        </w:rPr>
        <w:footnoteReference w:id="8"/>
      </w:r>
      <w:r w:rsidRPr="00B61F9F">
        <w:rPr>
          <w:rFonts w:cs="Arial"/>
          <w:sz w:val="22"/>
          <w:szCs w:val="22"/>
        </w:rPr>
        <w:t xml:space="preserve">. </w:t>
      </w:r>
    </w:p>
    <w:p w14:paraId="24BA864F" w14:textId="77777777" w:rsidR="00660832" w:rsidRPr="00D27740" w:rsidRDefault="00660832" w:rsidP="00660832">
      <w:pPr>
        <w:pStyle w:val="Prrafodelista"/>
        <w:rPr>
          <w:rFonts w:ascii="Calibri" w:hAnsi="Calibri" w:cs="Calibri"/>
        </w:rPr>
      </w:pPr>
    </w:p>
    <w:p w14:paraId="22BF5759"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Plazo del financiamiento</w:t>
      </w:r>
      <w:r w:rsidRPr="00B61F9F">
        <w:rPr>
          <w:rFonts w:cs="Arial"/>
          <w:sz w:val="22"/>
          <w:szCs w:val="22"/>
        </w:rPr>
        <w:t>:   Máximo de 5 años.</w:t>
      </w:r>
    </w:p>
    <w:p w14:paraId="2186B239" w14:textId="77777777" w:rsidR="00660832" w:rsidRPr="00D27740" w:rsidRDefault="00660832" w:rsidP="00660832">
      <w:pPr>
        <w:ind w:right="-160"/>
        <w:jc w:val="both"/>
        <w:rPr>
          <w:rFonts w:ascii="Calibri" w:hAnsi="Calibri" w:cs="Calibri"/>
        </w:rPr>
      </w:pPr>
    </w:p>
    <w:p w14:paraId="476FF3B9"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Forma de pago</w:t>
      </w:r>
      <w:r w:rsidRPr="00B61F9F">
        <w:rPr>
          <w:rFonts w:cs="Arial"/>
          <w:sz w:val="22"/>
          <w:szCs w:val="22"/>
        </w:rPr>
        <w:t>:  Cuotas mensuales niveladas por mes vencido, con la posibilidad de otorgar un periodo de gracia de hasta seis meses en el pago de principal.</w:t>
      </w:r>
    </w:p>
    <w:p w14:paraId="2CE5D0D5" w14:textId="77777777" w:rsidR="00660832" w:rsidRPr="00B61F9F" w:rsidRDefault="00660832" w:rsidP="00660832">
      <w:pPr>
        <w:pStyle w:val="Prrafodelista"/>
        <w:rPr>
          <w:rFonts w:cs="Arial"/>
          <w:sz w:val="22"/>
          <w:szCs w:val="22"/>
        </w:rPr>
      </w:pPr>
    </w:p>
    <w:p w14:paraId="07893FF1"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Monto máximo del crédito</w:t>
      </w:r>
      <w:r w:rsidRPr="00B61F9F">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3766BBBF" w14:textId="77777777" w:rsidR="00660832" w:rsidRPr="00D27740" w:rsidRDefault="00660832" w:rsidP="00660832">
      <w:pPr>
        <w:tabs>
          <w:tab w:val="num" w:pos="426"/>
        </w:tabs>
        <w:ind w:right="-160"/>
        <w:jc w:val="both"/>
        <w:rPr>
          <w:rFonts w:ascii="Calibri" w:hAnsi="Calibri" w:cs="Calibri"/>
        </w:rPr>
      </w:pPr>
    </w:p>
    <w:p w14:paraId="7B3D54E4" w14:textId="77777777" w:rsidR="00660832" w:rsidRPr="00D27740" w:rsidRDefault="00660832" w:rsidP="00660832">
      <w:pPr>
        <w:numPr>
          <w:ilvl w:val="0"/>
          <w:numId w:val="4"/>
        </w:numPr>
        <w:tabs>
          <w:tab w:val="num" w:pos="426"/>
        </w:tabs>
        <w:ind w:left="426" w:right="-160" w:hanging="426"/>
        <w:jc w:val="both"/>
        <w:rPr>
          <w:rFonts w:ascii="Calibri" w:hAnsi="Calibri" w:cs="Calibri"/>
        </w:rPr>
      </w:pPr>
      <w:r w:rsidRPr="00B61F9F">
        <w:rPr>
          <w:rFonts w:cs="Arial"/>
          <w:b/>
          <w:sz w:val="22"/>
          <w:szCs w:val="22"/>
        </w:rPr>
        <w:t xml:space="preserve">Tipo de Garantías:  </w:t>
      </w:r>
      <w:r w:rsidRPr="00B61F9F">
        <w:rPr>
          <w:rFonts w:cs="Arial"/>
          <w:sz w:val="22"/>
          <w:szCs w:val="22"/>
        </w:rPr>
        <w:t>Alternativas incorporadas en el “Reglamento de los Programas de Crédito y Avales del Fondo Nacional para la Vivienda del Banco Hipotecario de la Vivienda” vigente</w:t>
      </w:r>
      <w:r w:rsidRPr="00D27740">
        <w:rPr>
          <w:rFonts w:ascii="Calibri" w:hAnsi="Calibri" w:cs="Calibri"/>
        </w:rPr>
        <w:t>.</w:t>
      </w:r>
    </w:p>
    <w:p w14:paraId="7AEEAC1B" w14:textId="77777777" w:rsidR="00660832" w:rsidRPr="00D27740" w:rsidRDefault="00660832" w:rsidP="00660832">
      <w:pPr>
        <w:tabs>
          <w:tab w:val="num" w:pos="720"/>
        </w:tabs>
        <w:ind w:left="426" w:right="-160"/>
        <w:jc w:val="both"/>
        <w:rPr>
          <w:rFonts w:ascii="Calibri" w:hAnsi="Calibri" w:cs="Calibri"/>
        </w:rPr>
      </w:pPr>
    </w:p>
    <w:p w14:paraId="314D7C9F" w14:textId="77777777" w:rsidR="00660832" w:rsidRPr="00D27740" w:rsidRDefault="00660832" w:rsidP="00660832">
      <w:pPr>
        <w:numPr>
          <w:ilvl w:val="0"/>
          <w:numId w:val="4"/>
        </w:numPr>
        <w:tabs>
          <w:tab w:val="num" w:pos="426"/>
          <w:tab w:val="num" w:pos="567"/>
        </w:tabs>
        <w:ind w:left="426" w:right="-160" w:hanging="426"/>
        <w:jc w:val="both"/>
        <w:rPr>
          <w:rFonts w:ascii="Calibri" w:hAnsi="Calibri" w:cs="Calibri"/>
        </w:rPr>
      </w:pPr>
      <w:r w:rsidRPr="00B61F9F">
        <w:rPr>
          <w:rFonts w:cs="Arial"/>
          <w:b/>
          <w:sz w:val="22"/>
          <w:szCs w:val="22"/>
        </w:rPr>
        <w:t>Monto global del programa</w:t>
      </w:r>
      <w:r w:rsidRPr="00B61F9F">
        <w:rPr>
          <w:rFonts w:cs="Arial"/>
          <w:sz w:val="22"/>
          <w:szCs w:val="22"/>
        </w:rPr>
        <w:t>:  ¢5,000 millones</w:t>
      </w:r>
      <w:r w:rsidRPr="00D27740">
        <w:rPr>
          <w:rFonts w:ascii="Calibri" w:hAnsi="Calibri" w:cs="Calibri"/>
        </w:rPr>
        <w:t>.</w:t>
      </w:r>
    </w:p>
    <w:p w14:paraId="04B2C080" w14:textId="77777777" w:rsidR="00660832" w:rsidRPr="00D27740" w:rsidRDefault="00660832" w:rsidP="00660832">
      <w:pPr>
        <w:tabs>
          <w:tab w:val="num" w:pos="567"/>
        </w:tabs>
        <w:ind w:right="-160"/>
        <w:jc w:val="both"/>
        <w:rPr>
          <w:rFonts w:ascii="Calibri" w:hAnsi="Calibri" w:cs="Calibri"/>
        </w:rPr>
      </w:pPr>
    </w:p>
    <w:p w14:paraId="588F8EB8" w14:textId="77777777" w:rsidR="00660832" w:rsidRPr="00B61F9F" w:rsidRDefault="00660832" w:rsidP="00660832">
      <w:pPr>
        <w:tabs>
          <w:tab w:val="num" w:pos="426"/>
        </w:tabs>
        <w:ind w:right="-160"/>
        <w:jc w:val="both"/>
        <w:rPr>
          <w:rFonts w:cs="Arial"/>
          <w:sz w:val="22"/>
          <w:szCs w:val="22"/>
        </w:rPr>
      </w:pPr>
      <w:r w:rsidRPr="00B61F9F">
        <w:rPr>
          <w:rFonts w:cs="Arial"/>
          <w:sz w:val="22"/>
          <w:szCs w:val="22"/>
        </w:rPr>
        <w:t>Adicionalmente, en el caso de financiamiento mediante línea de crédito, se aplicarán las siguientes condiciones:</w:t>
      </w:r>
    </w:p>
    <w:p w14:paraId="166306BB" w14:textId="77777777" w:rsidR="00660832" w:rsidRPr="00D27740" w:rsidRDefault="00660832" w:rsidP="00660832">
      <w:pPr>
        <w:tabs>
          <w:tab w:val="num" w:pos="426"/>
        </w:tabs>
        <w:ind w:left="426" w:right="-160"/>
        <w:jc w:val="both"/>
        <w:rPr>
          <w:rFonts w:ascii="Calibri" w:hAnsi="Calibri" w:cs="Calibri"/>
        </w:rPr>
      </w:pPr>
      <w:r w:rsidRPr="00D27740">
        <w:rPr>
          <w:rFonts w:ascii="Calibri" w:hAnsi="Calibri" w:cs="Calibri"/>
        </w:rPr>
        <w:t xml:space="preserve"> </w:t>
      </w:r>
    </w:p>
    <w:p w14:paraId="7005FE43"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 xml:space="preserve">Tipo de línea de crédito:  </w:t>
      </w:r>
      <w:proofErr w:type="spellStart"/>
      <w:r w:rsidRPr="00B61F9F">
        <w:rPr>
          <w:rFonts w:cs="Arial"/>
          <w:sz w:val="22"/>
          <w:szCs w:val="22"/>
        </w:rPr>
        <w:t>Revolutiva</w:t>
      </w:r>
      <w:proofErr w:type="spellEnd"/>
      <w:r w:rsidRPr="00B61F9F">
        <w:rPr>
          <w:rFonts w:cs="Arial"/>
          <w:sz w:val="22"/>
          <w:szCs w:val="22"/>
        </w:rPr>
        <w:t xml:space="preserve">, sin compromiso de desembolso y sujeta al límite de operaciones activas vigente. </w:t>
      </w:r>
    </w:p>
    <w:p w14:paraId="30F83160" w14:textId="77777777" w:rsidR="00660832" w:rsidRPr="00B61F9F" w:rsidRDefault="00660832" w:rsidP="00660832">
      <w:pPr>
        <w:tabs>
          <w:tab w:val="num" w:pos="426"/>
        </w:tabs>
        <w:ind w:left="426" w:right="-160" w:hanging="426"/>
        <w:jc w:val="both"/>
        <w:rPr>
          <w:rFonts w:cs="Arial"/>
          <w:sz w:val="22"/>
          <w:szCs w:val="22"/>
          <w:highlight w:val="yellow"/>
        </w:rPr>
      </w:pPr>
    </w:p>
    <w:p w14:paraId="3C8AEC0B" w14:textId="77777777" w:rsidR="00660832" w:rsidRPr="00B61F9F" w:rsidRDefault="00660832" w:rsidP="00660832">
      <w:pPr>
        <w:numPr>
          <w:ilvl w:val="0"/>
          <w:numId w:val="4"/>
        </w:numPr>
        <w:tabs>
          <w:tab w:val="num" w:pos="426"/>
        </w:tabs>
        <w:ind w:left="426" w:right="-160" w:hanging="426"/>
        <w:jc w:val="both"/>
        <w:rPr>
          <w:rFonts w:cs="Arial"/>
          <w:sz w:val="22"/>
          <w:szCs w:val="22"/>
        </w:rPr>
      </w:pPr>
      <w:r w:rsidRPr="00B61F9F">
        <w:rPr>
          <w:rFonts w:cs="Arial"/>
          <w:b/>
          <w:sz w:val="22"/>
          <w:szCs w:val="22"/>
        </w:rPr>
        <w:t>Plazo de la línea de crédito:</w:t>
      </w:r>
      <w:r w:rsidRPr="00B61F9F">
        <w:rPr>
          <w:rFonts w:cs="Arial"/>
          <w:sz w:val="22"/>
          <w:szCs w:val="22"/>
        </w:rPr>
        <w:t xml:space="preserve">  8 años; el plazo de los subpréstamos que se formalicen al amparo de la línea de crédito será como máximo de 5 años y no podrá superar el plazo máximo de la línea de crédito.</w:t>
      </w:r>
    </w:p>
    <w:p w14:paraId="388E365E" w14:textId="77777777" w:rsidR="00660832" w:rsidRPr="00D27740" w:rsidRDefault="00660832" w:rsidP="00660832">
      <w:pPr>
        <w:pStyle w:val="Prrafodelista"/>
        <w:ind w:left="0"/>
        <w:rPr>
          <w:rFonts w:ascii="Calibri" w:hAnsi="Calibri" w:cs="Calibri"/>
        </w:rPr>
      </w:pPr>
    </w:p>
    <w:p w14:paraId="42C87BDB" w14:textId="77777777" w:rsidR="00660832" w:rsidRPr="00D27740" w:rsidRDefault="00660832" w:rsidP="00660832">
      <w:pPr>
        <w:pStyle w:val="Prrafodelista"/>
        <w:ind w:left="0"/>
        <w:rPr>
          <w:rFonts w:ascii="Calibri" w:hAnsi="Calibri" w:cs="Calibri"/>
        </w:rPr>
      </w:pPr>
    </w:p>
    <w:p w14:paraId="204453E2" w14:textId="77777777" w:rsidR="00660832" w:rsidRPr="00B61F9F" w:rsidRDefault="00660832" w:rsidP="00660832">
      <w:pPr>
        <w:numPr>
          <w:ilvl w:val="0"/>
          <w:numId w:val="9"/>
        </w:numPr>
        <w:ind w:hanging="218"/>
        <w:jc w:val="both"/>
        <w:rPr>
          <w:rFonts w:cs="Arial"/>
          <w:b/>
          <w:smallCaps/>
          <w:sz w:val="22"/>
          <w:szCs w:val="22"/>
        </w:rPr>
      </w:pPr>
      <w:r w:rsidRPr="00B61F9F">
        <w:rPr>
          <w:rFonts w:cs="Arial"/>
          <w:b/>
          <w:smallCaps/>
          <w:sz w:val="22"/>
          <w:szCs w:val="22"/>
        </w:rPr>
        <w:t>Programa de Crédito de Largo Plazo en Dólares</w:t>
      </w:r>
    </w:p>
    <w:p w14:paraId="7852B7FA" w14:textId="77777777" w:rsidR="00660832" w:rsidRPr="00D27740" w:rsidRDefault="00660832" w:rsidP="00660832">
      <w:pPr>
        <w:jc w:val="both"/>
        <w:rPr>
          <w:rFonts w:ascii="Calibri" w:hAnsi="Calibri" w:cs="Calibri"/>
        </w:rPr>
      </w:pPr>
    </w:p>
    <w:p w14:paraId="1868D87A" w14:textId="161F95C9" w:rsidR="00660832" w:rsidRPr="00B61F9F" w:rsidRDefault="00660832" w:rsidP="00660832">
      <w:pPr>
        <w:jc w:val="both"/>
        <w:rPr>
          <w:rFonts w:cs="Arial"/>
          <w:sz w:val="22"/>
          <w:szCs w:val="22"/>
        </w:rPr>
      </w:pPr>
      <w:r w:rsidRPr="00B61F9F">
        <w:rPr>
          <w:rFonts w:cs="Arial"/>
          <w:sz w:val="22"/>
          <w:szCs w:val="22"/>
        </w:rPr>
        <w:t xml:space="preserve">Las condiciones para el </w:t>
      </w:r>
      <w:r w:rsidRPr="00B61F9F">
        <w:rPr>
          <w:rFonts w:cs="Arial"/>
          <w:b/>
          <w:sz w:val="22"/>
          <w:szCs w:val="22"/>
          <w:u w:val="single"/>
        </w:rPr>
        <w:t>Programa de Crédito de Largo Plazo en Dólares</w:t>
      </w:r>
      <w:r w:rsidRPr="00B61F9F">
        <w:rPr>
          <w:rFonts w:cs="Arial"/>
          <w:sz w:val="22"/>
          <w:szCs w:val="22"/>
        </w:rPr>
        <w:t>, son las que se detallan a continuación:</w:t>
      </w:r>
    </w:p>
    <w:p w14:paraId="09456E1B" w14:textId="77777777" w:rsidR="00660832" w:rsidRPr="001B36FB" w:rsidRDefault="00660832" w:rsidP="00660832">
      <w:pPr>
        <w:tabs>
          <w:tab w:val="num" w:pos="567"/>
        </w:tabs>
        <w:ind w:right="-160"/>
        <w:jc w:val="both"/>
        <w:rPr>
          <w:rFonts w:ascii="Calibri" w:hAnsi="Calibri" w:cs="Calibri"/>
          <w:highlight w:val="yellow"/>
        </w:rPr>
      </w:pPr>
    </w:p>
    <w:p w14:paraId="479DB49C" w14:textId="77777777" w:rsidR="00660832" w:rsidRPr="00B61F9F" w:rsidRDefault="00660832" w:rsidP="00660832">
      <w:pPr>
        <w:numPr>
          <w:ilvl w:val="0"/>
          <w:numId w:val="10"/>
        </w:numPr>
        <w:ind w:left="426" w:right="-194" w:hanging="426"/>
        <w:jc w:val="both"/>
        <w:rPr>
          <w:rFonts w:cs="Arial"/>
          <w:sz w:val="22"/>
          <w:szCs w:val="22"/>
        </w:rPr>
      </w:pPr>
      <w:r w:rsidRPr="00B61F9F">
        <w:rPr>
          <w:rFonts w:cs="Arial"/>
          <w:b/>
          <w:sz w:val="22"/>
          <w:szCs w:val="22"/>
        </w:rPr>
        <w:t>Plan de inversión</w:t>
      </w:r>
      <w:r w:rsidRPr="00B61F9F">
        <w:rPr>
          <w:rFonts w:cs="Arial"/>
          <w:sz w:val="22"/>
          <w:szCs w:val="22"/>
        </w:rPr>
        <w:t xml:space="preserve">: Formalización de operaciones de crédito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 incluyendo el terreno y la construcción - será equivalente al de las viviendas que están exentas del pago del impuesto previsto en la Ley del Impuesto Solidario para </w:t>
      </w:r>
      <w:r w:rsidRPr="00B61F9F">
        <w:rPr>
          <w:rFonts w:cs="Arial"/>
          <w:sz w:val="22"/>
          <w:szCs w:val="22"/>
        </w:rPr>
        <w:lastRenderedPageBreak/>
        <w:t>el Fortalecimiento de Programas de Vivienda y su Reglamento, el cual se ajusta anualmente</w:t>
      </w:r>
      <w:r w:rsidRPr="00B61F9F">
        <w:rPr>
          <w:rFonts w:cs="Arial"/>
          <w:sz w:val="22"/>
          <w:szCs w:val="22"/>
          <w:vertAlign w:val="superscript"/>
        </w:rPr>
        <w:footnoteReference w:id="9"/>
      </w:r>
      <w:r w:rsidRPr="00B61F9F">
        <w:rPr>
          <w:rFonts w:cs="Arial"/>
          <w:sz w:val="22"/>
          <w:szCs w:val="22"/>
        </w:rPr>
        <w:t>.</w:t>
      </w:r>
    </w:p>
    <w:p w14:paraId="0826A45C" w14:textId="77777777" w:rsidR="00660832" w:rsidRPr="00D27740" w:rsidRDefault="00660832" w:rsidP="00660832">
      <w:pPr>
        <w:ind w:left="360" w:right="-1"/>
        <w:jc w:val="both"/>
        <w:rPr>
          <w:rFonts w:ascii="Arial Narrow" w:hAnsi="Arial Narrow"/>
          <w:spacing w:val="4"/>
        </w:rPr>
      </w:pPr>
    </w:p>
    <w:p w14:paraId="4D7C0F2C" w14:textId="77777777" w:rsidR="00660832" w:rsidRPr="00B61F9F" w:rsidRDefault="00660832" w:rsidP="00660832">
      <w:pPr>
        <w:ind w:left="360" w:right="-1"/>
        <w:jc w:val="both"/>
        <w:rPr>
          <w:rFonts w:cs="Arial"/>
          <w:sz w:val="22"/>
          <w:szCs w:val="22"/>
        </w:rPr>
      </w:pPr>
      <w:r w:rsidRPr="00B61F9F">
        <w:rPr>
          <w:rFonts w:cs="Arial"/>
          <w:sz w:val="22"/>
          <w:szCs w:val="22"/>
        </w:rPr>
        <w:t xml:space="preserve">Al menos el 10% de los recursos colocados en créditos para vivienda deberá ser dirigido a personas jóvenes entre los dieciocho y treinta y cinco </w:t>
      </w:r>
      <w:proofErr w:type="gramStart"/>
      <w:r w:rsidRPr="00B61F9F">
        <w:rPr>
          <w:rFonts w:cs="Arial"/>
          <w:sz w:val="22"/>
          <w:szCs w:val="22"/>
        </w:rPr>
        <w:t>años de edad</w:t>
      </w:r>
      <w:proofErr w:type="gramEnd"/>
      <w:r w:rsidRPr="00B61F9F">
        <w:rPr>
          <w:rFonts w:cs="Arial"/>
          <w:sz w:val="22"/>
          <w:szCs w:val="22"/>
        </w:rPr>
        <w:t>.</w:t>
      </w:r>
    </w:p>
    <w:p w14:paraId="2B5EFC34" w14:textId="77777777" w:rsidR="00660832" w:rsidRPr="00B61F9F" w:rsidRDefault="00660832" w:rsidP="00660832">
      <w:pPr>
        <w:ind w:left="426" w:right="-194"/>
        <w:jc w:val="both"/>
        <w:rPr>
          <w:rFonts w:cs="Arial"/>
          <w:sz w:val="22"/>
          <w:szCs w:val="22"/>
        </w:rPr>
      </w:pPr>
    </w:p>
    <w:p w14:paraId="75FE1BF9" w14:textId="77777777" w:rsidR="00660832" w:rsidRPr="00B61F9F" w:rsidRDefault="00660832" w:rsidP="00660832">
      <w:pPr>
        <w:numPr>
          <w:ilvl w:val="0"/>
          <w:numId w:val="10"/>
        </w:numPr>
        <w:ind w:right="-194"/>
        <w:jc w:val="both"/>
        <w:rPr>
          <w:rFonts w:cs="Arial"/>
          <w:sz w:val="22"/>
          <w:szCs w:val="22"/>
        </w:rPr>
      </w:pPr>
      <w:r w:rsidRPr="00B61F9F">
        <w:rPr>
          <w:rFonts w:cs="Arial"/>
          <w:b/>
          <w:bCs/>
          <w:sz w:val="22"/>
          <w:szCs w:val="22"/>
        </w:rPr>
        <w:t xml:space="preserve">Moneda:  </w:t>
      </w:r>
      <w:r w:rsidRPr="00B61F9F">
        <w:rPr>
          <w:rFonts w:cs="Arial"/>
          <w:sz w:val="22"/>
          <w:szCs w:val="22"/>
        </w:rPr>
        <w:t>Dólares</w:t>
      </w:r>
    </w:p>
    <w:p w14:paraId="30840B6E" w14:textId="77777777" w:rsidR="00660832" w:rsidRPr="001B36FB" w:rsidRDefault="00660832" w:rsidP="00660832">
      <w:pPr>
        <w:rPr>
          <w:rFonts w:ascii="Calibri" w:hAnsi="Calibri" w:cs="Calibri"/>
          <w:b/>
          <w:bCs/>
          <w:highlight w:val="yellow"/>
        </w:rPr>
      </w:pPr>
    </w:p>
    <w:p w14:paraId="54B74B0F" w14:textId="77777777" w:rsidR="00660832" w:rsidRPr="00B61F9F" w:rsidRDefault="00660832" w:rsidP="00660832">
      <w:pPr>
        <w:numPr>
          <w:ilvl w:val="0"/>
          <w:numId w:val="10"/>
        </w:numPr>
        <w:ind w:right="-194"/>
        <w:jc w:val="both"/>
        <w:rPr>
          <w:rFonts w:cs="Arial"/>
          <w:sz w:val="22"/>
          <w:szCs w:val="22"/>
        </w:rPr>
      </w:pPr>
      <w:r w:rsidRPr="00B61F9F">
        <w:rPr>
          <w:rFonts w:cs="Arial"/>
          <w:b/>
          <w:bCs/>
          <w:sz w:val="22"/>
          <w:szCs w:val="22"/>
        </w:rPr>
        <w:t xml:space="preserve">Tasa de interés corriente:  </w:t>
      </w:r>
      <w:r w:rsidRPr="00B61F9F">
        <w:rPr>
          <w:rFonts w:cs="Arial"/>
          <w:color w:val="000000"/>
          <w:sz w:val="22"/>
          <w:szCs w:val="22"/>
        </w:rPr>
        <w:t>Tasa Prime más 0.75 puntos porcentuales en caso de Entidades sujetas al requerimiento de Encaje Mínimo Legal y Prime más 1.00 punto porcentual para el resto de las Entidades, ajustable mensualmente.</w:t>
      </w:r>
    </w:p>
    <w:p w14:paraId="16C75EF6" w14:textId="77777777" w:rsidR="00660832" w:rsidRPr="00D27740" w:rsidRDefault="00660832" w:rsidP="00660832">
      <w:pPr>
        <w:pStyle w:val="Prrafodelista"/>
        <w:rPr>
          <w:rFonts w:ascii="Calibri" w:hAnsi="Calibri" w:cs="Calibri"/>
          <w:b/>
        </w:rPr>
      </w:pPr>
    </w:p>
    <w:p w14:paraId="7992B50B" w14:textId="77777777" w:rsidR="00660832" w:rsidRPr="00B61F9F" w:rsidRDefault="00660832" w:rsidP="00660832">
      <w:pPr>
        <w:numPr>
          <w:ilvl w:val="0"/>
          <w:numId w:val="10"/>
        </w:numPr>
        <w:ind w:right="-194"/>
        <w:jc w:val="both"/>
        <w:rPr>
          <w:rFonts w:cs="Arial"/>
          <w:sz w:val="22"/>
          <w:szCs w:val="22"/>
        </w:rPr>
      </w:pPr>
      <w:r w:rsidRPr="00B61F9F">
        <w:rPr>
          <w:rFonts w:cs="Arial"/>
          <w:b/>
          <w:sz w:val="22"/>
          <w:szCs w:val="22"/>
        </w:rPr>
        <w:t>Tasa de interés moratoria</w:t>
      </w:r>
      <w:r w:rsidRPr="00B61F9F">
        <w:rPr>
          <w:rFonts w:cs="Arial"/>
          <w:sz w:val="22"/>
          <w:szCs w:val="22"/>
        </w:rPr>
        <w:t>:  Equivalente a la tasa de interés corriente más dos puntos porcentuales</w:t>
      </w:r>
      <w:r w:rsidRPr="00B61F9F">
        <w:rPr>
          <w:rStyle w:val="Refdenotaalpie"/>
          <w:rFonts w:cs="Arial"/>
          <w:sz w:val="22"/>
          <w:szCs w:val="22"/>
        </w:rPr>
        <w:footnoteReference w:id="10"/>
      </w:r>
      <w:r w:rsidRPr="00B61F9F">
        <w:rPr>
          <w:rFonts w:cs="Arial"/>
          <w:sz w:val="22"/>
          <w:szCs w:val="22"/>
        </w:rPr>
        <w:t xml:space="preserve">. </w:t>
      </w:r>
    </w:p>
    <w:p w14:paraId="0C38513F" w14:textId="77777777" w:rsidR="00660832" w:rsidRPr="00D27740" w:rsidRDefault="00660832" w:rsidP="00660832">
      <w:pPr>
        <w:ind w:left="708"/>
        <w:rPr>
          <w:rFonts w:ascii="Calibri" w:hAnsi="Calibri" w:cs="Calibri"/>
          <w:b/>
        </w:rPr>
      </w:pPr>
    </w:p>
    <w:p w14:paraId="6791A73D" w14:textId="77777777" w:rsidR="00660832" w:rsidRPr="00D27740" w:rsidRDefault="00660832" w:rsidP="00660832">
      <w:pPr>
        <w:numPr>
          <w:ilvl w:val="0"/>
          <w:numId w:val="10"/>
        </w:numPr>
        <w:ind w:right="-194"/>
        <w:jc w:val="both"/>
        <w:rPr>
          <w:rFonts w:ascii="Calibri" w:hAnsi="Calibri" w:cs="Calibri"/>
        </w:rPr>
      </w:pPr>
      <w:r w:rsidRPr="00D27740">
        <w:rPr>
          <w:rFonts w:ascii="Calibri" w:hAnsi="Calibri" w:cs="Calibri"/>
          <w:b/>
        </w:rPr>
        <w:t>Comisión de formalización</w:t>
      </w:r>
      <w:r w:rsidRPr="00D27740">
        <w:rPr>
          <w:rFonts w:ascii="Calibri" w:hAnsi="Calibri" w:cs="Calibri"/>
        </w:rPr>
        <w:t>: Uno por ciento (</w:t>
      </w:r>
      <w:r w:rsidRPr="00D27740">
        <w:rPr>
          <w:rFonts w:ascii="Calibri" w:hAnsi="Calibri" w:cs="Calibri"/>
          <w:color w:val="000000"/>
        </w:rPr>
        <w:t>1%) sobre el monto desembolsado.</w:t>
      </w:r>
    </w:p>
    <w:p w14:paraId="59C9C8B1" w14:textId="77777777" w:rsidR="00660832" w:rsidRPr="00D27740" w:rsidRDefault="00660832" w:rsidP="00660832">
      <w:pPr>
        <w:ind w:left="708"/>
        <w:rPr>
          <w:rFonts w:ascii="Calibri" w:hAnsi="Calibri" w:cs="Calibri"/>
          <w:b/>
        </w:rPr>
      </w:pPr>
    </w:p>
    <w:p w14:paraId="2D251FF8" w14:textId="77777777" w:rsidR="00660832" w:rsidRPr="00D27740" w:rsidRDefault="00660832" w:rsidP="00660832">
      <w:pPr>
        <w:numPr>
          <w:ilvl w:val="0"/>
          <w:numId w:val="10"/>
        </w:numPr>
        <w:ind w:right="-194"/>
        <w:jc w:val="both"/>
        <w:rPr>
          <w:rFonts w:ascii="Calibri" w:hAnsi="Calibri" w:cs="Calibri"/>
          <w:b/>
          <w:bCs/>
        </w:rPr>
      </w:pPr>
      <w:r w:rsidRPr="00D27740">
        <w:rPr>
          <w:rFonts w:ascii="Calibri" w:hAnsi="Calibri" w:cs="Calibri"/>
          <w:b/>
        </w:rPr>
        <w:t xml:space="preserve">Comisión por pago anticipado: </w:t>
      </w:r>
      <w:r w:rsidRPr="00D27740">
        <w:rPr>
          <w:rFonts w:ascii="Calibri" w:hAnsi="Calibri" w:cs="Calibri"/>
        </w:rPr>
        <w:t>Tres por ciento (</w:t>
      </w:r>
      <w:r w:rsidRPr="00D27740">
        <w:rPr>
          <w:rFonts w:ascii="Calibri" w:hAnsi="Calibri" w:cs="Calibri"/>
          <w:color w:val="000000"/>
        </w:rPr>
        <w:t>3%) sobre el monto del pago extraordinario durante los primeros 5 años del plazo del financiamiento</w:t>
      </w:r>
      <w:r w:rsidRPr="00D27740">
        <w:rPr>
          <w:rFonts w:ascii="Calibri" w:hAnsi="Calibri" w:cs="Calibri"/>
          <w:vertAlign w:val="superscript"/>
        </w:rPr>
        <w:footnoteReference w:id="11"/>
      </w:r>
      <w:r w:rsidRPr="00D27740">
        <w:rPr>
          <w:rFonts w:ascii="Calibri" w:hAnsi="Calibri" w:cs="Calibri"/>
        </w:rPr>
        <w:t>.</w:t>
      </w:r>
    </w:p>
    <w:p w14:paraId="044835A1" w14:textId="77777777" w:rsidR="00660832" w:rsidRPr="00D27740" w:rsidRDefault="00660832" w:rsidP="00660832">
      <w:pPr>
        <w:pStyle w:val="Prrafodelista"/>
        <w:rPr>
          <w:rFonts w:ascii="Calibri" w:hAnsi="Calibri" w:cs="Calibri"/>
          <w:b/>
          <w:bCs/>
        </w:rPr>
      </w:pPr>
    </w:p>
    <w:p w14:paraId="613E0E5E" w14:textId="77777777" w:rsidR="00660832" w:rsidRPr="00D27740" w:rsidRDefault="00660832" w:rsidP="00660832">
      <w:pPr>
        <w:numPr>
          <w:ilvl w:val="0"/>
          <w:numId w:val="10"/>
        </w:numPr>
        <w:ind w:right="-194"/>
        <w:jc w:val="both"/>
        <w:rPr>
          <w:rFonts w:ascii="Calibri" w:hAnsi="Calibri" w:cs="Calibri"/>
        </w:rPr>
      </w:pPr>
      <w:r w:rsidRPr="00D27740">
        <w:rPr>
          <w:rFonts w:ascii="Calibri" w:hAnsi="Calibri" w:cs="Calibri"/>
          <w:b/>
        </w:rPr>
        <w:t>Plazo del financiamiento</w:t>
      </w:r>
      <w:r w:rsidRPr="00D27740">
        <w:rPr>
          <w:rFonts w:ascii="Calibri" w:hAnsi="Calibri" w:cs="Calibri"/>
        </w:rPr>
        <w:t xml:space="preserve">:  Máximo de </w:t>
      </w:r>
      <w:r>
        <w:rPr>
          <w:rFonts w:ascii="Calibri" w:hAnsi="Calibri" w:cs="Calibri"/>
        </w:rPr>
        <w:t>10</w:t>
      </w:r>
      <w:r w:rsidRPr="00D27740">
        <w:rPr>
          <w:rFonts w:ascii="Calibri" w:hAnsi="Calibri" w:cs="Calibri"/>
        </w:rPr>
        <w:t xml:space="preserve"> años.</w:t>
      </w:r>
    </w:p>
    <w:p w14:paraId="24BA24C9" w14:textId="77777777" w:rsidR="00660832" w:rsidRPr="00D27740" w:rsidRDefault="00660832" w:rsidP="00660832">
      <w:pPr>
        <w:ind w:left="360" w:right="-194"/>
        <w:jc w:val="both"/>
        <w:rPr>
          <w:rFonts w:ascii="Calibri" w:hAnsi="Calibri" w:cs="Calibri"/>
          <w:bCs/>
        </w:rPr>
      </w:pPr>
    </w:p>
    <w:p w14:paraId="1421F76F" w14:textId="77777777" w:rsidR="00660832" w:rsidRPr="002B3C13" w:rsidRDefault="00660832" w:rsidP="00660832">
      <w:pPr>
        <w:numPr>
          <w:ilvl w:val="0"/>
          <w:numId w:val="10"/>
        </w:numPr>
        <w:ind w:right="-194"/>
        <w:jc w:val="both"/>
        <w:rPr>
          <w:rFonts w:cs="Arial"/>
          <w:bCs/>
          <w:sz w:val="22"/>
          <w:szCs w:val="22"/>
        </w:rPr>
      </w:pPr>
      <w:r w:rsidRPr="002B3C13">
        <w:rPr>
          <w:rFonts w:cs="Arial"/>
          <w:b/>
          <w:bCs/>
          <w:sz w:val="22"/>
          <w:szCs w:val="22"/>
        </w:rPr>
        <w:t xml:space="preserve">Forma de pago:  </w:t>
      </w:r>
      <w:r w:rsidRPr="002B3C13">
        <w:rPr>
          <w:rFonts w:cs="Arial"/>
          <w:bCs/>
          <w:sz w:val="22"/>
          <w:szCs w:val="22"/>
        </w:rPr>
        <w:t>Cuotas mensuales niveladas por mes vencido.</w:t>
      </w:r>
    </w:p>
    <w:p w14:paraId="761E0A94" w14:textId="77777777" w:rsidR="00660832" w:rsidRPr="00D27740" w:rsidRDefault="00660832" w:rsidP="00660832">
      <w:pPr>
        <w:rPr>
          <w:rFonts w:ascii="Calibri" w:hAnsi="Calibri" w:cs="Calibri"/>
          <w:b/>
        </w:rPr>
      </w:pPr>
    </w:p>
    <w:p w14:paraId="7988C4E0" w14:textId="77777777" w:rsidR="00660832" w:rsidRPr="002B3C13" w:rsidRDefault="00660832" w:rsidP="00660832">
      <w:pPr>
        <w:numPr>
          <w:ilvl w:val="0"/>
          <w:numId w:val="10"/>
        </w:numPr>
        <w:ind w:right="-194"/>
        <w:jc w:val="both"/>
        <w:rPr>
          <w:rFonts w:cs="Arial"/>
          <w:bCs/>
          <w:sz w:val="22"/>
          <w:szCs w:val="22"/>
        </w:rPr>
      </w:pPr>
      <w:r w:rsidRPr="002B3C13">
        <w:rPr>
          <w:rFonts w:cs="Arial"/>
          <w:b/>
          <w:sz w:val="22"/>
          <w:szCs w:val="22"/>
        </w:rPr>
        <w:t>Monto máximo del crédito</w:t>
      </w:r>
      <w:r w:rsidRPr="002B3C13">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0EF5C1FC" w14:textId="77777777" w:rsidR="00660832" w:rsidRPr="002B3C13" w:rsidRDefault="00660832" w:rsidP="00660832">
      <w:pPr>
        <w:ind w:left="708"/>
        <w:rPr>
          <w:rFonts w:cs="Arial"/>
          <w:b/>
          <w:sz w:val="22"/>
          <w:szCs w:val="22"/>
        </w:rPr>
      </w:pPr>
    </w:p>
    <w:p w14:paraId="051F96B9" w14:textId="77777777" w:rsidR="00660832" w:rsidRPr="002B3C13" w:rsidRDefault="00660832" w:rsidP="00660832">
      <w:pPr>
        <w:numPr>
          <w:ilvl w:val="0"/>
          <w:numId w:val="10"/>
        </w:numPr>
        <w:ind w:right="-194"/>
        <w:jc w:val="both"/>
        <w:rPr>
          <w:rFonts w:cs="Arial"/>
          <w:sz w:val="22"/>
          <w:szCs w:val="22"/>
        </w:rPr>
      </w:pPr>
      <w:r w:rsidRPr="002B3C13">
        <w:rPr>
          <w:rFonts w:cs="Arial"/>
          <w:b/>
          <w:sz w:val="22"/>
          <w:szCs w:val="22"/>
        </w:rPr>
        <w:t xml:space="preserve">Tipo de Garantías: </w:t>
      </w:r>
      <w:r w:rsidRPr="002B3C13">
        <w:rPr>
          <w:rFonts w:cs="Arial"/>
          <w:sz w:val="22"/>
          <w:szCs w:val="22"/>
        </w:rPr>
        <w:t>Alternativas incorporadas en el “Reglamento de los Programas de Crédito y Avales del Fondo Nacional para la Vivienda del Banco Hipotecario de la Vivienda” vigente.</w:t>
      </w:r>
    </w:p>
    <w:p w14:paraId="27E5F733" w14:textId="77777777" w:rsidR="00660832" w:rsidRPr="00D27740" w:rsidRDefault="00660832" w:rsidP="00660832">
      <w:pPr>
        <w:ind w:left="708"/>
        <w:rPr>
          <w:rFonts w:ascii="Calibri" w:hAnsi="Calibri" w:cs="Calibri"/>
        </w:rPr>
      </w:pPr>
    </w:p>
    <w:p w14:paraId="3C4917A6" w14:textId="77777777" w:rsidR="00660832" w:rsidRPr="002B3C13" w:rsidRDefault="00660832" w:rsidP="00660832">
      <w:pPr>
        <w:numPr>
          <w:ilvl w:val="0"/>
          <w:numId w:val="10"/>
        </w:numPr>
        <w:ind w:right="-194"/>
        <w:jc w:val="both"/>
        <w:rPr>
          <w:rFonts w:cs="Arial"/>
          <w:bCs/>
          <w:sz w:val="22"/>
          <w:szCs w:val="22"/>
        </w:rPr>
      </w:pPr>
      <w:r w:rsidRPr="002B3C13">
        <w:rPr>
          <w:rFonts w:cs="Arial"/>
          <w:b/>
          <w:sz w:val="22"/>
          <w:szCs w:val="22"/>
        </w:rPr>
        <w:t>Monto global del programa</w:t>
      </w:r>
      <w:r w:rsidRPr="002B3C13">
        <w:rPr>
          <w:rFonts w:cs="Arial"/>
          <w:sz w:val="22"/>
          <w:szCs w:val="22"/>
        </w:rPr>
        <w:t>:  $10 millones.</w:t>
      </w:r>
    </w:p>
    <w:p w14:paraId="5B1D1704" w14:textId="77777777" w:rsidR="00660832" w:rsidRPr="00D27740" w:rsidRDefault="00660832" w:rsidP="00660832">
      <w:pPr>
        <w:tabs>
          <w:tab w:val="num" w:pos="426"/>
        </w:tabs>
        <w:ind w:right="-160"/>
        <w:jc w:val="both"/>
        <w:rPr>
          <w:rFonts w:ascii="Calibri" w:hAnsi="Calibri" w:cs="Calibri"/>
        </w:rPr>
      </w:pPr>
    </w:p>
    <w:p w14:paraId="0608DAE2" w14:textId="77777777" w:rsidR="00660832" w:rsidRPr="002B3C13" w:rsidRDefault="00660832" w:rsidP="00660832">
      <w:pPr>
        <w:tabs>
          <w:tab w:val="num" w:pos="426"/>
        </w:tabs>
        <w:ind w:right="-160"/>
        <w:jc w:val="both"/>
        <w:rPr>
          <w:rFonts w:cs="Arial"/>
          <w:sz w:val="22"/>
          <w:szCs w:val="22"/>
        </w:rPr>
      </w:pPr>
      <w:r w:rsidRPr="002B3C13">
        <w:rPr>
          <w:rFonts w:cs="Arial"/>
          <w:sz w:val="22"/>
          <w:szCs w:val="22"/>
        </w:rPr>
        <w:t>Adicionalmente, en el caso de financiamiento mediante línea de crédito, se aplicarán las siguientes condiciones:</w:t>
      </w:r>
    </w:p>
    <w:p w14:paraId="1CC1CF32" w14:textId="77777777" w:rsidR="00660832" w:rsidRPr="00D27740" w:rsidRDefault="00660832" w:rsidP="00660832">
      <w:pPr>
        <w:tabs>
          <w:tab w:val="num" w:pos="426"/>
        </w:tabs>
        <w:ind w:left="426" w:right="-160"/>
        <w:jc w:val="both"/>
        <w:rPr>
          <w:rFonts w:ascii="Calibri" w:hAnsi="Calibri" w:cs="Calibri"/>
        </w:rPr>
      </w:pPr>
      <w:r w:rsidRPr="00D27740">
        <w:rPr>
          <w:rFonts w:ascii="Calibri" w:hAnsi="Calibri" w:cs="Calibri"/>
        </w:rPr>
        <w:t xml:space="preserve"> </w:t>
      </w:r>
    </w:p>
    <w:p w14:paraId="52366264" w14:textId="77777777" w:rsidR="00660832" w:rsidRPr="002B3C13" w:rsidRDefault="00660832" w:rsidP="00660832">
      <w:pPr>
        <w:numPr>
          <w:ilvl w:val="0"/>
          <w:numId w:val="11"/>
        </w:numPr>
        <w:tabs>
          <w:tab w:val="left" w:pos="426"/>
        </w:tabs>
        <w:ind w:left="426" w:right="-160" w:hanging="426"/>
        <w:jc w:val="both"/>
        <w:rPr>
          <w:rFonts w:cs="Arial"/>
          <w:sz w:val="22"/>
          <w:szCs w:val="22"/>
        </w:rPr>
      </w:pPr>
      <w:r w:rsidRPr="002B3C13">
        <w:rPr>
          <w:rFonts w:cs="Arial"/>
          <w:b/>
          <w:sz w:val="22"/>
          <w:szCs w:val="22"/>
        </w:rPr>
        <w:t xml:space="preserve">Tipo de línea de crédito:  </w:t>
      </w:r>
      <w:proofErr w:type="spellStart"/>
      <w:r w:rsidRPr="002B3C13">
        <w:rPr>
          <w:rFonts w:cs="Arial"/>
          <w:sz w:val="22"/>
          <w:szCs w:val="22"/>
        </w:rPr>
        <w:t>Revolutiva</w:t>
      </w:r>
      <w:proofErr w:type="spellEnd"/>
      <w:r w:rsidRPr="002B3C13">
        <w:rPr>
          <w:rFonts w:cs="Arial"/>
          <w:sz w:val="22"/>
          <w:szCs w:val="22"/>
        </w:rPr>
        <w:t>, sin compromiso de desembolso y sujeta al límite de operaciones activas vigente.</w:t>
      </w:r>
    </w:p>
    <w:p w14:paraId="0B697D22" w14:textId="77777777" w:rsidR="00660832" w:rsidRPr="00D27740" w:rsidRDefault="00660832" w:rsidP="00660832">
      <w:pPr>
        <w:tabs>
          <w:tab w:val="left" w:pos="426"/>
        </w:tabs>
        <w:ind w:left="426" w:right="-160"/>
        <w:jc w:val="both"/>
        <w:rPr>
          <w:rFonts w:ascii="Calibri" w:hAnsi="Calibri" w:cs="Calibri"/>
        </w:rPr>
      </w:pPr>
    </w:p>
    <w:p w14:paraId="68F23CEB" w14:textId="4B35346E" w:rsidR="00660832" w:rsidRDefault="00660832" w:rsidP="00660832">
      <w:pPr>
        <w:numPr>
          <w:ilvl w:val="0"/>
          <w:numId w:val="11"/>
        </w:numPr>
        <w:tabs>
          <w:tab w:val="left" w:pos="426"/>
        </w:tabs>
        <w:ind w:left="426" w:right="-160" w:hanging="426"/>
        <w:jc w:val="both"/>
        <w:rPr>
          <w:rFonts w:cs="Arial"/>
          <w:sz w:val="22"/>
          <w:szCs w:val="22"/>
        </w:rPr>
      </w:pPr>
      <w:r w:rsidRPr="002B3C13">
        <w:rPr>
          <w:rFonts w:cs="Arial"/>
          <w:b/>
          <w:sz w:val="22"/>
          <w:szCs w:val="22"/>
        </w:rPr>
        <w:lastRenderedPageBreak/>
        <w:t>Plazo de la línea de crédito:</w:t>
      </w:r>
      <w:r w:rsidRPr="002B3C13">
        <w:rPr>
          <w:rFonts w:cs="Arial"/>
          <w:sz w:val="22"/>
          <w:szCs w:val="22"/>
        </w:rPr>
        <w:t xml:space="preserve">  15 años; el plazo de los subpréstamos que se formalicen al amparo de la línea de crédito será como máximo de 10 años y no podrá superar el plazo máximo de la línea de crédito.</w:t>
      </w:r>
    </w:p>
    <w:p w14:paraId="55FA9A03" w14:textId="77777777" w:rsidR="00C54CB2" w:rsidRDefault="00C54CB2" w:rsidP="00FF31D2">
      <w:pPr>
        <w:tabs>
          <w:tab w:val="num" w:pos="426"/>
        </w:tabs>
        <w:spacing w:line="360" w:lineRule="auto"/>
        <w:jc w:val="both"/>
        <w:rPr>
          <w:rFonts w:cs="Arial"/>
          <w:b/>
          <w:position w:val="6"/>
          <w:sz w:val="22"/>
          <w:szCs w:val="22"/>
        </w:rPr>
      </w:pPr>
    </w:p>
    <w:p w14:paraId="0DC00011" w14:textId="714A9D49" w:rsidR="00FF31D2" w:rsidRPr="00BB303F" w:rsidRDefault="00FF31D2" w:rsidP="00FF31D2">
      <w:pPr>
        <w:tabs>
          <w:tab w:val="num" w:pos="426"/>
        </w:tabs>
        <w:spacing w:line="360" w:lineRule="auto"/>
        <w:jc w:val="both"/>
        <w:rPr>
          <w:rFonts w:cs="Arial"/>
          <w:position w:val="6"/>
          <w:sz w:val="22"/>
          <w:szCs w:val="22"/>
        </w:rPr>
      </w:pPr>
      <w:r w:rsidRPr="00BB303F">
        <w:rPr>
          <w:rFonts w:cs="Arial"/>
          <w:b/>
          <w:position w:val="6"/>
          <w:sz w:val="22"/>
          <w:szCs w:val="22"/>
        </w:rPr>
        <w:t>SEGUNDO:</w:t>
      </w:r>
      <w:r w:rsidRPr="00BB303F">
        <w:rPr>
          <w:rFonts w:cs="Arial"/>
          <w:position w:val="6"/>
          <w:sz w:val="22"/>
          <w:szCs w:val="22"/>
        </w:rPr>
        <w:t xml:space="preserve"> Aprobar el siguiente:</w:t>
      </w:r>
    </w:p>
    <w:p w14:paraId="19CF469F" w14:textId="77777777" w:rsidR="00FF31D2" w:rsidRPr="00BB303F" w:rsidRDefault="00FF31D2" w:rsidP="00FF31D2">
      <w:pPr>
        <w:jc w:val="center"/>
        <w:rPr>
          <w:rFonts w:cs="Arial"/>
          <w:b/>
          <w:position w:val="6"/>
          <w:sz w:val="22"/>
          <w:szCs w:val="22"/>
        </w:rPr>
      </w:pPr>
    </w:p>
    <w:p w14:paraId="3FD50F50" w14:textId="2694C794" w:rsidR="00FF31D2" w:rsidRPr="00BB303F" w:rsidRDefault="00FF31D2" w:rsidP="00FF31D2">
      <w:pPr>
        <w:jc w:val="center"/>
        <w:rPr>
          <w:rFonts w:cs="Arial"/>
          <w:b/>
          <w:position w:val="6"/>
          <w:sz w:val="22"/>
          <w:szCs w:val="22"/>
        </w:rPr>
      </w:pPr>
      <w:r w:rsidRPr="00BB303F">
        <w:rPr>
          <w:rFonts w:cs="Arial"/>
          <w:b/>
          <w:position w:val="6"/>
          <w:sz w:val="22"/>
          <w:szCs w:val="22"/>
        </w:rPr>
        <w:t>PLAN ANUAL DE CAPTACIONES PARA EL AÑO 20</w:t>
      </w:r>
      <w:r>
        <w:rPr>
          <w:rFonts w:cs="Arial"/>
          <w:b/>
          <w:position w:val="6"/>
          <w:sz w:val="22"/>
          <w:szCs w:val="22"/>
        </w:rPr>
        <w:t>2</w:t>
      </w:r>
      <w:r w:rsidR="00660832">
        <w:rPr>
          <w:rFonts w:cs="Arial"/>
          <w:b/>
          <w:position w:val="6"/>
          <w:sz w:val="22"/>
          <w:szCs w:val="22"/>
        </w:rPr>
        <w:t>1</w:t>
      </w:r>
    </w:p>
    <w:p w14:paraId="6BB949D3" w14:textId="06383BE6" w:rsidR="00FF31D2" w:rsidRDefault="00FF31D2" w:rsidP="00FF31D2">
      <w:pPr>
        <w:jc w:val="both"/>
        <w:rPr>
          <w:rFonts w:cs="Arial"/>
          <w:position w:val="6"/>
          <w:sz w:val="22"/>
          <w:szCs w:val="22"/>
        </w:rPr>
      </w:pPr>
    </w:p>
    <w:p w14:paraId="2912E9D3"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Propósito de la captación</w:t>
      </w:r>
      <w:r w:rsidRPr="002B3C13">
        <w:rPr>
          <w:rFonts w:cs="Arial"/>
          <w:sz w:val="22"/>
          <w:szCs w:val="22"/>
        </w:rPr>
        <w:t>:  Fondeo de recursos con el objeto de atender las solicitudes de crédito asociadas a los programas de crédito vigentes</w:t>
      </w:r>
      <w:r w:rsidRPr="002B3C13">
        <w:rPr>
          <w:rFonts w:cs="Arial"/>
          <w:bCs/>
          <w:sz w:val="22"/>
          <w:szCs w:val="22"/>
        </w:rPr>
        <w:t xml:space="preserve">, </w:t>
      </w:r>
      <w:r w:rsidRPr="002B3C13">
        <w:rPr>
          <w:rFonts w:cs="Arial"/>
          <w:sz w:val="22"/>
          <w:szCs w:val="22"/>
        </w:rPr>
        <w:t xml:space="preserve">la cancelación de obligaciones con otras entidades financieras asociadas al vencimiento de captaciones y los requerimientos de recursos para mantener en condición de normalidad los indicadores de calce de plazos desglosados por moneda. </w:t>
      </w:r>
    </w:p>
    <w:p w14:paraId="55A1176C" w14:textId="77777777" w:rsidR="00660832" w:rsidRPr="002B3C13" w:rsidRDefault="00660832" w:rsidP="00660832">
      <w:pPr>
        <w:jc w:val="both"/>
        <w:rPr>
          <w:rFonts w:cs="Arial"/>
          <w:sz w:val="22"/>
          <w:szCs w:val="22"/>
        </w:rPr>
      </w:pPr>
    </w:p>
    <w:p w14:paraId="200C66EC"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Moneda en que se capta</w:t>
      </w:r>
      <w:r w:rsidRPr="002B3C13">
        <w:rPr>
          <w:rFonts w:cs="Arial"/>
          <w:sz w:val="22"/>
          <w:szCs w:val="22"/>
        </w:rPr>
        <w:t xml:space="preserve">:  Moneda nacional y dólares de los </w:t>
      </w:r>
      <w:proofErr w:type="gramStart"/>
      <w:r w:rsidRPr="002B3C13">
        <w:rPr>
          <w:rFonts w:cs="Arial"/>
          <w:sz w:val="22"/>
          <w:szCs w:val="22"/>
        </w:rPr>
        <w:t>EEUU</w:t>
      </w:r>
      <w:proofErr w:type="gramEnd"/>
      <w:r w:rsidRPr="002B3C13">
        <w:rPr>
          <w:rFonts w:cs="Arial"/>
          <w:sz w:val="22"/>
          <w:szCs w:val="22"/>
        </w:rPr>
        <w:t xml:space="preserve"> en caso de que las condiciones de mercado y la valoración de riesgos asociados señalen su conveniencia.</w:t>
      </w:r>
    </w:p>
    <w:p w14:paraId="16D539AA" w14:textId="77777777" w:rsidR="00660832" w:rsidRPr="002B3C13" w:rsidRDefault="00660832" w:rsidP="00660832">
      <w:pPr>
        <w:ind w:hanging="426"/>
        <w:jc w:val="both"/>
        <w:rPr>
          <w:rFonts w:cs="Arial"/>
          <w:sz w:val="22"/>
          <w:szCs w:val="22"/>
          <w:highlight w:val="yellow"/>
        </w:rPr>
      </w:pPr>
    </w:p>
    <w:p w14:paraId="0D11DEA4"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Monto máximo de la captación:</w:t>
      </w:r>
      <w:r w:rsidRPr="002B3C13">
        <w:rPr>
          <w:rFonts w:cs="Arial"/>
          <w:sz w:val="22"/>
          <w:szCs w:val="22"/>
        </w:rPr>
        <w:t xml:space="preserve">  El equivalente a ¢50,000 millones.   </w:t>
      </w:r>
    </w:p>
    <w:p w14:paraId="0196EFAE" w14:textId="77777777" w:rsidR="00660832" w:rsidRPr="002B3C13" w:rsidRDefault="00660832" w:rsidP="00660832">
      <w:pPr>
        <w:ind w:left="360" w:hanging="426"/>
        <w:jc w:val="both"/>
        <w:rPr>
          <w:rFonts w:cs="Arial"/>
          <w:sz w:val="22"/>
          <w:szCs w:val="22"/>
          <w:highlight w:val="yellow"/>
        </w:rPr>
      </w:pPr>
    </w:p>
    <w:p w14:paraId="16759F3C"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 xml:space="preserve">Instrumentos de captación:  </w:t>
      </w:r>
    </w:p>
    <w:p w14:paraId="396A7D0B" w14:textId="77777777" w:rsidR="00660832" w:rsidRPr="00D27740" w:rsidRDefault="00660832" w:rsidP="00660832">
      <w:pPr>
        <w:ind w:hanging="426"/>
        <w:jc w:val="both"/>
        <w:rPr>
          <w:rFonts w:ascii="Calibri" w:hAnsi="Calibri" w:cs="Calibri"/>
        </w:rPr>
      </w:pPr>
    </w:p>
    <w:p w14:paraId="454BCF79" w14:textId="77777777" w:rsidR="00660832" w:rsidRPr="002B3C13" w:rsidRDefault="00660832" w:rsidP="00660832">
      <w:pPr>
        <w:numPr>
          <w:ilvl w:val="1"/>
          <w:numId w:val="5"/>
        </w:numPr>
        <w:tabs>
          <w:tab w:val="clear" w:pos="1440"/>
          <w:tab w:val="num" w:pos="851"/>
        </w:tabs>
        <w:ind w:left="851" w:hanging="425"/>
        <w:jc w:val="both"/>
        <w:rPr>
          <w:rFonts w:cs="Arial"/>
          <w:sz w:val="22"/>
          <w:szCs w:val="22"/>
        </w:rPr>
      </w:pPr>
      <w:r w:rsidRPr="002B3C13">
        <w:rPr>
          <w:rFonts w:cs="Arial"/>
          <w:sz w:val="22"/>
          <w:szCs w:val="22"/>
        </w:rPr>
        <w:t>Individuales:</w:t>
      </w:r>
    </w:p>
    <w:p w14:paraId="0863273B" w14:textId="77777777" w:rsidR="00660832" w:rsidRPr="002B3C13" w:rsidRDefault="00660832" w:rsidP="00660832">
      <w:pPr>
        <w:numPr>
          <w:ilvl w:val="2"/>
          <w:numId w:val="5"/>
        </w:numPr>
        <w:tabs>
          <w:tab w:val="clear" w:pos="2160"/>
          <w:tab w:val="num" w:pos="1701"/>
        </w:tabs>
        <w:ind w:left="1701" w:hanging="425"/>
        <w:jc w:val="both"/>
        <w:rPr>
          <w:rFonts w:cs="Arial"/>
          <w:sz w:val="22"/>
          <w:szCs w:val="22"/>
        </w:rPr>
      </w:pPr>
      <w:r w:rsidRPr="002B3C13">
        <w:rPr>
          <w:rFonts w:cs="Arial"/>
          <w:sz w:val="22"/>
          <w:szCs w:val="22"/>
        </w:rPr>
        <w:t>Papel Comercial, certificados de depósito y macrotítulos, emitidos mediante ventanilla del BANHVI y a través de la ventanilla electrónica de la Bolsa.</w:t>
      </w:r>
    </w:p>
    <w:p w14:paraId="5EE4C6D7" w14:textId="77777777" w:rsidR="00660832" w:rsidRPr="002B3C13" w:rsidRDefault="00660832" w:rsidP="00660832">
      <w:pPr>
        <w:numPr>
          <w:ilvl w:val="2"/>
          <w:numId w:val="5"/>
        </w:numPr>
        <w:tabs>
          <w:tab w:val="clear" w:pos="2160"/>
          <w:tab w:val="num" w:pos="1701"/>
        </w:tabs>
        <w:ind w:left="1701" w:hanging="425"/>
        <w:jc w:val="both"/>
        <w:rPr>
          <w:rFonts w:cs="Arial"/>
          <w:sz w:val="22"/>
          <w:szCs w:val="22"/>
        </w:rPr>
      </w:pPr>
      <w:r w:rsidRPr="002B3C13">
        <w:rPr>
          <w:rFonts w:cs="Arial"/>
          <w:sz w:val="22"/>
          <w:szCs w:val="22"/>
        </w:rPr>
        <w:t xml:space="preserve">Títulos valores de mediano plazo y largo, emitidos por medio de la ventanilla del BANHVI. </w:t>
      </w:r>
    </w:p>
    <w:p w14:paraId="09AD2018" w14:textId="77777777" w:rsidR="00660832" w:rsidRPr="002B3C13" w:rsidRDefault="00660832" w:rsidP="00660832">
      <w:pPr>
        <w:numPr>
          <w:ilvl w:val="1"/>
          <w:numId w:val="5"/>
        </w:numPr>
        <w:tabs>
          <w:tab w:val="clear" w:pos="1440"/>
          <w:tab w:val="num" w:pos="851"/>
        </w:tabs>
        <w:ind w:left="851" w:hanging="425"/>
        <w:jc w:val="both"/>
        <w:rPr>
          <w:rFonts w:cs="Arial"/>
          <w:sz w:val="22"/>
          <w:szCs w:val="22"/>
        </w:rPr>
      </w:pPr>
      <w:r w:rsidRPr="002B3C13">
        <w:rPr>
          <w:rFonts w:cs="Arial"/>
          <w:sz w:val="22"/>
          <w:szCs w:val="22"/>
        </w:rPr>
        <w:t xml:space="preserve">Estandarizados:  </w:t>
      </w:r>
    </w:p>
    <w:p w14:paraId="51B4E11B" w14:textId="77777777" w:rsidR="00660832" w:rsidRPr="002B3C13" w:rsidRDefault="00660832" w:rsidP="00660832">
      <w:pPr>
        <w:numPr>
          <w:ilvl w:val="2"/>
          <w:numId w:val="5"/>
        </w:numPr>
        <w:tabs>
          <w:tab w:val="clear" w:pos="2160"/>
          <w:tab w:val="num" w:pos="1701"/>
        </w:tabs>
        <w:ind w:left="1701" w:hanging="425"/>
        <w:jc w:val="both"/>
        <w:rPr>
          <w:rFonts w:cs="Arial"/>
          <w:sz w:val="22"/>
          <w:szCs w:val="22"/>
        </w:rPr>
      </w:pPr>
      <w:r w:rsidRPr="002B3C13">
        <w:rPr>
          <w:rFonts w:cs="Arial"/>
          <w:sz w:val="22"/>
          <w:szCs w:val="22"/>
        </w:rPr>
        <w:t>Programas de papel comercial en colones y dólares.</w:t>
      </w:r>
    </w:p>
    <w:p w14:paraId="232C9EFA" w14:textId="77777777" w:rsidR="00660832" w:rsidRPr="002B3C13" w:rsidRDefault="00660832" w:rsidP="00660832">
      <w:pPr>
        <w:numPr>
          <w:ilvl w:val="2"/>
          <w:numId w:val="5"/>
        </w:numPr>
        <w:tabs>
          <w:tab w:val="clear" w:pos="2160"/>
          <w:tab w:val="num" w:pos="1701"/>
        </w:tabs>
        <w:ind w:left="1701" w:hanging="425"/>
        <w:jc w:val="both"/>
        <w:rPr>
          <w:rFonts w:cs="Arial"/>
          <w:sz w:val="22"/>
          <w:szCs w:val="22"/>
        </w:rPr>
      </w:pPr>
      <w:r w:rsidRPr="002B3C13">
        <w:rPr>
          <w:rFonts w:cs="Arial"/>
          <w:sz w:val="22"/>
          <w:szCs w:val="22"/>
        </w:rPr>
        <w:t>Programa de emisiones de bonos estandarizados en colones.</w:t>
      </w:r>
    </w:p>
    <w:p w14:paraId="01DBB251" w14:textId="77777777" w:rsidR="00660832" w:rsidRPr="00D27740" w:rsidRDefault="00660832" w:rsidP="00660832">
      <w:pPr>
        <w:ind w:left="360" w:hanging="426"/>
        <w:jc w:val="both"/>
        <w:rPr>
          <w:rFonts w:ascii="Calibri" w:hAnsi="Calibri" w:cs="Calibri"/>
        </w:rPr>
      </w:pPr>
    </w:p>
    <w:p w14:paraId="64548A91" w14:textId="77777777" w:rsidR="00660832" w:rsidRPr="002B3C13" w:rsidRDefault="00660832" w:rsidP="00660832">
      <w:pPr>
        <w:ind w:left="284"/>
        <w:jc w:val="both"/>
        <w:rPr>
          <w:rFonts w:cs="Arial"/>
          <w:sz w:val="22"/>
          <w:szCs w:val="22"/>
        </w:rPr>
      </w:pPr>
      <w:r w:rsidRPr="002B3C13">
        <w:rPr>
          <w:rFonts w:cs="Arial"/>
          <w:sz w:val="22"/>
          <w:szCs w:val="22"/>
        </w:rPr>
        <w:t>En los casos en los que sea necesaria la utilización del mecanismo de bolsa para ejecutar la captación deberán atenderse los límites establecidos en los “Lineamientos para la Captación de Recursos Financieros Mediante Emisión de Títulos Valores,” respecto del pago de comisiones bursátiles.</w:t>
      </w:r>
    </w:p>
    <w:p w14:paraId="1A54BEE9" w14:textId="77777777" w:rsidR="00660832" w:rsidRPr="001B36FB" w:rsidRDefault="00660832" w:rsidP="00660832">
      <w:pPr>
        <w:ind w:hanging="426"/>
        <w:jc w:val="both"/>
        <w:rPr>
          <w:rFonts w:ascii="Calibri" w:hAnsi="Calibri" w:cs="Calibri"/>
          <w:highlight w:val="yellow"/>
        </w:rPr>
      </w:pPr>
    </w:p>
    <w:p w14:paraId="402CC025"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 xml:space="preserve">Rango de los plazos de la captación:  </w:t>
      </w:r>
      <w:r w:rsidRPr="002B3C13">
        <w:rPr>
          <w:rFonts w:cs="Arial"/>
          <w:sz w:val="22"/>
          <w:szCs w:val="22"/>
        </w:rPr>
        <w:t xml:space="preserve">  Desde 180 días hasta 10 años, en función de las condiciones de mercado, así como de la conveniencia que señalen los indicadores de rentabilidad y liquidez del BANHVI. </w:t>
      </w:r>
    </w:p>
    <w:p w14:paraId="0FD41A92" w14:textId="77777777" w:rsidR="00660832" w:rsidRPr="00D27740" w:rsidRDefault="00660832" w:rsidP="00660832">
      <w:pPr>
        <w:jc w:val="both"/>
        <w:rPr>
          <w:rFonts w:ascii="Calibri" w:hAnsi="Calibri" w:cs="Calibri"/>
        </w:rPr>
      </w:pPr>
    </w:p>
    <w:p w14:paraId="570BFF52"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Fecha en la que se requieren los recursos:</w:t>
      </w:r>
      <w:r w:rsidRPr="002B3C13">
        <w:rPr>
          <w:rFonts w:cs="Arial"/>
          <w:sz w:val="22"/>
          <w:szCs w:val="22"/>
        </w:rPr>
        <w:t xml:space="preserve">   Periodo de enero a diciembre de 2021.</w:t>
      </w:r>
    </w:p>
    <w:p w14:paraId="024ED40B" w14:textId="77777777" w:rsidR="00660832" w:rsidRPr="002B3C13" w:rsidRDefault="00660832" w:rsidP="00660832">
      <w:pPr>
        <w:ind w:hanging="426"/>
        <w:jc w:val="both"/>
        <w:rPr>
          <w:rFonts w:cs="Arial"/>
          <w:sz w:val="22"/>
          <w:szCs w:val="22"/>
        </w:rPr>
      </w:pPr>
    </w:p>
    <w:p w14:paraId="25296903" w14:textId="77777777" w:rsidR="00660832" w:rsidRPr="002B3C13" w:rsidRDefault="00660832" w:rsidP="00660832">
      <w:pPr>
        <w:numPr>
          <w:ilvl w:val="0"/>
          <w:numId w:val="6"/>
        </w:numPr>
        <w:tabs>
          <w:tab w:val="clear" w:pos="720"/>
          <w:tab w:val="num" w:pos="426"/>
        </w:tabs>
        <w:ind w:left="426" w:hanging="426"/>
        <w:jc w:val="both"/>
        <w:rPr>
          <w:rFonts w:cs="Arial"/>
          <w:b/>
          <w:sz w:val="22"/>
          <w:szCs w:val="22"/>
        </w:rPr>
      </w:pPr>
      <w:r w:rsidRPr="002B3C13">
        <w:rPr>
          <w:rFonts w:cs="Arial"/>
          <w:b/>
          <w:sz w:val="22"/>
          <w:szCs w:val="22"/>
        </w:rPr>
        <w:t>Tasa de interés:</w:t>
      </w:r>
      <w:r w:rsidRPr="002B3C13">
        <w:rPr>
          <w:rFonts w:cs="Arial"/>
          <w:sz w:val="22"/>
          <w:szCs w:val="22"/>
        </w:rPr>
        <w:t xml:space="preserve">   La tasa de interés de cada emisión de títulos valores será autorizada por la Subgerencia Financiera o la Dirección FONAVI, atendiendo los límites establecidos en los Lineamientos para la Captación de Recursos Financieros Mediante Emisión de Títulos Valores y según los procedimientos internos vigentes.</w:t>
      </w:r>
    </w:p>
    <w:p w14:paraId="40AE68B7" w14:textId="77777777" w:rsidR="00660832" w:rsidRPr="002B3C13" w:rsidRDefault="00660832" w:rsidP="00660832">
      <w:pPr>
        <w:ind w:left="426"/>
        <w:jc w:val="both"/>
        <w:rPr>
          <w:rFonts w:cs="Arial"/>
          <w:b/>
          <w:sz w:val="22"/>
          <w:szCs w:val="22"/>
        </w:rPr>
      </w:pPr>
    </w:p>
    <w:p w14:paraId="7DF4100A" w14:textId="77777777" w:rsidR="00660832" w:rsidRPr="002B3C13" w:rsidRDefault="00660832" w:rsidP="00660832">
      <w:pPr>
        <w:ind w:left="426"/>
        <w:jc w:val="both"/>
        <w:rPr>
          <w:rFonts w:cs="Arial"/>
          <w:sz w:val="22"/>
          <w:szCs w:val="22"/>
        </w:rPr>
      </w:pPr>
      <w:r w:rsidRPr="002B3C13">
        <w:rPr>
          <w:rFonts w:cs="Arial"/>
          <w:sz w:val="22"/>
          <w:szCs w:val="22"/>
        </w:rPr>
        <w:lastRenderedPageBreak/>
        <w:t>En todo caso, el establecimiento de la tasa de interés de la captación deberá garantizar la existencia de un margen de intermediación positivo una vez incorporados los costos por concepto de encaje mínimo legal y comisiones bursátiles si corresponde.</w:t>
      </w:r>
    </w:p>
    <w:p w14:paraId="17184E7D" w14:textId="77777777" w:rsidR="00660832" w:rsidRPr="00D27740" w:rsidRDefault="00660832" w:rsidP="00660832">
      <w:pPr>
        <w:jc w:val="both"/>
        <w:rPr>
          <w:rFonts w:ascii="Calibri" w:hAnsi="Calibri" w:cs="Calibri"/>
        </w:rPr>
      </w:pPr>
    </w:p>
    <w:p w14:paraId="1A87D8D2" w14:textId="77777777" w:rsidR="00660832" w:rsidRPr="002B3C13" w:rsidRDefault="00660832" w:rsidP="00660832">
      <w:pPr>
        <w:numPr>
          <w:ilvl w:val="0"/>
          <w:numId w:val="6"/>
        </w:numPr>
        <w:tabs>
          <w:tab w:val="clear" w:pos="720"/>
          <w:tab w:val="num" w:pos="426"/>
        </w:tabs>
        <w:ind w:left="426" w:hanging="426"/>
        <w:jc w:val="both"/>
        <w:rPr>
          <w:rFonts w:cs="Arial"/>
          <w:sz w:val="22"/>
          <w:szCs w:val="22"/>
        </w:rPr>
      </w:pPr>
      <w:r w:rsidRPr="002B3C13">
        <w:rPr>
          <w:rFonts w:cs="Arial"/>
          <w:b/>
          <w:sz w:val="22"/>
          <w:szCs w:val="22"/>
        </w:rPr>
        <w:t xml:space="preserve">Comisiones:  </w:t>
      </w:r>
      <w:r w:rsidRPr="002B3C13">
        <w:rPr>
          <w:rFonts w:cs="Arial"/>
          <w:sz w:val="22"/>
          <w:szCs w:val="22"/>
        </w:rPr>
        <w:t>En el caso de que la captación se tramite por medio del mecanismo de bolsa, el pago de las comisiones asociadas se realizará de conformidad con lo autorizado por la Gerencia General o la Subgerencia Financiera, para lo cual deberá respetarse el límite establecido en los Lineamientos para la Captación de Recursos Financieros Mediante Emisión de Títulos Valores.</w:t>
      </w:r>
    </w:p>
    <w:p w14:paraId="6895A7BC" w14:textId="77777777" w:rsidR="00660832" w:rsidRPr="002B3C13" w:rsidRDefault="00660832" w:rsidP="00660832">
      <w:pPr>
        <w:ind w:hanging="426"/>
        <w:jc w:val="both"/>
        <w:rPr>
          <w:rFonts w:cs="Arial"/>
          <w:sz w:val="22"/>
          <w:szCs w:val="22"/>
        </w:rPr>
      </w:pPr>
    </w:p>
    <w:p w14:paraId="5050C105" w14:textId="77777777" w:rsidR="00660832" w:rsidRPr="002B3C13" w:rsidRDefault="00660832" w:rsidP="00660832">
      <w:pPr>
        <w:ind w:left="426"/>
        <w:jc w:val="both"/>
        <w:rPr>
          <w:rFonts w:cs="Arial"/>
          <w:sz w:val="22"/>
          <w:szCs w:val="22"/>
        </w:rPr>
      </w:pPr>
      <w:r w:rsidRPr="002B3C13">
        <w:rPr>
          <w:rFonts w:cs="Arial"/>
          <w:sz w:val="22"/>
          <w:szCs w:val="22"/>
        </w:rPr>
        <w:t>En caso de que deba incurrirse en el pago de comisiones, los valores pertinentes deberán estar contemplados en el cálculo del costo total de los recursos captados, a partir del cual deberá garantizarse un margen de intermediación positivo derivado de la utilización de tales recursos en los fines previstos.</w:t>
      </w:r>
    </w:p>
    <w:p w14:paraId="6AEA8D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42F224" w14:textId="77777777" w:rsidR="002B71CC" w:rsidRPr="00D14EAF" w:rsidRDefault="002B71CC" w:rsidP="002B71CC">
      <w:pPr>
        <w:spacing w:line="360" w:lineRule="auto"/>
        <w:jc w:val="both"/>
        <w:rPr>
          <w:rFonts w:cs="Arial"/>
          <w:b/>
          <w:sz w:val="22"/>
        </w:rPr>
      </w:pPr>
      <w:r w:rsidRPr="00D14EAF">
        <w:rPr>
          <w:rFonts w:cs="Arial"/>
          <w:b/>
          <w:sz w:val="22"/>
        </w:rPr>
        <w:t>************</w:t>
      </w:r>
    </w:p>
    <w:p w14:paraId="7A50211F" w14:textId="5F7B075A" w:rsidR="002B71CC" w:rsidRDefault="002B71CC" w:rsidP="002B71CC">
      <w:pPr>
        <w:spacing w:line="360" w:lineRule="auto"/>
        <w:jc w:val="both"/>
        <w:rPr>
          <w:rFonts w:cs="Arial"/>
          <w:sz w:val="22"/>
          <w:lang w:val="es-ES_tradnl"/>
        </w:rPr>
      </w:pPr>
    </w:p>
    <w:p w14:paraId="61C4103B" w14:textId="77777777" w:rsidR="00B94DFD" w:rsidRPr="00AB2826" w:rsidRDefault="00B94DFD" w:rsidP="00B94DFD">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9AFA131" w14:textId="77777777" w:rsidR="00B94DFD" w:rsidRPr="004B0167" w:rsidRDefault="00B94DFD" w:rsidP="00B94DFD">
      <w:pPr>
        <w:spacing w:line="360" w:lineRule="auto"/>
        <w:jc w:val="both"/>
        <w:rPr>
          <w:rFonts w:cs="Arial"/>
          <w:b/>
          <w:bCs/>
          <w:sz w:val="22"/>
          <w:szCs w:val="22"/>
        </w:rPr>
      </w:pPr>
      <w:r w:rsidRPr="004B0167">
        <w:rPr>
          <w:rFonts w:cs="Arial"/>
          <w:b/>
          <w:bCs/>
          <w:sz w:val="22"/>
          <w:szCs w:val="22"/>
        </w:rPr>
        <w:t>Considerando:</w:t>
      </w:r>
    </w:p>
    <w:p w14:paraId="21C7B503" w14:textId="77777777" w:rsidR="00B94DFD" w:rsidRDefault="00B94DFD" w:rsidP="00B94DFD">
      <w:pPr>
        <w:spacing w:line="360" w:lineRule="auto"/>
        <w:jc w:val="both"/>
        <w:rPr>
          <w:rFonts w:cs="Arial"/>
          <w:bCs/>
          <w:sz w:val="22"/>
          <w:szCs w:val="22"/>
        </w:rPr>
      </w:pPr>
      <w:r w:rsidRPr="004B0167">
        <w:rPr>
          <w:rFonts w:cs="Arial"/>
          <w:b/>
          <w:bCs/>
          <w:sz w:val="22"/>
          <w:szCs w:val="22"/>
        </w:rPr>
        <w:t>Primero:</w:t>
      </w:r>
      <w:r w:rsidRPr="004B0167">
        <w:rPr>
          <w:rFonts w:cs="Arial"/>
          <w:sz w:val="22"/>
          <w:szCs w:val="22"/>
        </w:rPr>
        <w:t xml:space="preserve"> Que mediante el oficio </w:t>
      </w:r>
      <w:r>
        <w:rPr>
          <w:rFonts w:cs="Arial"/>
          <w:sz w:val="22"/>
          <w:szCs w:val="22"/>
        </w:rPr>
        <w:t xml:space="preserve">C-485-DPC-2020, del 09 de noviembre de 2020, el Grupo Mutual Alajuela – La Vivienda de </w:t>
      </w:r>
      <w:r w:rsidRPr="008D2D6B">
        <w:rPr>
          <w:rFonts w:cs="Arial"/>
          <w:color w:val="000000"/>
          <w:sz w:val="22"/>
          <w:szCs w:val="22"/>
        </w:rPr>
        <w:t>Ahorro y Préstamo</w:t>
      </w:r>
      <w:r>
        <w:rPr>
          <w:rFonts w:cs="Arial"/>
          <w:sz w:val="22"/>
          <w:szCs w:val="22"/>
        </w:rPr>
        <w:t xml:space="preserve"> </w:t>
      </w:r>
      <w:r>
        <w:rPr>
          <w:rFonts w:cs="Arial"/>
          <w:bCs/>
          <w:sz w:val="22"/>
          <w:szCs w:val="22"/>
        </w:rPr>
        <w:t xml:space="preserve">(en adelante Grupo Mutual) solicita la </w:t>
      </w:r>
      <w:r w:rsidRPr="00EF5B19">
        <w:rPr>
          <w:rFonts w:cs="Arial"/>
          <w:sz w:val="22"/>
          <w:szCs w:val="22"/>
        </w:rPr>
        <w:t xml:space="preserve">aprobación </w:t>
      </w:r>
      <w:r>
        <w:rPr>
          <w:rFonts w:cs="Arial"/>
          <w:sz w:val="22"/>
          <w:szCs w:val="22"/>
        </w:rPr>
        <w:t xml:space="preserve">de esta </w:t>
      </w:r>
      <w:r w:rsidRPr="00F61EF4">
        <w:rPr>
          <w:rFonts w:cs="Arial"/>
          <w:sz w:val="22"/>
          <w:szCs w:val="22"/>
        </w:rPr>
        <w:t>Junta Directiva</w:t>
      </w:r>
      <w:r>
        <w:rPr>
          <w:rFonts w:cs="Arial"/>
          <w:sz w:val="22"/>
          <w:szCs w:val="22"/>
        </w:rPr>
        <w:t>, para implementar un nuevo programa de emisiones denominado “Programa de emisiones de contratos de participación hipotecaria con garantía global de largo plazo series Y en dólares”, por un monto de $25 millones y dentro</w:t>
      </w:r>
      <w:r>
        <w:rPr>
          <w:rFonts w:cs="Arial"/>
          <w:bCs/>
          <w:sz w:val="22"/>
          <w:szCs w:val="22"/>
        </w:rPr>
        <w:t xml:space="preserve"> del tope de captación autorizado con la garantía del Estado.</w:t>
      </w:r>
    </w:p>
    <w:p w14:paraId="0577F043" w14:textId="77777777" w:rsidR="00B94DFD" w:rsidRPr="00F61EF4" w:rsidRDefault="00B94DFD" w:rsidP="00B94DFD">
      <w:pPr>
        <w:spacing w:line="360" w:lineRule="auto"/>
        <w:jc w:val="both"/>
        <w:rPr>
          <w:rFonts w:cs="Arial"/>
          <w:bCs/>
          <w:sz w:val="22"/>
          <w:szCs w:val="22"/>
        </w:rPr>
      </w:pPr>
    </w:p>
    <w:p w14:paraId="6548E858" w14:textId="77777777" w:rsidR="00B94DFD" w:rsidRDefault="00B94DFD" w:rsidP="00B94DFD">
      <w:pPr>
        <w:spacing w:line="360" w:lineRule="auto"/>
        <w:jc w:val="both"/>
        <w:rPr>
          <w:rFonts w:cs="Arial"/>
          <w:bCs/>
          <w:sz w:val="22"/>
          <w:szCs w:val="22"/>
        </w:rPr>
      </w:pPr>
      <w:r w:rsidRPr="009C04C7">
        <w:rPr>
          <w:rFonts w:cs="Arial"/>
          <w:b/>
          <w:bCs/>
          <w:sz w:val="22"/>
          <w:szCs w:val="22"/>
        </w:rPr>
        <w:t>Segundo:</w:t>
      </w:r>
      <w:r>
        <w:rPr>
          <w:rFonts w:cs="Arial"/>
          <w:bCs/>
          <w:sz w:val="22"/>
          <w:szCs w:val="22"/>
        </w:rPr>
        <w:t xml:space="preserve"> Que por medio del oficio SGF-ME-0019-2020/DFNV-ME-475-2020, del 23 de diciembre de 2020 –el cual es avalado en todos sus extremos por la </w:t>
      </w:r>
      <w:r w:rsidRPr="00EF5B19">
        <w:rPr>
          <w:rFonts w:cs="Arial"/>
          <w:bCs/>
          <w:sz w:val="22"/>
          <w:szCs w:val="22"/>
        </w:rPr>
        <w:t>Gerencia General</w:t>
      </w:r>
      <w:r>
        <w:rPr>
          <w:rFonts w:cs="Arial"/>
          <w:bCs/>
          <w:sz w:val="22"/>
          <w:szCs w:val="22"/>
        </w:rPr>
        <w:t xml:space="preserve"> con la nota GG-ME-1560-2020, de esa misma fecha– la Subgerencia Financiera y la Dirección del Fondo Nacional para la Vivienda (FONAVI), presentan los resultados del estudio realizado a la referida solicitud de Grupo Mutual, concluyendo que la entidad cumple a cabalidad con todos los requisitos correspondientes para efectuar la emisión de los citados contratos de participación hipotecaria; razón por la cual recomiendan declarar la debida autorización,</w:t>
      </w:r>
      <w:r w:rsidRPr="009C04C7">
        <w:rPr>
          <w:rFonts w:cs="Arial"/>
          <w:bCs/>
          <w:sz w:val="22"/>
          <w:szCs w:val="22"/>
        </w:rPr>
        <w:t xml:space="preserve"> </w:t>
      </w:r>
      <w:r>
        <w:rPr>
          <w:rFonts w:cs="Arial"/>
          <w:bCs/>
          <w:sz w:val="22"/>
          <w:szCs w:val="22"/>
        </w:rPr>
        <w:t>bajo el entendido que esta emisión debe considerarse como parte del Tope Máximo de Captación vigente para esa Mutual o de los que sean aprobados en el futuro.</w:t>
      </w:r>
    </w:p>
    <w:p w14:paraId="3906660A" w14:textId="77777777" w:rsidR="00B94DFD" w:rsidRDefault="00B94DFD" w:rsidP="00B94DFD">
      <w:pPr>
        <w:spacing w:line="360" w:lineRule="auto"/>
        <w:jc w:val="both"/>
        <w:rPr>
          <w:rFonts w:cs="Arial"/>
          <w:sz w:val="22"/>
          <w:szCs w:val="22"/>
        </w:rPr>
      </w:pPr>
    </w:p>
    <w:p w14:paraId="458560F4" w14:textId="77777777" w:rsidR="00B94DFD" w:rsidRPr="00B57B15" w:rsidRDefault="00B94DFD" w:rsidP="00B94DFD">
      <w:pPr>
        <w:spacing w:line="360" w:lineRule="auto"/>
        <w:jc w:val="both"/>
        <w:rPr>
          <w:rFonts w:cs="Arial"/>
          <w:sz w:val="22"/>
          <w:szCs w:val="22"/>
        </w:rPr>
      </w:pPr>
      <w:r w:rsidRPr="00B57B15">
        <w:rPr>
          <w:rFonts w:cs="Arial"/>
          <w:b/>
          <w:bCs/>
          <w:sz w:val="22"/>
          <w:szCs w:val="22"/>
        </w:rPr>
        <w:t xml:space="preserve">Tercero: </w:t>
      </w:r>
      <w:r w:rsidRPr="00B57B15">
        <w:rPr>
          <w:rFonts w:cs="Arial"/>
          <w:sz w:val="22"/>
          <w:szCs w:val="22"/>
        </w:rPr>
        <w:t>Que con vista de los documentos que sobre el tema se han presentado</w:t>
      </w:r>
      <w:r>
        <w:rPr>
          <w:rFonts w:cs="Arial"/>
          <w:sz w:val="22"/>
          <w:szCs w:val="22"/>
        </w:rPr>
        <w:t xml:space="preserve"> por parte de la </w:t>
      </w:r>
      <w:r w:rsidRPr="009A1E1C">
        <w:rPr>
          <w:rFonts w:cs="Arial"/>
          <w:sz w:val="22"/>
          <w:szCs w:val="22"/>
        </w:rPr>
        <w:t>Gerencia General</w:t>
      </w:r>
      <w:r>
        <w:rPr>
          <w:rFonts w:cs="Arial"/>
          <w:color w:val="000000"/>
          <w:sz w:val="22"/>
          <w:szCs w:val="22"/>
        </w:rPr>
        <w:t>, esta</w:t>
      </w:r>
      <w:r w:rsidRPr="00B57B15">
        <w:rPr>
          <w:rFonts w:cs="Arial"/>
          <w:sz w:val="22"/>
          <w:szCs w:val="22"/>
        </w:rPr>
        <w:t xml:space="preserve"> Junta Directiva no encuentra objeción en acoger la recomendación de la Administración</w:t>
      </w:r>
      <w:r>
        <w:rPr>
          <w:rFonts w:cs="Arial"/>
          <w:sz w:val="22"/>
          <w:szCs w:val="22"/>
        </w:rPr>
        <w:t xml:space="preserve"> y, por consiguiente, lo que procede es</w:t>
      </w:r>
      <w:r w:rsidRPr="00B57B15">
        <w:rPr>
          <w:rFonts w:cs="Arial"/>
          <w:sz w:val="22"/>
          <w:szCs w:val="22"/>
        </w:rPr>
        <w:t xml:space="preserve"> emitir la </w:t>
      </w:r>
      <w:r w:rsidRPr="00B57B15">
        <w:rPr>
          <w:rFonts w:cs="Arial"/>
          <w:sz w:val="22"/>
          <w:szCs w:val="22"/>
        </w:rPr>
        <w:lastRenderedPageBreak/>
        <w:t xml:space="preserve">autorización correspondiente, bajo los términos y modos señalados por la </w:t>
      </w:r>
      <w:r>
        <w:rPr>
          <w:rFonts w:cs="Arial"/>
          <w:sz w:val="22"/>
          <w:szCs w:val="22"/>
        </w:rPr>
        <w:t xml:space="preserve">Subgerencia Financiera y la </w:t>
      </w:r>
      <w:r w:rsidRPr="00B57B15">
        <w:rPr>
          <w:rFonts w:cs="Arial"/>
          <w:sz w:val="22"/>
          <w:szCs w:val="22"/>
        </w:rPr>
        <w:t xml:space="preserve">Dirección FONAVI en el informe adjunto al oficio </w:t>
      </w:r>
      <w:r>
        <w:rPr>
          <w:rFonts w:cs="Arial"/>
          <w:bCs/>
          <w:sz w:val="22"/>
          <w:szCs w:val="22"/>
        </w:rPr>
        <w:t>SGF-ME-0019-2020/DFNV-ME-475-2020</w:t>
      </w:r>
      <w:r w:rsidRPr="00B57B15">
        <w:rPr>
          <w:rFonts w:cs="Arial"/>
          <w:sz w:val="22"/>
          <w:szCs w:val="22"/>
        </w:rPr>
        <w:t>.</w:t>
      </w:r>
    </w:p>
    <w:p w14:paraId="28E549E2" w14:textId="77777777" w:rsidR="00B94DFD" w:rsidRPr="00B57B15" w:rsidRDefault="00B94DFD" w:rsidP="00B94DFD">
      <w:pPr>
        <w:spacing w:line="360" w:lineRule="auto"/>
        <w:jc w:val="both"/>
        <w:rPr>
          <w:rFonts w:cs="Arial"/>
          <w:sz w:val="22"/>
          <w:szCs w:val="22"/>
        </w:rPr>
      </w:pPr>
    </w:p>
    <w:p w14:paraId="7F502363" w14:textId="77777777" w:rsidR="00B94DFD" w:rsidRPr="004B0167" w:rsidRDefault="00B94DFD" w:rsidP="00B94DFD">
      <w:pPr>
        <w:spacing w:line="360" w:lineRule="auto"/>
        <w:jc w:val="both"/>
        <w:rPr>
          <w:rFonts w:cs="Arial"/>
          <w:b/>
          <w:bCs/>
          <w:sz w:val="22"/>
          <w:szCs w:val="22"/>
        </w:rPr>
      </w:pPr>
      <w:r w:rsidRPr="004B0167">
        <w:rPr>
          <w:rFonts w:cs="Arial"/>
          <w:b/>
          <w:bCs/>
          <w:sz w:val="22"/>
          <w:szCs w:val="22"/>
        </w:rPr>
        <w:t>Por tanto, se acuerda:</w:t>
      </w:r>
    </w:p>
    <w:p w14:paraId="406A8753" w14:textId="77777777" w:rsidR="00B94DFD" w:rsidRDefault="00B94DFD" w:rsidP="00B94DFD">
      <w:pPr>
        <w:spacing w:line="360" w:lineRule="auto"/>
        <w:jc w:val="both"/>
        <w:rPr>
          <w:rFonts w:cs="Arial"/>
          <w:sz w:val="22"/>
          <w:szCs w:val="22"/>
        </w:rPr>
      </w:pPr>
      <w:r>
        <w:rPr>
          <w:sz w:val="22"/>
          <w:szCs w:val="22"/>
        </w:rPr>
        <w:t xml:space="preserve">Autorizar al Grupo Mutual Alajuela – La Vivienda de </w:t>
      </w:r>
      <w:r w:rsidRPr="001E5946">
        <w:rPr>
          <w:rFonts w:cs="Arial"/>
          <w:color w:val="000000"/>
          <w:sz w:val="22"/>
          <w:szCs w:val="22"/>
        </w:rPr>
        <w:t>Ahorro y Préstamo</w:t>
      </w:r>
      <w:r>
        <w:rPr>
          <w:sz w:val="22"/>
          <w:szCs w:val="22"/>
        </w:rPr>
        <w:t xml:space="preserve">, para </w:t>
      </w:r>
      <w:r w:rsidRPr="003F6A2E">
        <w:rPr>
          <w:rFonts w:cs="Arial"/>
          <w:sz w:val="22"/>
          <w:szCs w:val="22"/>
        </w:rPr>
        <w:t>efectuar la emisión de</w:t>
      </w:r>
      <w:r>
        <w:rPr>
          <w:rFonts w:cs="Arial"/>
          <w:sz w:val="22"/>
          <w:szCs w:val="22"/>
        </w:rPr>
        <w:t xml:space="preserve"> veinticinco millones de dólares americanos ($25.000</w:t>
      </w:r>
      <w:r w:rsidRPr="00C23818">
        <w:rPr>
          <w:sz w:val="22"/>
          <w:szCs w:val="22"/>
        </w:rPr>
        <w:t>.000</w:t>
      </w:r>
      <w:r>
        <w:rPr>
          <w:sz w:val="22"/>
          <w:szCs w:val="22"/>
        </w:rPr>
        <w:t xml:space="preserve">,00), mediante el </w:t>
      </w:r>
      <w:r>
        <w:rPr>
          <w:rFonts w:cs="Arial"/>
          <w:sz w:val="22"/>
          <w:szCs w:val="22"/>
        </w:rPr>
        <w:t xml:space="preserve">“Programa de emisiones de contratos de participación hipotecaria con garantía global de largo plazo series Y en </w:t>
      </w:r>
      <w:r w:rsidRPr="009367E2">
        <w:rPr>
          <w:rFonts w:cs="Arial"/>
          <w:sz w:val="22"/>
          <w:szCs w:val="22"/>
        </w:rPr>
        <w:t>dólares”,</w:t>
      </w:r>
      <w:r w:rsidRPr="009367E2">
        <w:rPr>
          <w:sz w:val="22"/>
          <w:szCs w:val="22"/>
        </w:rPr>
        <w:t xml:space="preserve"> en el entendido que esta emisión </w:t>
      </w:r>
      <w:r>
        <w:rPr>
          <w:sz w:val="22"/>
          <w:szCs w:val="22"/>
        </w:rPr>
        <w:t xml:space="preserve">debe quedar considerada </w:t>
      </w:r>
      <w:r>
        <w:rPr>
          <w:rFonts w:cs="Arial"/>
          <w:sz w:val="22"/>
          <w:szCs w:val="22"/>
        </w:rPr>
        <w:t>como</w:t>
      </w:r>
      <w:r>
        <w:rPr>
          <w:rFonts w:cs="Arial"/>
          <w:bCs/>
          <w:sz w:val="22"/>
          <w:szCs w:val="22"/>
        </w:rPr>
        <w:t xml:space="preserve"> parte del Tope Máximo de Captación vigente para esa Mutual o de los que le sean aprobados en el futuro, y </w:t>
      </w:r>
      <w:r w:rsidRPr="00714075">
        <w:rPr>
          <w:rFonts w:cs="Arial"/>
          <w:bCs/>
          <w:sz w:val="22"/>
          <w:szCs w:val="22"/>
        </w:rPr>
        <w:t xml:space="preserve">de conformidad con las características que se detallan en el informe </w:t>
      </w:r>
      <w:r>
        <w:rPr>
          <w:rFonts w:cs="Arial"/>
          <w:bCs/>
          <w:sz w:val="22"/>
          <w:szCs w:val="22"/>
        </w:rPr>
        <w:t xml:space="preserve">adjunto al oficio SGF-ME-0019-2020/DFNV-ME-475-2020, de la Subgerencia Financiera y la </w:t>
      </w:r>
      <w:r w:rsidRPr="00714075">
        <w:rPr>
          <w:rFonts w:cs="Arial"/>
          <w:sz w:val="22"/>
          <w:szCs w:val="22"/>
        </w:rPr>
        <w:t>Dirección FONAVI</w:t>
      </w:r>
      <w:r>
        <w:rPr>
          <w:rFonts w:cs="Arial"/>
          <w:sz w:val="22"/>
          <w:szCs w:val="22"/>
        </w:rPr>
        <w:t>.</w:t>
      </w:r>
    </w:p>
    <w:p w14:paraId="51D64674" w14:textId="77777777" w:rsidR="00B94DFD" w:rsidRPr="00AB2826" w:rsidRDefault="00B94DFD" w:rsidP="00B94DFD">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459BF09" w14:textId="77777777" w:rsidR="00B94DFD" w:rsidRPr="00D14EAF" w:rsidRDefault="00B94DFD" w:rsidP="00B94DFD">
      <w:pPr>
        <w:spacing w:line="360" w:lineRule="auto"/>
        <w:jc w:val="both"/>
        <w:rPr>
          <w:rFonts w:cs="Arial"/>
          <w:b/>
          <w:sz w:val="22"/>
        </w:rPr>
      </w:pPr>
      <w:r w:rsidRPr="00D14EAF">
        <w:rPr>
          <w:rFonts w:cs="Arial"/>
          <w:b/>
          <w:sz w:val="22"/>
        </w:rPr>
        <w:t>************</w:t>
      </w:r>
    </w:p>
    <w:p w14:paraId="07F588A1" w14:textId="77777777" w:rsidR="002B71CC" w:rsidRDefault="002B71CC" w:rsidP="002B71CC">
      <w:pPr>
        <w:spacing w:line="360" w:lineRule="auto"/>
        <w:jc w:val="both"/>
        <w:rPr>
          <w:rFonts w:cs="Arial"/>
          <w:sz w:val="22"/>
          <w:lang w:val="es-ES_tradnl"/>
        </w:rPr>
      </w:pPr>
    </w:p>
    <w:p w14:paraId="718746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DF39D24" w14:textId="2C06D177" w:rsidR="002B71CC" w:rsidRDefault="00264745" w:rsidP="002B71CC">
      <w:pPr>
        <w:spacing w:line="360" w:lineRule="auto"/>
        <w:jc w:val="both"/>
        <w:rPr>
          <w:rFonts w:cs="Arial"/>
          <w:sz w:val="22"/>
          <w:szCs w:val="22"/>
        </w:rPr>
      </w:pPr>
      <w:r>
        <w:rPr>
          <w:rFonts w:cs="Arial"/>
          <w:sz w:val="22"/>
          <w:szCs w:val="22"/>
        </w:rPr>
        <w:t xml:space="preserve">Instruir a la </w:t>
      </w:r>
      <w:r w:rsidRPr="00264745">
        <w:rPr>
          <w:rFonts w:cs="Arial"/>
          <w:sz w:val="22"/>
          <w:lang w:val="es-ES_tradnl"/>
        </w:rPr>
        <w:t>Administración</w:t>
      </w:r>
      <w:r>
        <w:rPr>
          <w:rFonts w:cs="Arial"/>
          <w:sz w:val="22"/>
          <w:lang w:val="es-ES_tradnl"/>
        </w:rPr>
        <w:t xml:space="preserve">, para que obtenga información de la Dirección de Urbanismo del INVU, acerca de las normas vigentes para gestionar conjuntos residenciales y sus diferencias con respecto a las urbanizaciones, particularmente en los temas de cesión de áreas públicas, lotes de uso mixto y estacionamientos; y presente dicha información a esta </w:t>
      </w:r>
      <w:r w:rsidRPr="00264745">
        <w:rPr>
          <w:rFonts w:cs="Arial"/>
          <w:sz w:val="22"/>
          <w:lang w:val="es-ES_tradnl"/>
        </w:rPr>
        <w:t>Junta Directiva</w:t>
      </w:r>
      <w:r>
        <w:rPr>
          <w:rFonts w:cs="Arial"/>
          <w:sz w:val="22"/>
          <w:lang w:val="es-ES_tradnl"/>
        </w:rPr>
        <w:t>.</w:t>
      </w:r>
    </w:p>
    <w:p w14:paraId="35E057CE" w14:textId="12E57DA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A9538B3" w14:textId="77777777" w:rsidR="002B71CC" w:rsidRPr="00D14EAF" w:rsidRDefault="002B71CC" w:rsidP="002B71CC">
      <w:pPr>
        <w:spacing w:line="360" w:lineRule="auto"/>
        <w:jc w:val="both"/>
        <w:rPr>
          <w:rFonts w:cs="Arial"/>
          <w:b/>
          <w:sz w:val="22"/>
        </w:rPr>
      </w:pPr>
      <w:r w:rsidRPr="00D14EAF">
        <w:rPr>
          <w:rFonts w:cs="Arial"/>
          <w:b/>
          <w:sz w:val="22"/>
        </w:rPr>
        <w:t>************</w:t>
      </w:r>
    </w:p>
    <w:p w14:paraId="49AD1414" w14:textId="77777777" w:rsidR="002B71CC" w:rsidRDefault="002B71CC" w:rsidP="002B71CC">
      <w:pPr>
        <w:spacing w:line="360" w:lineRule="auto"/>
        <w:jc w:val="both"/>
        <w:rPr>
          <w:rFonts w:cs="Arial"/>
          <w:sz w:val="22"/>
          <w:szCs w:val="22"/>
        </w:rPr>
      </w:pPr>
    </w:p>
    <w:p w14:paraId="0FE810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4C2FCB9" w14:textId="27386F60" w:rsidR="002B71CC" w:rsidRDefault="006223C8" w:rsidP="002B71CC">
      <w:pPr>
        <w:spacing w:line="360" w:lineRule="auto"/>
        <w:jc w:val="both"/>
        <w:rPr>
          <w:rFonts w:cs="Arial"/>
          <w:sz w:val="22"/>
          <w:lang w:val="es-ES_tradnl"/>
        </w:rPr>
      </w:pPr>
      <w:r>
        <w:rPr>
          <w:rFonts w:cs="Arial"/>
          <w:sz w:val="22"/>
          <w:lang w:val="es-ES_tradnl"/>
        </w:rPr>
        <w:t xml:space="preserve">Instruir a la </w:t>
      </w:r>
      <w:r w:rsidRPr="00FC00AF">
        <w:rPr>
          <w:rFonts w:cs="Arial"/>
          <w:sz w:val="22"/>
          <w:lang w:val="es-ES_tradnl"/>
        </w:rPr>
        <w:t>Administración</w:t>
      </w:r>
      <w:r>
        <w:rPr>
          <w:rFonts w:cs="Arial"/>
          <w:sz w:val="22"/>
          <w:lang w:val="es-ES_tradnl"/>
        </w:rPr>
        <w:t xml:space="preserve">, para que elabore y presente a esta </w:t>
      </w:r>
      <w:r w:rsidRPr="006223C8">
        <w:rPr>
          <w:rFonts w:cs="Arial"/>
          <w:sz w:val="22"/>
          <w:lang w:val="es-ES_tradnl"/>
        </w:rPr>
        <w:t>Junta Directiva</w:t>
      </w:r>
      <w:r>
        <w:rPr>
          <w:rFonts w:cs="Arial"/>
          <w:sz w:val="22"/>
          <w:lang w:val="es-ES_tradnl"/>
        </w:rPr>
        <w:t>, un mecanismo técnica y legalmente viable, dirigido a implementar unidades ejecutoras para el desarrollo de los proyectos de vivienda, a fin de hacer más expedita la ejecución de las obras y la liquidación de los contratos de administración de recursos.</w:t>
      </w:r>
    </w:p>
    <w:p w14:paraId="72F36799" w14:textId="77777777" w:rsidR="006223C8" w:rsidRDefault="006223C8" w:rsidP="002B71CC">
      <w:pPr>
        <w:spacing w:line="360" w:lineRule="auto"/>
        <w:jc w:val="both"/>
        <w:rPr>
          <w:rFonts w:cs="Arial"/>
          <w:sz w:val="22"/>
          <w:szCs w:val="22"/>
        </w:rPr>
      </w:pPr>
    </w:p>
    <w:p w14:paraId="45593B46" w14:textId="5354FF61" w:rsidR="002B71CC" w:rsidRDefault="006223C8" w:rsidP="002B71CC">
      <w:pPr>
        <w:spacing w:line="360" w:lineRule="auto"/>
        <w:jc w:val="both"/>
        <w:rPr>
          <w:rFonts w:cs="Arial"/>
          <w:sz w:val="22"/>
          <w:szCs w:val="22"/>
        </w:rPr>
      </w:pPr>
      <w:r>
        <w:rPr>
          <w:rFonts w:cs="Arial"/>
          <w:sz w:val="22"/>
          <w:lang w:val="es-ES_tradnl"/>
        </w:rPr>
        <w:t xml:space="preserve">Para rendir el respectivo informe, se otorga a la </w:t>
      </w:r>
      <w:r w:rsidRPr="006223C8">
        <w:rPr>
          <w:rFonts w:cs="Arial"/>
          <w:sz w:val="22"/>
          <w:lang w:val="es-ES_tradnl"/>
        </w:rPr>
        <w:t>Administración</w:t>
      </w:r>
      <w:r>
        <w:rPr>
          <w:rFonts w:cs="Arial"/>
          <w:sz w:val="22"/>
          <w:lang w:val="es-ES_tradnl"/>
        </w:rPr>
        <w:t xml:space="preserve"> un plazo de hasta el 25 de febrero de 2021.</w:t>
      </w:r>
    </w:p>
    <w:p w14:paraId="0B43C719"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239B551" w14:textId="77777777" w:rsidR="002B71CC" w:rsidRPr="00D14EAF" w:rsidRDefault="002B71CC" w:rsidP="002B71CC">
      <w:pPr>
        <w:spacing w:line="360" w:lineRule="auto"/>
        <w:jc w:val="both"/>
        <w:rPr>
          <w:rFonts w:cs="Arial"/>
          <w:b/>
          <w:sz w:val="22"/>
        </w:rPr>
      </w:pPr>
      <w:r w:rsidRPr="00D14EAF">
        <w:rPr>
          <w:rFonts w:cs="Arial"/>
          <w:b/>
          <w:sz w:val="22"/>
        </w:rPr>
        <w:t>************</w:t>
      </w:r>
    </w:p>
    <w:p w14:paraId="4A2B64F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2E738" w14:textId="77777777" w:rsidR="009F6F37" w:rsidRDefault="009F6F37">
      <w:r>
        <w:separator/>
      </w:r>
    </w:p>
  </w:endnote>
  <w:endnote w:type="continuationSeparator" w:id="0">
    <w:p w14:paraId="04EFFFFF" w14:textId="77777777" w:rsidR="009F6F37" w:rsidRDefault="009F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2A2E" w14:textId="77777777" w:rsidR="009F6F37" w:rsidRDefault="009F6F37">
      <w:r>
        <w:separator/>
      </w:r>
    </w:p>
  </w:footnote>
  <w:footnote w:type="continuationSeparator" w:id="0">
    <w:p w14:paraId="3417B3BA" w14:textId="77777777" w:rsidR="009F6F37" w:rsidRDefault="009F6F37">
      <w:r>
        <w:continuationSeparator/>
      </w:r>
    </w:p>
  </w:footnote>
  <w:footnote w:id="1">
    <w:p w14:paraId="7B1BB9A3" w14:textId="77777777" w:rsidR="009F6F37" w:rsidRPr="00D11A3F" w:rsidRDefault="009F6F37" w:rsidP="00660832">
      <w:pPr>
        <w:pStyle w:val="Textonotapie"/>
        <w:contextualSpacing/>
        <w:jc w:val="both"/>
        <w:rPr>
          <w:rStyle w:val="Refdenotaalpie"/>
          <w:rFonts w:cs="Arial"/>
        </w:rPr>
      </w:pPr>
      <w:r w:rsidRPr="00D11A3F">
        <w:rPr>
          <w:rStyle w:val="Refdenotaalpie"/>
          <w:rFonts w:cs="Arial"/>
        </w:rPr>
        <w:footnoteRef/>
      </w:r>
      <w:r w:rsidRPr="00D11A3F">
        <w:rPr>
          <w:rStyle w:val="Refdenotaalpie"/>
          <w:rFonts w:cs="Arial"/>
        </w:rPr>
        <w:t xml:space="preserve"> En caso de que el crédito sea para compra de lote, el valor del inmueble financiado podrá ser como máximo el 40% del monto indicado.</w:t>
      </w:r>
    </w:p>
  </w:footnote>
  <w:footnote w:id="2">
    <w:p w14:paraId="71AD97A0" w14:textId="77777777" w:rsidR="009F6F37" w:rsidRPr="00D11A3F" w:rsidRDefault="009F6F37" w:rsidP="00660832">
      <w:pPr>
        <w:pStyle w:val="Textonotapie"/>
        <w:contextualSpacing/>
        <w:jc w:val="both"/>
        <w:rPr>
          <w:rStyle w:val="Refdenotaalpie"/>
          <w:rFonts w:cs="Arial"/>
        </w:rPr>
      </w:pPr>
      <w:r w:rsidRPr="00D11A3F">
        <w:rPr>
          <w:rStyle w:val="Refdenotaalpie"/>
          <w:rFonts w:cs="Arial"/>
        </w:rPr>
        <w:footnoteRef/>
      </w:r>
      <w:r w:rsidRPr="00D11A3F">
        <w:rPr>
          <w:rStyle w:val="Refdenotaalpie"/>
          <w:rFonts w:cs="Arial"/>
        </w:rPr>
        <w:t xml:space="preserve"> En caso de que ese valor exceda al límite del 30% que establece el artículo 498 del Código de Comercio, se ajustará al nivel máximo factible sin que llegue a exceder el límite de referencia.</w:t>
      </w:r>
    </w:p>
  </w:footnote>
  <w:footnote w:id="3">
    <w:p w14:paraId="2B9EC73E" w14:textId="77777777" w:rsidR="009F6F37" w:rsidRPr="00D11A3F" w:rsidRDefault="009F6F37" w:rsidP="00660832">
      <w:pPr>
        <w:ind w:right="-160"/>
        <w:contextualSpacing/>
        <w:jc w:val="both"/>
        <w:rPr>
          <w:rStyle w:val="Refdenotaalpie"/>
          <w:rFonts w:cs="Arial"/>
        </w:rPr>
      </w:pPr>
      <w:r w:rsidRPr="00D11A3F">
        <w:rPr>
          <w:rStyle w:val="Refdenotaalpie"/>
          <w:rFonts w:cs="Arial"/>
        </w:rPr>
        <w:footnoteRef/>
      </w:r>
      <w:r w:rsidRPr="00D11A3F">
        <w:rPr>
          <w:rStyle w:val="Refdenotaalpie"/>
          <w:rFonts w:cs="Arial"/>
        </w:rPr>
        <w:t xml:space="preserve"> Esta condición no será aplicada en aquellos casos en que la Entidad Autorizada se comprometa contractualmente a no incorporar el cobro de comisión por pago anticipado en las operaciones de crédito formalizadas con los recursos del BANHVI. </w:t>
      </w:r>
    </w:p>
    <w:p w14:paraId="054E6194" w14:textId="77777777" w:rsidR="009F6F37" w:rsidRPr="00875405" w:rsidRDefault="009F6F37" w:rsidP="00660832">
      <w:pPr>
        <w:pStyle w:val="Textonotapie"/>
        <w:jc w:val="both"/>
        <w:rPr>
          <w:rStyle w:val="Refdenotaalpie"/>
          <w:rFonts w:ascii="Calibri" w:hAnsi="Calibri"/>
        </w:rPr>
      </w:pPr>
    </w:p>
  </w:footnote>
  <w:footnote w:id="4">
    <w:p w14:paraId="2B022C41" w14:textId="77777777" w:rsidR="009F6F37" w:rsidRPr="0077269B" w:rsidRDefault="009F6F37" w:rsidP="00660832">
      <w:pPr>
        <w:pStyle w:val="Textonotapie"/>
        <w:contextualSpacing/>
        <w:jc w:val="both"/>
        <w:rPr>
          <w:rStyle w:val="Refdenotaalpie"/>
          <w:rFonts w:ascii="Calibri" w:hAnsi="Calibri"/>
        </w:rPr>
      </w:pPr>
      <w:r w:rsidRPr="0077269B">
        <w:rPr>
          <w:rStyle w:val="Refdenotaalpie"/>
          <w:rFonts w:ascii="Calibri" w:hAnsi="Calibri"/>
        </w:rPr>
        <w:footnoteRef/>
      </w:r>
      <w:r w:rsidRPr="0077269B">
        <w:rPr>
          <w:rStyle w:val="Refdenotaalpie"/>
          <w:rFonts w:ascii="Calibri" w:hAnsi="Calibri"/>
        </w:rPr>
        <w:t xml:space="preserve"> En caso de que ese valor exceda al límite del 30% que establece el artículo 498 del Código de Comercio, se ajustará al nivel máximo factible sin que llegue a exceder el límite de referencia.</w:t>
      </w:r>
    </w:p>
  </w:footnote>
  <w:footnote w:id="5">
    <w:p w14:paraId="0D688A04" w14:textId="77777777" w:rsidR="009F6F37" w:rsidRPr="0077269B" w:rsidRDefault="009F6F37" w:rsidP="00660832">
      <w:pPr>
        <w:pStyle w:val="Textonotapie"/>
        <w:rPr>
          <w:rStyle w:val="Refdenotaalpie"/>
          <w:rFonts w:ascii="Calibri" w:hAnsi="Calibri"/>
        </w:rPr>
      </w:pPr>
      <w:r w:rsidRPr="0077269B">
        <w:rPr>
          <w:rStyle w:val="Refdenotaalpie"/>
          <w:rFonts w:ascii="Calibri" w:hAnsi="Calibri"/>
        </w:rPr>
        <w:footnoteRef/>
      </w:r>
      <w:r w:rsidRPr="0077269B">
        <w:rPr>
          <w:rStyle w:val="Refdenotaalpie"/>
          <w:rFonts w:ascii="Calibri" w:hAnsi="Calibri"/>
        </w:rPr>
        <w:t xml:space="preserve"> Aplica únicamente en el caso de que se realicen nuevos desembolsos de recursos, siendo que para las operaciones vigentes esta comisión ya fue aplicada.</w:t>
      </w:r>
    </w:p>
  </w:footnote>
  <w:footnote w:id="6">
    <w:p w14:paraId="7E836B1B" w14:textId="77777777" w:rsidR="009F6F37" w:rsidRPr="0077269B" w:rsidRDefault="009F6F37" w:rsidP="00660832">
      <w:pPr>
        <w:ind w:right="-160"/>
        <w:contextualSpacing/>
        <w:jc w:val="both"/>
        <w:rPr>
          <w:rStyle w:val="Refdenotaalpie"/>
          <w:rFonts w:ascii="Calibri" w:hAnsi="Calibri"/>
        </w:rPr>
      </w:pPr>
      <w:r w:rsidRPr="0077269B">
        <w:rPr>
          <w:rStyle w:val="Refdenotaalpie"/>
          <w:rFonts w:ascii="Calibri" w:hAnsi="Calibri"/>
        </w:rPr>
        <w:footnoteRef/>
      </w:r>
      <w:r w:rsidRPr="0077269B">
        <w:rPr>
          <w:rStyle w:val="Refdenotaalpie"/>
          <w:rFonts w:ascii="Calibri" w:hAnsi="Calibri"/>
        </w:rPr>
        <w:t xml:space="preserve"> Esta condición no será aplicada en aquellos casos en que la Entidad Autorizada se comprometa contractualmente a no incorporar el cobro de comisión por pago anticipado en las operaciones de crédito formalizadas con los recursos del BANHVI. </w:t>
      </w:r>
    </w:p>
    <w:p w14:paraId="12B0D8BB" w14:textId="77777777" w:rsidR="009F6F37" w:rsidRPr="0077269B" w:rsidRDefault="009F6F37" w:rsidP="00660832">
      <w:pPr>
        <w:pStyle w:val="Textonotapie"/>
        <w:jc w:val="both"/>
        <w:rPr>
          <w:rStyle w:val="Refdenotaalpie"/>
          <w:rFonts w:ascii="Calibri" w:hAnsi="Calibri"/>
        </w:rPr>
      </w:pPr>
    </w:p>
  </w:footnote>
  <w:footnote w:id="7">
    <w:p w14:paraId="25774365" w14:textId="77777777" w:rsidR="009F6F37" w:rsidRPr="00B61F9F" w:rsidRDefault="009F6F37" w:rsidP="00660832">
      <w:pPr>
        <w:pStyle w:val="Textonotapie"/>
        <w:contextualSpacing/>
        <w:jc w:val="both"/>
        <w:rPr>
          <w:rStyle w:val="Refdenotaalpie"/>
          <w:rFonts w:cs="Arial"/>
        </w:rPr>
      </w:pPr>
      <w:r w:rsidRPr="00B61F9F">
        <w:rPr>
          <w:rStyle w:val="Refdenotaalpie"/>
          <w:rFonts w:cs="Arial"/>
        </w:rPr>
        <w:footnoteRef/>
      </w:r>
      <w:r w:rsidRPr="00B61F9F">
        <w:rPr>
          <w:rStyle w:val="Refdenotaalpie"/>
          <w:rFonts w:cs="Arial"/>
        </w:rPr>
        <w:t xml:space="preserve"> En caso de que ese valor exceda al límite del 30% que establece el artículo 498 del Código de Comercio, se ajustará al nivel máximo factible sin que llegue a exceder el límite de referencia.</w:t>
      </w:r>
    </w:p>
  </w:footnote>
  <w:footnote w:id="8">
    <w:p w14:paraId="6B613BC7" w14:textId="77777777" w:rsidR="009F6F37" w:rsidRPr="00875405" w:rsidRDefault="009F6F37" w:rsidP="00660832">
      <w:pPr>
        <w:pStyle w:val="Textonotapie"/>
        <w:contextualSpacing/>
        <w:jc w:val="both"/>
        <w:rPr>
          <w:rStyle w:val="Refdenotaalpie"/>
          <w:rFonts w:ascii="Calibri" w:hAnsi="Calibri"/>
        </w:rPr>
      </w:pPr>
      <w:r w:rsidRPr="00B61F9F">
        <w:rPr>
          <w:rStyle w:val="Refdenotaalpie"/>
          <w:rFonts w:ascii="Garamond" w:hAnsi="Garamond"/>
        </w:rPr>
        <w:footnoteRef/>
      </w:r>
      <w:r w:rsidRPr="00B61F9F">
        <w:rPr>
          <w:rFonts w:ascii="Calibri" w:hAnsi="Calibri"/>
        </w:rPr>
        <w:t xml:space="preserve"> </w:t>
      </w:r>
      <w:r w:rsidRPr="00B61F9F">
        <w:rPr>
          <w:rStyle w:val="Refdenotaalpie"/>
          <w:rFonts w:ascii="Calibri" w:hAnsi="Calibri"/>
        </w:rPr>
        <w:t>Esta condición no será aplicada en aquellos casos en que la Entidad Autorizada se comprometa contractualmente a no incorporar el cobro de comisión por pago anticipado en las operaciones de crédito formalizadas con los recursos del BANHVI..</w:t>
      </w:r>
    </w:p>
  </w:footnote>
  <w:footnote w:id="9">
    <w:p w14:paraId="0C3F2314" w14:textId="77777777" w:rsidR="009F6F37" w:rsidRPr="00875405" w:rsidRDefault="009F6F37" w:rsidP="00660832">
      <w:pPr>
        <w:pStyle w:val="Textonotapie"/>
        <w:jc w:val="both"/>
        <w:rPr>
          <w:rStyle w:val="Refdenotaalpie"/>
          <w:rFonts w:ascii="Calibri" w:hAnsi="Calibri"/>
        </w:rPr>
      </w:pPr>
      <w:r w:rsidRPr="00B61F9F">
        <w:rPr>
          <w:rStyle w:val="Refdenotaalpie"/>
          <w:rFonts w:cs="Arial"/>
        </w:rPr>
        <w:footnoteRef/>
      </w:r>
      <w:r w:rsidRPr="00B61F9F">
        <w:rPr>
          <w:rStyle w:val="Refdenotaalpie"/>
          <w:rFonts w:cs="Arial"/>
        </w:rPr>
        <w:t xml:space="preserve"> En caso de que el crédito sea para compra de lote, el valor del inmueble financiado podrá ser como máximo el 40% del monto indicado</w:t>
      </w:r>
      <w:r w:rsidRPr="00875405">
        <w:rPr>
          <w:rStyle w:val="Refdenotaalpie"/>
          <w:rFonts w:ascii="Calibri" w:hAnsi="Calibri"/>
        </w:rPr>
        <w:t>.</w:t>
      </w:r>
    </w:p>
  </w:footnote>
  <w:footnote w:id="10">
    <w:p w14:paraId="6D316B63" w14:textId="77777777" w:rsidR="009F6F37" w:rsidRPr="002B3C13" w:rsidRDefault="009F6F37" w:rsidP="00660832">
      <w:pPr>
        <w:pStyle w:val="Textonotapie"/>
        <w:jc w:val="both"/>
        <w:rPr>
          <w:rStyle w:val="Refdenotaalpie"/>
          <w:rFonts w:cs="Arial"/>
        </w:rPr>
      </w:pPr>
      <w:r w:rsidRPr="00875405">
        <w:rPr>
          <w:rStyle w:val="Refdenotaalpie"/>
          <w:rFonts w:ascii="Calibri" w:hAnsi="Calibri"/>
        </w:rPr>
        <w:footnoteRef/>
      </w:r>
      <w:r w:rsidRPr="00875405">
        <w:rPr>
          <w:rStyle w:val="Refdenotaalpie"/>
          <w:rFonts w:ascii="Calibri" w:hAnsi="Calibri"/>
        </w:rPr>
        <w:t xml:space="preserve"> </w:t>
      </w:r>
      <w:r w:rsidRPr="002B3C13">
        <w:rPr>
          <w:rStyle w:val="Refdenotaalpie"/>
          <w:rFonts w:cs="Arial"/>
        </w:rPr>
        <w:t>En caso de que ese valor exceda al límite del 30% que establece el artículo 498 del Código de Comercio, se ajustará al nivel máximo</w:t>
      </w:r>
      <w:r w:rsidRPr="002B3C13">
        <w:rPr>
          <w:rFonts w:cs="Arial"/>
        </w:rPr>
        <w:t xml:space="preserve"> </w:t>
      </w:r>
      <w:r w:rsidRPr="002B3C13">
        <w:rPr>
          <w:rStyle w:val="Refdenotaalpie"/>
          <w:rFonts w:cs="Arial"/>
        </w:rPr>
        <w:t>factible sin que llegue a exceder el límite de referencia.</w:t>
      </w:r>
    </w:p>
  </w:footnote>
  <w:footnote w:id="11">
    <w:p w14:paraId="1BF1ACDA" w14:textId="77777777" w:rsidR="009F6F37" w:rsidRPr="002B3C13" w:rsidRDefault="009F6F37" w:rsidP="00660832">
      <w:pPr>
        <w:pStyle w:val="Textonotapie"/>
        <w:jc w:val="both"/>
        <w:rPr>
          <w:rStyle w:val="Refdenotaalpie"/>
          <w:rFonts w:cs="Arial"/>
        </w:rPr>
      </w:pPr>
      <w:r w:rsidRPr="002B3C13">
        <w:rPr>
          <w:rStyle w:val="Refdenotaalpie"/>
          <w:rFonts w:cs="Arial"/>
        </w:rPr>
        <w:footnoteRef/>
      </w:r>
      <w:r w:rsidRPr="002B3C13">
        <w:rPr>
          <w:rStyle w:val="Refdenotaalpie"/>
          <w:rFonts w:cs="Arial"/>
        </w:rPr>
        <w:t xml:space="preserve"> Esta condición no será aplicada en aquellos casos en que la Entidad Autorizada se comprometa contractualmente a no incorporar el cobro de comisión por pago anticipado en las operaciones de crédito formalizadas con los recursos del BANHVI</w:t>
      </w:r>
      <w:r w:rsidRPr="002B3C13">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68670" w14:textId="77777777" w:rsidR="009F6F37" w:rsidRDefault="009F6F37">
    <w:pPr>
      <w:pStyle w:val="Encabezado"/>
      <w:rPr>
        <w:lang w:val="es-ES"/>
      </w:rPr>
    </w:pPr>
  </w:p>
  <w:p w14:paraId="04506A61" w14:textId="141A13EA" w:rsidR="009F6F37" w:rsidRDefault="009F6F37">
    <w:pPr>
      <w:pStyle w:val="Encabezado"/>
      <w:rPr>
        <w:rStyle w:val="Nmerodepgina"/>
        <w:sz w:val="18"/>
      </w:rPr>
    </w:pPr>
    <w:r>
      <w:rPr>
        <w:sz w:val="18"/>
        <w:lang w:val="es-ES"/>
      </w:rPr>
      <w:t xml:space="preserve">    Minuta de la sesión Nº 01-2021                   04 de enero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C0DD01A" w14:textId="77777777" w:rsidR="009F6F37" w:rsidRDefault="009F6F3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85332D"/>
    <w:multiLevelType w:val="hybridMultilevel"/>
    <w:tmpl w:val="02DCED32"/>
    <w:lvl w:ilvl="0" w:tplc="0C0A000F">
      <w:start w:val="1"/>
      <w:numFmt w:val="decimal"/>
      <w:lvlText w:val="%1."/>
      <w:lvlJc w:val="left"/>
      <w:pPr>
        <w:tabs>
          <w:tab w:val="num" w:pos="720"/>
        </w:tabs>
        <w:ind w:left="720" w:hanging="360"/>
      </w:pPr>
      <w:rPr>
        <w:rFonts w:hint="default"/>
        <w:b/>
        <w:bCs/>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49B617E2"/>
    <w:multiLevelType w:val="hybridMultilevel"/>
    <w:tmpl w:val="50BEEE0A"/>
    <w:lvl w:ilvl="0" w:tplc="A67EA38A">
      <w:start w:val="1"/>
      <w:numFmt w:val="decimal"/>
      <w:lvlText w:val="%1."/>
      <w:lvlJc w:val="left"/>
      <w:pPr>
        <w:tabs>
          <w:tab w:val="num" w:pos="720"/>
        </w:tabs>
        <w:ind w:left="720" w:hanging="360"/>
      </w:pPr>
      <w:rPr>
        <w:b/>
      </w:rPr>
    </w:lvl>
    <w:lvl w:ilvl="1" w:tplc="4F8404BA">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9886BB0E">
      <w:start w:val="1"/>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5DF17EC"/>
    <w:multiLevelType w:val="hybridMultilevel"/>
    <w:tmpl w:val="2D661B0A"/>
    <w:lvl w:ilvl="0" w:tplc="A7F62414">
      <w:start w:val="1"/>
      <w:numFmt w:val="lowerLetter"/>
      <w:lvlText w:val="%1."/>
      <w:lvlJc w:val="left"/>
      <w:pPr>
        <w:ind w:left="644" w:hanging="360"/>
      </w:pPr>
      <w:rPr>
        <w:rFonts w:ascii="Arial" w:hAnsi="Arial" w:cs="Arial" w:hint="default"/>
        <w:b w:val="0"/>
        <w:i w:val="0"/>
        <w:sz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590D03A5"/>
    <w:multiLevelType w:val="hybridMultilevel"/>
    <w:tmpl w:val="A63AAC7A"/>
    <w:lvl w:ilvl="0" w:tplc="6CC2E3CC">
      <w:start w:val="1"/>
      <w:numFmt w:val="decimal"/>
      <w:lvlText w:val="%1."/>
      <w:lvlJc w:val="left"/>
      <w:pPr>
        <w:ind w:left="360" w:hanging="360"/>
      </w:pPr>
      <w:rPr>
        <w:rFonts w:ascii="Calibri" w:hAnsi="Calibri" w:hint="default"/>
        <w:b/>
        <w:i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6" w15:restartNumberingAfterBreak="0">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6044A10"/>
    <w:multiLevelType w:val="hybridMultilevel"/>
    <w:tmpl w:val="4852D8DE"/>
    <w:lvl w:ilvl="0" w:tplc="778827C0">
      <w:start w:val="1"/>
      <w:numFmt w:val="decimal"/>
      <w:lvlText w:val="%1."/>
      <w:lvlJc w:val="left"/>
      <w:pPr>
        <w:tabs>
          <w:tab w:val="num" w:pos="-720"/>
        </w:tabs>
        <w:ind w:left="-720" w:hanging="360"/>
      </w:pPr>
      <w:rPr>
        <w:rFonts w:ascii="Arial" w:hAnsi="Arial" w:cs="Arial"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9700EE3"/>
    <w:multiLevelType w:val="hybridMultilevel"/>
    <w:tmpl w:val="E5766DD6"/>
    <w:lvl w:ilvl="0" w:tplc="140A0013">
      <w:start w:val="1"/>
      <w:numFmt w:val="upperRoman"/>
      <w:lvlText w:val="%1."/>
      <w:lvlJc w:val="right"/>
      <w:pPr>
        <w:tabs>
          <w:tab w:val="num" w:pos="360"/>
        </w:tabs>
        <w:ind w:left="360" w:hanging="360"/>
      </w:pPr>
      <w:rPr>
        <w:rFonts w:hint="default"/>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E927A16"/>
    <w:multiLevelType w:val="hybridMultilevel"/>
    <w:tmpl w:val="05EEEC9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FC8788A"/>
    <w:multiLevelType w:val="hybridMultilevel"/>
    <w:tmpl w:val="4AFE4C1E"/>
    <w:lvl w:ilvl="0" w:tplc="F110BBAA">
      <w:start w:val="12"/>
      <w:numFmt w:val="decimal"/>
      <w:lvlText w:val="%1."/>
      <w:lvlJc w:val="left"/>
      <w:pPr>
        <w:tabs>
          <w:tab w:val="num" w:pos="-720"/>
        </w:tabs>
        <w:ind w:left="-720" w:hanging="360"/>
      </w:pPr>
      <w:rPr>
        <w:rFonts w:ascii="Calibri" w:hAnsi="Calibri"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2"/>
  </w:num>
  <w:num w:numId="6">
    <w:abstractNumId w:val="6"/>
  </w:num>
  <w:num w:numId="7">
    <w:abstractNumId w:val="1"/>
  </w:num>
  <w:num w:numId="8">
    <w:abstractNumId w:val="3"/>
  </w:num>
  <w:num w:numId="9">
    <w:abstractNumId w:val="8"/>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yRGv5ekRPDKoY7ymYjA6zHYNTsR9i3fmBMGlViIjlWjlbLpovw+nCZsx+1V2aK4YjzMQ3z/yarpzKh79SYFUw==" w:salt="cWqUo4qKZKuwD2ojVBWly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4C"/>
    <w:rsid w:val="0000085A"/>
    <w:rsid w:val="00011DC1"/>
    <w:rsid w:val="0001401F"/>
    <w:rsid w:val="00026DCA"/>
    <w:rsid w:val="00027E78"/>
    <w:rsid w:val="0003318B"/>
    <w:rsid w:val="00036A8B"/>
    <w:rsid w:val="00053A32"/>
    <w:rsid w:val="000547A2"/>
    <w:rsid w:val="00067B32"/>
    <w:rsid w:val="00076A47"/>
    <w:rsid w:val="00081BB0"/>
    <w:rsid w:val="00085DF1"/>
    <w:rsid w:val="00091AFD"/>
    <w:rsid w:val="0009389D"/>
    <w:rsid w:val="000A6259"/>
    <w:rsid w:val="000B0F7B"/>
    <w:rsid w:val="000C4E35"/>
    <w:rsid w:val="000C5661"/>
    <w:rsid w:val="000E3924"/>
    <w:rsid w:val="000F5F31"/>
    <w:rsid w:val="000F6DBD"/>
    <w:rsid w:val="000F7734"/>
    <w:rsid w:val="00103A41"/>
    <w:rsid w:val="00105CCE"/>
    <w:rsid w:val="001137A0"/>
    <w:rsid w:val="0011401E"/>
    <w:rsid w:val="001147C3"/>
    <w:rsid w:val="00117E78"/>
    <w:rsid w:val="001227FE"/>
    <w:rsid w:val="00154E36"/>
    <w:rsid w:val="00170D8F"/>
    <w:rsid w:val="00183234"/>
    <w:rsid w:val="0018634C"/>
    <w:rsid w:val="001909BE"/>
    <w:rsid w:val="00193B2D"/>
    <w:rsid w:val="00196DD0"/>
    <w:rsid w:val="001A5F6F"/>
    <w:rsid w:val="001A628F"/>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4745"/>
    <w:rsid w:val="00270B9C"/>
    <w:rsid w:val="00273438"/>
    <w:rsid w:val="002736F3"/>
    <w:rsid w:val="00273AB5"/>
    <w:rsid w:val="002751C8"/>
    <w:rsid w:val="002767BE"/>
    <w:rsid w:val="00277DD3"/>
    <w:rsid w:val="00282C93"/>
    <w:rsid w:val="0028301A"/>
    <w:rsid w:val="0028757E"/>
    <w:rsid w:val="002A51F3"/>
    <w:rsid w:val="002A6A4B"/>
    <w:rsid w:val="002B71CC"/>
    <w:rsid w:val="002D0146"/>
    <w:rsid w:val="002D158A"/>
    <w:rsid w:val="002E1BAC"/>
    <w:rsid w:val="002E594B"/>
    <w:rsid w:val="002F3D41"/>
    <w:rsid w:val="003004E7"/>
    <w:rsid w:val="0030131C"/>
    <w:rsid w:val="003059C8"/>
    <w:rsid w:val="003156CD"/>
    <w:rsid w:val="00317B31"/>
    <w:rsid w:val="00320F35"/>
    <w:rsid w:val="00320F9C"/>
    <w:rsid w:val="00335993"/>
    <w:rsid w:val="00343CAA"/>
    <w:rsid w:val="00345E78"/>
    <w:rsid w:val="00346C2F"/>
    <w:rsid w:val="003473D2"/>
    <w:rsid w:val="00352AFB"/>
    <w:rsid w:val="00353979"/>
    <w:rsid w:val="00364B95"/>
    <w:rsid w:val="00367B23"/>
    <w:rsid w:val="00373725"/>
    <w:rsid w:val="00373B50"/>
    <w:rsid w:val="00374710"/>
    <w:rsid w:val="003803AB"/>
    <w:rsid w:val="00380645"/>
    <w:rsid w:val="003853CD"/>
    <w:rsid w:val="003860B6"/>
    <w:rsid w:val="00386AA9"/>
    <w:rsid w:val="003A4E5A"/>
    <w:rsid w:val="003A5204"/>
    <w:rsid w:val="003A70CE"/>
    <w:rsid w:val="003B0676"/>
    <w:rsid w:val="003B1738"/>
    <w:rsid w:val="003B20EA"/>
    <w:rsid w:val="003B5CB2"/>
    <w:rsid w:val="003C6FEB"/>
    <w:rsid w:val="003D5EE6"/>
    <w:rsid w:val="00407CC4"/>
    <w:rsid w:val="004139D2"/>
    <w:rsid w:val="00421BEA"/>
    <w:rsid w:val="00432126"/>
    <w:rsid w:val="00445673"/>
    <w:rsid w:val="00475007"/>
    <w:rsid w:val="004755F8"/>
    <w:rsid w:val="0047593B"/>
    <w:rsid w:val="0048086A"/>
    <w:rsid w:val="0048746C"/>
    <w:rsid w:val="004930AA"/>
    <w:rsid w:val="00496B93"/>
    <w:rsid w:val="00497188"/>
    <w:rsid w:val="00497711"/>
    <w:rsid w:val="004B1182"/>
    <w:rsid w:val="004B373F"/>
    <w:rsid w:val="004B7456"/>
    <w:rsid w:val="004C3E1D"/>
    <w:rsid w:val="004C5B22"/>
    <w:rsid w:val="004C724E"/>
    <w:rsid w:val="004E10F9"/>
    <w:rsid w:val="004E1777"/>
    <w:rsid w:val="004E5D21"/>
    <w:rsid w:val="005011AD"/>
    <w:rsid w:val="00513B4F"/>
    <w:rsid w:val="00522C39"/>
    <w:rsid w:val="00531B93"/>
    <w:rsid w:val="005459D0"/>
    <w:rsid w:val="005504E6"/>
    <w:rsid w:val="005660C7"/>
    <w:rsid w:val="0057519A"/>
    <w:rsid w:val="0057640D"/>
    <w:rsid w:val="0057655F"/>
    <w:rsid w:val="00585347"/>
    <w:rsid w:val="00595395"/>
    <w:rsid w:val="0059625B"/>
    <w:rsid w:val="00596AB4"/>
    <w:rsid w:val="005A32C2"/>
    <w:rsid w:val="005B45E6"/>
    <w:rsid w:val="005B67A2"/>
    <w:rsid w:val="005C18D2"/>
    <w:rsid w:val="005C6147"/>
    <w:rsid w:val="005C6243"/>
    <w:rsid w:val="005E3E85"/>
    <w:rsid w:val="005E7559"/>
    <w:rsid w:val="005F2979"/>
    <w:rsid w:val="00615FBF"/>
    <w:rsid w:val="006223C8"/>
    <w:rsid w:val="00623D36"/>
    <w:rsid w:val="00627B99"/>
    <w:rsid w:val="006321F4"/>
    <w:rsid w:val="00646C5C"/>
    <w:rsid w:val="00650D4F"/>
    <w:rsid w:val="00660832"/>
    <w:rsid w:val="0066494B"/>
    <w:rsid w:val="0066756A"/>
    <w:rsid w:val="0068041D"/>
    <w:rsid w:val="00681878"/>
    <w:rsid w:val="00683504"/>
    <w:rsid w:val="00692A55"/>
    <w:rsid w:val="00695417"/>
    <w:rsid w:val="006A474B"/>
    <w:rsid w:val="006A779D"/>
    <w:rsid w:val="006B7190"/>
    <w:rsid w:val="006B7846"/>
    <w:rsid w:val="006C0086"/>
    <w:rsid w:val="006C1542"/>
    <w:rsid w:val="006C1D3B"/>
    <w:rsid w:val="006C1F07"/>
    <w:rsid w:val="006C772C"/>
    <w:rsid w:val="006D5482"/>
    <w:rsid w:val="006E1360"/>
    <w:rsid w:val="006E31FB"/>
    <w:rsid w:val="006E370D"/>
    <w:rsid w:val="006E7C0F"/>
    <w:rsid w:val="006F7DB3"/>
    <w:rsid w:val="007028B9"/>
    <w:rsid w:val="007062BD"/>
    <w:rsid w:val="00711E6C"/>
    <w:rsid w:val="00720E4C"/>
    <w:rsid w:val="00723211"/>
    <w:rsid w:val="00735384"/>
    <w:rsid w:val="00737234"/>
    <w:rsid w:val="00751002"/>
    <w:rsid w:val="007605D2"/>
    <w:rsid w:val="00765327"/>
    <w:rsid w:val="007749FC"/>
    <w:rsid w:val="00780AB2"/>
    <w:rsid w:val="00781096"/>
    <w:rsid w:val="007941B8"/>
    <w:rsid w:val="00797660"/>
    <w:rsid w:val="007A57A4"/>
    <w:rsid w:val="007B2EB9"/>
    <w:rsid w:val="007B5EDF"/>
    <w:rsid w:val="007C2929"/>
    <w:rsid w:val="007C3229"/>
    <w:rsid w:val="007C39B9"/>
    <w:rsid w:val="007D6EF8"/>
    <w:rsid w:val="007E31DD"/>
    <w:rsid w:val="007F614F"/>
    <w:rsid w:val="007F66D6"/>
    <w:rsid w:val="008006FA"/>
    <w:rsid w:val="008015A2"/>
    <w:rsid w:val="008110AA"/>
    <w:rsid w:val="00811427"/>
    <w:rsid w:val="00825856"/>
    <w:rsid w:val="008343A2"/>
    <w:rsid w:val="00834957"/>
    <w:rsid w:val="00834A2F"/>
    <w:rsid w:val="00835D3D"/>
    <w:rsid w:val="00846281"/>
    <w:rsid w:val="00851373"/>
    <w:rsid w:val="00854DE9"/>
    <w:rsid w:val="00861680"/>
    <w:rsid w:val="00870163"/>
    <w:rsid w:val="00875497"/>
    <w:rsid w:val="0088257A"/>
    <w:rsid w:val="00895A5D"/>
    <w:rsid w:val="00896BC6"/>
    <w:rsid w:val="008C24B9"/>
    <w:rsid w:val="008D0EFB"/>
    <w:rsid w:val="008D35D8"/>
    <w:rsid w:val="008D5196"/>
    <w:rsid w:val="008D6E0F"/>
    <w:rsid w:val="008F13DF"/>
    <w:rsid w:val="008F38A8"/>
    <w:rsid w:val="008F6C96"/>
    <w:rsid w:val="00900F11"/>
    <w:rsid w:val="00911F06"/>
    <w:rsid w:val="0091743D"/>
    <w:rsid w:val="00933C4A"/>
    <w:rsid w:val="00940420"/>
    <w:rsid w:val="009449EE"/>
    <w:rsid w:val="00960856"/>
    <w:rsid w:val="00965453"/>
    <w:rsid w:val="009669CF"/>
    <w:rsid w:val="00986348"/>
    <w:rsid w:val="00993A28"/>
    <w:rsid w:val="009A3421"/>
    <w:rsid w:val="009A626E"/>
    <w:rsid w:val="009A6769"/>
    <w:rsid w:val="009C11C0"/>
    <w:rsid w:val="009D03FE"/>
    <w:rsid w:val="009D1F46"/>
    <w:rsid w:val="009D3731"/>
    <w:rsid w:val="009D70A8"/>
    <w:rsid w:val="009D7387"/>
    <w:rsid w:val="009D78B0"/>
    <w:rsid w:val="009E1B07"/>
    <w:rsid w:val="009F2788"/>
    <w:rsid w:val="009F62A9"/>
    <w:rsid w:val="009F6F37"/>
    <w:rsid w:val="00A02D21"/>
    <w:rsid w:val="00A04F4E"/>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7D8"/>
    <w:rsid w:val="00AD4F06"/>
    <w:rsid w:val="00AE7AB3"/>
    <w:rsid w:val="00AF4C49"/>
    <w:rsid w:val="00B00832"/>
    <w:rsid w:val="00B019A0"/>
    <w:rsid w:val="00B07FF4"/>
    <w:rsid w:val="00B203CB"/>
    <w:rsid w:val="00B2152C"/>
    <w:rsid w:val="00B233DB"/>
    <w:rsid w:val="00B34414"/>
    <w:rsid w:val="00B3640B"/>
    <w:rsid w:val="00B36CE6"/>
    <w:rsid w:val="00B5583C"/>
    <w:rsid w:val="00B56F87"/>
    <w:rsid w:val="00B64449"/>
    <w:rsid w:val="00B66D8C"/>
    <w:rsid w:val="00B70FA6"/>
    <w:rsid w:val="00B74A4D"/>
    <w:rsid w:val="00B80B56"/>
    <w:rsid w:val="00B87374"/>
    <w:rsid w:val="00B915AE"/>
    <w:rsid w:val="00B94DFD"/>
    <w:rsid w:val="00BA3517"/>
    <w:rsid w:val="00BA3C35"/>
    <w:rsid w:val="00BA58F6"/>
    <w:rsid w:val="00BA7805"/>
    <w:rsid w:val="00BB034D"/>
    <w:rsid w:val="00BC1E08"/>
    <w:rsid w:val="00BD11AC"/>
    <w:rsid w:val="00BE0F52"/>
    <w:rsid w:val="00BE452A"/>
    <w:rsid w:val="00BF0C80"/>
    <w:rsid w:val="00BF124E"/>
    <w:rsid w:val="00BF4AB2"/>
    <w:rsid w:val="00C0084E"/>
    <w:rsid w:val="00C01425"/>
    <w:rsid w:val="00C12152"/>
    <w:rsid w:val="00C139E9"/>
    <w:rsid w:val="00C15B02"/>
    <w:rsid w:val="00C308C3"/>
    <w:rsid w:val="00C36F84"/>
    <w:rsid w:val="00C420E3"/>
    <w:rsid w:val="00C42332"/>
    <w:rsid w:val="00C4730D"/>
    <w:rsid w:val="00C50AAF"/>
    <w:rsid w:val="00C54CB2"/>
    <w:rsid w:val="00C64970"/>
    <w:rsid w:val="00C676D8"/>
    <w:rsid w:val="00C71F8B"/>
    <w:rsid w:val="00C80B39"/>
    <w:rsid w:val="00CA14A5"/>
    <w:rsid w:val="00CA3661"/>
    <w:rsid w:val="00CA42F6"/>
    <w:rsid w:val="00CC0A79"/>
    <w:rsid w:val="00CC3C3F"/>
    <w:rsid w:val="00CC60FC"/>
    <w:rsid w:val="00CC7940"/>
    <w:rsid w:val="00CD7A02"/>
    <w:rsid w:val="00CE73BE"/>
    <w:rsid w:val="00CF0E50"/>
    <w:rsid w:val="00CF1877"/>
    <w:rsid w:val="00CF4BE9"/>
    <w:rsid w:val="00CF6538"/>
    <w:rsid w:val="00D034AB"/>
    <w:rsid w:val="00D12EAA"/>
    <w:rsid w:val="00D13B6B"/>
    <w:rsid w:val="00D22B80"/>
    <w:rsid w:val="00D330C4"/>
    <w:rsid w:val="00D35784"/>
    <w:rsid w:val="00D37592"/>
    <w:rsid w:val="00D509A7"/>
    <w:rsid w:val="00D511E8"/>
    <w:rsid w:val="00D54758"/>
    <w:rsid w:val="00D60482"/>
    <w:rsid w:val="00D61F89"/>
    <w:rsid w:val="00D72C3B"/>
    <w:rsid w:val="00D82927"/>
    <w:rsid w:val="00D916B9"/>
    <w:rsid w:val="00DA156E"/>
    <w:rsid w:val="00DA4C56"/>
    <w:rsid w:val="00DB38FB"/>
    <w:rsid w:val="00DC32CD"/>
    <w:rsid w:val="00DE0BBA"/>
    <w:rsid w:val="00DE10DC"/>
    <w:rsid w:val="00DE2D9E"/>
    <w:rsid w:val="00DE7715"/>
    <w:rsid w:val="00E0071B"/>
    <w:rsid w:val="00E2143B"/>
    <w:rsid w:val="00E31F79"/>
    <w:rsid w:val="00E6167A"/>
    <w:rsid w:val="00E6222D"/>
    <w:rsid w:val="00E63068"/>
    <w:rsid w:val="00E63BC8"/>
    <w:rsid w:val="00E646C7"/>
    <w:rsid w:val="00E75FDD"/>
    <w:rsid w:val="00E76C46"/>
    <w:rsid w:val="00E8788A"/>
    <w:rsid w:val="00E97960"/>
    <w:rsid w:val="00E979D2"/>
    <w:rsid w:val="00EA53B9"/>
    <w:rsid w:val="00EC02B6"/>
    <w:rsid w:val="00EC4CA9"/>
    <w:rsid w:val="00EC6324"/>
    <w:rsid w:val="00EC74F8"/>
    <w:rsid w:val="00EC7E01"/>
    <w:rsid w:val="00ED3514"/>
    <w:rsid w:val="00ED52AE"/>
    <w:rsid w:val="00EE139E"/>
    <w:rsid w:val="00EE228C"/>
    <w:rsid w:val="00EE4383"/>
    <w:rsid w:val="00EE491C"/>
    <w:rsid w:val="00EE5985"/>
    <w:rsid w:val="00EF7D85"/>
    <w:rsid w:val="00F00FF1"/>
    <w:rsid w:val="00F05CC1"/>
    <w:rsid w:val="00F1305E"/>
    <w:rsid w:val="00F16E81"/>
    <w:rsid w:val="00F30531"/>
    <w:rsid w:val="00F31891"/>
    <w:rsid w:val="00F343EA"/>
    <w:rsid w:val="00F357CB"/>
    <w:rsid w:val="00F42278"/>
    <w:rsid w:val="00F541D9"/>
    <w:rsid w:val="00F73750"/>
    <w:rsid w:val="00F83C00"/>
    <w:rsid w:val="00F83E52"/>
    <w:rsid w:val="00F9130B"/>
    <w:rsid w:val="00F97718"/>
    <w:rsid w:val="00FA0B7F"/>
    <w:rsid w:val="00FA1809"/>
    <w:rsid w:val="00FA2104"/>
    <w:rsid w:val="00FA4CCB"/>
    <w:rsid w:val="00FB1610"/>
    <w:rsid w:val="00FC00AF"/>
    <w:rsid w:val="00FC257F"/>
    <w:rsid w:val="00FD1D0B"/>
    <w:rsid w:val="00FE310F"/>
    <w:rsid w:val="00FE4822"/>
    <w:rsid w:val="00FE57D3"/>
    <w:rsid w:val="00FF31D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63265"/>
  <w15:docId w15:val="{3A001C33-34D9-486F-B38B-81068F91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Sangranormal"/>
    <w:link w:val="Ttulo3Car"/>
    <w:qFormat/>
    <w:rsid w:val="00660832"/>
    <w:pPr>
      <w:ind w:left="354"/>
      <w:outlineLvl w:val="2"/>
    </w:pPr>
    <w:rPr>
      <w:rFonts w:ascii="Times New Roman" w:hAnsi="Times New Roman"/>
      <w:b/>
      <w:szCs w:val="20"/>
      <w:lang w:val="es-ES_tradnl"/>
    </w:rPr>
  </w:style>
  <w:style w:type="paragraph" w:styleId="Ttulo4">
    <w:name w:val="heading 4"/>
    <w:basedOn w:val="Normal"/>
    <w:next w:val="Normal"/>
    <w:qFormat/>
    <w:pPr>
      <w:keepNext/>
      <w:outlineLvl w:val="3"/>
    </w:pPr>
    <w:rPr>
      <w:b/>
      <w:sz w:val="22"/>
      <w:szCs w:val="20"/>
      <w:u w:val="single"/>
      <w:lang w:val="es-CR"/>
    </w:rPr>
  </w:style>
  <w:style w:type="paragraph" w:styleId="Ttulo5">
    <w:name w:val="heading 5"/>
    <w:basedOn w:val="Normal"/>
    <w:next w:val="Normal"/>
    <w:link w:val="Ttulo5Car"/>
    <w:qFormat/>
    <w:rsid w:val="00660832"/>
    <w:pPr>
      <w:keepNext/>
      <w:ind w:left="2832" w:firstLine="708"/>
      <w:outlineLvl w:val="4"/>
    </w:pPr>
    <w:rPr>
      <w:b/>
      <w:szCs w:val="20"/>
      <w:lang w:val="es-ES_tradnl"/>
    </w:rPr>
  </w:style>
  <w:style w:type="paragraph" w:styleId="Ttulo6">
    <w:name w:val="heading 6"/>
    <w:basedOn w:val="Normal"/>
    <w:next w:val="Normal"/>
    <w:link w:val="Ttulo6Car"/>
    <w:qFormat/>
    <w:rsid w:val="00660832"/>
    <w:pPr>
      <w:spacing w:before="240" w:after="60"/>
      <w:outlineLvl w:val="5"/>
    </w:pPr>
    <w:rPr>
      <w:rFonts w:ascii="Times New Roman" w:hAnsi="Times New Roman"/>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rsid w:val="00660832"/>
    <w:rPr>
      <w:b/>
      <w:sz w:val="24"/>
      <w:lang w:val="es-ES_tradnl" w:eastAsia="es-ES"/>
    </w:rPr>
  </w:style>
  <w:style w:type="character" w:customStyle="1" w:styleId="Ttulo5Car">
    <w:name w:val="Título 5 Car"/>
    <w:basedOn w:val="Fuentedeprrafopredeter"/>
    <w:link w:val="Ttulo5"/>
    <w:rsid w:val="00660832"/>
    <w:rPr>
      <w:rFonts w:ascii="Arial" w:hAnsi="Arial"/>
      <w:b/>
      <w:sz w:val="24"/>
      <w:lang w:val="es-ES_tradnl" w:eastAsia="es-ES"/>
    </w:rPr>
  </w:style>
  <w:style w:type="character" w:customStyle="1" w:styleId="Ttulo6Car">
    <w:name w:val="Título 6 Car"/>
    <w:basedOn w:val="Fuentedeprrafopredeter"/>
    <w:link w:val="Ttulo6"/>
    <w:rsid w:val="00660832"/>
    <w:rPr>
      <w:b/>
      <w:bCs/>
      <w:sz w:val="22"/>
      <w:szCs w:val="22"/>
      <w:lang w:val="es-ES_tradnl" w:eastAsia="es-ES"/>
    </w:rPr>
  </w:style>
  <w:style w:type="paragraph" w:styleId="Sangradetextonormal">
    <w:name w:val="Body Text Indent"/>
    <w:basedOn w:val="Normal"/>
    <w:link w:val="SangradetextonormalCar"/>
    <w:rsid w:val="00660832"/>
    <w:pPr>
      <w:ind w:firstLine="3"/>
      <w:jc w:val="both"/>
    </w:pPr>
    <w:rPr>
      <w:szCs w:val="20"/>
      <w:lang w:val="es-ES_tradnl"/>
    </w:rPr>
  </w:style>
  <w:style w:type="character" w:customStyle="1" w:styleId="SangradetextonormalCar">
    <w:name w:val="Sangría de texto normal Car"/>
    <w:basedOn w:val="Fuentedeprrafopredeter"/>
    <w:link w:val="Sangradetextonormal"/>
    <w:rsid w:val="00660832"/>
    <w:rPr>
      <w:rFonts w:ascii="Arial" w:hAnsi="Arial"/>
      <w:sz w:val="24"/>
      <w:lang w:val="es-ES_tradnl" w:eastAsia="es-ES"/>
    </w:rPr>
  </w:style>
  <w:style w:type="paragraph" w:styleId="Mapadeldocumento">
    <w:name w:val="Document Map"/>
    <w:basedOn w:val="Normal"/>
    <w:link w:val="MapadeldocumentoCar"/>
    <w:semiHidden/>
    <w:rsid w:val="00660832"/>
    <w:pPr>
      <w:shd w:val="clear" w:color="auto" w:fill="000080"/>
    </w:pPr>
    <w:rPr>
      <w:rFonts w:ascii="Tahoma" w:hAnsi="Tahoma" w:cs="Tahoma"/>
      <w:sz w:val="20"/>
      <w:szCs w:val="20"/>
      <w:lang w:val="es-ES_tradnl"/>
    </w:rPr>
  </w:style>
  <w:style w:type="character" w:customStyle="1" w:styleId="MapadeldocumentoCar">
    <w:name w:val="Mapa del documento Car"/>
    <w:basedOn w:val="Fuentedeprrafopredeter"/>
    <w:link w:val="Mapadeldocumento"/>
    <w:semiHidden/>
    <w:rsid w:val="00660832"/>
    <w:rPr>
      <w:rFonts w:ascii="Tahoma" w:hAnsi="Tahoma" w:cs="Tahoma"/>
      <w:shd w:val="clear" w:color="auto" w:fill="000080"/>
      <w:lang w:val="es-ES_tradnl" w:eastAsia="es-ES"/>
    </w:rPr>
  </w:style>
  <w:style w:type="character" w:styleId="Refdecomentario">
    <w:name w:val="annotation reference"/>
    <w:semiHidden/>
    <w:rsid w:val="00660832"/>
    <w:rPr>
      <w:sz w:val="16"/>
      <w:szCs w:val="16"/>
    </w:rPr>
  </w:style>
  <w:style w:type="paragraph" w:styleId="Textocomentario">
    <w:name w:val="annotation text"/>
    <w:basedOn w:val="Normal"/>
    <w:link w:val="TextocomentarioCar"/>
    <w:semiHidden/>
    <w:rsid w:val="00660832"/>
    <w:rPr>
      <w:sz w:val="20"/>
      <w:szCs w:val="20"/>
      <w:lang w:val="es-ES_tradnl"/>
    </w:rPr>
  </w:style>
  <w:style w:type="character" w:customStyle="1" w:styleId="TextocomentarioCar">
    <w:name w:val="Texto comentario Car"/>
    <w:basedOn w:val="Fuentedeprrafopredeter"/>
    <w:link w:val="Textocomentario"/>
    <w:semiHidden/>
    <w:rsid w:val="00660832"/>
    <w:rPr>
      <w:rFonts w:ascii="Arial" w:hAnsi="Arial"/>
      <w:lang w:val="es-ES_tradnl" w:eastAsia="es-ES"/>
    </w:rPr>
  </w:style>
  <w:style w:type="paragraph" w:styleId="Asuntodelcomentario">
    <w:name w:val="annotation subject"/>
    <w:basedOn w:val="Textocomentario"/>
    <w:next w:val="Textocomentario"/>
    <w:link w:val="AsuntodelcomentarioCar"/>
    <w:semiHidden/>
    <w:rsid w:val="00660832"/>
    <w:rPr>
      <w:b/>
      <w:bCs/>
    </w:rPr>
  </w:style>
  <w:style w:type="character" w:customStyle="1" w:styleId="AsuntodelcomentarioCar">
    <w:name w:val="Asunto del comentario Car"/>
    <w:basedOn w:val="TextocomentarioCar"/>
    <w:link w:val="Asuntodelcomentario"/>
    <w:semiHidden/>
    <w:rsid w:val="00660832"/>
    <w:rPr>
      <w:rFonts w:ascii="Arial" w:hAnsi="Arial"/>
      <w:b/>
      <w:bCs/>
      <w:lang w:val="es-ES_tradnl" w:eastAsia="es-ES"/>
    </w:rPr>
  </w:style>
  <w:style w:type="paragraph" w:styleId="Textodeglobo">
    <w:name w:val="Balloon Text"/>
    <w:basedOn w:val="Normal"/>
    <w:link w:val="TextodegloboCar"/>
    <w:semiHidden/>
    <w:rsid w:val="00660832"/>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660832"/>
    <w:rPr>
      <w:rFonts w:ascii="Tahoma" w:hAnsi="Tahoma" w:cs="Tahoma"/>
      <w:sz w:val="16"/>
      <w:szCs w:val="16"/>
      <w:lang w:val="es-ES_tradnl" w:eastAsia="es-ES"/>
    </w:rPr>
  </w:style>
  <w:style w:type="paragraph" w:styleId="Textonotapie">
    <w:name w:val="footnote text"/>
    <w:basedOn w:val="Normal"/>
    <w:link w:val="TextonotapieCar"/>
    <w:semiHidden/>
    <w:rsid w:val="00660832"/>
    <w:rPr>
      <w:sz w:val="20"/>
      <w:szCs w:val="20"/>
      <w:lang w:val="es-ES_tradnl"/>
    </w:rPr>
  </w:style>
  <w:style w:type="character" w:customStyle="1" w:styleId="TextonotapieCar">
    <w:name w:val="Texto nota pie Car"/>
    <w:basedOn w:val="Fuentedeprrafopredeter"/>
    <w:link w:val="Textonotapie"/>
    <w:semiHidden/>
    <w:rsid w:val="00660832"/>
    <w:rPr>
      <w:rFonts w:ascii="Arial" w:hAnsi="Arial"/>
      <w:lang w:val="es-ES_tradnl" w:eastAsia="es-ES"/>
    </w:rPr>
  </w:style>
  <w:style w:type="character" w:styleId="Refdenotaalpie">
    <w:name w:val="footnote reference"/>
    <w:semiHidden/>
    <w:rsid w:val="00660832"/>
    <w:rPr>
      <w:vertAlign w:val="superscript"/>
    </w:rPr>
  </w:style>
  <w:style w:type="paragraph" w:customStyle="1" w:styleId="CarCar">
    <w:name w:val="Car Car"/>
    <w:basedOn w:val="Normal"/>
    <w:rsid w:val="00660832"/>
    <w:pPr>
      <w:spacing w:after="160" w:line="240" w:lineRule="exact"/>
    </w:pPr>
    <w:rPr>
      <w:rFonts w:eastAsia="MS Mincho"/>
      <w:sz w:val="20"/>
      <w:szCs w:val="20"/>
      <w:lang w:eastAsia="en-US"/>
    </w:rPr>
  </w:style>
  <w:style w:type="paragraph" w:customStyle="1" w:styleId="CarCarCar1CarCarCarCarCarCarCarCarCarCarCarCar">
    <w:name w:val="Car Car Car1 Car Car Car Car Car Car Car Car Car Car Car Car"/>
    <w:basedOn w:val="Normal"/>
    <w:rsid w:val="00660832"/>
    <w:pPr>
      <w:spacing w:after="160" w:line="240" w:lineRule="exact"/>
    </w:pPr>
    <w:rPr>
      <w:sz w:val="20"/>
      <w:szCs w:val="20"/>
      <w:lang w:val="en-US" w:eastAsia="en-US"/>
    </w:rPr>
  </w:style>
  <w:style w:type="character" w:styleId="Hipervnculo">
    <w:name w:val="Hyperlink"/>
    <w:uiPriority w:val="99"/>
    <w:rsid w:val="00660832"/>
    <w:rPr>
      <w:color w:val="0000FF"/>
      <w:u w:val="single"/>
    </w:rPr>
  </w:style>
  <w:style w:type="paragraph" w:styleId="TDC2">
    <w:name w:val="toc 2"/>
    <w:basedOn w:val="Normal"/>
    <w:next w:val="Normal"/>
    <w:autoRedefine/>
    <w:uiPriority w:val="39"/>
    <w:rsid w:val="00660832"/>
    <w:pPr>
      <w:tabs>
        <w:tab w:val="left" w:pos="709"/>
        <w:tab w:val="right" w:leader="dot" w:pos="8921"/>
      </w:tabs>
      <w:ind w:left="709" w:hanging="283"/>
    </w:pPr>
    <w:rPr>
      <w:sz w:val="20"/>
      <w:szCs w:val="20"/>
      <w:lang w:val="es-ES_tradnl"/>
    </w:rPr>
  </w:style>
  <w:style w:type="paragraph" w:styleId="TDC3">
    <w:name w:val="toc 3"/>
    <w:basedOn w:val="Normal"/>
    <w:next w:val="Normal"/>
    <w:autoRedefine/>
    <w:uiPriority w:val="39"/>
    <w:rsid w:val="00660832"/>
    <w:pPr>
      <w:tabs>
        <w:tab w:val="left" w:pos="709"/>
        <w:tab w:val="right" w:leader="dot" w:pos="8931"/>
      </w:tabs>
      <w:ind w:left="426"/>
    </w:pPr>
    <w:rPr>
      <w:sz w:val="20"/>
      <w:szCs w:val="20"/>
      <w:lang w:val="es-ES_tradnl"/>
    </w:rPr>
  </w:style>
  <w:style w:type="paragraph" w:styleId="TDC1">
    <w:name w:val="toc 1"/>
    <w:basedOn w:val="Normal"/>
    <w:next w:val="Normal"/>
    <w:autoRedefine/>
    <w:uiPriority w:val="39"/>
    <w:rsid w:val="00660832"/>
    <w:pPr>
      <w:tabs>
        <w:tab w:val="right" w:leader="dot" w:pos="8921"/>
      </w:tabs>
      <w:ind w:left="709" w:hanging="284"/>
      <w:contextualSpacing/>
    </w:pPr>
    <w:rPr>
      <w:sz w:val="20"/>
      <w:szCs w:val="20"/>
      <w:lang w:val="es-ES_tradnl"/>
    </w:rPr>
  </w:style>
  <w:style w:type="paragraph" w:styleId="Sangranormal">
    <w:name w:val="Normal Indent"/>
    <w:basedOn w:val="Normal"/>
    <w:rsid w:val="00660832"/>
    <w:pPr>
      <w:ind w:left="708"/>
    </w:pPr>
    <w:rPr>
      <w:sz w:val="20"/>
      <w:szCs w:val="20"/>
      <w:lang w:val="es-ES_tradnl"/>
    </w:rPr>
  </w:style>
  <w:style w:type="paragraph" w:customStyle="1" w:styleId="CarCarCar1CarCarCarCarCarCar0">
    <w:name w:val="Car Car Car1 Car Car Car Car Car Car"/>
    <w:basedOn w:val="Normal"/>
    <w:rsid w:val="00660832"/>
    <w:pPr>
      <w:spacing w:after="160" w:line="240" w:lineRule="exact"/>
    </w:pPr>
    <w:rPr>
      <w:sz w:val="20"/>
      <w:szCs w:val="20"/>
      <w:lang w:val="en-US" w:eastAsia="en-US"/>
    </w:rPr>
  </w:style>
  <w:style w:type="paragraph" w:customStyle="1" w:styleId="Prrafodelista1">
    <w:name w:val="Párrafo de lista1"/>
    <w:basedOn w:val="Normal"/>
    <w:rsid w:val="00660832"/>
    <w:pPr>
      <w:spacing w:after="200" w:line="276" w:lineRule="auto"/>
      <w:ind w:left="720"/>
      <w:contextualSpacing/>
    </w:pPr>
    <w:rPr>
      <w:rFonts w:ascii="Calibri" w:hAnsi="Calibri" w:cs="Calibri"/>
      <w:sz w:val="22"/>
      <w:szCs w:val="22"/>
      <w:lang w:val="es-CR" w:eastAsia="en-US"/>
    </w:rPr>
  </w:style>
  <w:style w:type="paragraph" w:styleId="NormalWeb">
    <w:name w:val="Normal (Web)"/>
    <w:basedOn w:val="Normal"/>
    <w:uiPriority w:val="99"/>
    <w:unhideWhenUsed/>
    <w:rsid w:val="00660832"/>
    <w:pPr>
      <w:spacing w:before="100" w:beforeAutospacing="1" w:after="100" w:afterAutospacing="1"/>
    </w:pPr>
    <w:rPr>
      <w:rFonts w:ascii="Times New Roman" w:hAnsi="Times New Roman"/>
      <w:lang w:val="es-CR" w:eastAsia="es-CR"/>
    </w:rPr>
  </w:style>
  <w:style w:type="paragraph" w:styleId="Textonotaalfinal">
    <w:name w:val="endnote text"/>
    <w:basedOn w:val="Normal"/>
    <w:link w:val="TextonotaalfinalCar"/>
    <w:uiPriority w:val="99"/>
    <w:semiHidden/>
    <w:unhideWhenUsed/>
    <w:rsid w:val="00660832"/>
    <w:rPr>
      <w:sz w:val="20"/>
      <w:szCs w:val="20"/>
      <w:lang w:val="es-ES_tradnl"/>
    </w:rPr>
  </w:style>
  <w:style w:type="character" w:customStyle="1" w:styleId="TextonotaalfinalCar">
    <w:name w:val="Texto nota al final Car"/>
    <w:basedOn w:val="Fuentedeprrafopredeter"/>
    <w:link w:val="Textonotaalfinal"/>
    <w:uiPriority w:val="99"/>
    <w:semiHidden/>
    <w:rsid w:val="00660832"/>
    <w:rPr>
      <w:rFonts w:ascii="Arial" w:hAnsi="Arial"/>
      <w:lang w:val="es-ES_tradnl" w:eastAsia="es-ES"/>
    </w:rPr>
  </w:style>
  <w:style w:type="character" w:styleId="Refdenotaalfinal">
    <w:name w:val="endnote reference"/>
    <w:uiPriority w:val="99"/>
    <w:semiHidden/>
    <w:unhideWhenUsed/>
    <w:rsid w:val="00660832"/>
    <w:rPr>
      <w:vertAlign w:val="superscript"/>
    </w:rPr>
  </w:style>
  <w:style w:type="paragraph" w:customStyle="1" w:styleId="Default">
    <w:name w:val="Default"/>
    <w:rsid w:val="00660832"/>
    <w:pPr>
      <w:autoSpaceDE w:val="0"/>
      <w:autoSpaceDN w:val="0"/>
      <w:adjustRightInd w:val="0"/>
    </w:pPr>
    <w:rPr>
      <w:rFonts w:ascii="Calibri" w:hAnsi="Calibri" w:cs="Calibri"/>
      <w:color w:val="000000"/>
      <w:sz w:val="24"/>
      <w:szCs w:val="24"/>
    </w:rPr>
  </w:style>
  <w:style w:type="character" w:customStyle="1" w:styleId="EncabezadoCar">
    <w:name w:val="Encabezado Car"/>
    <w:link w:val="Encabezado"/>
    <w:rsid w:val="00660832"/>
    <w:rPr>
      <w:rFonts w:ascii="Arial" w:hAnsi="Arial"/>
      <w:sz w:val="22"/>
      <w:lang w:eastAsia="es-ES"/>
    </w:rPr>
  </w:style>
  <w:style w:type="character" w:customStyle="1" w:styleId="PiedepginaCar">
    <w:name w:val="Pie de página Car"/>
    <w:link w:val="Piedepgina"/>
    <w:rsid w:val="00660832"/>
    <w:rPr>
      <w:rFonts w:ascii="Arial" w:hAnsi="Arial"/>
      <w:sz w:val="24"/>
      <w:szCs w:val="24"/>
      <w:lang w:val="es-ES" w:eastAsia="es-ES"/>
    </w:rPr>
  </w:style>
  <w:style w:type="character" w:styleId="Hipervnculovisitado">
    <w:name w:val="FollowedHyperlink"/>
    <w:uiPriority w:val="99"/>
    <w:semiHidden/>
    <w:unhideWhenUsed/>
    <w:rsid w:val="00660832"/>
    <w:rPr>
      <w:color w:val="954F72"/>
      <w:u w:val="single"/>
    </w:rPr>
  </w:style>
  <w:style w:type="character" w:styleId="Textoennegrita">
    <w:name w:val="Strong"/>
    <w:uiPriority w:val="22"/>
    <w:qFormat/>
    <w:rsid w:val="00660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1080</TotalTime>
  <Pages>25</Pages>
  <Words>7695</Words>
  <Characters>40763</Characters>
  <Application>Microsoft Office Word</Application>
  <DocSecurity>8</DocSecurity>
  <Lines>339</Lines>
  <Paragraphs>96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68</cp:revision>
  <cp:lastPrinted>2011-09-07T16:03:00Z</cp:lastPrinted>
  <dcterms:created xsi:type="dcterms:W3CDTF">2021-01-12T15:12:00Z</dcterms:created>
  <dcterms:modified xsi:type="dcterms:W3CDTF">2021-01-19T14:02:00Z</dcterms:modified>
</cp:coreProperties>
</file>