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EF94" w14:textId="77777777" w:rsidR="00FA4CCB" w:rsidRDefault="00FA4CCB">
      <w:pPr>
        <w:pStyle w:val="Ttulo"/>
        <w:ind w:right="51"/>
        <w:rPr>
          <w:rFonts w:cs="Arial"/>
        </w:rPr>
      </w:pPr>
      <w:r>
        <w:rPr>
          <w:rFonts w:cs="Arial"/>
        </w:rPr>
        <w:t>BANCO HIPOTECARIO DE LA VIVIENDA</w:t>
      </w:r>
    </w:p>
    <w:p w14:paraId="774CDA87" w14:textId="77777777" w:rsidR="00FA4CCB" w:rsidRDefault="00FA4CCB">
      <w:pPr>
        <w:spacing w:line="360" w:lineRule="auto"/>
        <w:ind w:right="51"/>
        <w:jc w:val="center"/>
        <w:rPr>
          <w:rFonts w:cs="Arial"/>
          <w:b/>
          <w:sz w:val="22"/>
          <w:u w:val="single"/>
        </w:rPr>
      </w:pPr>
      <w:r>
        <w:rPr>
          <w:rFonts w:cs="Arial"/>
          <w:b/>
          <w:sz w:val="22"/>
          <w:u w:val="single"/>
        </w:rPr>
        <w:t>JUNTA DIRECTIVA</w:t>
      </w:r>
    </w:p>
    <w:p w14:paraId="5A685E1C" w14:textId="77777777" w:rsidR="00FA4CCB" w:rsidRDefault="00FA4CCB">
      <w:pPr>
        <w:spacing w:line="360" w:lineRule="auto"/>
        <w:ind w:right="51"/>
        <w:jc w:val="center"/>
        <w:rPr>
          <w:rFonts w:cs="Arial"/>
          <w:b/>
          <w:sz w:val="22"/>
          <w:u w:val="single"/>
        </w:rPr>
      </w:pPr>
    </w:p>
    <w:p w14:paraId="70EF35C1" w14:textId="0B46CF7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958C1">
        <w:rPr>
          <w:rFonts w:cs="Arial"/>
          <w:b/>
          <w:sz w:val="22"/>
          <w:u w:val="single"/>
        </w:rPr>
        <w:t>EXTRA</w:t>
      </w:r>
      <w:r w:rsidR="00FA4CCB">
        <w:rPr>
          <w:rFonts w:cs="Arial"/>
          <w:b/>
          <w:sz w:val="22"/>
          <w:u w:val="single"/>
        </w:rPr>
        <w:t xml:space="preserve">ORDINARIA </w:t>
      </w:r>
      <w:r>
        <w:rPr>
          <w:rFonts w:cs="Arial"/>
          <w:b/>
          <w:sz w:val="22"/>
          <w:u w:val="single"/>
        </w:rPr>
        <w:t xml:space="preserve">N° </w:t>
      </w:r>
      <w:r w:rsidR="005958C1">
        <w:rPr>
          <w:rFonts w:cs="Arial"/>
          <w:b/>
          <w:sz w:val="22"/>
          <w:u w:val="single"/>
        </w:rPr>
        <w:t>93</w:t>
      </w:r>
      <w:r>
        <w:rPr>
          <w:rFonts w:cs="Arial"/>
          <w:b/>
          <w:sz w:val="22"/>
          <w:u w:val="single"/>
        </w:rPr>
        <w:t>-20</w:t>
      </w:r>
      <w:r w:rsidR="00E97960">
        <w:rPr>
          <w:rFonts w:cs="Arial"/>
          <w:b/>
          <w:sz w:val="22"/>
          <w:u w:val="single"/>
        </w:rPr>
        <w:t>20</w:t>
      </w:r>
    </w:p>
    <w:p w14:paraId="23EE284C" w14:textId="6673E886" w:rsidR="00FA4CCB" w:rsidRDefault="00FA4CCB">
      <w:pPr>
        <w:spacing w:line="360" w:lineRule="auto"/>
        <w:ind w:right="51"/>
        <w:jc w:val="center"/>
        <w:rPr>
          <w:rFonts w:cs="Arial"/>
          <w:b/>
          <w:sz w:val="22"/>
          <w:u w:val="single"/>
        </w:rPr>
      </w:pPr>
      <w:r>
        <w:rPr>
          <w:rFonts w:cs="Arial"/>
          <w:b/>
          <w:sz w:val="22"/>
          <w:u w:val="single"/>
        </w:rPr>
        <w:t xml:space="preserve">DEL </w:t>
      </w:r>
      <w:r w:rsidR="005958C1">
        <w:rPr>
          <w:rFonts w:cs="Arial"/>
          <w:b/>
          <w:sz w:val="22"/>
          <w:u w:val="single"/>
        </w:rPr>
        <w:t>26</w:t>
      </w:r>
      <w:r>
        <w:rPr>
          <w:rFonts w:cs="Arial"/>
          <w:b/>
          <w:sz w:val="22"/>
          <w:u w:val="single"/>
        </w:rPr>
        <w:t xml:space="preserve"> DE </w:t>
      </w:r>
      <w:r w:rsidR="005958C1">
        <w:rPr>
          <w:rFonts w:cs="Arial"/>
          <w:b/>
          <w:sz w:val="22"/>
          <w:u w:val="single"/>
        </w:rPr>
        <w:t>NOVIEMBRE</w:t>
      </w:r>
      <w:r>
        <w:rPr>
          <w:rFonts w:cs="Arial"/>
          <w:b/>
          <w:sz w:val="22"/>
          <w:u w:val="single"/>
        </w:rPr>
        <w:t xml:space="preserve"> DE 20</w:t>
      </w:r>
      <w:r w:rsidR="00E97960">
        <w:rPr>
          <w:rFonts w:cs="Arial"/>
          <w:b/>
          <w:sz w:val="22"/>
          <w:u w:val="single"/>
        </w:rPr>
        <w:t>20</w:t>
      </w:r>
    </w:p>
    <w:p w14:paraId="028CB6C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B4C37CB" w14:textId="77777777" w:rsidR="00FA4CCB" w:rsidRDefault="00FA4CCB">
      <w:pPr>
        <w:spacing w:line="360" w:lineRule="auto"/>
        <w:ind w:right="51"/>
        <w:jc w:val="center"/>
        <w:rPr>
          <w:rFonts w:cs="Arial"/>
          <w:b/>
          <w:sz w:val="22"/>
          <w:u w:val="single"/>
        </w:rPr>
      </w:pPr>
    </w:p>
    <w:p w14:paraId="4590A9F1" w14:textId="6FFEA8B8" w:rsidR="007E1EE6"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5958C1">
        <w:rPr>
          <w:rFonts w:cs="Arial"/>
          <w:sz w:val="22"/>
        </w:rPr>
        <w:t xml:space="preserve">Por medio de videoconferencia que consta en los archivos de la Secretaría de la </w:t>
      </w:r>
      <w:r w:rsidR="005958C1" w:rsidRPr="00B85537">
        <w:rPr>
          <w:rFonts w:cs="Arial"/>
          <w:sz w:val="22"/>
          <w:lang w:val="es-ES_tradnl"/>
        </w:rPr>
        <w:t>Junta Directiva</w:t>
      </w:r>
      <w:r w:rsidR="005958C1">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714076" w:rsidRPr="00714076">
        <w:rPr>
          <w:rFonts w:cs="Arial"/>
          <w:sz w:val="22"/>
        </w:rPr>
        <w:t xml:space="preserve"> </w:t>
      </w:r>
      <w:r w:rsidR="00714076">
        <w:rPr>
          <w:rFonts w:cs="Arial"/>
          <w:sz w:val="22"/>
        </w:rPr>
        <w:t>El Director Jorge Carranza González, se incorpora a la sesión</w:t>
      </w:r>
      <w:r w:rsidR="007E1EE6">
        <w:rPr>
          <w:rFonts w:cs="Arial"/>
          <w:sz w:val="22"/>
        </w:rPr>
        <w:t xml:space="preserve"> a partir </w:t>
      </w:r>
      <w:r w:rsidR="007E1EE6" w:rsidRPr="009C07E8">
        <w:rPr>
          <w:rFonts w:cs="Arial"/>
          <w:sz w:val="22"/>
        </w:rPr>
        <w:t xml:space="preserve">del minuto </w:t>
      </w:r>
      <w:r w:rsidR="009C07E8" w:rsidRPr="009C07E8">
        <w:rPr>
          <w:rFonts w:cs="Arial"/>
          <w:sz w:val="22"/>
        </w:rPr>
        <w:t>41</w:t>
      </w:r>
      <w:r w:rsidR="007E1EE6" w:rsidRPr="009C07E8">
        <w:rPr>
          <w:rFonts w:cs="Arial"/>
          <w:sz w:val="22"/>
        </w:rPr>
        <w:t>:</w:t>
      </w:r>
      <w:r w:rsidR="009C07E8" w:rsidRPr="009C07E8">
        <w:rPr>
          <w:rFonts w:cs="Arial"/>
          <w:sz w:val="22"/>
        </w:rPr>
        <w:t>10</w:t>
      </w:r>
      <w:r w:rsidR="007E1EE6" w:rsidRPr="009C07E8">
        <w:rPr>
          <w:rFonts w:cs="Arial"/>
          <w:sz w:val="22"/>
        </w:rPr>
        <w:t>.</w:t>
      </w:r>
    </w:p>
    <w:p w14:paraId="788A9E1B" w14:textId="77777777" w:rsidR="00AD4F06" w:rsidRDefault="00AD4F06" w:rsidP="0066494B">
      <w:pPr>
        <w:spacing w:line="360" w:lineRule="auto"/>
        <w:jc w:val="both"/>
        <w:rPr>
          <w:rFonts w:cs="Arial"/>
          <w:sz w:val="22"/>
        </w:rPr>
      </w:pPr>
    </w:p>
    <w:p w14:paraId="78E05A8E" w14:textId="54398409"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7E1EE6" w:rsidRPr="007E1EE6">
        <w:rPr>
          <w:rFonts w:cs="Arial"/>
          <w:sz w:val="22"/>
        </w:rPr>
        <w:t xml:space="preserve"> </w:t>
      </w:r>
      <w:r w:rsidR="007E1EE6" w:rsidRPr="009C07E8">
        <w:rPr>
          <w:rFonts w:cs="Arial"/>
          <w:sz w:val="22"/>
        </w:rPr>
        <w:t xml:space="preserve">Ericka Masís Calderón, funcionaria de la </w:t>
      </w:r>
      <w:r w:rsidR="007E1EE6" w:rsidRPr="009C07E8">
        <w:rPr>
          <w:rFonts w:cs="Arial"/>
          <w:sz w:val="22"/>
          <w:szCs w:val="22"/>
        </w:rPr>
        <w:t xml:space="preserve">Asesoría Legal, se incorpora a la sesión a partir del </w:t>
      </w:r>
      <w:r w:rsidR="009C07E8" w:rsidRPr="009C07E8">
        <w:rPr>
          <w:rFonts w:cs="Arial"/>
          <w:sz w:val="22"/>
          <w:szCs w:val="22"/>
        </w:rPr>
        <w:t>minuto 22:20.</w:t>
      </w:r>
    </w:p>
    <w:p w14:paraId="7C5C71D7" w14:textId="77777777" w:rsidR="006321F4" w:rsidRPr="00D14EAF" w:rsidRDefault="006321F4" w:rsidP="006321F4">
      <w:pPr>
        <w:spacing w:line="360" w:lineRule="auto"/>
        <w:jc w:val="both"/>
        <w:rPr>
          <w:rFonts w:cs="Arial"/>
          <w:b/>
          <w:sz w:val="22"/>
        </w:rPr>
      </w:pPr>
      <w:r w:rsidRPr="00D14EAF">
        <w:rPr>
          <w:rFonts w:cs="Arial"/>
          <w:b/>
          <w:sz w:val="22"/>
        </w:rPr>
        <w:t>************</w:t>
      </w:r>
    </w:p>
    <w:p w14:paraId="01884FF4" w14:textId="77777777" w:rsidR="00FA4CCB" w:rsidRDefault="00FA4CCB" w:rsidP="0066494B">
      <w:pPr>
        <w:spacing w:line="360" w:lineRule="auto"/>
        <w:jc w:val="both"/>
        <w:rPr>
          <w:rFonts w:cs="Arial"/>
          <w:sz w:val="22"/>
        </w:rPr>
      </w:pPr>
    </w:p>
    <w:p w14:paraId="656FE714" w14:textId="77777777" w:rsidR="00FA4CCB" w:rsidRDefault="00FA4CCB" w:rsidP="0066494B">
      <w:pPr>
        <w:pStyle w:val="Ttulo4"/>
        <w:spacing w:line="360" w:lineRule="auto"/>
        <w:jc w:val="both"/>
        <w:rPr>
          <w:rFonts w:cs="Arial"/>
        </w:rPr>
      </w:pPr>
      <w:r>
        <w:rPr>
          <w:rFonts w:cs="Arial"/>
        </w:rPr>
        <w:t>Asuntos conocidos en la presente sesión</w:t>
      </w:r>
    </w:p>
    <w:p w14:paraId="1100E740" w14:textId="77777777" w:rsidR="00FA4CCB" w:rsidRDefault="00FA4CCB" w:rsidP="0066494B">
      <w:pPr>
        <w:spacing w:line="360" w:lineRule="auto"/>
        <w:jc w:val="both"/>
        <w:rPr>
          <w:rFonts w:cs="Arial"/>
          <w:b/>
          <w:sz w:val="22"/>
        </w:rPr>
      </w:pPr>
    </w:p>
    <w:p w14:paraId="6AB4404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83BF82D" w14:textId="77777777" w:rsidR="00A53E94" w:rsidRPr="00DB5AE3" w:rsidRDefault="00A53E94" w:rsidP="00DB5AE3">
      <w:pPr>
        <w:pStyle w:val="Prrafodelista"/>
        <w:numPr>
          <w:ilvl w:val="0"/>
          <w:numId w:val="19"/>
        </w:numPr>
        <w:spacing w:line="360" w:lineRule="auto"/>
        <w:ind w:left="426" w:hanging="426"/>
        <w:jc w:val="both"/>
        <w:rPr>
          <w:rFonts w:cs="Arial"/>
          <w:sz w:val="22"/>
          <w:lang w:val="es-ES_tradnl"/>
        </w:rPr>
      </w:pPr>
      <w:r w:rsidRPr="00DB5AE3">
        <w:rPr>
          <w:rFonts w:cs="Arial"/>
          <w:sz w:val="22"/>
          <w:lang w:val="es-ES_tradnl"/>
        </w:rPr>
        <w:t>Capacitación sobre el proyecto de reforma a la normativa para el cumplimiento de la Ley 8204.</w:t>
      </w:r>
    </w:p>
    <w:p w14:paraId="58851A64" w14:textId="5F96E249" w:rsidR="005958C1" w:rsidRPr="00DB5AE3" w:rsidRDefault="005958C1" w:rsidP="00DB5AE3">
      <w:pPr>
        <w:pStyle w:val="Prrafodelista"/>
        <w:numPr>
          <w:ilvl w:val="0"/>
          <w:numId w:val="19"/>
        </w:numPr>
        <w:spacing w:line="360" w:lineRule="auto"/>
        <w:ind w:left="426" w:hanging="426"/>
        <w:jc w:val="both"/>
        <w:rPr>
          <w:rFonts w:cs="Arial"/>
          <w:sz w:val="22"/>
          <w:lang w:val="es-ES_tradnl"/>
        </w:rPr>
      </w:pPr>
      <w:r w:rsidRPr="00DB5AE3">
        <w:rPr>
          <w:rFonts w:cs="Arial"/>
          <w:sz w:val="22"/>
        </w:rPr>
        <w:t>Seguimiento a la situación de la asignación de recursos al FOSUVI, en el proyecto de "Ley de presupuesto ordinario y extraordinario de la República para el ejercicio económico 2021".</w:t>
      </w:r>
    </w:p>
    <w:p w14:paraId="406DC45E" w14:textId="7E302C50" w:rsidR="005958C1" w:rsidRPr="00DB5AE3" w:rsidRDefault="005958C1" w:rsidP="00DB5AE3">
      <w:pPr>
        <w:pStyle w:val="Prrafodelista"/>
        <w:numPr>
          <w:ilvl w:val="0"/>
          <w:numId w:val="19"/>
        </w:numPr>
        <w:spacing w:line="360" w:lineRule="auto"/>
        <w:ind w:left="426" w:hanging="426"/>
        <w:jc w:val="both"/>
        <w:rPr>
          <w:rFonts w:cs="Arial"/>
          <w:sz w:val="22"/>
          <w:lang w:val="es-ES_tradnl"/>
        </w:rPr>
      </w:pPr>
      <w:r w:rsidRPr="00DB5AE3">
        <w:rPr>
          <w:rFonts w:cs="Arial"/>
          <w:sz w:val="22"/>
          <w:lang w:val="es-ES_tradnl"/>
        </w:rPr>
        <w:t>Solicitud de no objeción a la adjudicación para el finamiento de las obras del proyecto Parque Esparcimiento La Cima.</w:t>
      </w:r>
    </w:p>
    <w:p w14:paraId="4E131E38" w14:textId="77777777" w:rsidR="005958C1" w:rsidRPr="00DB5AE3" w:rsidRDefault="005958C1" w:rsidP="00DB5AE3">
      <w:pPr>
        <w:pStyle w:val="Prrafodelista"/>
        <w:numPr>
          <w:ilvl w:val="0"/>
          <w:numId w:val="19"/>
        </w:numPr>
        <w:spacing w:line="360" w:lineRule="auto"/>
        <w:ind w:left="426" w:hanging="426"/>
        <w:jc w:val="both"/>
        <w:rPr>
          <w:rFonts w:cs="Arial"/>
          <w:sz w:val="22"/>
          <w:lang w:val="es-ES_tradnl"/>
        </w:rPr>
      </w:pPr>
      <w:r w:rsidRPr="00DB5AE3">
        <w:rPr>
          <w:rFonts w:cs="Arial"/>
          <w:sz w:val="22"/>
        </w:rPr>
        <w:t xml:space="preserve">Informe de la Unidad de Cumplimiento Normativo sobre reunión con la SUGEF. </w:t>
      </w:r>
    </w:p>
    <w:p w14:paraId="35EF39D2" w14:textId="2334F63E" w:rsidR="007749FC" w:rsidRPr="00DB5AE3" w:rsidRDefault="005958C1" w:rsidP="00DB5AE3">
      <w:pPr>
        <w:pStyle w:val="Prrafodelista"/>
        <w:numPr>
          <w:ilvl w:val="0"/>
          <w:numId w:val="19"/>
        </w:numPr>
        <w:spacing w:line="360" w:lineRule="auto"/>
        <w:ind w:left="426" w:hanging="426"/>
        <w:jc w:val="both"/>
        <w:rPr>
          <w:rFonts w:cs="Arial"/>
          <w:sz w:val="22"/>
        </w:rPr>
      </w:pPr>
      <w:r w:rsidRPr="00DB5AE3">
        <w:rPr>
          <w:rFonts w:cs="Arial"/>
          <w:sz w:val="22"/>
          <w:lang w:val="es-ES_tradnl"/>
        </w:rPr>
        <w:t>Informe de la Unidad de Cumplimiento Normativo - Octubre 2020.</w:t>
      </w:r>
    </w:p>
    <w:p w14:paraId="358A0FF8" w14:textId="77777777" w:rsidR="006321F4" w:rsidRPr="00D14EAF" w:rsidRDefault="006321F4" w:rsidP="006321F4">
      <w:pPr>
        <w:spacing w:line="360" w:lineRule="auto"/>
        <w:jc w:val="both"/>
        <w:rPr>
          <w:rFonts w:cs="Arial"/>
          <w:b/>
          <w:sz w:val="22"/>
        </w:rPr>
      </w:pPr>
      <w:r w:rsidRPr="00D14EAF">
        <w:rPr>
          <w:rFonts w:cs="Arial"/>
          <w:b/>
          <w:sz w:val="22"/>
        </w:rPr>
        <w:t>************</w:t>
      </w:r>
    </w:p>
    <w:p w14:paraId="0C937F67" w14:textId="77777777" w:rsidR="007F614F" w:rsidRPr="00AB2826" w:rsidRDefault="007F614F" w:rsidP="002D0146">
      <w:pPr>
        <w:spacing w:line="360" w:lineRule="auto"/>
        <w:jc w:val="both"/>
        <w:rPr>
          <w:rFonts w:cs="Arial"/>
          <w:b/>
          <w:sz w:val="22"/>
          <w:szCs w:val="22"/>
          <w:u w:val="single"/>
          <w:lang w:val="es-ES_tradnl"/>
        </w:rPr>
      </w:pPr>
    </w:p>
    <w:p w14:paraId="118B51E3" w14:textId="0BE81CF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53E94" w:rsidRPr="005958C1">
        <w:rPr>
          <w:rFonts w:cs="Arial"/>
          <w:b/>
          <w:bCs/>
          <w:sz w:val="22"/>
          <w:u w:val="single"/>
          <w:lang w:val="es-ES_tradnl"/>
        </w:rPr>
        <w:t>Capacitación sobre el proyecto de reforma a la normativa para el cumplimiento de la Ley 8204</w:t>
      </w:r>
    </w:p>
    <w:p w14:paraId="28D11F2C" w14:textId="77777777" w:rsidR="00FA4CCB" w:rsidRDefault="00FA4CCB" w:rsidP="002D0146">
      <w:pPr>
        <w:spacing w:line="360" w:lineRule="auto"/>
        <w:jc w:val="both"/>
        <w:rPr>
          <w:rFonts w:cs="Arial"/>
          <w:sz w:val="22"/>
          <w:szCs w:val="22"/>
        </w:rPr>
      </w:pPr>
    </w:p>
    <w:p w14:paraId="32FDDAD6" w14:textId="0E602608" w:rsidR="00C72F4F" w:rsidRDefault="009D03FE" w:rsidP="00C72F4F">
      <w:pPr>
        <w:spacing w:line="360" w:lineRule="auto"/>
        <w:jc w:val="both"/>
        <w:rPr>
          <w:rFonts w:cs="Arial"/>
          <w:sz w:val="22"/>
          <w:lang w:val="es-ES_tradnl"/>
        </w:rPr>
      </w:pPr>
      <w:r w:rsidRPr="0039311E">
        <w:rPr>
          <w:rFonts w:cs="Arial"/>
          <w:sz w:val="22"/>
          <w:u w:val="single"/>
          <w:lang w:val="es-ES_tradnl"/>
        </w:rPr>
        <w:t>Minuto 0</w:t>
      </w:r>
      <w:r w:rsidR="007E1EE6">
        <w:rPr>
          <w:rFonts w:cs="Arial"/>
          <w:sz w:val="22"/>
          <w:u w:val="single"/>
          <w:lang w:val="es-ES_tradnl"/>
        </w:rPr>
        <w:t>1</w:t>
      </w:r>
      <w:r w:rsidRPr="0039311E">
        <w:rPr>
          <w:rFonts w:cs="Arial"/>
          <w:sz w:val="22"/>
          <w:u w:val="single"/>
          <w:lang w:val="es-ES_tradnl"/>
        </w:rPr>
        <w:t>:</w:t>
      </w:r>
      <w:r w:rsidR="007E1EE6">
        <w:rPr>
          <w:rFonts w:cs="Arial"/>
          <w:sz w:val="22"/>
          <w:u w:val="single"/>
          <w:lang w:val="es-ES_tradnl"/>
        </w:rPr>
        <w:t>35</w:t>
      </w:r>
      <w:r>
        <w:rPr>
          <w:rFonts w:cs="Arial"/>
          <w:sz w:val="22"/>
          <w:lang w:val="es-ES_tradnl"/>
        </w:rPr>
        <w:t xml:space="preserve"> </w:t>
      </w:r>
      <w:r w:rsidR="00C72F4F">
        <w:rPr>
          <w:rFonts w:cs="Arial"/>
          <w:sz w:val="22"/>
          <w:lang w:val="es-ES_tradnl"/>
        </w:rPr>
        <w:t>De conformidad con lo dispuesto en el plan anual de capacitación de la Oficialía de Cumplimiento, el señor Auditor Interno procede a efectuar la charla de capacitación sobre</w:t>
      </w:r>
      <w:r w:rsidR="00C72F4F" w:rsidRPr="00C72F4F">
        <w:rPr>
          <w:rFonts w:cs="Arial"/>
          <w:sz w:val="22"/>
          <w:lang w:val="es-ES_tradnl"/>
        </w:rPr>
        <w:t xml:space="preserve"> el proyecto de reforma a la normativa para el cumplimiento de la Ley 8204</w:t>
      </w:r>
      <w:r w:rsidR="00C72F4F">
        <w:rPr>
          <w:rFonts w:cs="Arial"/>
          <w:sz w:val="22"/>
          <w:lang w:val="es-ES_tradnl"/>
        </w:rPr>
        <w:t>.  Copia de las diapositivas utilizadas para la exposición del tema, se adjuntan al expediente del acta.</w:t>
      </w:r>
    </w:p>
    <w:p w14:paraId="4FC11A35" w14:textId="77777777" w:rsidR="00C72F4F" w:rsidRDefault="00C72F4F" w:rsidP="00C72F4F">
      <w:pPr>
        <w:spacing w:line="360" w:lineRule="auto"/>
        <w:jc w:val="both"/>
        <w:rPr>
          <w:rFonts w:cs="Arial"/>
          <w:sz w:val="22"/>
          <w:lang w:val="es-ES_tradnl"/>
        </w:rPr>
      </w:pPr>
    </w:p>
    <w:p w14:paraId="126346E1" w14:textId="0BBDDEED" w:rsidR="00C72F4F" w:rsidRDefault="00C72F4F" w:rsidP="00C72F4F">
      <w:pPr>
        <w:spacing w:line="360" w:lineRule="auto"/>
        <w:jc w:val="both"/>
        <w:rPr>
          <w:rFonts w:cs="Arial"/>
          <w:sz w:val="22"/>
          <w:lang w:val="es-ES_tradnl"/>
        </w:rPr>
      </w:pPr>
      <w:r>
        <w:rPr>
          <w:rFonts w:cs="Arial"/>
          <w:sz w:val="22"/>
          <w:lang w:val="es-ES_tradnl"/>
        </w:rPr>
        <w:t>El señor Auditor se refiere a los cambios que se han introducido al “Reglamento para la prevención del riesgo de legitimación de capitales, financiamiento al terrorismo y financiamiento de la proliferación de armas de destrucción masiva, aplicable a los sujetos obligados por el artículo 14 de la Ley 7786”.</w:t>
      </w:r>
    </w:p>
    <w:p w14:paraId="56D51DB9" w14:textId="1A69C3E8" w:rsidR="00C72F4F" w:rsidRDefault="00C72F4F" w:rsidP="00C72F4F">
      <w:pPr>
        <w:spacing w:line="360" w:lineRule="auto"/>
        <w:jc w:val="both"/>
        <w:rPr>
          <w:rFonts w:cs="Arial"/>
          <w:sz w:val="22"/>
          <w:lang w:val="es-ES_tradnl"/>
        </w:rPr>
      </w:pPr>
    </w:p>
    <w:p w14:paraId="668D5BA5" w14:textId="763AA55D" w:rsidR="00BD77EA" w:rsidRDefault="00BD77EA" w:rsidP="00C72F4F">
      <w:pPr>
        <w:spacing w:line="360" w:lineRule="auto"/>
        <w:jc w:val="both"/>
        <w:rPr>
          <w:rFonts w:cs="Arial"/>
          <w:sz w:val="22"/>
          <w:lang w:val="es-ES_tradnl"/>
        </w:rPr>
      </w:pPr>
      <w:r>
        <w:rPr>
          <w:rFonts w:cs="Arial"/>
          <w:sz w:val="22"/>
          <w:lang w:val="es-ES_tradnl"/>
        </w:rPr>
        <w:t>Dentro de la exposición del tema, hace énfasis en los aspectos más relevantes para el BANHVI, atendiendo las consultas y las observaciones que al respecto van planteando los señores Directores.</w:t>
      </w:r>
    </w:p>
    <w:p w14:paraId="4E3AA7E3" w14:textId="77777777" w:rsidR="00E97960" w:rsidRDefault="00E97960" w:rsidP="00E97960">
      <w:pPr>
        <w:spacing w:line="360" w:lineRule="auto"/>
        <w:jc w:val="both"/>
        <w:rPr>
          <w:rFonts w:cs="Arial"/>
          <w:sz w:val="22"/>
          <w:szCs w:val="22"/>
        </w:rPr>
      </w:pPr>
    </w:p>
    <w:p w14:paraId="648DF122" w14:textId="77777777" w:rsidR="009F2868"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F2868">
        <w:rPr>
          <w:rFonts w:cs="Arial"/>
          <w:sz w:val="22"/>
          <w:u w:val="single"/>
          <w:lang w:val="es-ES_tradnl"/>
        </w:rPr>
        <w:t>46</w:t>
      </w:r>
      <w:r w:rsidRPr="00A25DB7">
        <w:rPr>
          <w:rFonts w:cs="Arial"/>
          <w:sz w:val="22"/>
          <w:u w:val="single"/>
          <w:lang w:val="es-ES_tradnl"/>
        </w:rPr>
        <w:t>:</w:t>
      </w:r>
      <w:r w:rsidR="009F2868">
        <w:rPr>
          <w:rFonts w:cs="Arial"/>
          <w:sz w:val="22"/>
          <w:u w:val="single"/>
          <w:lang w:val="es-ES_tradnl"/>
        </w:rPr>
        <w:t>45</w:t>
      </w:r>
      <w:r>
        <w:rPr>
          <w:rFonts w:cs="Arial"/>
          <w:sz w:val="22"/>
          <w:lang w:val="es-ES_tradnl"/>
        </w:rPr>
        <w:t xml:space="preserve"> </w:t>
      </w:r>
      <w:r w:rsidR="009F2868">
        <w:rPr>
          <w:rFonts w:cs="Arial"/>
          <w:sz w:val="22"/>
          <w:lang w:val="es-ES_tradnl"/>
        </w:rPr>
        <w:t xml:space="preserve">La </w:t>
      </w:r>
      <w:r w:rsidR="009F2868" w:rsidRPr="009F2868">
        <w:rPr>
          <w:rFonts w:cs="Arial"/>
          <w:sz w:val="22"/>
          <w:lang w:val="es-ES_tradnl"/>
        </w:rPr>
        <w:t>Junta Directiva</w:t>
      </w:r>
      <w:r w:rsidR="009F2868">
        <w:rPr>
          <w:rFonts w:cs="Arial"/>
          <w:sz w:val="22"/>
          <w:lang w:val="es-ES_tradnl"/>
        </w:rPr>
        <w:t xml:space="preserve"> da por conocida la información suministrada y acto seguido se retira el señor Auditor Interno.</w:t>
      </w:r>
    </w:p>
    <w:p w14:paraId="4396398F" w14:textId="77777777" w:rsidR="007749FC" w:rsidRPr="00D14EAF" w:rsidRDefault="007749FC" w:rsidP="007749FC">
      <w:pPr>
        <w:spacing w:line="360" w:lineRule="auto"/>
        <w:jc w:val="both"/>
        <w:rPr>
          <w:rFonts w:cs="Arial"/>
          <w:b/>
          <w:sz w:val="22"/>
        </w:rPr>
      </w:pPr>
      <w:r w:rsidRPr="00D14EAF">
        <w:rPr>
          <w:rFonts w:cs="Arial"/>
          <w:b/>
          <w:sz w:val="22"/>
        </w:rPr>
        <w:t>************</w:t>
      </w:r>
    </w:p>
    <w:p w14:paraId="752AF5BE" w14:textId="77777777" w:rsidR="00FA4CCB" w:rsidRDefault="00FA4CCB" w:rsidP="002D0146">
      <w:pPr>
        <w:spacing w:line="360" w:lineRule="auto"/>
        <w:jc w:val="both"/>
        <w:rPr>
          <w:rFonts w:cs="Arial"/>
          <w:b/>
          <w:sz w:val="22"/>
          <w:szCs w:val="22"/>
          <w:u w:val="single"/>
          <w:lang w:val="es-ES_tradnl"/>
        </w:rPr>
      </w:pPr>
    </w:p>
    <w:p w14:paraId="0C226F37" w14:textId="01B15A7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53E94" w:rsidRPr="005958C1">
        <w:rPr>
          <w:rFonts w:cs="Arial"/>
          <w:b/>
          <w:bCs/>
          <w:sz w:val="22"/>
          <w:u w:val="single"/>
        </w:rPr>
        <w:t>Seguimiento a la situación de la asignación de recursos al FOSUVI, en el proyecto de "</w:t>
      </w:r>
      <w:r w:rsidR="00A53E94" w:rsidRPr="008273E4">
        <w:rPr>
          <w:rFonts w:cs="Arial"/>
          <w:b/>
          <w:bCs/>
          <w:sz w:val="22"/>
          <w:u w:val="single"/>
        </w:rPr>
        <w:t>Ley de presupuesto ordinario y extraordinario de la República para el ejercicio económico 2021</w:t>
      </w:r>
      <w:r w:rsidR="00A53E94" w:rsidRPr="005958C1">
        <w:rPr>
          <w:rFonts w:cs="Arial"/>
          <w:b/>
          <w:bCs/>
          <w:sz w:val="22"/>
          <w:u w:val="single"/>
        </w:rPr>
        <w:t>"</w:t>
      </w:r>
    </w:p>
    <w:p w14:paraId="201147C1" w14:textId="77777777" w:rsidR="009D03FE" w:rsidRDefault="009D03FE" w:rsidP="009D03FE">
      <w:pPr>
        <w:spacing w:line="360" w:lineRule="auto"/>
        <w:jc w:val="both"/>
        <w:rPr>
          <w:rFonts w:cs="Arial"/>
          <w:sz w:val="22"/>
          <w:szCs w:val="22"/>
        </w:rPr>
      </w:pPr>
    </w:p>
    <w:p w14:paraId="305C13AF" w14:textId="323F29F2" w:rsidR="009F2868" w:rsidRDefault="009F2868" w:rsidP="009F2868">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48</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w:t>
      </w:r>
      <w:r>
        <w:rPr>
          <w:rFonts w:cs="Arial"/>
          <w:sz w:val="22"/>
        </w:rPr>
        <w:t xml:space="preserve"> </w:t>
      </w:r>
      <w:r w:rsidR="009C07E8">
        <w:rPr>
          <w:rFonts w:cs="Arial"/>
          <w:sz w:val="22"/>
        </w:rPr>
        <w:t xml:space="preserve">incorpora a la sesión el </w:t>
      </w:r>
      <w:r>
        <w:rPr>
          <w:rFonts w:cs="Arial"/>
          <w:sz w:val="22"/>
          <w:lang w:val="es-ES_tradnl"/>
        </w:rPr>
        <w:t>procede a conocer información que brinda el señor Gerente General,  sobre los resultados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576BFC10" w14:textId="5D5240E7" w:rsidR="009F2868" w:rsidRDefault="009F2868" w:rsidP="009F2868">
      <w:pPr>
        <w:spacing w:line="360" w:lineRule="auto"/>
        <w:jc w:val="both"/>
        <w:rPr>
          <w:rFonts w:cs="Arial"/>
          <w:sz w:val="22"/>
          <w:lang w:val="es-CR"/>
        </w:rPr>
      </w:pPr>
    </w:p>
    <w:p w14:paraId="3790C5C5" w14:textId="6BB5E264" w:rsidR="009F2868" w:rsidRDefault="009F2868" w:rsidP="009F2868">
      <w:pPr>
        <w:spacing w:line="360" w:lineRule="auto"/>
        <w:jc w:val="both"/>
        <w:rPr>
          <w:rFonts w:cs="Arial"/>
          <w:sz w:val="22"/>
          <w:lang w:val="es-CR"/>
        </w:rPr>
      </w:pPr>
      <w:r>
        <w:rPr>
          <w:rFonts w:cs="Arial"/>
          <w:sz w:val="22"/>
          <w:lang w:val="es-CR"/>
        </w:rPr>
        <w:t xml:space="preserve">Al respecto, el Director Alvarado Herrera </w:t>
      </w:r>
      <w:r w:rsidR="00434CA7">
        <w:rPr>
          <w:rFonts w:cs="Arial"/>
          <w:sz w:val="22"/>
          <w:lang w:val="es-CR"/>
        </w:rPr>
        <w:t xml:space="preserve">destaca que </w:t>
      </w:r>
      <w:r w:rsidR="002B7EA1">
        <w:rPr>
          <w:rFonts w:cs="Arial"/>
          <w:sz w:val="22"/>
          <w:lang w:val="es-CR"/>
        </w:rPr>
        <w:t>ha quedado claro el espíritu del legislador en cuanto hacia</w:t>
      </w:r>
      <w:r w:rsidR="00214A2B">
        <w:rPr>
          <w:rFonts w:cs="Arial"/>
          <w:sz w:val="22"/>
          <w:lang w:val="es-CR"/>
        </w:rPr>
        <w:t xml:space="preserve"> dónde van dirigidos los ¢28.000 millones que se restituyeron al </w:t>
      </w:r>
      <w:r w:rsidR="00214A2B">
        <w:rPr>
          <w:rFonts w:cs="Arial"/>
          <w:sz w:val="22"/>
          <w:lang w:val="es-CR"/>
        </w:rPr>
        <w:lastRenderedPageBreak/>
        <w:t xml:space="preserve">FOSUVI en el presupuesto 2021 de la República.  Y </w:t>
      </w:r>
      <w:r w:rsidR="00153C1A">
        <w:rPr>
          <w:rFonts w:cs="Arial"/>
          <w:sz w:val="22"/>
          <w:lang w:val="es-CR"/>
        </w:rPr>
        <w:t xml:space="preserve">para evidenciar lo anterior, </w:t>
      </w:r>
      <w:r w:rsidR="00214A2B">
        <w:rPr>
          <w:rFonts w:cs="Arial"/>
          <w:sz w:val="22"/>
          <w:lang w:val="es-CR"/>
        </w:rPr>
        <w:t xml:space="preserve">da lectura </w:t>
      </w:r>
      <w:r w:rsidR="00153C1A">
        <w:rPr>
          <w:rFonts w:cs="Arial"/>
          <w:sz w:val="22"/>
          <w:lang w:val="es-CR"/>
        </w:rPr>
        <w:t xml:space="preserve">a las siguientes declaraciones </w:t>
      </w:r>
      <w:r w:rsidR="00223B89">
        <w:rPr>
          <w:rFonts w:cs="Arial"/>
          <w:sz w:val="22"/>
          <w:lang w:val="es-CR"/>
        </w:rPr>
        <w:t xml:space="preserve">(que solicita queden consignadas en esta minuta) </w:t>
      </w:r>
      <w:r w:rsidR="00153C1A">
        <w:rPr>
          <w:rFonts w:cs="Arial"/>
          <w:sz w:val="22"/>
          <w:lang w:val="es-CR"/>
        </w:rPr>
        <w:t xml:space="preserve">de los diputados Oscar Cascante </w:t>
      </w:r>
      <w:proofErr w:type="spellStart"/>
      <w:r w:rsidR="00153C1A">
        <w:rPr>
          <w:rFonts w:cs="Arial"/>
          <w:sz w:val="22"/>
          <w:lang w:val="es-CR"/>
        </w:rPr>
        <w:t>Cascante</w:t>
      </w:r>
      <w:proofErr w:type="spellEnd"/>
      <w:r w:rsidR="00153C1A">
        <w:rPr>
          <w:rFonts w:cs="Arial"/>
          <w:sz w:val="22"/>
          <w:lang w:val="es-CR"/>
        </w:rPr>
        <w:t xml:space="preserve"> y José María Villalta Flórez Estrada, durante la sesión N° 71 del Plenario Legislativo, celebrada el pasado martes 24 de noviembre:</w:t>
      </w:r>
    </w:p>
    <w:p w14:paraId="1798CAD8" w14:textId="5BAA71B2" w:rsidR="00153C1A" w:rsidRDefault="00153C1A" w:rsidP="009F2868">
      <w:pPr>
        <w:spacing w:line="360" w:lineRule="auto"/>
        <w:jc w:val="both"/>
        <w:rPr>
          <w:rFonts w:cs="Arial"/>
          <w:sz w:val="22"/>
          <w:lang w:val="es-CR"/>
        </w:rPr>
      </w:pPr>
    </w:p>
    <w:p w14:paraId="3702DCBB" w14:textId="3F35D428" w:rsidR="00214A2B" w:rsidRDefault="00153C1A" w:rsidP="009F2868">
      <w:pPr>
        <w:spacing w:line="360" w:lineRule="auto"/>
        <w:jc w:val="both"/>
        <w:rPr>
          <w:rFonts w:cs="Arial"/>
          <w:sz w:val="22"/>
          <w:lang w:val="es-CR"/>
        </w:rPr>
      </w:pPr>
      <w:r w:rsidRPr="00223B89">
        <w:rPr>
          <w:rFonts w:cs="Arial"/>
          <w:sz w:val="22"/>
          <w:u w:val="single"/>
          <w:lang w:val="es-CR"/>
        </w:rPr>
        <w:t xml:space="preserve">Diputado </w:t>
      </w:r>
      <w:r w:rsidR="00214A2B" w:rsidRPr="00223B89">
        <w:rPr>
          <w:rFonts w:cs="Arial"/>
          <w:sz w:val="22"/>
          <w:u w:val="single"/>
          <w:lang w:val="es-CR"/>
        </w:rPr>
        <w:t xml:space="preserve">Oscar Cascante </w:t>
      </w:r>
      <w:proofErr w:type="spellStart"/>
      <w:r w:rsidR="00214A2B" w:rsidRPr="00223B89">
        <w:rPr>
          <w:rFonts w:cs="Arial"/>
          <w:sz w:val="22"/>
          <w:u w:val="single"/>
          <w:lang w:val="es-CR"/>
        </w:rPr>
        <w:t>Cascante</w:t>
      </w:r>
      <w:proofErr w:type="spellEnd"/>
      <w:r w:rsidR="00223B89">
        <w:rPr>
          <w:rFonts w:cs="Arial"/>
          <w:sz w:val="22"/>
          <w:lang w:val="es-CR"/>
        </w:rPr>
        <w:t>:</w:t>
      </w:r>
    </w:p>
    <w:p w14:paraId="0F18E2E4" w14:textId="77777777" w:rsidR="00223B89" w:rsidRDefault="00223B89" w:rsidP="009F2868">
      <w:pPr>
        <w:spacing w:line="360" w:lineRule="auto"/>
        <w:jc w:val="both"/>
        <w:rPr>
          <w:rFonts w:cs="Arial"/>
          <w:sz w:val="22"/>
          <w:lang w:val="es-CR"/>
        </w:rPr>
      </w:pPr>
    </w:p>
    <w:p w14:paraId="51E77EA0" w14:textId="0F76D75A" w:rsidR="00153C1A" w:rsidRPr="00153C1A" w:rsidRDefault="00153C1A" w:rsidP="00153C1A">
      <w:pPr>
        <w:jc w:val="both"/>
        <w:rPr>
          <w:rFonts w:cs="Arial"/>
          <w:sz w:val="22"/>
          <w:lang w:val="es-MX"/>
        </w:rPr>
      </w:pPr>
      <w:r>
        <w:rPr>
          <w:rFonts w:cs="Arial"/>
          <w:sz w:val="22"/>
        </w:rPr>
        <w:t>“…</w:t>
      </w:r>
      <w:r w:rsidRPr="00153C1A">
        <w:rPr>
          <w:rFonts w:cs="Arial"/>
          <w:sz w:val="22"/>
        </w:rPr>
        <w:t xml:space="preserve">Mi intervención </w:t>
      </w:r>
      <w:r w:rsidRPr="00153C1A">
        <w:rPr>
          <w:rFonts w:cs="Arial"/>
          <w:sz w:val="22"/>
          <w:lang w:val="es-MX"/>
        </w:rPr>
        <w:t xml:space="preserve">es breve. La idea es dejar claro el espíritu del legislador en esta mega moción.  </w:t>
      </w:r>
    </w:p>
    <w:p w14:paraId="38F1B23E" w14:textId="77777777" w:rsidR="00153C1A" w:rsidRPr="00153C1A" w:rsidRDefault="00153C1A" w:rsidP="00153C1A">
      <w:pPr>
        <w:jc w:val="both"/>
        <w:rPr>
          <w:rFonts w:cs="Arial"/>
          <w:sz w:val="22"/>
          <w:lang w:val="es-MX"/>
        </w:rPr>
      </w:pPr>
    </w:p>
    <w:p w14:paraId="2B4FC081" w14:textId="77777777" w:rsidR="00153C1A" w:rsidRPr="00153C1A" w:rsidRDefault="00153C1A" w:rsidP="00153C1A">
      <w:pPr>
        <w:jc w:val="both"/>
        <w:rPr>
          <w:rFonts w:cs="Arial"/>
          <w:sz w:val="22"/>
          <w:lang w:val="es-MX"/>
        </w:rPr>
      </w:pPr>
      <w:r w:rsidRPr="00153C1A">
        <w:rPr>
          <w:rFonts w:cs="Arial"/>
          <w:sz w:val="22"/>
          <w:lang w:val="es-MX"/>
        </w:rPr>
        <w:t xml:space="preserve">Se hace una transferencia de veintiocho mil millones al Ministerio de Vivienda, pero yo quiero que quede claro y que quede muy puntual en el acta que estos recursos son para subsidios de vivienda al </w:t>
      </w:r>
      <w:proofErr w:type="spellStart"/>
      <w:r w:rsidRPr="00153C1A">
        <w:rPr>
          <w:rFonts w:cs="Arial"/>
          <w:sz w:val="22"/>
          <w:lang w:val="es-MX"/>
        </w:rPr>
        <w:t>Fusovi</w:t>
      </w:r>
      <w:proofErr w:type="spellEnd"/>
      <w:r w:rsidRPr="00153C1A">
        <w:rPr>
          <w:rFonts w:cs="Arial"/>
          <w:sz w:val="22"/>
          <w:lang w:val="es-MX"/>
        </w:rPr>
        <w:t xml:space="preserve"> del Banco Hipotecario de la Vivienda.  </w:t>
      </w:r>
    </w:p>
    <w:p w14:paraId="2D98CF62" w14:textId="77777777" w:rsidR="00153C1A" w:rsidRPr="00153C1A" w:rsidRDefault="00153C1A" w:rsidP="00153C1A">
      <w:pPr>
        <w:jc w:val="both"/>
        <w:rPr>
          <w:rFonts w:cs="Arial"/>
          <w:sz w:val="22"/>
          <w:lang w:val="es-MX"/>
        </w:rPr>
      </w:pPr>
    </w:p>
    <w:p w14:paraId="5A58B71F" w14:textId="77777777" w:rsidR="00153C1A" w:rsidRPr="00153C1A" w:rsidRDefault="00153C1A" w:rsidP="00153C1A">
      <w:pPr>
        <w:jc w:val="both"/>
        <w:rPr>
          <w:rFonts w:cs="Arial"/>
          <w:sz w:val="22"/>
          <w:lang w:val="es-MX"/>
        </w:rPr>
      </w:pPr>
      <w:r w:rsidRPr="00153C1A">
        <w:rPr>
          <w:rFonts w:cs="Arial"/>
          <w:sz w:val="22"/>
          <w:lang w:val="es-MX"/>
        </w:rPr>
        <w:t xml:space="preserve">Esa es mi intervención puntual, que los recursos que estamos aprobando por veintiocho mil millones son para subsidios de vivienda a través del </w:t>
      </w:r>
      <w:proofErr w:type="spellStart"/>
      <w:r w:rsidRPr="00153C1A">
        <w:rPr>
          <w:rFonts w:cs="Arial"/>
          <w:sz w:val="22"/>
          <w:lang w:val="es-MX"/>
        </w:rPr>
        <w:t>Fusovi</w:t>
      </w:r>
      <w:proofErr w:type="spellEnd"/>
      <w:r w:rsidRPr="00153C1A">
        <w:rPr>
          <w:rFonts w:cs="Arial"/>
          <w:sz w:val="22"/>
          <w:lang w:val="es-MX"/>
        </w:rPr>
        <w:t xml:space="preserve"> y el Banco Hipotecario de la Vivienda.</w:t>
      </w:r>
    </w:p>
    <w:p w14:paraId="1875F5E8" w14:textId="77777777" w:rsidR="00153C1A" w:rsidRPr="00153C1A" w:rsidRDefault="00153C1A" w:rsidP="00153C1A">
      <w:pPr>
        <w:jc w:val="both"/>
        <w:rPr>
          <w:rFonts w:cs="Arial"/>
          <w:sz w:val="22"/>
          <w:lang w:val="es-MX"/>
        </w:rPr>
      </w:pPr>
    </w:p>
    <w:p w14:paraId="0067905D" w14:textId="3B6E5B8D" w:rsidR="00153C1A" w:rsidRPr="00153C1A" w:rsidRDefault="00153C1A" w:rsidP="00153C1A">
      <w:pPr>
        <w:jc w:val="both"/>
        <w:rPr>
          <w:rFonts w:cs="Arial"/>
          <w:sz w:val="22"/>
          <w:lang w:val="es-MX"/>
        </w:rPr>
      </w:pPr>
      <w:r w:rsidRPr="00153C1A">
        <w:rPr>
          <w:rFonts w:cs="Arial"/>
          <w:sz w:val="22"/>
          <w:lang w:val="es-MX"/>
        </w:rPr>
        <w:t>Esa sería mi intervención para dejar claro el espíritu del legislador en el momento de presentación, votación y aprobación de esta moción.</w:t>
      </w:r>
      <w:r>
        <w:rPr>
          <w:rFonts w:cs="Arial"/>
          <w:sz w:val="22"/>
          <w:lang w:val="es-MX"/>
        </w:rPr>
        <w:t>(…)”</w:t>
      </w:r>
    </w:p>
    <w:p w14:paraId="42E840D1" w14:textId="77777777" w:rsidR="00153C1A" w:rsidRDefault="00153C1A" w:rsidP="009F2868">
      <w:pPr>
        <w:spacing w:line="360" w:lineRule="auto"/>
        <w:jc w:val="both"/>
        <w:rPr>
          <w:rFonts w:cs="Arial"/>
          <w:sz w:val="22"/>
          <w:lang w:val="es-CR"/>
        </w:rPr>
      </w:pPr>
    </w:p>
    <w:p w14:paraId="4815512B" w14:textId="7E75356E" w:rsidR="00153C1A" w:rsidRDefault="00153C1A" w:rsidP="009F2868">
      <w:pPr>
        <w:spacing w:line="360" w:lineRule="auto"/>
        <w:jc w:val="both"/>
        <w:rPr>
          <w:rFonts w:cs="Arial"/>
          <w:sz w:val="22"/>
          <w:lang w:val="es-CR"/>
        </w:rPr>
      </w:pPr>
      <w:r w:rsidRPr="00223B89">
        <w:rPr>
          <w:rFonts w:cs="Arial"/>
          <w:sz w:val="22"/>
          <w:u w:val="single"/>
          <w:lang w:val="es-CR"/>
        </w:rPr>
        <w:t>Diputado José María Villalta Flórez Estrada</w:t>
      </w:r>
      <w:r>
        <w:rPr>
          <w:rFonts w:cs="Arial"/>
          <w:sz w:val="22"/>
          <w:lang w:val="es-CR"/>
        </w:rPr>
        <w:t>:</w:t>
      </w:r>
    </w:p>
    <w:p w14:paraId="13285467" w14:textId="67AF6EAC" w:rsidR="00153C1A" w:rsidRDefault="00153C1A" w:rsidP="00223B89">
      <w:pPr>
        <w:jc w:val="both"/>
        <w:rPr>
          <w:rFonts w:cs="Arial"/>
          <w:sz w:val="22"/>
          <w:lang w:val="es-CR"/>
        </w:rPr>
      </w:pPr>
    </w:p>
    <w:p w14:paraId="6648C9E7" w14:textId="48C50EEF" w:rsidR="00153C1A" w:rsidRPr="00153C1A" w:rsidRDefault="00153C1A" w:rsidP="00223B89">
      <w:pPr>
        <w:jc w:val="both"/>
        <w:rPr>
          <w:rFonts w:cs="Arial"/>
          <w:sz w:val="22"/>
        </w:rPr>
      </w:pPr>
      <w:r>
        <w:rPr>
          <w:rFonts w:cs="Arial"/>
          <w:sz w:val="22"/>
          <w:lang w:val="es-CR"/>
        </w:rPr>
        <w:t>“…</w:t>
      </w:r>
      <w:r w:rsidRPr="00153C1A">
        <w:rPr>
          <w:rFonts w:cs="Arial"/>
          <w:sz w:val="22"/>
          <w:lang w:val="es-CR"/>
        </w:rPr>
        <w:t xml:space="preserve">En el caso de esa </w:t>
      </w:r>
      <w:r w:rsidRPr="00153C1A">
        <w:rPr>
          <w:rFonts w:cs="Arial"/>
          <w:sz w:val="22"/>
        </w:rPr>
        <w:t>moción, es la reiteración de una moción que presentamos en la Comisión de Asuntos Hacendarios, que fue aprobada por la Comisión de Asuntos Hacendarios, que, aunque después se excluyó del texto porque el dictamen, porque el dictamen emitido en la Comisión de Asuntos Hacendarios recomendó negativamente, fue un dictamen negativo. Entonces, no se incorporaron los cambios aprobados por la Comisión de Asuntos Hacendarios, según interpretación seguida por la mesa del Directorio.</w:t>
      </w:r>
    </w:p>
    <w:p w14:paraId="117689B9" w14:textId="77777777" w:rsidR="00153C1A" w:rsidRPr="00153C1A" w:rsidRDefault="00153C1A" w:rsidP="00223B89">
      <w:pPr>
        <w:jc w:val="both"/>
        <w:rPr>
          <w:rFonts w:cs="Arial"/>
          <w:sz w:val="22"/>
        </w:rPr>
      </w:pPr>
    </w:p>
    <w:p w14:paraId="0B8E39C7" w14:textId="77777777" w:rsidR="00153C1A" w:rsidRPr="00153C1A" w:rsidRDefault="00153C1A" w:rsidP="00223B89">
      <w:pPr>
        <w:jc w:val="both"/>
        <w:rPr>
          <w:rFonts w:cs="Arial"/>
          <w:sz w:val="22"/>
        </w:rPr>
      </w:pPr>
      <w:r w:rsidRPr="00153C1A">
        <w:rPr>
          <w:rFonts w:cs="Arial"/>
          <w:sz w:val="22"/>
        </w:rPr>
        <w:t xml:space="preserve">Lo importante de esta moción es que busca reponerle al </w:t>
      </w:r>
      <w:proofErr w:type="spellStart"/>
      <w:r w:rsidRPr="00153C1A">
        <w:rPr>
          <w:rFonts w:cs="Arial"/>
          <w:sz w:val="22"/>
        </w:rPr>
        <w:t>Banhvi</w:t>
      </w:r>
      <w:proofErr w:type="spellEnd"/>
      <w:r w:rsidRPr="00153C1A">
        <w:rPr>
          <w:rFonts w:cs="Arial"/>
          <w:sz w:val="22"/>
        </w:rPr>
        <w:t xml:space="preserve">, a través de la transferencia del Ministerio de Trabajo y Seguridad Social, proveniente del </w:t>
      </w:r>
      <w:proofErr w:type="spellStart"/>
      <w:r w:rsidRPr="00153C1A">
        <w:rPr>
          <w:rFonts w:cs="Arial"/>
          <w:sz w:val="22"/>
        </w:rPr>
        <w:t>Fodesaf</w:t>
      </w:r>
      <w:proofErr w:type="spellEnd"/>
      <w:r w:rsidRPr="00153C1A">
        <w:rPr>
          <w:rFonts w:cs="Arial"/>
          <w:sz w:val="22"/>
        </w:rPr>
        <w:t>, los veinticinco mil ciento noventa y seis millones para el fondo de subsidios a la vivienda, que era parte de lo que en el proyecto de presupuesto que envió el Poder Ejecutivo se estaba eliminando, y en el peor momento posible, afectando un programa social fundamental para el combate a la pobreza en este país, pero además para dinamizar la economía, para la inversión pública en infraestructura, vital en la crisis, en la recesión económica que estamos viviendo.</w:t>
      </w:r>
    </w:p>
    <w:p w14:paraId="6A4B4A47" w14:textId="77777777" w:rsidR="00153C1A" w:rsidRPr="00153C1A" w:rsidRDefault="00153C1A" w:rsidP="00223B89">
      <w:pPr>
        <w:jc w:val="both"/>
        <w:rPr>
          <w:rFonts w:cs="Arial"/>
          <w:sz w:val="22"/>
        </w:rPr>
      </w:pPr>
    </w:p>
    <w:p w14:paraId="656D6E77" w14:textId="77777777" w:rsidR="00153C1A" w:rsidRPr="00153C1A" w:rsidRDefault="00153C1A" w:rsidP="00223B89">
      <w:pPr>
        <w:jc w:val="both"/>
        <w:rPr>
          <w:rFonts w:cs="Arial"/>
          <w:sz w:val="22"/>
        </w:rPr>
      </w:pPr>
      <w:r w:rsidRPr="00153C1A">
        <w:rPr>
          <w:rFonts w:cs="Arial"/>
          <w:sz w:val="22"/>
        </w:rPr>
        <w:t xml:space="preserve">Dichosamente, la Comisión de Asuntos Hacendarios tomó el acuerdo de reponer estos recursos al </w:t>
      </w:r>
      <w:proofErr w:type="spellStart"/>
      <w:r w:rsidRPr="00153C1A">
        <w:rPr>
          <w:rFonts w:cs="Arial"/>
          <w:sz w:val="22"/>
        </w:rPr>
        <w:t>Fosuvi</w:t>
      </w:r>
      <w:proofErr w:type="spellEnd"/>
      <w:r w:rsidRPr="00153C1A">
        <w:rPr>
          <w:rFonts w:cs="Arial"/>
          <w:sz w:val="22"/>
        </w:rPr>
        <w:t>, acuerdo que se mantuvo, se respetó en la moción 74 que se acaba de aprobar.</w:t>
      </w:r>
    </w:p>
    <w:p w14:paraId="3233C1EB" w14:textId="77777777" w:rsidR="00153C1A" w:rsidRPr="00153C1A" w:rsidRDefault="00153C1A" w:rsidP="00223B89">
      <w:pPr>
        <w:jc w:val="both"/>
        <w:rPr>
          <w:rFonts w:cs="Arial"/>
          <w:sz w:val="22"/>
        </w:rPr>
      </w:pPr>
    </w:p>
    <w:p w14:paraId="06A3236D" w14:textId="77777777" w:rsidR="00153C1A" w:rsidRPr="00153C1A" w:rsidRDefault="00153C1A" w:rsidP="00223B89">
      <w:pPr>
        <w:jc w:val="both"/>
        <w:rPr>
          <w:rFonts w:cs="Arial"/>
          <w:sz w:val="22"/>
        </w:rPr>
      </w:pPr>
      <w:r w:rsidRPr="00153C1A">
        <w:rPr>
          <w:rFonts w:cs="Arial"/>
          <w:sz w:val="22"/>
        </w:rPr>
        <w:t xml:space="preserve">La moción 74, como ya lo adelantaba el diputado Cascante </w:t>
      </w:r>
      <w:proofErr w:type="spellStart"/>
      <w:r w:rsidRPr="00153C1A">
        <w:rPr>
          <w:rFonts w:cs="Arial"/>
          <w:sz w:val="22"/>
        </w:rPr>
        <w:t>Cascante</w:t>
      </w:r>
      <w:proofErr w:type="spellEnd"/>
      <w:r w:rsidRPr="00153C1A">
        <w:rPr>
          <w:rFonts w:cs="Arial"/>
          <w:sz w:val="22"/>
        </w:rPr>
        <w:t>, tiene un problema de redacción. Bueno, tiene varios problemas, se cambia la partida, el título presupuestario del cual se toman los recursos y, además, es omisa en cuanto al destino que se le van a dar a esos recursos.</w:t>
      </w:r>
    </w:p>
    <w:p w14:paraId="3B92B1EA" w14:textId="77777777" w:rsidR="00153C1A" w:rsidRPr="00153C1A" w:rsidRDefault="00153C1A" w:rsidP="00223B89">
      <w:pPr>
        <w:jc w:val="both"/>
        <w:rPr>
          <w:rFonts w:cs="Arial"/>
          <w:sz w:val="22"/>
        </w:rPr>
      </w:pPr>
    </w:p>
    <w:p w14:paraId="05C02305" w14:textId="77777777" w:rsidR="00153C1A" w:rsidRPr="00153C1A" w:rsidRDefault="00153C1A" w:rsidP="00223B89">
      <w:pPr>
        <w:jc w:val="both"/>
        <w:rPr>
          <w:rFonts w:cs="Arial"/>
          <w:sz w:val="22"/>
        </w:rPr>
      </w:pPr>
      <w:r w:rsidRPr="00153C1A">
        <w:rPr>
          <w:rFonts w:cs="Arial"/>
          <w:sz w:val="22"/>
        </w:rPr>
        <w:t xml:space="preserve">Aumenta veintiocho mil millones en la partida siete cero uno cero seis cero </w:t>
      </w:r>
      <w:proofErr w:type="spellStart"/>
      <w:r w:rsidRPr="00153C1A">
        <w:rPr>
          <w:rFonts w:cs="Arial"/>
          <w:sz w:val="22"/>
        </w:rPr>
        <w:t>cero</w:t>
      </w:r>
      <w:proofErr w:type="spellEnd"/>
      <w:r w:rsidRPr="00153C1A">
        <w:rPr>
          <w:rFonts w:cs="Arial"/>
          <w:sz w:val="22"/>
        </w:rPr>
        <w:t xml:space="preserve"> uno veintitrés diez treinta y uno veinte doscientos, que se financiaría con ingresos corrientes sin indicar el beneficiario, el receptor de la transferencia.</w:t>
      </w:r>
    </w:p>
    <w:p w14:paraId="370C3575" w14:textId="77777777" w:rsidR="00153C1A" w:rsidRPr="00153C1A" w:rsidRDefault="00153C1A" w:rsidP="00223B89">
      <w:pPr>
        <w:jc w:val="both"/>
        <w:rPr>
          <w:rFonts w:cs="Arial"/>
          <w:sz w:val="22"/>
        </w:rPr>
      </w:pPr>
    </w:p>
    <w:p w14:paraId="6A6B9DA5" w14:textId="77777777" w:rsidR="00153C1A" w:rsidRPr="00153C1A" w:rsidRDefault="00153C1A" w:rsidP="00223B89">
      <w:pPr>
        <w:jc w:val="both"/>
        <w:rPr>
          <w:rFonts w:cs="Arial"/>
          <w:sz w:val="22"/>
        </w:rPr>
      </w:pPr>
      <w:r w:rsidRPr="00153C1A">
        <w:rPr>
          <w:rFonts w:cs="Arial"/>
          <w:sz w:val="22"/>
        </w:rPr>
        <w:t xml:space="preserve">Entendemos, y quiero señalarlo aquí, que es el </w:t>
      </w:r>
      <w:proofErr w:type="spellStart"/>
      <w:r w:rsidRPr="00153C1A">
        <w:rPr>
          <w:rFonts w:cs="Arial"/>
          <w:sz w:val="22"/>
        </w:rPr>
        <w:t>Banhvi</w:t>
      </w:r>
      <w:proofErr w:type="spellEnd"/>
      <w:r w:rsidRPr="00153C1A">
        <w:rPr>
          <w:rFonts w:cs="Arial"/>
          <w:sz w:val="22"/>
        </w:rPr>
        <w:t xml:space="preserve">, el </w:t>
      </w:r>
      <w:proofErr w:type="spellStart"/>
      <w:r w:rsidRPr="00153C1A">
        <w:rPr>
          <w:rFonts w:cs="Arial"/>
          <w:sz w:val="22"/>
        </w:rPr>
        <w:t>Fosuvi</w:t>
      </w:r>
      <w:proofErr w:type="spellEnd"/>
      <w:r w:rsidRPr="00153C1A">
        <w:rPr>
          <w:rFonts w:cs="Arial"/>
          <w:sz w:val="22"/>
        </w:rPr>
        <w:t>, el Fondo de Subsidios para la Vivienda, porque eso no queda claro, y hay obviamente un error respecto a cómo estaba planteada esta partida originalmente.</w:t>
      </w:r>
    </w:p>
    <w:p w14:paraId="3D8BC278" w14:textId="77777777" w:rsidR="00153C1A" w:rsidRPr="00153C1A" w:rsidRDefault="00153C1A" w:rsidP="00223B89">
      <w:pPr>
        <w:jc w:val="both"/>
        <w:rPr>
          <w:rFonts w:cs="Arial"/>
          <w:sz w:val="22"/>
        </w:rPr>
      </w:pPr>
    </w:p>
    <w:p w14:paraId="35B05547" w14:textId="09C5E499" w:rsidR="00153C1A" w:rsidRPr="00153C1A" w:rsidRDefault="00153C1A" w:rsidP="00223B89">
      <w:pPr>
        <w:jc w:val="both"/>
        <w:rPr>
          <w:rFonts w:cs="Arial"/>
          <w:sz w:val="22"/>
        </w:rPr>
      </w:pPr>
      <w:r w:rsidRPr="00153C1A">
        <w:rPr>
          <w:rFonts w:cs="Arial"/>
          <w:sz w:val="22"/>
        </w:rPr>
        <w:t xml:space="preserve">Esta moción me parece que es más clara, porque precisa, repone estos recursos para el </w:t>
      </w:r>
      <w:proofErr w:type="spellStart"/>
      <w:r w:rsidRPr="00153C1A">
        <w:rPr>
          <w:rFonts w:cs="Arial"/>
          <w:sz w:val="22"/>
        </w:rPr>
        <w:t>Banhvi</w:t>
      </w:r>
      <w:proofErr w:type="spellEnd"/>
      <w:r w:rsidRPr="00153C1A">
        <w:rPr>
          <w:rFonts w:cs="Arial"/>
          <w:sz w:val="22"/>
        </w:rPr>
        <w:t xml:space="preserve">, así como la moción siguiente, tomándolos del mismo título, restableciéndolos en el mismo título presupuestario donde debían estar, la transferencia del Ministerio de Trabajo al </w:t>
      </w:r>
      <w:proofErr w:type="spellStart"/>
      <w:r w:rsidRPr="00153C1A">
        <w:rPr>
          <w:rFonts w:cs="Arial"/>
          <w:sz w:val="22"/>
        </w:rPr>
        <w:t>Fosuvi</w:t>
      </w:r>
      <w:proofErr w:type="spellEnd"/>
      <w:r w:rsidRPr="00153C1A">
        <w:rPr>
          <w:rFonts w:cs="Arial"/>
          <w:sz w:val="22"/>
        </w:rPr>
        <w:t xml:space="preserve"> y eliminando esa ambigüedad o esa duda, o al menos así debería interpretarse</w:t>
      </w:r>
      <w:r w:rsidR="00223B89">
        <w:rPr>
          <w:rFonts w:cs="Arial"/>
          <w:sz w:val="22"/>
        </w:rPr>
        <w:t>..</w:t>
      </w:r>
      <w:r w:rsidRPr="00153C1A">
        <w:rPr>
          <w:rFonts w:cs="Arial"/>
          <w:sz w:val="22"/>
        </w:rPr>
        <w:t>.</w:t>
      </w:r>
      <w:r>
        <w:rPr>
          <w:rFonts w:cs="Arial"/>
          <w:sz w:val="22"/>
        </w:rPr>
        <w:t>”</w:t>
      </w:r>
    </w:p>
    <w:p w14:paraId="2151CC23" w14:textId="07DF71B1" w:rsidR="00153C1A" w:rsidRDefault="00153C1A" w:rsidP="00223B89">
      <w:pPr>
        <w:jc w:val="both"/>
        <w:rPr>
          <w:rFonts w:cs="Arial"/>
          <w:sz w:val="22"/>
          <w:lang w:val="es-CR"/>
        </w:rPr>
      </w:pPr>
    </w:p>
    <w:p w14:paraId="221937F1" w14:textId="0948E5B7" w:rsidR="00223B89" w:rsidRDefault="00223B89" w:rsidP="00223B89">
      <w:pPr>
        <w:jc w:val="both"/>
        <w:rPr>
          <w:rFonts w:cs="Arial"/>
          <w:sz w:val="22"/>
          <w:lang w:val="es-CR"/>
        </w:rPr>
      </w:pPr>
      <w:r>
        <w:rPr>
          <w:rFonts w:cs="Arial"/>
          <w:sz w:val="22"/>
          <w:lang w:val="es-CR"/>
        </w:rPr>
        <w:t>(…)</w:t>
      </w:r>
    </w:p>
    <w:p w14:paraId="2BF123C5" w14:textId="77777777" w:rsidR="00223B89" w:rsidRDefault="00223B89" w:rsidP="00223B89">
      <w:pPr>
        <w:jc w:val="both"/>
        <w:rPr>
          <w:rFonts w:cs="Arial"/>
          <w:sz w:val="22"/>
          <w:lang w:val="es-CR"/>
        </w:rPr>
      </w:pPr>
    </w:p>
    <w:p w14:paraId="7E5C5331" w14:textId="29295FEF" w:rsidR="00223B89" w:rsidRPr="00223B89" w:rsidRDefault="00223B89" w:rsidP="00223B89">
      <w:pPr>
        <w:jc w:val="both"/>
        <w:rPr>
          <w:rFonts w:cs="Arial"/>
          <w:sz w:val="22"/>
          <w:lang w:val="es-CR"/>
        </w:rPr>
      </w:pPr>
      <w:r>
        <w:rPr>
          <w:rFonts w:cs="Arial"/>
          <w:sz w:val="22"/>
        </w:rPr>
        <w:t>“</w:t>
      </w:r>
      <w:r w:rsidRPr="00223B89">
        <w:rPr>
          <w:rFonts w:cs="Arial"/>
          <w:sz w:val="22"/>
        </w:rPr>
        <w:t xml:space="preserve">Igualmente, esta moción de reiteración buscaba restablecer la transferencia de tres mil seiscientos treinta y siete millones provenientes del impuesto sobre casas de lujo, para destinarlo al </w:t>
      </w:r>
      <w:proofErr w:type="spellStart"/>
      <w:r w:rsidRPr="00223B89">
        <w:rPr>
          <w:rFonts w:cs="Arial"/>
          <w:sz w:val="22"/>
        </w:rPr>
        <w:t>Banhvi</w:t>
      </w:r>
      <w:proofErr w:type="spellEnd"/>
      <w:r w:rsidRPr="00223B89">
        <w:rPr>
          <w:rFonts w:cs="Arial"/>
          <w:sz w:val="22"/>
        </w:rPr>
        <w:t xml:space="preserve"> a través de la transferencia del Ministerio de Trabajo y </w:t>
      </w:r>
      <w:proofErr w:type="spellStart"/>
      <w:r w:rsidRPr="00223B89">
        <w:rPr>
          <w:rFonts w:cs="Arial"/>
          <w:sz w:val="22"/>
        </w:rPr>
        <w:t>Fodesaf</w:t>
      </w:r>
      <w:proofErr w:type="spellEnd"/>
      <w:r w:rsidRPr="00223B89">
        <w:rPr>
          <w:rFonts w:cs="Arial"/>
          <w:sz w:val="22"/>
        </w:rPr>
        <w:t xml:space="preserve"> al </w:t>
      </w:r>
      <w:proofErr w:type="spellStart"/>
      <w:r w:rsidRPr="00223B89">
        <w:rPr>
          <w:rFonts w:cs="Arial"/>
          <w:sz w:val="22"/>
        </w:rPr>
        <w:t>Banhvi</w:t>
      </w:r>
      <w:proofErr w:type="spellEnd"/>
      <w:r w:rsidRPr="00223B89">
        <w:rPr>
          <w:rFonts w:cs="Arial"/>
          <w:sz w:val="22"/>
        </w:rPr>
        <w:t xml:space="preserve">, en este caso para cumplir con los destinos establecidos en esa ley, que establece un impuesto extraordinario </w:t>
      </w:r>
      <w:r w:rsidRPr="00223B89">
        <w:rPr>
          <w:rFonts w:cs="Arial"/>
          <w:sz w:val="22"/>
          <w:lang w:val="es-CR"/>
        </w:rPr>
        <w:t>sobre viviendas de lujo y que se destina al desarrollo de viviendas de interés social para personas de escasos recursos.</w:t>
      </w:r>
    </w:p>
    <w:p w14:paraId="36F08CDE" w14:textId="77777777" w:rsidR="00223B89" w:rsidRPr="00223B89" w:rsidRDefault="00223B89" w:rsidP="00223B89">
      <w:pPr>
        <w:jc w:val="both"/>
        <w:rPr>
          <w:rFonts w:cs="Arial"/>
          <w:sz w:val="22"/>
          <w:lang w:val="es-CR"/>
        </w:rPr>
      </w:pPr>
    </w:p>
    <w:p w14:paraId="4558E31C" w14:textId="77777777" w:rsidR="00223B89" w:rsidRPr="00223B89" w:rsidRDefault="00223B89" w:rsidP="00223B89">
      <w:pPr>
        <w:jc w:val="both"/>
        <w:rPr>
          <w:rFonts w:cs="Arial"/>
          <w:sz w:val="22"/>
          <w:lang w:val="es-CR"/>
        </w:rPr>
      </w:pPr>
      <w:r w:rsidRPr="00223B89">
        <w:rPr>
          <w:rFonts w:cs="Arial"/>
          <w:sz w:val="22"/>
          <w:lang w:val="es-CR"/>
        </w:rPr>
        <w:t xml:space="preserve">Esta moción forma parte de los veintiocho mil millones que se le recortaban al Fondo de Subsidios para la Vivienda, en la versión original de este presupuesto, y que, con el apoyo de varias fracciones, logramos rescatar en la Comisión de Asuntos Hacendarios. Reiteramos la moción, ante la incertidumbre de qué iba a pasar con las mociones aquí en el Plenario. </w:t>
      </w:r>
    </w:p>
    <w:p w14:paraId="7E0D876E" w14:textId="77777777" w:rsidR="00223B89" w:rsidRPr="00223B89" w:rsidRDefault="00223B89" w:rsidP="00223B89">
      <w:pPr>
        <w:jc w:val="both"/>
        <w:rPr>
          <w:rFonts w:cs="Arial"/>
          <w:sz w:val="22"/>
          <w:lang w:val="es-CR"/>
        </w:rPr>
      </w:pPr>
    </w:p>
    <w:p w14:paraId="68117421" w14:textId="77777777" w:rsidR="00223B89" w:rsidRPr="00223B89" w:rsidRDefault="00223B89" w:rsidP="00223B89">
      <w:pPr>
        <w:jc w:val="both"/>
        <w:rPr>
          <w:rFonts w:cs="Arial"/>
          <w:sz w:val="22"/>
          <w:lang w:val="es-CR"/>
        </w:rPr>
      </w:pPr>
      <w:r w:rsidRPr="00223B89">
        <w:rPr>
          <w:rFonts w:cs="Arial"/>
          <w:sz w:val="22"/>
          <w:lang w:val="es-CR"/>
        </w:rPr>
        <w:t xml:space="preserve">Dichosamente, en la moción 74, que se acaba de aprobar, se incluyó esa partida de los veintiocho mil millones para el </w:t>
      </w:r>
      <w:proofErr w:type="spellStart"/>
      <w:r w:rsidRPr="00223B89">
        <w:rPr>
          <w:rFonts w:cs="Arial"/>
          <w:sz w:val="22"/>
          <w:lang w:val="es-CR"/>
        </w:rPr>
        <w:t>Banhvi</w:t>
      </w:r>
      <w:proofErr w:type="spellEnd"/>
      <w:r w:rsidRPr="00223B89">
        <w:rPr>
          <w:rFonts w:cs="Arial"/>
          <w:sz w:val="22"/>
          <w:lang w:val="es-CR"/>
        </w:rPr>
        <w:t xml:space="preserve">, aunque se hizo en otra partida, de otra fuente y sin indicar, expresamente, el destino de los recursos, lo que es un error que, a diferencia del horror que ocurrió con otras partes de la moción 74, el Departamento de Análisis Presupuestario nos dice que es subsanable, si </w:t>
      </w:r>
      <w:proofErr w:type="spellStart"/>
      <w:r w:rsidRPr="00223B89">
        <w:rPr>
          <w:rFonts w:cs="Arial"/>
          <w:sz w:val="22"/>
          <w:lang w:val="es-CR"/>
        </w:rPr>
        <w:t>de</w:t>
      </w:r>
      <w:proofErr w:type="spellEnd"/>
      <w:r w:rsidRPr="00223B89">
        <w:rPr>
          <w:rFonts w:cs="Arial"/>
          <w:sz w:val="22"/>
          <w:lang w:val="es-CR"/>
        </w:rPr>
        <w:t xml:space="preserve"> deja claramente constando la voluntad de las y los legisladores en este Plenario.</w:t>
      </w:r>
    </w:p>
    <w:p w14:paraId="00A108DC" w14:textId="77777777" w:rsidR="00223B89" w:rsidRPr="00223B89" w:rsidRDefault="00223B89" w:rsidP="00223B89">
      <w:pPr>
        <w:jc w:val="both"/>
        <w:rPr>
          <w:rFonts w:cs="Arial"/>
          <w:sz w:val="22"/>
          <w:lang w:val="es-CR"/>
        </w:rPr>
      </w:pPr>
    </w:p>
    <w:p w14:paraId="3CDD7E7E" w14:textId="77777777" w:rsidR="00223B89" w:rsidRPr="00223B89" w:rsidRDefault="00223B89" w:rsidP="00223B89">
      <w:pPr>
        <w:jc w:val="both"/>
        <w:rPr>
          <w:rFonts w:cs="Arial"/>
          <w:sz w:val="22"/>
          <w:lang w:val="es-CR"/>
        </w:rPr>
      </w:pPr>
      <w:r w:rsidRPr="00223B89">
        <w:rPr>
          <w:rFonts w:cs="Arial"/>
          <w:sz w:val="22"/>
          <w:lang w:val="es-CR"/>
        </w:rPr>
        <w:t xml:space="preserve">Por eso, yo aquí quiero hacerlo constar también. Se entiende que esos veintiocho mil millones, su destino es el Fondo de Subsidios para la Vivienda, el </w:t>
      </w:r>
      <w:proofErr w:type="spellStart"/>
      <w:r w:rsidRPr="00223B89">
        <w:rPr>
          <w:rFonts w:cs="Arial"/>
          <w:sz w:val="22"/>
          <w:lang w:val="es-CR"/>
        </w:rPr>
        <w:t>Fosuvi</w:t>
      </w:r>
      <w:proofErr w:type="spellEnd"/>
      <w:r w:rsidRPr="00223B89">
        <w:rPr>
          <w:rFonts w:cs="Arial"/>
          <w:sz w:val="22"/>
          <w:lang w:val="es-CR"/>
        </w:rPr>
        <w:t xml:space="preserve"> a cargo del </w:t>
      </w:r>
      <w:proofErr w:type="spellStart"/>
      <w:r w:rsidRPr="00223B89">
        <w:rPr>
          <w:rFonts w:cs="Arial"/>
          <w:sz w:val="22"/>
          <w:lang w:val="es-CR"/>
        </w:rPr>
        <w:t>Banhvi</w:t>
      </w:r>
      <w:proofErr w:type="spellEnd"/>
      <w:r w:rsidRPr="00223B89">
        <w:rPr>
          <w:rFonts w:cs="Arial"/>
          <w:sz w:val="22"/>
          <w:lang w:val="es-CR"/>
        </w:rPr>
        <w:t>, para vivienda de interés social, para no debilitar los programas sociales y la inversión pública en el momento que sería el peor momento posible para hacerlo.</w:t>
      </w:r>
    </w:p>
    <w:p w14:paraId="184A85D0" w14:textId="77777777" w:rsidR="00223B89" w:rsidRPr="00223B89" w:rsidRDefault="00223B89" w:rsidP="00223B89">
      <w:pPr>
        <w:jc w:val="both"/>
        <w:rPr>
          <w:rFonts w:cs="Arial"/>
          <w:sz w:val="22"/>
          <w:lang w:val="es-CR"/>
        </w:rPr>
      </w:pPr>
    </w:p>
    <w:p w14:paraId="7DFC39ED" w14:textId="77777777" w:rsidR="00223B89" w:rsidRPr="00223B89" w:rsidRDefault="00223B89" w:rsidP="00223B89">
      <w:pPr>
        <w:jc w:val="both"/>
        <w:rPr>
          <w:rFonts w:cs="Arial"/>
          <w:sz w:val="22"/>
          <w:lang w:val="es-CR"/>
        </w:rPr>
      </w:pPr>
      <w:r w:rsidRPr="00223B89">
        <w:rPr>
          <w:rFonts w:cs="Arial"/>
          <w:sz w:val="22"/>
          <w:lang w:val="es-CR"/>
        </w:rPr>
        <w:t>En este caso, ese error sí es un error subsanable, que podemos hacerlo vía interpretación, como se está haciendo. Distinto es lo que pasó con el resto de la moción 74, donde, como hemos señalado aquí, faltaban elementos esenciales, es como aprobar una ley penal que diga: se impondrán diez años de cárcel por los delitos que más adelante les diremos cuáles son. Más o menos eso es lo que acaba de pasar aquí.</w:t>
      </w:r>
    </w:p>
    <w:p w14:paraId="5047303C" w14:textId="77777777" w:rsidR="00223B89" w:rsidRPr="00223B89" w:rsidRDefault="00223B89" w:rsidP="00223B89">
      <w:pPr>
        <w:jc w:val="both"/>
        <w:rPr>
          <w:rFonts w:cs="Arial"/>
          <w:sz w:val="22"/>
          <w:lang w:val="es-CR"/>
        </w:rPr>
      </w:pPr>
    </w:p>
    <w:p w14:paraId="30476D5A" w14:textId="77777777" w:rsidR="00223B89" w:rsidRPr="00223B89" w:rsidRDefault="00223B89" w:rsidP="00223B89">
      <w:pPr>
        <w:jc w:val="both"/>
        <w:rPr>
          <w:rFonts w:cs="Arial"/>
          <w:sz w:val="22"/>
          <w:lang w:val="es-CR"/>
        </w:rPr>
      </w:pPr>
      <w:r w:rsidRPr="00223B89">
        <w:rPr>
          <w:rFonts w:cs="Arial"/>
          <w:sz w:val="22"/>
          <w:lang w:val="es-CR"/>
        </w:rPr>
        <w:t xml:space="preserve">Se aprobó una moción presupuestaria donde se recortan recursos de plazas, pero no se indica cuáles son las plazas, cuáles son los códigos de plazas que se van a ver afectadas por ese recorte presupuestario. Es una información que le agregarán después a la moción </w:t>
      </w:r>
      <w:r w:rsidRPr="00223B89">
        <w:rPr>
          <w:rFonts w:cs="Arial"/>
          <w:sz w:val="22"/>
          <w:lang w:val="es-CR"/>
        </w:rPr>
        <w:lastRenderedPageBreak/>
        <w:t>cuando el presupuesto ya esté aprobado, cosa muy extraña que en el trámite de las leyes no es, usualmente no era hasta hoy, posible hacer en este Plenario legislativo.</w:t>
      </w:r>
    </w:p>
    <w:p w14:paraId="3F3AE652" w14:textId="77777777" w:rsidR="00223B89" w:rsidRPr="00223B89" w:rsidRDefault="00223B89" w:rsidP="00223B89">
      <w:pPr>
        <w:jc w:val="both"/>
        <w:rPr>
          <w:rFonts w:cs="Arial"/>
          <w:sz w:val="22"/>
          <w:lang w:val="es-CR"/>
        </w:rPr>
      </w:pPr>
    </w:p>
    <w:p w14:paraId="51A29C59" w14:textId="77777777" w:rsidR="00223B89" w:rsidRPr="00223B89" w:rsidRDefault="00223B89" w:rsidP="00223B89">
      <w:pPr>
        <w:jc w:val="both"/>
        <w:rPr>
          <w:rFonts w:cs="Arial"/>
          <w:sz w:val="22"/>
          <w:lang w:val="es-CR"/>
        </w:rPr>
      </w:pPr>
      <w:r w:rsidRPr="00223B89">
        <w:rPr>
          <w:rFonts w:cs="Arial"/>
          <w:sz w:val="22"/>
          <w:lang w:val="es-CR"/>
        </w:rPr>
        <w:t>Pero, bueno, cuando se tienen mayorías y voces complacientes que saben que algo se está haciendo mal, pero igual callan por conveniencia politiquera, pues ni modo, es lo que tenemos aquí en este Plenario.</w:t>
      </w:r>
    </w:p>
    <w:p w14:paraId="6654E3E3" w14:textId="77777777" w:rsidR="00223B89" w:rsidRPr="00223B89" w:rsidRDefault="00223B89" w:rsidP="00223B89">
      <w:pPr>
        <w:jc w:val="both"/>
        <w:rPr>
          <w:rFonts w:cs="Arial"/>
          <w:sz w:val="22"/>
          <w:lang w:val="es-CR"/>
        </w:rPr>
      </w:pPr>
    </w:p>
    <w:p w14:paraId="61B76855" w14:textId="77777777" w:rsidR="00223B89" w:rsidRPr="00223B89" w:rsidRDefault="00223B89" w:rsidP="00223B89">
      <w:pPr>
        <w:jc w:val="both"/>
        <w:rPr>
          <w:rFonts w:cs="Arial"/>
          <w:sz w:val="22"/>
          <w:lang w:val="es-CR"/>
        </w:rPr>
      </w:pPr>
      <w:r w:rsidRPr="00223B89">
        <w:rPr>
          <w:rFonts w:cs="Arial"/>
          <w:sz w:val="22"/>
          <w:lang w:val="es-CR"/>
        </w:rPr>
        <w:t xml:space="preserve">En cualquier caso, quiero reiterar que, por dicha, al menos en esta ocasión, en este caso, los recursos para el </w:t>
      </w:r>
      <w:proofErr w:type="spellStart"/>
      <w:r w:rsidRPr="00223B89">
        <w:rPr>
          <w:rFonts w:cs="Arial"/>
          <w:sz w:val="22"/>
          <w:lang w:val="es-CR"/>
        </w:rPr>
        <w:t>Fosuvi</w:t>
      </w:r>
      <w:proofErr w:type="spellEnd"/>
      <w:r w:rsidRPr="00223B89">
        <w:rPr>
          <w:rFonts w:cs="Arial"/>
          <w:sz w:val="22"/>
          <w:lang w:val="es-CR"/>
        </w:rPr>
        <w:t xml:space="preserve"> se estarían rescatando, independientemente de si esta moción se aprueba o no se aprueba, se estarían rescatando si se interpreta correctamente la partida incluida, sin expresar claramente el destino, pero espero que sí la voluntad de este Plenario en la moción 74, los veintiocho mil millones que se sumaban con la moción anterior y esta otra moción que deben ir al fondo de subsidios para la vivienda, para financiar la construcción de vivienda de interés social, en el momento que más se necesita.</w:t>
      </w:r>
    </w:p>
    <w:p w14:paraId="542A8228" w14:textId="77777777" w:rsidR="00223B89" w:rsidRPr="00223B89" w:rsidRDefault="00223B89" w:rsidP="00223B89">
      <w:pPr>
        <w:jc w:val="both"/>
        <w:rPr>
          <w:rFonts w:cs="Arial"/>
          <w:sz w:val="22"/>
          <w:lang w:val="es-CR"/>
        </w:rPr>
      </w:pPr>
    </w:p>
    <w:p w14:paraId="7DD02D57" w14:textId="78085594" w:rsidR="00223B89" w:rsidRPr="00223B89" w:rsidRDefault="00223B89" w:rsidP="00223B89">
      <w:pPr>
        <w:jc w:val="both"/>
        <w:rPr>
          <w:rFonts w:cs="Arial"/>
          <w:sz w:val="22"/>
          <w:lang w:val="es-CR"/>
        </w:rPr>
      </w:pPr>
      <w:r w:rsidRPr="00223B89">
        <w:rPr>
          <w:rFonts w:cs="Arial"/>
          <w:sz w:val="22"/>
          <w:lang w:val="es-CR"/>
        </w:rPr>
        <w:t xml:space="preserve">Y nunca debió haberse planteado en el proyecto de presupuesto ordinario que nos envió el Poder Ejecutivo, nunca debió haberse siquiera abierto esa puerta de recortar esos recursos tan importantes. Es ahí donde hemos hablado </w:t>
      </w:r>
      <w:proofErr w:type="gramStart"/>
      <w:r w:rsidRPr="00223B89">
        <w:rPr>
          <w:rFonts w:cs="Arial"/>
          <w:sz w:val="22"/>
          <w:lang w:val="es-CR"/>
        </w:rPr>
        <w:t>que</w:t>
      </w:r>
      <w:proofErr w:type="gramEnd"/>
      <w:r w:rsidRPr="00223B89">
        <w:rPr>
          <w:rFonts w:cs="Arial"/>
          <w:sz w:val="22"/>
          <w:lang w:val="es-CR"/>
        </w:rPr>
        <w:t xml:space="preserve"> debería haber un escucho, un blindaje de esa inversión social.</w:t>
      </w:r>
      <w:r>
        <w:rPr>
          <w:rFonts w:cs="Arial"/>
          <w:sz w:val="22"/>
          <w:lang w:val="es-CR"/>
        </w:rPr>
        <w:t>(…)”</w:t>
      </w:r>
    </w:p>
    <w:p w14:paraId="0FDB5982" w14:textId="6D0577A3" w:rsidR="00223B89" w:rsidRDefault="00223B89" w:rsidP="009F2868">
      <w:pPr>
        <w:spacing w:line="360" w:lineRule="auto"/>
        <w:jc w:val="both"/>
        <w:rPr>
          <w:rFonts w:cs="Arial"/>
          <w:sz w:val="22"/>
          <w:lang w:val="es-CR"/>
        </w:rPr>
      </w:pPr>
    </w:p>
    <w:p w14:paraId="12FD644F" w14:textId="77777777" w:rsidR="00CE0BD5" w:rsidRDefault="00223B89" w:rsidP="009F2868">
      <w:pPr>
        <w:spacing w:line="360" w:lineRule="auto"/>
        <w:jc w:val="both"/>
        <w:rPr>
          <w:rFonts w:cs="Arial"/>
          <w:sz w:val="22"/>
          <w:lang w:val="es-CR"/>
        </w:rPr>
      </w:pPr>
      <w:r>
        <w:rPr>
          <w:rFonts w:cs="Arial"/>
          <w:sz w:val="22"/>
          <w:lang w:val="es-CR"/>
        </w:rPr>
        <w:t xml:space="preserve">Por otra parte, el Director Alvarado Herrera –secundado luego por otros señores Directores– agradece y felicita al señor Gerente General, así como a su equipo de colaboradores, por la labor </w:t>
      </w:r>
      <w:r w:rsidR="00CE0BD5">
        <w:rPr>
          <w:rFonts w:cs="Arial"/>
          <w:sz w:val="22"/>
          <w:lang w:val="es-CR"/>
        </w:rPr>
        <w:t>que realizaron para lograr el objetivo propuesto.</w:t>
      </w:r>
    </w:p>
    <w:p w14:paraId="334087FB" w14:textId="77777777" w:rsidR="00CE0BD5" w:rsidRDefault="00CE0BD5" w:rsidP="009F2868">
      <w:pPr>
        <w:spacing w:line="360" w:lineRule="auto"/>
        <w:jc w:val="both"/>
        <w:rPr>
          <w:rFonts w:cs="Arial"/>
          <w:sz w:val="22"/>
          <w:lang w:val="es-CR"/>
        </w:rPr>
      </w:pPr>
    </w:p>
    <w:p w14:paraId="0CD8D422" w14:textId="677D31F6" w:rsidR="009F2868" w:rsidRDefault="009F2868" w:rsidP="009F2868">
      <w:pPr>
        <w:spacing w:line="360" w:lineRule="auto"/>
        <w:jc w:val="both"/>
        <w:rPr>
          <w:rFonts w:cs="Arial"/>
          <w:sz w:val="22"/>
          <w:lang w:val="es-CR"/>
        </w:rPr>
      </w:pPr>
      <w:r w:rsidRPr="0039311E">
        <w:rPr>
          <w:rFonts w:cs="Arial"/>
          <w:sz w:val="22"/>
          <w:u w:val="single"/>
          <w:lang w:val="es-ES_tradnl"/>
        </w:rPr>
        <w:t xml:space="preserve">Minuto </w:t>
      </w:r>
      <w:r w:rsidR="00CE0BD5">
        <w:rPr>
          <w:rFonts w:cs="Arial"/>
          <w:sz w:val="22"/>
          <w:u w:val="single"/>
          <w:lang w:val="es-ES_tradnl"/>
        </w:rPr>
        <w:t>7</w:t>
      </w:r>
      <w:r>
        <w:rPr>
          <w:rFonts w:cs="Arial"/>
          <w:sz w:val="22"/>
          <w:u w:val="single"/>
          <w:lang w:val="es-ES_tradnl"/>
        </w:rPr>
        <w:t>1</w:t>
      </w:r>
      <w:r w:rsidRPr="0039311E">
        <w:rPr>
          <w:rFonts w:cs="Arial"/>
          <w:sz w:val="22"/>
          <w:u w:val="single"/>
          <w:lang w:val="es-ES_tradnl"/>
        </w:rPr>
        <w:t>:</w:t>
      </w:r>
      <w:r w:rsidR="00CE0BD5">
        <w:rPr>
          <w:rFonts w:cs="Arial"/>
          <w:sz w:val="22"/>
          <w:u w:val="single"/>
          <w:lang w:val="es-ES_tradnl"/>
        </w:rPr>
        <w:t>45</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559A5950" w14:textId="77777777" w:rsidR="009D03FE" w:rsidRPr="00D14EAF" w:rsidRDefault="009D03FE" w:rsidP="009D03FE">
      <w:pPr>
        <w:spacing w:line="360" w:lineRule="auto"/>
        <w:jc w:val="both"/>
        <w:rPr>
          <w:rFonts w:cs="Arial"/>
          <w:b/>
          <w:sz w:val="22"/>
        </w:rPr>
      </w:pPr>
      <w:r w:rsidRPr="00D14EAF">
        <w:rPr>
          <w:rFonts w:cs="Arial"/>
          <w:b/>
          <w:sz w:val="22"/>
        </w:rPr>
        <w:t>************</w:t>
      </w:r>
    </w:p>
    <w:p w14:paraId="1D613618" w14:textId="77777777" w:rsidR="00D13B6B" w:rsidRDefault="00D13B6B" w:rsidP="002D0146">
      <w:pPr>
        <w:spacing w:line="360" w:lineRule="auto"/>
        <w:jc w:val="both"/>
        <w:rPr>
          <w:rFonts w:cs="Arial"/>
          <w:b/>
          <w:bCs/>
          <w:sz w:val="22"/>
          <w:szCs w:val="22"/>
          <w:u w:val="single"/>
          <w:lang w:val="es-ES_tradnl"/>
        </w:rPr>
      </w:pPr>
    </w:p>
    <w:p w14:paraId="3564FD01" w14:textId="0B88336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273E4" w:rsidRPr="005958C1">
        <w:rPr>
          <w:rFonts w:cs="Arial"/>
          <w:b/>
          <w:bCs/>
          <w:sz w:val="22"/>
          <w:u w:val="single"/>
          <w:lang w:val="es-ES_tradnl"/>
        </w:rPr>
        <w:t>Solicitud de no objeción a la adjudicación para el finamiento de las obras del proyecto Parque Esparcimiento La Cima</w:t>
      </w:r>
    </w:p>
    <w:p w14:paraId="7E4AD15F" w14:textId="77777777" w:rsidR="009D03FE" w:rsidRDefault="009D03FE" w:rsidP="009D03FE">
      <w:pPr>
        <w:spacing w:line="360" w:lineRule="auto"/>
        <w:jc w:val="both"/>
        <w:rPr>
          <w:rFonts w:cs="Arial"/>
          <w:sz w:val="22"/>
          <w:szCs w:val="22"/>
        </w:rPr>
      </w:pPr>
    </w:p>
    <w:p w14:paraId="6B3219B4" w14:textId="2C4DB84B" w:rsidR="00B7616A" w:rsidRDefault="009D03FE" w:rsidP="00B7616A">
      <w:pPr>
        <w:spacing w:line="360" w:lineRule="auto"/>
        <w:jc w:val="both"/>
        <w:rPr>
          <w:rFonts w:cs="Arial"/>
          <w:color w:val="000000"/>
          <w:sz w:val="22"/>
          <w:szCs w:val="22"/>
        </w:rPr>
      </w:pPr>
      <w:r w:rsidRPr="0039311E">
        <w:rPr>
          <w:rFonts w:cs="Arial"/>
          <w:sz w:val="22"/>
          <w:u w:val="single"/>
          <w:lang w:val="es-ES_tradnl"/>
        </w:rPr>
        <w:t xml:space="preserve">Minuto </w:t>
      </w:r>
      <w:r w:rsidR="00CE0BD5">
        <w:rPr>
          <w:rFonts w:cs="Arial"/>
          <w:sz w:val="22"/>
          <w:u w:val="single"/>
          <w:lang w:val="es-ES_tradnl"/>
        </w:rPr>
        <w:t>71</w:t>
      </w:r>
      <w:r w:rsidRPr="0039311E">
        <w:rPr>
          <w:rFonts w:cs="Arial"/>
          <w:sz w:val="22"/>
          <w:u w:val="single"/>
          <w:lang w:val="es-ES_tradnl"/>
        </w:rPr>
        <w:t>:</w:t>
      </w:r>
      <w:r w:rsidR="00CE0BD5">
        <w:rPr>
          <w:rFonts w:cs="Arial"/>
          <w:sz w:val="22"/>
          <w:u w:val="single"/>
          <w:lang w:val="es-ES_tradnl"/>
        </w:rPr>
        <w:t>50</w:t>
      </w:r>
      <w:r>
        <w:rPr>
          <w:rFonts w:cs="Arial"/>
          <w:sz w:val="22"/>
          <w:lang w:val="es-ES_tradnl"/>
        </w:rPr>
        <w:t xml:space="preserve"> Se</w:t>
      </w:r>
      <w:r w:rsidR="00B7616A" w:rsidRPr="00B7616A">
        <w:rPr>
          <w:rFonts w:cs="Arial"/>
          <w:sz w:val="22"/>
          <w:lang w:val="es-ES_tradnl"/>
        </w:rPr>
        <w:t xml:space="preserve"> </w:t>
      </w:r>
      <w:r w:rsidR="00B7616A">
        <w:rPr>
          <w:rFonts w:cs="Arial"/>
          <w:sz w:val="22"/>
          <w:szCs w:val="22"/>
        </w:rPr>
        <w:t xml:space="preserve">retira </w:t>
      </w:r>
      <w:r w:rsidR="00B7616A">
        <w:rPr>
          <w:sz w:val="22"/>
          <w:szCs w:val="22"/>
        </w:rPr>
        <w:t xml:space="preserve">temporalmente de la sesión el señor Gerente General, quien se excusa de participar en la discusión y resolución de este tema; y se procede a conocer el oficio </w:t>
      </w:r>
      <w:r w:rsidR="00B7616A">
        <w:rPr>
          <w:sz w:val="22"/>
        </w:rPr>
        <w:t xml:space="preserve">GG-ME-1417-2020 </w:t>
      </w:r>
      <w:r w:rsidR="00B7616A">
        <w:rPr>
          <w:rFonts w:cs="Arial"/>
          <w:sz w:val="22"/>
        </w:rPr>
        <w:t>del 25 de noviembre</w:t>
      </w:r>
      <w:r w:rsidR="00B7616A">
        <w:rPr>
          <w:sz w:val="22"/>
        </w:rPr>
        <w:t xml:space="preserve"> 2020, mediante el cual, el asistente de la </w:t>
      </w:r>
      <w:r w:rsidR="00B7616A" w:rsidRPr="00BF26AB">
        <w:rPr>
          <w:sz w:val="22"/>
        </w:rPr>
        <w:t>Gerencia General</w:t>
      </w:r>
      <w:r w:rsidR="00B7616A">
        <w:rPr>
          <w:sz w:val="22"/>
        </w:rPr>
        <w:t xml:space="preserve"> remite y avala el informe </w:t>
      </w:r>
      <w:r w:rsidR="00B7616A">
        <w:rPr>
          <w:rFonts w:cs="Arial"/>
          <w:sz w:val="22"/>
          <w:szCs w:val="22"/>
        </w:rPr>
        <w:t>DF</w:t>
      </w:r>
      <w:r w:rsidR="00B7616A" w:rsidRPr="00B35EAF">
        <w:rPr>
          <w:rFonts w:cs="Arial"/>
          <w:sz w:val="22"/>
          <w:szCs w:val="22"/>
        </w:rPr>
        <w:t>-OF-</w:t>
      </w:r>
      <w:r w:rsidR="00B7616A">
        <w:rPr>
          <w:rFonts w:cs="Arial"/>
          <w:sz w:val="22"/>
          <w:szCs w:val="22"/>
        </w:rPr>
        <w:t>1360</w:t>
      </w:r>
      <w:r w:rsidR="00B7616A" w:rsidRPr="00B35EAF">
        <w:rPr>
          <w:rFonts w:cs="Arial"/>
          <w:sz w:val="22"/>
          <w:szCs w:val="22"/>
        </w:rPr>
        <w:t>-20</w:t>
      </w:r>
      <w:r w:rsidR="00B7616A">
        <w:rPr>
          <w:rFonts w:cs="Arial"/>
          <w:sz w:val="22"/>
          <w:szCs w:val="22"/>
        </w:rPr>
        <w:t xml:space="preserve">20 de la </w:t>
      </w:r>
      <w:r w:rsidR="00B7616A" w:rsidRPr="00B35EAF">
        <w:rPr>
          <w:rFonts w:cs="Arial"/>
          <w:sz w:val="22"/>
          <w:szCs w:val="22"/>
        </w:rPr>
        <w:t>Dirección FOSUVI</w:t>
      </w:r>
      <w:r w:rsidR="00B7616A">
        <w:rPr>
          <w:sz w:val="22"/>
        </w:rPr>
        <w:t xml:space="preserve">, que contiene los resultados del estudio realizado a la solicitud de Mutual Cartago </w:t>
      </w:r>
      <w:r w:rsidR="00B7616A" w:rsidRPr="00DE6DD5">
        <w:rPr>
          <w:rFonts w:cs="Arial"/>
          <w:sz w:val="22"/>
          <w:lang w:val="es-ES_tradnl"/>
        </w:rPr>
        <w:t>de Ahorro y Préstamo</w:t>
      </w:r>
      <w:r w:rsidR="00B7616A">
        <w:rPr>
          <w:sz w:val="22"/>
        </w:rPr>
        <w:t xml:space="preserve">, </w:t>
      </w:r>
      <w:r w:rsidR="00B7616A" w:rsidRPr="00F90D90">
        <w:rPr>
          <w:sz w:val="22"/>
          <w:szCs w:val="22"/>
        </w:rPr>
        <w:t xml:space="preserve">para declarar la no objeción </w:t>
      </w:r>
      <w:r w:rsidR="00B7616A">
        <w:rPr>
          <w:sz w:val="22"/>
          <w:szCs w:val="22"/>
        </w:rPr>
        <w:t xml:space="preserve">del financiamiento para el desarrollo de las obras constructivas del proyecto denominado </w:t>
      </w:r>
      <w:r w:rsidR="00B7616A" w:rsidRPr="00004302">
        <w:rPr>
          <w:rFonts w:cs="Arial"/>
          <w:sz w:val="22"/>
        </w:rPr>
        <w:t xml:space="preserve">Parque </w:t>
      </w:r>
      <w:r w:rsidR="00B7616A">
        <w:rPr>
          <w:rFonts w:cs="Arial"/>
          <w:sz w:val="22"/>
        </w:rPr>
        <w:t xml:space="preserve">Esparcimiento La Cima, </w:t>
      </w:r>
      <w:r w:rsidR="00B7616A" w:rsidRPr="00004302">
        <w:rPr>
          <w:rFonts w:cs="Arial"/>
          <w:sz w:val="22"/>
        </w:rPr>
        <w:t xml:space="preserve">ubicado en el distrito </w:t>
      </w:r>
      <w:r w:rsidR="00B7616A">
        <w:rPr>
          <w:rFonts w:cs="Arial"/>
          <w:sz w:val="22"/>
        </w:rPr>
        <w:t>Concepción del cantón de La Unión,</w:t>
      </w:r>
      <w:r w:rsidR="00B7616A" w:rsidRPr="00004302">
        <w:rPr>
          <w:rFonts w:cs="Arial"/>
          <w:sz w:val="22"/>
        </w:rPr>
        <w:t xml:space="preserve"> provincia de </w:t>
      </w:r>
      <w:r w:rsidR="00B7616A">
        <w:rPr>
          <w:rFonts w:cs="Arial"/>
          <w:sz w:val="22"/>
        </w:rPr>
        <w:t>Cartago</w:t>
      </w:r>
      <w:r w:rsidR="00B7616A" w:rsidRPr="00004302">
        <w:rPr>
          <w:rFonts w:cs="Arial"/>
          <w:sz w:val="22"/>
        </w:rPr>
        <w:t>, bajo la modalidad de Bono Colectivo indicado en la Ley Nº 8627</w:t>
      </w:r>
      <w:r w:rsidR="00B7616A">
        <w:rPr>
          <w:rFonts w:cs="Arial"/>
          <w:sz w:val="22"/>
        </w:rPr>
        <w:t>.  Dichos documentos se adjuntan al expediente del acta.</w:t>
      </w:r>
    </w:p>
    <w:p w14:paraId="7C11085F" w14:textId="3C38FFFB" w:rsidR="00B7616A" w:rsidRDefault="00B7616A" w:rsidP="00B7616A">
      <w:pPr>
        <w:spacing w:line="360" w:lineRule="auto"/>
        <w:jc w:val="both"/>
        <w:rPr>
          <w:rFonts w:cs="Arial"/>
          <w:color w:val="000000"/>
          <w:sz w:val="22"/>
          <w:szCs w:val="22"/>
        </w:rPr>
      </w:pPr>
    </w:p>
    <w:p w14:paraId="347B19A0" w14:textId="304CB244" w:rsidR="00B7616A" w:rsidRDefault="009C07E8" w:rsidP="00B7616A">
      <w:pPr>
        <w:spacing w:line="360" w:lineRule="auto"/>
        <w:jc w:val="both"/>
        <w:rPr>
          <w:rFonts w:cs="Arial"/>
          <w:sz w:val="22"/>
        </w:rPr>
      </w:pPr>
      <w:r>
        <w:rPr>
          <w:rFonts w:cs="Arial"/>
          <w:sz w:val="22"/>
          <w:szCs w:val="22"/>
        </w:rPr>
        <w:t xml:space="preserve">Se incorpora a la sesión el Lic. Carlos Castro Miranda, asistente de la </w:t>
      </w:r>
      <w:r w:rsidRPr="009C07E8">
        <w:rPr>
          <w:rFonts w:cs="Arial"/>
          <w:sz w:val="22"/>
          <w:szCs w:val="22"/>
          <w:lang w:val="es-ES_tradnl"/>
        </w:rPr>
        <w:t>Gerencia General</w:t>
      </w:r>
      <w:r>
        <w:rPr>
          <w:rFonts w:cs="Arial"/>
          <w:sz w:val="22"/>
          <w:szCs w:val="22"/>
          <w:lang w:val="es-ES_tradnl"/>
        </w:rPr>
        <w:t xml:space="preserve">: y para </w:t>
      </w:r>
      <w:r w:rsidR="00B7616A">
        <w:rPr>
          <w:rFonts w:cs="Arial"/>
          <w:sz w:val="22"/>
          <w:szCs w:val="22"/>
        </w:rPr>
        <w:t xml:space="preserve">exponer el contenido del citado informe y atender eventuales consultas de carácter técnico sobre </w:t>
      </w:r>
      <w:r>
        <w:rPr>
          <w:rFonts w:cs="Arial"/>
          <w:sz w:val="22"/>
          <w:szCs w:val="22"/>
        </w:rPr>
        <w:t>el</w:t>
      </w:r>
      <w:r w:rsidR="00B7616A">
        <w:rPr>
          <w:rFonts w:cs="Arial"/>
          <w:sz w:val="22"/>
          <w:szCs w:val="22"/>
        </w:rPr>
        <w:t xml:space="preserve"> tema, se incorporan a la sesión la licenciada Camacho Murillo, Directora del FOSUVI, así como la arquitecta Mariella Salas Rodríguez, jefe del Departamento Técnico, quien presenta</w:t>
      </w:r>
      <w:r w:rsidR="00B7616A" w:rsidRPr="00EF3F93">
        <w:rPr>
          <w:rFonts w:cs="Arial"/>
          <w:sz w:val="22"/>
          <w:szCs w:val="22"/>
        </w:rPr>
        <w:t xml:space="preserve"> los antecedentes </w:t>
      </w:r>
      <w:r w:rsidR="00B7616A">
        <w:rPr>
          <w:rFonts w:cs="Arial"/>
          <w:sz w:val="22"/>
          <w:szCs w:val="22"/>
        </w:rPr>
        <w:t xml:space="preserve">y las características </w:t>
      </w:r>
      <w:r w:rsidR="00B7616A" w:rsidRPr="00EF3F93">
        <w:rPr>
          <w:rFonts w:cs="Arial"/>
          <w:sz w:val="22"/>
          <w:szCs w:val="22"/>
        </w:rPr>
        <w:t xml:space="preserve">de este </w:t>
      </w:r>
      <w:r>
        <w:rPr>
          <w:rFonts w:cs="Arial"/>
          <w:sz w:val="22"/>
          <w:szCs w:val="22"/>
        </w:rPr>
        <w:t>proyecto</w:t>
      </w:r>
      <w:r w:rsidR="00B7616A">
        <w:rPr>
          <w:rFonts w:cs="Arial"/>
          <w:sz w:val="22"/>
          <w:szCs w:val="22"/>
        </w:rPr>
        <w:t>, así como</w:t>
      </w:r>
      <w:r w:rsidR="00B7616A" w:rsidRPr="00EF3F93">
        <w:rPr>
          <w:rFonts w:cs="Arial"/>
          <w:sz w:val="22"/>
          <w:szCs w:val="22"/>
        </w:rPr>
        <w:t xml:space="preserve"> los aspectos más relevantes de la solicitud de</w:t>
      </w:r>
      <w:r>
        <w:rPr>
          <w:rFonts w:cs="Arial"/>
          <w:sz w:val="22"/>
          <w:szCs w:val="22"/>
        </w:rPr>
        <w:t xml:space="preserve"> la MUCAP</w:t>
      </w:r>
      <w:r w:rsidR="00B7616A">
        <w:rPr>
          <w:rFonts w:cs="Arial"/>
          <w:sz w:val="22"/>
          <w:szCs w:val="22"/>
        </w:rPr>
        <w:t xml:space="preserve"> </w:t>
      </w:r>
      <w:r w:rsidR="00B7616A">
        <w:rPr>
          <w:rFonts w:cs="Arial"/>
          <w:color w:val="000000"/>
          <w:sz w:val="22"/>
          <w:szCs w:val="22"/>
        </w:rPr>
        <w:t xml:space="preserve">y los resultados del proceso de licitación realizado por esa entidad autorizada; y sobre lo cual destaca que las obras tienen un costo total aproximado de </w:t>
      </w:r>
      <w:r w:rsidR="00B7616A" w:rsidRPr="00665466">
        <w:rPr>
          <w:rFonts w:cs="Arial"/>
          <w:color w:val="000000"/>
          <w:sz w:val="22"/>
          <w:szCs w:val="22"/>
        </w:rPr>
        <w:t>¢</w:t>
      </w:r>
      <w:r>
        <w:rPr>
          <w:rFonts w:cs="Arial"/>
          <w:color w:val="000000"/>
          <w:sz w:val="22"/>
          <w:szCs w:val="22"/>
        </w:rPr>
        <w:t>310</w:t>
      </w:r>
      <w:r w:rsidR="00B7616A">
        <w:rPr>
          <w:rFonts w:cs="Arial"/>
          <w:color w:val="000000"/>
          <w:sz w:val="22"/>
          <w:szCs w:val="22"/>
        </w:rPr>
        <w:t>,</w:t>
      </w:r>
      <w:r>
        <w:rPr>
          <w:rFonts w:cs="Arial"/>
          <w:color w:val="000000"/>
          <w:sz w:val="22"/>
          <w:szCs w:val="22"/>
        </w:rPr>
        <w:t>1</w:t>
      </w:r>
      <w:r w:rsidR="00B7616A" w:rsidRPr="000B5E18">
        <w:rPr>
          <w:rFonts w:cs="Arial"/>
          <w:sz w:val="22"/>
          <w:szCs w:val="22"/>
        </w:rPr>
        <w:t xml:space="preserve"> </w:t>
      </w:r>
      <w:r w:rsidR="00B7616A">
        <w:rPr>
          <w:rFonts w:cs="Arial"/>
          <w:color w:val="000000"/>
          <w:sz w:val="22"/>
          <w:szCs w:val="22"/>
        </w:rPr>
        <w:t xml:space="preserve">millones </w:t>
      </w:r>
      <w:r w:rsidR="00B7616A">
        <w:rPr>
          <w:rFonts w:cs="Arial"/>
          <w:sz w:val="22"/>
        </w:rPr>
        <w:t xml:space="preserve">y la empresa desarrolladora –de conformidad con los resultados del proceso realizado por la entidad– sería </w:t>
      </w:r>
      <w:r>
        <w:rPr>
          <w:rFonts w:cs="Arial"/>
          <w:sz w:val="22"/>
        </w:rPr>
        <w:t xml:space="preserve">el </w:t>
      </w:r>
      <w:r w:rsidRPr="009C07E8">
        <w:rPr>
          <w:rFonts w:cs="Arial"/>
          <w:sz w:val="22"/>
          <w:lang w:val="es-CR"/>
        </w:rPr>
        <w:t xml:space="preserve">Consorcio </w:t>
      </w:r>
      <w:proofErr w:type="spellStart"/>
      <w:r w:rsidRPr="009C07E8">
        <w:rPr>
          <w:rFonts w:cs="Arial"/>
          <w:sz w:val="22"/>
          <w:lang w:val="es-CR"/>
        </w:rPr>
        <w:t>Proyekta</w:t>
      </w:r>
      <w:proofErr w:type="spellEnd"/>
      <w:r w:rsidRPr="009C07E8">
        <w:rPr>
          <w:rFonts w:cs="Arial"/>
          <w:sz w:val="22"/>
          <w:lang w:val="es-CR"/>
        </w:rPr>
        <w:t>-Leiva</w:t>
      </w:r>
      <w:r>
        <w:rPr>
          <w:rFonts w:cs="Arial"/>
          <w:sz w:val="22"/>
          <w:lang w:val="es-CR"/>
        </w:rPr>
        <w:t>, el cual</w:t>
      </w:r>
      <w:r w:rsidR="00B7616A">
        <w:rPr>
          <w:rFonts w:cs="Arial"/>
          <w:sz w:val="22"/>
        </w:rPr>
        <w:t xml:space="preserve"> está debidamente inscrit</w:t>
      </w:r>
      <w:r>
        <w:rPr>
          <w:rFonts w:cs="Arial"/>
          <w:sz w:val="22"/>
        </w:rPr>
        <w:t>o</w:t>
      </w:r>
      <w:r w:rsidR="00B7616A">
        <w:rPr>
          <w:rFonts w:cs="Arial"/>
          <w:sz w:val="22"/>
        </w:rPr>
        <w:t xml:space="preserve"> en el CFIA y cumplió con todos los requisitos del cartel de licitación, quedando como adjudicatari</w:t>
      </w:r>
      <w:r>
        <w:rPr>
          <w:rFonts w:cs="Arial"/>
          <w:sz w:val="22"/>
        </w:rPr>
        <w:t>o</w:t>
      </w:r>
      <w:r w:rsidR="00B7616A">
        <w:rPr>
          <w:rFonts w:cs="Arial"/>
          <w:sz w:val="22"/>
        </w:rPr>
        <w:t xml:space="preserve"> del concurso.</w:t>
      </w:r>
    </w:p>
    <w:p w14:paraId="7192E55D" w14:textId="2CD0FCD5" w:rsidR="00B7616A" w:rsidRDefault="00B7616A" w:rsidP="00B7616A">
      <w:pPr>
        <w:spacing w:line="360" w:lineRule="auto"/>
        <w:jc w:val="both"/>
        <w:rPr>
          <w:rFonts w:cs="Arial"/>
          <w:sz w:val="22"/>
        </w:rPr>
      </w:pPr>
    </w:p>
    <w:p w14:paraId="2B76239D" w14:textId="3D485F82" w:rsidR="00B7616A" w:rsidRDefault="00B7616A" w:rsidP="00B7616A">
      <w:pPr>
        <w:autoSpaceDE w:val="0"/>
        <w:autoSpaceDN w:val="0"/>
        <w:adjustRightInd w:val="0"/>
        <w:spacing w:line="360" w:lineRule="auto"/>
        <w:jc w:val="both"/>
        <w:rPr>
          <w:rFonts w:cs="Arial"/>
          <w:sz w:val="22"/>
          <w:szCs w:val="22"/>
        </w:rPr>
      </w:pPr>
      <w:r>
        <w:rPr>
          <w:rFonts w:cs="Arial"/>
          <w:color w:val="000000"/>
          <w:sz w:val="22"/>
          <w:szCs w:val="22"/>
        </w:rPr>
        <w:t xml:space="preserve">Seguidamente, detalla </w:t>
      </w:r>
      <w:r w:rsidR="009C07E8">
        <w:rPr>
          <w:rFonts w:cs="Arial"/>
          <w:color w:val="000000"/>
          <w:sz w:val="22"/>
          <w:szCs w:val="22"/>
        </w:rPr>
        <w:t xml:space="preserve">el tipo y </w:t>
      </w:r>
      <w:r>
        <w:rPr>
          <w:rFonts w:cs="Arial"/>
          <w:color w:val="000000"/>
          <w:sz w:val="22"/>
          <w:szCs w:val="22"/>
        </w:rPr>
        <w:t xml:space="preserve">los costos de las obras a ejecutar en el </w:t>
      </w:r>
      <w:r w:rsidR="009C07E8">
        <w:rPr>
          <w:rFonts w:cs="Arial"/>
          <w:color w:val="000000"/>
          <w:sz w:val="22"/>
          <w:szCs w:val="22"/>
        </w:rPr>
        <w:t>sitio</w:t>
      </w:r>
      <w:r>
        <w:rPr>
          <w:rFonts w:cs="Arial"/>
          <w:color w:val="000000"/>
          <w:sz w:val="22"/>
          <w:szCs w:val="22"/>
        </w:rPr>
        <w:t xml:space="preserve">,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9C07E8">
        <w:rPr>
          <w:sz w:val="22"/>
          <w:szCs w:val="22"/>
        </w:rPr>
        <w:t>MUCAP</w:t>
      </w:r>
      <w:r>
        <w:rPr>
          <w:rFonts w:cs="Arial"/>
          <w:sz w:val="22"/>
          <w:szCs w:val="22"/>
        </w:rPr>
        <w:t>.</w:t>
      </w:r>
    </w:p>
    <w:p w14:paraId="6E40F734" w14:textId="77777777" w:rsidR="00B7616A" w:rsidRDefault="00B7616A" w:rsidP="00B7616A">
      <w:pPr>
        <w:autoSpaceDE w:val="0"/>
        <w:autoSpaceDN w:val="0"/>
        <w:adjustRightInd w:val="0"/>
        <w:spacing w:line="360" w:lineRule="auto"/>
        <w:jc w:val="both"/>
        <w:rPr>
          <w:rFonts w:cs="Arial"/>
          <w:sz w:val="22"/>
          <w:szCs w:val="22"/>
        </w:rPr>
      </w:pPr>
    </w:p>
    <w:p w14:paraId="50323C95" w14:textId="63C57FC2" w:rsidR="00207129" w:rsidRDefault="00B7616A" w:rsidP="00B7616A">
      <w:pPr>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sidR="00207129">
        <w:rPr>
          <w:rFonts w:cs="Arial"/>
          <w:sz w:val="22"/>
          <w:u w:val="single"/>
          <w:lang w:val="es-ES_tradnl"/>
        </w:rPr>
        <w:t>87</w:t>
      </w:r>
      <w:r w:rsidRPr="00A25DB7">
        <w:rPr>
          <w:rFonts w:cs="Arial"/>
          <w:sz w:val="22"/>
          <w:u w:val="single"/>
          <w:lang w:val="es-ES_tradnl"/>
        </w:rPr>
        <w:t>:</w:t>
      </w:r>
      <w:r w:rsidR="00207129">
        <w:rPr>
          <w:rFonts w:cs="Arial"/>
          <w:sz w:val="22"/>
          <w:u w:val="single"/>
          <w:lang w:val="es-ES_tradnl"/>
        </w:rPr>
        <w:t>3</w:t>
      </w:r>
      <w:r>
        <w:rPr>
          <w:rFonts w:cs="Arial"/>
          <w:sz w:val="22"/>
          <w:u w:val="single"/>
          <w:lang w:val="es-ES_tradnl"/>
        </w:rPr>
        <w:t>0</w:t>
      </w:r>
      <w:r>
        <w:rPr>
          <w:rFonts w:cs="Arial"/>
          <w:sz w:val="22"/>
          <w:lang w:val="es-ES_tradnl"/>
        </w:rPr>
        <w:t xml:space="preserve"> Se procede a analizar la información planteada por la </w:t>
      </w:r>
      <w:r w:rsidRPr="007170A9">
        <w:rPr>
          <w:rFonts w:cs="Arial"/>
          <w:sz w:val="22"/>
          <w:lang w:val="es-ES_tradnl"/>
        </w:rPr>
        <w:t>Administración</w:t>
      </w:r>
      <w:r>
        <w:rPr>
          <w:rFonts w:cs="Arial"/>
          <w:sz w:val="22"/>
          <w:lang w:val="es-ES_tradnl"/>
        </w:rPr>
        <w:t xml:space="preserve">, y </w:t>
      </w:r>
      <w:r w:rsidR="00207129">
        <w:rPr>
          <w:rFonts w:cs="Arial"/>
          <w:sz w:val="22"/>
          <w:lang w:val="es-ES_tradnl"/>
        </w:rPr>
        <w:t xml:space="preserve">la arquitecta Salas Rodríguez atiende las consultas que al respecto plantean los señores Directores y particularmente se concuerda en la conveniencia de revisar con la MUCAP, las situaciones que están generando poca participación de empresas en los concursos. </w:t>
      </w:r>
    </w:p>
    <w:p w14:paraId="0030DE9C" w14:textId="77777777" w:rsidR="00207129" w:rsidRDefault="00207129" w:rsidP="00B7616A">
      <w:pPr>
        <w:autoSpaceDE w:val="0"/>
        <w:autoSpaceDN w:val="0"/>
        <w:adjustRightInd w:val="0"/>
        <w:spacing w:line="360" w:lineRule="auto"/>
        <w:jc w:val="both"/>
        <w:rPr>
          <w:rFonts w:cs="Arial"/>
          <w:sz w:val="22"/>
          <w:lang w:val="es-ES_tradnl"/>
        </w:rPr>
      </w:pPr>
    </w:p>
    <w:p w14:paraId="67C6DA4F" w14:textId="69ED7D4E" w:rsidR="00B7616A" w:rsidRDefault="00B7616A" w:rsidP="00B7616A">
      <w:pPr>
        <w:spacing w:line="360" w:lineRule="auto"/>
        <w:jc w:val="both"/>
        <w:rPr>
          <w:rFonts w:cs="Arial"/>
          <w:sz w:val="22"/>
          <w:lang w:val="es-ES_tradnl"/>
        </w:rPr>
      </w:pPr>
      <w:r w:rsidRPr="00A25DB7">
        <w:rPr>
          <w:rFonts w:cs="Arial"/>
          <w:sz w:val="22"/>
          <w:u w:val="single"/>
          <w:lang w:val="es-ES_tradnl"/>
        </w:rPr>
        <w:t xml:space="preserve">Minuto </w:t>
      </w:r>
      <w:r w:rsidR="00EB047F">
        <w:rPr>
          <w:rFonts w:cs="Arial"/>
          <w:sz w:val="22"/>
          <w:u w:val="single"/>
          <w:lang w:val="es-ES_tradnl"/>
        </w:rPr>
        <w:t>94</w:t>
      </w:r>
      <w:r w:rsidRPr="00A25DB7">
        <w:rPr>
          <w:rFonts w:cs="Arial"/>
          <w:sz w:val="22"/>
          <w:u w:val="single"/>
          <w:lang w:val="es-ES_tradnl"/>
        </w:rPr>
        <w:t>:</w:t>
      </w:r>
      <w:r>
        <w:rPr>
          <w:rFonts w:cs="Arial"/>
          <w:sz w:val="22"/>
          <w:u w:val="single"/>
          <w:lang w:val="es-ES_tradnl"/>
        </w:rPr>
        <w:t>5</w:t>
      </w:r>
      <w:r w:rsidR="00EB047F">
        <w:rPr>
          <w:rFonts w:cs="Arial"/>
          <w:sz w:val="22"/>
          <w:u w:val="single"/>
          <w:lang w:val="es-ES_tradnl"/>
        </w:rPr>
        <w:t>5</w:t>
      </w:r>
      <w:r>
        <w:rPr>
          <w:rFonts w:cs="Arial"/>
          <w:sz w:val="22"/>
          <w:lang w:val="es-ES_tradnl"/>
        </w:rPr>
        <w:t xml:space="preserve"> Conocido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sidR="009C07E8">
        <w:rPr>
          <w:rFonts w:cs="Arial"/>
          <w:b/>
          <w:sz w:val="22"/>
          <w:szCs w:val="22"/>
        </w:rPr>
        <w:t>1</w:t>
      </w:r>
      <w:r>
        <w:rPr>
          <w:rFonts w:cs="Arial"/>
          <w:sz w:val="22"/>
          <w:szCs w:val="22"/>
        </w:rPr>
        <w:t xml:space="preserve"> que se anexa a esta minuta.</w:t>
      </w:r>
      <w:r>
        <w:rPr>
          <w:rFonts w:cs="Arial"/>
          <w:sz w:val="22"/>
          <w:lang w:val="es-ES_tradnl"/>
        </w:rPr>
        <w:t xml:space="preserve"> Acto seguido, se retira</w:t>
      </w:r>
      <w:r w:rsidR="00CB3802">
        <w:rPr>
          <w:rFonts w:cs="Arial"/>
          <w:sz w:val="22"/>
          <w:lang w:val="es-ES_tradnl"/>
        </w:rPr>
        <w:t>n</w:t>
      </w:r>
      <w:r>
        <w:rPr>
          <w:rFonts w:cs="Arial"/>
          <w:sz w:val="22"/>
          <w:lang w:val="es-ES_tradnl"/>
        </w:rPr>
        <w:t xml:space="preserve"> de la sesión </w:t>
      </w:r>
      <w:r w:rsidR="00CB3802">
        <w:rPr>
          <w:rFonts w:cs="Arial"/>
          <w:sz w:val="22"/>
          <w:lang w:val="es-ES_tradnl"/>
        </w:rPr>
        <w:t>l</w:t>
      </w:r>
      <w:r w:rsidR="00070FFE">
        <w:rPr>
          <w:rFonts w:cs="Arial"/>
          <w:sz w:val="22"/>
          <w:lang w:val="es-ES_tradnl"/>
        </w:rPr>
        <w:t>as</w:t>
      </w:r>
      <w:r w:rsidR="00CB3802">
        <w:rPr>
          <w:rFonts w:cs="Arial"/>
          <w:sz w:val="22"/>
          <w:lang w:val="es-ES_tradnl"/>
        </w:rPr>
        <w:t xml:space="preserve"> funcionari</w:t>
      </w:r>
      <w:r w:rsidR="00070FFE">
        <w:rPr>
          <w:rFonts w:cs="Arial"/>
          <w:sz w:val="22"/>
          <w:lang w:val="es-ES_tradnl"/>
        </w:rPr>
        <w:t>a</w:t>
      </w:r>
      <w:r w:rsidR="00CB3802">
        <w:rPr>
          <w:rFonts w:cs="Arial"/>
          <w:sz w:val="22"/>
          <w:lang w:val="es-ES_tradnl"/>
        </w:rPr>
        <w:t xml:space="preserve">s Camacho Murillo y </w:t>
      </w:r>
      <w:r>
        <w:rPr>
          <w:rFonts w:cs="Arial"/>
          <w:sz w:val="22"/>
          <w:lang w:val="es-ES_tradnl"/>
        </w:rPr>
        <w:t>Salas Rodríguez.</w:t>
      </w:r>
    </w:p>
    <w:p w14:paraId="2B99DA6B" w14:textId="77777777" w:rsidR="009D03FE" w:rsidRPr="00D14EAF" w:rsidRDefault="009D03FE" w:rsidP="009D03FE">
      <w:pPr>
        <w:spacing w:line="360" w:lineRule="auto"/>
        <w:jc w:val="both"/>
        <w:rPr>
          <w:rFonts w:cs="Arial"/>
          <w:b/>
          <w:sz w:val="22"/>
        </w:rPr>
      </w:pPr>
      <w:r w:rsidRPr="00D14EAF">
        <w:rPr>
          <w:rFonts w:cs="Arial"/>
          <w:b/>
          <w:sz w:val="22"/>
        </w:rPr>
        <w:t>************</w:t>
      </w:r>
    </w:p>
    <w:p w14:paraId="485D13E3" w14:textId="77777777" w:rsidR="009D03FE" w:rsidRDefault="009D03FE" w:rsidP="009D03FE">
      <w:pPr>
        <w:spacing w:line="360" w:lineRule="auto"/>
        <w:jc w:val="both"/>
        <w:rPr>
          <w:rFonts w:cs="Arial"/>
          <w:b/>
          <w:bCs/>
          <w:sz w:val="22"/>
          <w:szCs w:val="22"/>
          <w:u w:val="single"/>
          <w:lang w:val="es-ES_tradnl"/>
        </w:rPr>
      </w:pPr>
    </w:p>
    <w:p w14:paraId="35D0BD36" w14:textId="16F870E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8273E4">
        <w:rPr>
          <w:rFonts w:cs="Arial"/>
          <w:bCs/>
          <w:sz w:val="22"/>
          <w:szCs w:val="22"/>
          <w:lang w:val="es-ES_tradnl"/>
        </w:rPr>
        <w:t xml:space="preserve"> </w:t>
      </w:r>
      <w:r w:rsidR="008273E4" w:rsidRPr="005958C1">
        <w:rPr>
          <w:rFonts w:cs="Arial"/>
          <w:b/>
          <w:bCs/>
          <w:sz w:val="22"/>
          <w:u w:val="single"/>
        </w:rPr>
        <w:t>Informe de la Unidad de Cumplimiento Normativo sobre reunión con la SUGEF</w:t>
      </w:r>
    </w:p>
    <w:p w14:paraId="23F7A0FA" w14:textId="77777777" w:rsidR="009D03FE" w:rsidRDefault="009D03FE" w:rsidP="009D03FE">
      <w:pPr>
        <w:spacing w:line="360" w:lineRule="auto"/>
        <w:jc w:val="both"/>
        <w:rPr>
          <w:rFonts w:cs="Arial"/>
          <w:sz w:val="22"/>
          <w:szCs w:val="22"/>
        </w:rPr>
      </w:pPr>
    </w:p>
    <w:p w14:paraId="7DE49E1D" w14:textId="2F8D66ED" w:rsidR="004650FC"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4650FC">
        <w:rPr>
          <w:rFonts w:cs="Arial"/>
          <w:sz w:val="22"/>
          <w:u w:val="single"/>
          <w:lang w:val="es-ES_tradnl"/>
        </w:rPr>
        <w:t>118</w:t>
      </w:r>
      <w:r w:rsidRPr="0039311E">
        <w:rPr>
          <w:rFonts w:cs="Arial"/>
          <w:sz w:val="22"/>
          <w:u w:val="single"/>
          <w:lang w:val="es-ES_tradnl"/>
        </w:rPr>
        <w:t>:</w:t>
      </w:r>
      <w:r w:rsidR="004650FC">
        <w:rPr>
          <w:rFonts w:cs="Arial"/>
          <w:sz w:val="22"/>
          <w:u w:val="single"/>
          <w:lang w:val="es-ES_tradnl"/>
        </w:rPr>
        <w:t>15</w:t>
      </w:r>
      <w:r>
        <w:rPr>
          <w:rFonts w:cs="Arial"/>
          <w:sz w:val="22"/>
          <w:lang w:val="es-ES_tradnl"/>
        </w:rPr>
        <w:t xml:space="preserve"> </w:t>
      </w:r>
      <w:r w:rsidR="00CB3802">
        <w:rPr>
          <w:rFonts w:cs="Arial"/>
          <w:sz w:val="22"/>
          <w:lang w:val="es-ES_tradnl"/>
        </w:rPr>
        <w:t xml:space="preserve">Se reincorpora a la sesión el señor Gerente General, y se procede a conocer información de la Unidad de Cumplimiento Normativo, sobre </w:t>
      </w:r>
      <w:r w:rsidR="004650FC">
        <w:rPr>
          <w:rFonts w:cs="Arial"/>
          <w:sz w:val="22"/>
          <w:lang w:val="es-ES_tradnl"/>
        </w:rPr>
        <w:t xml:space="preserve">los asuntos tratados en una reciente sesión, con la </w:t>
      </w:r>
      <w:r w:rsidR="004650FC" w:rsidRPr="004650FC">
        <w:rPr>
          <w:rFonts w:cs="Arial"/>
          <w:sz w:val="22"/>
          <w:lang w:val="es-ES_tradnl"/>
        </w:rPr>
        <w:t>Superintendencia General de Entidades Financieras</w:t>
      </w:r>
      <w:r w:rsidR="004650FC">
        <w:rPr>
          <w:rFonts w:cs="Arial"/>
          <w:sz w:val="22"/>
          <w:lang w:val="es-ES_tradnl"/>
        </w:rPr>
        <w:t xml:space="preserve"> (SUGEF).</w:t>
      </w:r>
    </w:p>
    <w:p w14:paraId="14EAEB7A" w14:textId="13585328" w:rsidR="004650FC" w:rsidRDefault="004650FC" w:rsidP="009D03FE">
      <w:pPr>
        <w:spacing w:line="360" w:lineRule="auto"/>
        <w:jc w:val="both"/>
        <w:rPr>
          <w:rFonts w:cs="Arial"/>
          <w:sz w:val="22"/>
          <w:lang w:val="es-ES_tradnl"/>
        </w:rPr>
      </w:pPr>
    </w:p>
    <w:p w14:paraId="3E7AE2F9" w14:textId="11000023" w:rsidR="004650FC" w:rsidRDefault="004650FC" w:rsidP="009D03FE">
      <w:pPr>
        <w:spacing w:line="360" w:lineRule="auto"/>
        <w:jc w:val="both"/>
        <w:rPr>
          <w:rFonts w:cs="Arial"/>
          <w:sz w:val="22"/>
          <w:lang w:val="es-ES_tradnl"/>
        </w:rPr>
      </w:pPr>
      <w:r>
        <w:rPr>
          <w:rFonts w:cs="Arial"/>
          <w:sz w:val="22"/>
          <w:lang w:val="es-ES_tradnl"/>
        </w:rPr>
        <w:t xml:space="preserve">Para estos efectos, se incorpora a la sesión la licenciada Merlyn Jiménez Pérez, Oficial de Cumplimiento Normativo, quien informa que la SUGEF convocó a una reunión en la que, además, participaron representantes de la </w:t>
      </w:r>
      <w:r w:rsidRPr="004650FC">
        <w:rPr>
          <w:rFonts w:cs="Arial"/>
          <w:sz w:val="22"/>
          <w:lang w:val="es-ES_tradnl"/>
        </w:rPr>
        <w:t>Gerencia General</w:t>
      </w:r>
      <w:r>
        <w:rPr>
          <w:rFonts w:cs="Arial"/>
          <w:sz w:val="22"/>
          <w:lang w:val="es-ES_tradnl"/>
        </w:rPr>
        <w:t xml:space="preserve"> y la </w:t>
      </w:r>
      <w:r w:rsidRPr="004650FC">
        <w:rPr>
          <w:rFonts w:cs="Arial"/>
          <w:sz w:val="22"/>
          <w:lang w:val="es-ES_tradnl"/>
        </w:rPr>
        <w:t>Auditoría Interna</w:t>
      </w:r>
      <w:r>
        <w:rPr>
          <w:rFonts w:cs="Arial"/>
          <w:sz w:val="22"/>
          <w:lang w:val="es-ES_tradnl"/>
        </w:rPr>
        <w:t>, con el fin de analizar, en primera instancia, el plan de acciones correctivas que han surgido de los entes fiscalizadores; y en segundo término, el plan de acciones correctivas que se originaron de la auditoría externa sobre el cumplimiento del Acuerdo SUGEF 14-17.</w:t>
      </w:r>
    </w:p>
    <w:p w14:paraId="5B95554A" w14:textId="0AF5E056" w:rsidR="004650FC" w:rsidRDefault="004650FC" w:rsidP="009D03FE">
      <w:pPr>
        <w:spacing w:line="360" w:lineRule="auto"/>
        <w:jc w:val="both"/>
        <w:rPr>
          <w:rFonts w:cs="Arial"/>
          <w:sz w:val="22"/>
          <w:lang w:val="es-ES_tradnl"/>
        </w:rPr>
      </w:pPr>
    </w:p>
    <w:p w14:paraId="5A201184" w14:textId="77777777" w:rsidR="00070FFE" w:rsidRDefault="004650FC" w:rsidP="009D03FE">
      <w:pPr>
        <w:spacing w:line="360" w:lineRule="auto"/>
        <w:jc w:val="both"/>
        <w:rPr>
          <w:rFonts w:cs="Arial"/>
          <w:sz w:val="22"/>
          <w:lang w:val="es-ES_tradnl"/>
        </w:rPr>
      </w:pPr>
      <w:r>
        <w:rPr>
          <w:rFonts w:cs="Arial"/>
          <w:sz w:val="22"/>
          <w:lang w:val="es-ES_tradnl"/>
        </w:rPr>
        <w:t xml:space="preserve">Detalla los alcances de lo discutido con respecto a cada tema, al tiempo que atiende las consultas y las observaciones que al respecto van planteando los señores, y de cuyo análisis </w:t>
      </w:r>
      <w:r w:rsidR="00070FFE">
        <w:rPr>
          <w:rFonts w:cs="Arial"/>
          <w:sz w:val="22"/>
          <w:lang w:val="es-ES_tradnl"/>
        </w:rPr>
        <w:t>participan también el licenciado González Zumbado, el señor Gerente General y el Lic. Castro Miranda.</w:t>
      </w:r>
    </w:p>
    <w:p w14:paraId="6C69B622" w14:textId="77777777" w:rsidR="00070FFE" w:rsidRDefault="00070FFE" w:rsidP="009D03FE">
      <w:pPr>
        <w:spacing w:line="360" w:lineRule="auto"/>
        <w:jc w:val="both"/>
        <w:rPr>
          <w:rFonts w:cs="Arial"/>
          <w:sz w:val="22"/>
          <w:lang w:val="es-ES_tradnl"/>
        </w:rPr>
      </w:pPr>
    </w:p>
    <w:p w14:paraId="15ABFEAA" w14:textId="5BFBD808" w:rsidR="004650FC" w:rsidRDefault="00070FFE" w:rsidP="009D03FE">
      <w:pPr>
        <w:spacing w:line="360" w:lineRule="auto"/>
        <w:jc w:val="both"/>
        <w:rPr>
          <w:rFonts w:cs="Arial"/>
          <w:sz w:val="22"/>
          <w:lang w:val="es-ES_tradnl"/>
        </w:rPr>
      </w:pPr>
      <w:r w:rsidRPr="00A25DB7">
        <w:rPr>
          <w:rFonts w:cs="Arial"/>
          <w:sz w:val="22"/>
          <w:u w:val="single"/>
          <w:lang w:val="es-ES_tradnl"/>
        </w:rPr>
        <w:t xml:space="preserve">Minuto </w:t>
      </w:r>
      <w:r w:rsidR="00065B71">
        <w:rPr>
          <w:rFonts w:cs="Arial"/>
          <w:sz w:val="22"/>
          <w:u w:val="single"/>
          <w:lang w:val="es-ES_tradnl"/>
        </w:rPr>
        <w:t>166</w:t>
      </w:r>
      <w:r w:rsidRPr="00A25DB7">
        <w:rPr>
          <w:rFonts w:cs="Arial"/>
          <w:sz w:val="22"/>
          <w:u w:val="single"/>
          <w:lang w:val="es-ES_tradnl"/>
        </w:rPr>
        <w:t>:</w:t>
      </w:r>
      <w:r w:rsidR="00065B71">
        <w:rPr>
          <w:rFonts w:cs="Arial"/>
          <w:sz w:val="22"/>
          <w:u w:val="single"/>
          <w:lang w:val="es-ES_tradnl"/>
        </w:rPr>
        <w:t>49</w:t>
      </w:r>
      <w:r>
        <w:rPr>
          <w:rFonts w:cs="Arial"/>
          <w:sz w:val="22"/>
          <w:lang w:val="es-ES_tradnl"/>
        </w:rPr>
        <w:t xml:space="preserve"> De conformidad con </w:t>
      </w:r>
      <w:r w:rsidR="00065B71">
        <w:rPr>
          <w:rFonts w:cs="Arial"/>
          <w:sz w:val="22"/>
          <w:lang w:val="es-ES_tradnl"/>
        </w:rPr>
        <w:t>las valoraciones</w:t>
      </w:r>
      <w:r>
        <w:rPr>
          <w:rFonts w:cs="Arial"/>
          <w:sz w:val="22"/>
          <w:lang w:val="es-ES_tradnl"/>
        </w:rPr>
        <w:t xml:space="preserve"> realizad</w:t>
      </w:r>
      <w:r w:rsidR="00065B71">
        <w:rPr>
          <w:rFonts w:cs="Arial"/>
          <w:sz w:val="22"/>
          <w:lang w:val="es-ES_tradnl"/>
        </w:rPr>
        <w:t>as</w:t>
      </w:r>
      <w:r>
        <w:rPr>
          <w:rFonts w:cs="Arial"/>
          <w:sz w:val="22"/>
          <w:lang w:val="es-ES_tradnl"/>
        </w:rPr>
        <w:t xml:space="preserve"> en torno al tema y acogiendo una moción del Director </w:t>
      </w:r>
      <w:r w:rsidR="004650FC">
        <w:rPr>
          <w:rFonts w:cs="Arial"/>
          <w:sz w:val="22"/>
          <w:lang w:val="es-ES_tradnl"/>
        </w:rPr>
        <w:t xml:space="preserve">Alvarado Herrera, </w:t>
      </w:r>
      <w:r>
        <w:rPr>
          <w:rFonts w:cs="Arial"/>
          <w:sz w:val="22"/>
          <w:lang w:val="es-ES_tradnl"/>
        </w:rPr>
        <w:t xml:space="preserve">se concuerda en la conveniencia de girar instrucciones a la </w:t>
      </w:r>
      <w:r w:rsidRPr="00070FFE">
        <w:rPr>
          <w:rFonts w:cs="Arial"/>
          <w:sz w:val="22"/>
          <w:lang w:val="es-ES_tradnl"/>
        </w:rPr>
        <w:t>Gerencia General</w:t>
      </w:r>
      <w:r>
        <w:rPr>
          <w:rFonts w:cs="Arial"/>
          <w:sz w:val="22"/>
          <w:lang w:val="es-ES_tradnl"/>
        </w:rPr>
        <w:t xml:space="preserve">, a la </w:t>
      </w:r>
      <w:r w:rsidRPr="00070FFE">
        <w:rPr>
          <w:rFonts w:cs="Arial"/>
          <w:sz w:val="22"/>
          <w:lang w:val="es-ES_tradnl"/>
        </w:rPr>
        <w:t>Auditoría Interna</w:t>
      </w:r>
      <w:r>
        <w:rPr>
          <w:rFonts w:cs="Arial"/>
          <w:sz w:val="22"/>
          <w:lang w:val="es-ES_tradnl"/>
        </w:rPr>
        <w:t xml:space="preserve"> y a la Unidad de Cumplimiento Normativo, para que definan e implemente</w:t>
      </w:r>
      <w:r w:rsidR="00065B71">
        <w:rPr>
          <w:rFonts w:cs="Arial"/>
          <w:sz w:val="22"/>
          <w:lang w:val="es-ES_tradnl"/>
        </w:rPr>
        <w:t>n</w:t>
      </w:r>
      <w:r>
        <w:rPr>
          <w:rFonts w:cs="Arial"/>
          <w:sz w:val="22"/>
          <w:lang w:val="es-ES_tradnl"/>
        </w:rPr>
        <w:t xml:space="preserve"> un mecanismo ágil y efectivo</w:t>
      </w:r>
      <w:r w:rsidR="00065B71">
        <w:rPr>
          <w:rFonts w:cs="Arial"/>
          <w:sz w:val="22"/>
          <w:lang w:val="es-ES_tradnl"/>
        </w:rPr>
        <w:t>,</w:t>
      </w:r>
      <w:r>
        <w:rPr>
          <w:rFonts w:cs="Arial"/>
          <w:sz w:val="22"/>
          <w:lang w:val="es-ES_tradnl"/>
        </w:rPr>
        <w:t xml:space="preserve"> que le permita </w:t>
      </w:r>
      <w:r w:rsidR="00065B71">
        <w:rPr>
          <w:rFonts w:cs="Arial"/>
          <w:sz w:val="22"/>
          <w:lang w:val="es-ES_tradnl"/>
        </w:rPr>
        <w:t xml:space="preserve">mantener informada </w:t>
      </w:r>
      <w:r>
        <w:rPr>
          <w:rFonts w:cs="Arial"/>
          <w:sz w:val="22"/>
          <w:lang w:val="es-ES_tradnl"/>
        </w:rPr>
        <w:t xml:space="preserve">a esta </w:t>
      </w:r>
      <w:r w:rsidRPr="00070FFE">
        <w:rPr>
          <w:rFonts w:cs="Arial"/>
          <w:sz w:val="22"/>
          <w:lang w:val="es-ES_tradnl"/>
        </w:rPr>
        <w:t>Junta Directiva</w:t>
      </w:r>
      <w:r w:rsidR="00065B71">
        <w:rPr>
          <w:rFonts w:cs="Arial"/>
          <w:sz w:val="22"/>
          <w:lang w:val="es-ES_tradnl"/>
        </w:rPr>
        <w:t>,</w:t>
      </w:r>
      <w:r>
        <w:rPr>
          <w:rFonts w:cs="Arial"/>
          <w:sz w:val="22"/>
          <w:lang w:val="es-ES_tradnl"/>
        </w:rPr>
        <w:t xml:space="preserve"> de los hechos relevantes tratados con la </w:t>
      </w:r>
      <w:r w:rsidRPr="00070FFE">
        <w:rPr>
          <w:rFonts w:cs="Arial"/>
          <w:sz w:val="22"/>
          <w:lang w:val="es-ES_tradnl"/>
        </w:rPr>
        <w:t>Superintendencia General de Entidades Financieras</w:t>
      </w:r>
      <w:r>
        <w:rPr>
          <w:rFonts w:cs="Arial"/>
          <w:sz w:val="22"/>
          <w:lang w:val="es-ES_tradnl"/>
        </w:rPr>
        <w:t xml:space="preserve">.  Lo anterior, según se consigna en el </w:t>
      </w:r>
      <w:r w:rsidRPr="00070FFE">
        <w:rPr>
          <w:rFonts w:cs="Arial"/>
          <w:b/>
          <w:bCs/>
          <w:sz w:val="22"/>
          <w:lang w:val="es-ES_tradnl"/>
        </w:rPr>
        <w:t>Acuerdo N° 2</w:t>
      </w:r>
      <w:r>
        <w:rPr>
          <w:rFonts w:cs="Arial"/>
          <w:sz w:val="22"/>
          <w:lang w:val="es-ES_tradnl"/>
        </w:rPr>
        <w:t xml:space="preserve"> que se anexa a esta minuta.</w:t>
      </w:r>
    </w:p>
    <w:p w14:paraId="1C54B86B" w14:textId="77777777" w:rsidR="009D03FE" w:rsidRPr="00D14EAF" w:rsidRDefault="009D03FE" w:rsidP="009D03FE">
      <w:pPr>
        <w:spacing w:line="360" w:lineRule="auto"/>
        <w:jc w:val="both"/>
        <w:rPr>
          <w:rFonts w:cs="Arial"/>
          <w:b/>
          <w:sz w:val="22"/>
        </w:rPr>
      </w:pPr>
      <w:r w:rsidRPr="00D14EAF">
        <w:rPr>
          <w:rFonts w:cs="Arial"/>
          <w:b/>
          <w:sz w:val="22"/>
        </w:rPr>
        <w:t>************</w:t>
      </w:r>
    </w:p>
    <w:p w14:paraId="7933B52A" w14:textId="77777777" w:rsidR="009D03FE" w:rsidRDefault="009D03FE" w:rsidP="009D03FE">
      <w:pPr>
        <w:spacing w:line="360" w:lineRule="auto"/>
        <w:jc w:val="both"/>
        <w:rPr>
          <w:rFonts w:cs="Arial"/>
          <w:b/>
          <w:sz w:val="22"/>
          <w:szCs w:val="22"/>
          <w:u w:val="single"/>
          <w:lang w:val="es-ES_tradnl"/>
        </w:rPr>
      </w:pPr>
    </w:p>
    <w:p w14:paraId="4FB9F35C" w14:textId="724685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273E4" w:rsidRPr="005958C1">
        <w:rPr>
          <w:rFonts w:cs="Arial"/>
          <w:b/>
          <w:bCs/>
          <w:sz w:val="22"/>
          <w:u w:val="single"/>
          <w:lang w:val="es-ES_tradnl"/>
        </w:rPr>
        <w:t>Informe de la Unidad de Cumplimiento Normativo - Octubre 2020</w:t>
      </w:r>
    </w:p>
    <w:p w14:paraId="2BB9E7DD" w14:textId="77777777" w:rsidR="009D03FE" w:rsidRDefault="009D03FE" w:rsidP="009D03FE">
      <w:pPr>
        <w:spacing w:line="360" w:lineRule="auto"/>
        <w:jc w:val="both"/>
        <w:rPr>
          <w:rFonts w:cs="Arial"/>
          <w:sz w:val="22"/>
          <w:szCs w:val="22"/>
        </w:rPr>
      </w:pPr>
    </w:p>
    <w:p w14:paraId="7FFDF56C" w14:textId="2FD1FD61" w:rsidR="00065B7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65B71">
        <w:rPr>
          <w:rFonts w:cs="Arial"/>
          <w:sz w:val="22"/>
          <w:u w:val="single"/>
          <w:lang w:val="es-ES_tradnl"/>
        </w:rPr>
        <w:t>168</w:t>
      </w:r>
      <w:r w:rsidRPr="0039311E">
        <w:rPr>
          <w:rFonts w:cs="Arial"/>
          <w:sz w:val="22"/>
          <w:u w:val="single"/>
          <w:lang w:val="es-ES_tradnl"/>
        </w:rPr>
        <w:t>:</w:t>
      </w:r>
      <w:r w:rsidR="00065B71">
        <w:rPr>
          <w:rFonts w:cs="Arial"/>
          <w:sz w:val="22"/>
          <w:u w:val="single"/>
          <w:lang w:val="es-ES_tradnl"/>
        </w:rPr>
        <w:t>00</w:t>
      </w:r>
      <w:r>
        <w:rPr>
          <w:rFonts w:cs="Arial"/>
          <w:sz w:val="22"/>
          <w:lang w:val="es-ES_tradnl"/>
        </w:rPr>
        <w:t xml:space="preserve"> </w:t>
      </w:r>
      <w:r w:rsidR="00065B71">
        <w:rPr>
          <w:rFonts w:cs="Arial"/>
          <w:sz w:val="22"/>
          <w:lang w:val="es-ES_tradnl"/>
        </w:rPr>
        <w:t xml:space="preserve">Se procede a conocer un informe de la Unidad de Cumplimiento Normativo, sobre los resultados del </w:t>
      </w:r>
      <w:r w:rsidR="00065B71" w:rsidRPr="00065B71">
        <w:rPr>
          <w:rFonts w:cs="Arial"/>
          <w:sz w:val="22"/>
          <w:lang w:val="es-ES_tradnl"/>
        </w:rPr>
        <w:t xml:space="preserve">diagnóstico </w:t>
      </w:r>
      <w:r w:rsidR="00065B71">
        <w:rPr>
          <w:rFonts w:cs="Arial"/>
          <w:sz w:val="22"/>
          <w:lang w:val="es-ES_tradnl"/>
        </w:rPr>
        <w:t xml:space="preserve">efectuado a </w:t>
      </w:r>
      <w:r w:rsidR="00065B71" w:rsidRPr="00065B71">
        <w:rPr>
          <w:rFonts w:cs="Arial"/>
          <w:sz w:val="22"/>
          <w:lang w:val="es-ES_tradnl"/>
        </w:rPr>
        <w:t xml:space="preserve">la operativa y </w:t>
      </w:r>
      <w:r w:rsidR="00065B71">
        <w:rPr>
          <w:rFonts w:cs="Arial"/>
          <w:sz w:val="22"/>
          <w:lang w:val="es-ES_tradnl"/>
        </w:rPr>
        <w:t xml:space="preserve">la </w:t>
      </w:r>
      <w:r w:rsidR="00065B71" w:rsidRPr="00065B71">
        <w:rPr>
          <w:rFonts w:cs="Arial"/>
          <w:sz w:val="22"/>
          <w:lang w:val="es-ES_tradnl"/>
        </w:rPr>
        <w:t xml:space="preserve">gestión </w:t>
      </w:r>
      <w:r w:rsidR="00065B71">
        <w:rPr>
          <w:rFonts w:cs="Arial"/>
          <w:sz w:val="22"/>
          <w:lang w:val="es-ES_tradnl"/>
        </w:rPr>
        <w:t>de la a</w:t>
      </w:r>
      <w:r w:rsidR="00065B71" w:rsidRPr="00065B71">
        <w:rPr>
          <w:rFonts w:cs="Arial"/>
          <w:sz w:val="22"/>
          <w:lang w:val="es-ES_tradnl"/>
        </w:rPr>
        <w:t>dministración de</w:t>
      </w:r>
      <w:r w:rsidR="00065B71">
        <w:rPr>
          <w:rFonts w:cs="Arial"/>
          <w:sz w:val="22"/>
          <w:lang w:val="es-ES_tradnl"/>
        </w:rPr>
        <w:t>l</w:t>
      </w:r>
      <w:r w:rsidR="00065B71" w:rsidRPr="00065B71">
        <w:rPr>
          <w:rFonts w:cs="Arial"/>
          <w:sz w:val="22"/>
          <w:lang w:val="es-ES_tradnl"/>
        </w:rPr>
        <w:t xml:space="preserve"> riesgo de </w:t>
      </w:r>
      <w:r w:rsidR="00065B71">
        <w:rPr>
          <w:rFonts w:cs="Arial"/>
          <w:sz w:val="22"/>
          <w:lang w:val="es-ES_tradnl"/>
        </w:rPr>
        <w:t>G</w:t>
      </w:r>
      <w:r w:rsidR="00065B71" w:rsidRPr="00065B71">
        <w:rPr>
          <w:rFonts w:cs="Arial"/>
          <w:sz w:val="22"/>
          <w:lang w:val="es-ES_tradnl"/>
        </w:rPr>
        <w:t xml:space="preserve">obierno </w:t>
      </w:r>
      <w:r w:rsidR="00065B71">
        <w:rPr>
          <w:rFonts w:cs="Arial"/>
          <w:sz w:val="22"/>
          <w:lang w:val="es-ES_tradnl"/>
        </w:rPr>
        <w:t>C</w:t>
      </w:r>
      <w:r w:rsidR="00065B71" w:rsidRPr="00065B71">
        <w:rPr>
          <w:rFonts w:cs="Arial"/>
          <w:sz w:val="22"/>
          <w:lang w:val="es-ES_tradnl"/>
        </w:rPr>
        <w:t xml:space="preserve">orporativo y </w:t>
      </w:r>
      <w:r w:rsidR="00065B71">
        <w:rPr>
          <w:rFonts w:cs="Arial"/>
          <w:sz w:val="22"/>
          <w:lang w:val="es-ES_tradnl"/>
        </w:rPr>
        <w:t xml:space="preserve">del </w:t>
      </w:r>
      <w:r w:rsidR="00065B71" w:rsidRPr="00065B71">
        <w:rPr>
          <w:rFonts w:cs="Arial"/>
          <w:sz w:val="22"/>
          <w:lang w:val="es-ES_tradnl"/>
        </w:rPr>
        <w:t>riesgo de cumplimiento</w:t>
      </w:r>
      <w:r w:rsidR="00065B71">
        <w:rPr>
          <w:rFonts w:cs="Arial"/>
          <w:sz w:val="22"/>
          <w:lang w:val="es-ES_tradnl"/>
        </w:rPr>
        <w:t>.  Dicho documento se adjunta al expediente del acta.</w:t>
      </w:r>
    </w:p>
    <w:p w14:paraId="25F23CF2" w14:textId="5918C70F" w:rsidR="00065B71" w:rsidRDefault="00065B71" w:rsidP="009D03FE">
      <w:pPr>
        <w:spacing w:line="360" w:lineRule="auto"/>
        <w:jc w:val="both"/>
        <w:rPr>
          <w:rFonts w:cs="Arial"/>
          <w:sz w:val="22"/>
          <w:lang w:val="es-ES_tradnl"/>
        </w:rPr>
      </w:pPr>
    </w:p>
    <w:p w14:paraId="100C550B" w14:textId="1B29F231" w:rsidR="00065B71" w:rsidRDefault="00065B71" w:rsidP="009D03FE">
      <w:pPr>
        <w:spacing w:line="360" w:lineRule="auto"/>
        <w:jc w:val="both"/>
        <w:rPr>
          <w:rFonts w:cs="Arial"/>
          <w:sz w:val="22"/>
          <w:lang w:val="es-ES_tradnl"/>
        </w:rPr>
      </w:pPr>
      <w:r>
        <w:rPr>
          <w:rFonts w:cs="Arial"/>
          <w:sz w:val="22"/>
          <w:lang w:val="es-ES_tradnl"/>
        </w:rPr>
        <w:t xml:space="preserve">La licenciada Jiménez Pérez presenta el contenido de dicho informe, destacando que el mismo se efectuó de </w:t>
      </w:r>
      <w:r w:rsidRPr="00065B71">
        <w:rPr>
          <w:rFonts w:cs="Arial"/>
          <w:sz w:val="22"/>
          <w:lang w:val="es-ES_tradnl"/>
        </w:rPr>
        <w:t xml:space="preserve">acuerdo con lo establecido en los </w:t>
      </w:r>
      <w:r>
        <w:rPr>
          <w:rFonts w:cs="Arial"/>
          <w:sz w:val="22"/>
          <w:lang w:val="es-ES_tradnl"/>
        </w:rPr>
        <w:t>a</w:t>
      </w:r>
      <w:r w:rsidRPr="00065B71">
        <w:rPr>
          <w:rFonts w:cs="Arial"/>
          <w:sz w:val="22"/>
          <w:lang w:val="es-ES_tradnl"/>
        </w:rPr>
        <w:t>cuerdo</w:t>
      </w:r>
      <w:r>
        <w:rPr>
          <w:rFonts w:cs="Arial"/>
          <w:sz w:val="22"/>
          <w:lang w:val="es-ES_tradnl"/>
        </w:rPr>
        <w:t>s</w:t>
      </w:r>
      <w:r w:rsidRPr="00065B71">
        <w:rPr>
          <w:rFonts w:cs="Arial"/>
          <w:sz w:val="22"/>
          <w:lang w:val="es-ES_tradnl"/>
        </w:rPr>
        <w:t xml:space="preserve"> SUGEF 22-18</w:t>
      </w:r>
      <w:r>
        <w:rPr>
          <w:rFonts w:cs="Arial"/>
          <w:sz w:val="22"/>
          <w:lang w:val="es-ES_tradnl"/>
        </w:rPr>
        <w:t xml:space="preserve"> y SUGEF</w:t>
      </w:r>
      <w:r w:rsidRPr="00065B71">
        <w:rPr>
          <w:rFonts w:cs="Arial"/>
          <w:sz w:val="22"/>
          <w:lang w:val="es-ES_tradnl"/>
        </w:rPr>
        <w:t xml:space="preserve"> </w:t>
      </w:r>
      <w:r w:rsidRPr="00065B71">
        <w:rPr>
          <w:rFonts w:cs="Arial"/>
          <w:sz w:val="22"/>
          <w:lang w:val="es-ES_tradnl"/>
        </w:rPr>
        <w:lastRenderedPageBreak/>
        <w:t>16-16</w:t>
      </w:r>
      <w:r>
        <w:rPr>
          <w:rFonts w:cs="Arial"/>
          <w:sz w:val="22"/>
          <w:lang w:val="es-ES_tradnl"/>
        </w:rPr>
        <w:t xml:space="preserve">, y </w:t>
      </w:r>
      <w:r w:rsidRPr="00065B71">
        <w:rPr>
          <w:rFonts w:cs="Arial"/>
          <w:sz w:val="22"/>
          <w:lang w:val="es-ES_tradnl"/>
        </w:rPr>
        <w:t>la revisión se enfocó en las áreas de alto nivel, órgano de dirección, comités de apoyo y alta gerencia</w:t>
      </w:r>
      <w:r>
        <w:rPr>
          <w:rFonts w:cs="Arial"/>
          <w:sz w:val="22"/>
          <w:lang w:val="es-ES_tradnl"/>
        </w:rPr>
        <w:t>; y además</w:t>
      </w:r>
      <w:r w:rsidRPr="00065B71">
        <w:rPr>
          <w:rFonts w:cs="Arial"/>
          <w:sz w:val="22"/>
          <w:lang w:val="es-ES_tradnl"/>
        </w:rPr>
        <w:t xml:space="preserve"> considera las recomendaciones de buenas prácticas de gobernanza</w:t>
      </w:r>
      <w:r>
        <w:rPr>
          <w:rFonts w:cs="Arial"/>
          <w:sz w:val="22"/>
          <w:lang w:val="es-ES_tradnl"/>
        </w:rPr>
        <w:t>.</w:t>
      </w:r>
    </w:p>
    <w:p w14:paraId="097964EC" w14:textId="112176F9" w:rsidR="00065B71" w:rsidRDefault="00065B71" w:rsidP="009D03FE">
      <w:pPr>
        <w:spacing w:line="360" w:lineRule="auto"/>
        <w:jc w:val="both"/>
        <w:rPr>
          <w:rFonts w:cs="Arial"/>
          <w:sz w:val="22"/>
          <w:lang w:val="es-ES_tradnl"/>
        </w:rPr>
      </w:pPr>
    </w:p>
    <w:p w14:paraId="2FDB670E" w14:textId="59CAD726" w:rsidR="00065B71" w:rsidRDefault="00065B71" w:rsidP="009D03FE">
      <w:pPr>
        <w:spacing w:line="360" w:lineRule="auto"/>
        <w:jc w:val="both"/>
        <w:rPr>
          <w:rFonts w:cs="Arial"/>
          <w:sz w:val="22"/>
          <w:lang w:val="es-ES_tradnl"/>
        </w:rPr>
      </w:pPr>
      <w:r>
        <w:rPr>
          <w:rFonts w:cs="Arial"/>
          <w:sz w:val="22"/>
          <w:lang w:val="es-ES_tradnl"/>
        </w:rPr>
        <w:t xml:space="preserve">Luego expone los resultados y las recomendaciones del estudio, y al respecto atiende las consultas y las observaciones que </w:t>
      </w:r>
      <w:r w:rsidR="0038022C">
        <w:rPr>
          <w:rFonts w:cs="Arial"/>
          <w:sz w:val="22"/>
          <w:lang w:val="es-ES_tradnl"/>
        </w:rPr>
        <w:t xml:space="preserve">desarrollan </w:t>
      </w:r>
      <w:r>
        <w:rPr>
          <w:rFonts w:cs="Arial"/>
          <w:sz w:val="22"/>
          <w:lang w:val="es-ES_tradnl"/>
        </w:rPr>
        <w:t xml:space="preserve">los señores Directores, quienes finalmente concuerdan </w:t>
      </w:r>
      <w:r w:rsidR="006A02B5">
        <w:rPr>
          <w:rFonts w:cs="Arial"/>
          <w:sz w:val="22"/>
          <w:lang w:val="es-ES_tradnl"/>
        </w:rPr>
        <w:t xml:space="preserve">(minuto 202:46) </w:t>
      </w:r>
      <w:r>
        <w:rPr>
          <w:rFonts w:cs="Arial"/>
          <w:sz w:val="22"/>
          <w:lang w:val="es-ES_tradnl"/>
        </w:rPr>
        <w:t>en la conveniencia de que</w:t>
      </w:r>
      <w:r w:rsidR="0038022C">
        <w:rPr>
          <w:rFonts w:cs="Arial"/>
          <w:sz w:val="22"/>
          <w:lang w:val="es-ES_tradnl"/>
        </w:rPr>
        <w:t xml:space="preserve"> </w:t>
      </w:r>
      <w:r w:rsidR="006A02B5">
        <w:rPr>
          <w:rFonts w:cs="Arial"/>
          <w:sz w:val="22"/>
          <w:lang w:val="es-ES_tradnl"/>
        </w:rPr>
        <w:t xml:space="preserve">este </w:t>
      </w:r>
      <w:r w:rsidR="0038022C">
        <w:rPr>
          <w:rFonts w:cs="Arial"/>
          <w:sz w:val="22"/>
          <w:lang w:val="es-ES_tradnl"/>
        </w:rPr>
        <w:t>informe</w:t>
      </w:r>
      <w:r w:rsidR="006A02B5">
        <w:rPr>
          <w:rFonts w:cs="Arial"/>
          <w:sz w:val="22"/>
          <w:lang w:val="es-ES_tradnl"/>
        </w:rPr>
        <w:t xml:space="preserve"> sea ampliado por parte de la licenciada Jiménez Pérez</w:t>
      </w:r>
      <w:r w:rsidR="00E81E85">
        <w:rPr>
          <w:rFonts w:cs="Arial"/>
          <w:sz w:val="22"/>
          <w:lang w:val="es-ES_tradnl"/>
        </w:rPr>
        <w:t xml:space="preserve">, con datos </w:t>
      </w:r>
      <w:r w:rsidR="0038022C">
        <w:rPr>
          <w:rFonts w:cs="Arial"/>
          <w:sz w:val="22"/>
          <w:lang w:val="es-ES_tradnl"/>
        </w:rPr>
        <w:t xml:space="preserve">más claros y detallados sobre los hallazgos y el fundamento de las conclusiones y recomendaciones, de forma tal que esta </w:t>
      </w:r>
      <w:r w:rsidR="0038022C" w:rsidRPr="0038022C">
        <w:rPr>
          <w:rFonts w:cs="Arial"/>
          <w:sz w:val="22"/>
          <w:lang w:val="es-ES_tradnl"/>
        </w:rPr>
        <w:t>Junta Directiva</w:t>
      </w:r>
      <w:r w:rsidR="0038022C">
        <w:rPr>
          <w:rFonts w:cs="Arial"/>
          <w:sz w:val="22"/>
          <w:lang w:val="es-ES_tradnl"/>
        </w:rPr>
        <w:t xml:space="preserve"> pueda contar suficientes elementos de juicio para tomar decisiones sobre los temas planteados y lograr subsanar las debilidades que se</w:t>
      </w:r>
      <w:r w:rsidR="00E81E85">
        <w:rPr>
          <w:rFonts w:cs="Arial"/>
          <w:sz w:val="22"/>
          <w:lang w:val="es-ES_tradnl"/>
        </w:rPr>
        <w:t xml:space="preserve"> han</w:t>
      </w:r>
      <w:r w:rsidR="0038022C">
        <w:rPr>
          <w:rFonts w:cs="Arial"/>
          <w:sz w:val="22"/>
          <w:lang w:val="es-ES_tradnl"/>
        </w:rPr>
        <w:t xml:space="preserve"> identificad</w:t>
      </w:r>
      <w:r w:rsidR="00E81E85">
        <w:rPr>
          <w:rFonts w:cs="Arial"/>
          <w:sz w:val="22"/>
          <w:lang w:val="es-ES_tradnl"/>
        </w:rPr>
        <w:t>o</w:t>
      </w:r>
      <w:r w:rsidR="0038022C">
        <w:rPr>
          <w:rFonts w:cs="Arial"/>
          <w:sz w:val="22"/>
          <w:lang w:val="es-ES_tradnl"/>
        </w:rPr>
        <w:t xml:space="preserve"> por la Unidad de Cumplimiento Normativo.</w:t>
      </w:r>
    </w:p>
    <w:p w14:paraId="2ADABAD0" w14:textId="77777777" w:rsidR="009D03FE" w:rsidRPr="00D14EAF" w:rsidRDefault="009D03FE" w:rsidP="009D03FE">
      <w:pPr>
        <w:spacing w:line="360" w:lineRule="auto"/>
        <w:jc w:val="both"/>
        <w:rPr>
          <w:rFonts w:cs="Arial"/>
          <w:b/>
          <w:sz w:val="22"/>
        </w:rPr>
      </w:pPr>
      <w:r w:rsidRPr="00D14EAF">
        <w:rPr>
          <w:rFonts w:cs="Arial"/>
          <w:b/>
          <w:sz w:val="22"/>
        </w:rPr>
        <w:t>************</w:t>
      </w:r>
    </w:p>
    <w:p w14:paraId="5A562890" w14:textId="77777777" w:rsidR="00E97960" w:rsidRDefault="00E97960" w:rsidP="00E97960">
      <w:pPr>
        <w:spacing w:line="360" w:lineRule="auto"/>
        <w:jc w:val="both"/>
        <w:rPr>
          <w:rFonts w:cs="Arial"/>
          <w:sz w:val="22"/>
          <w:szCs w:val="22"/>
        </w:rPr>
      </w:pPr>
    </w:p>
    <w:p w14:paraId="365F07C3" w14:textId="44E15DB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81E85">
        <w:rPr>
          <w:rFonts w:cs="Arial"/>
          <w:szCs w:val="22"/>
          <w:u w:val="single"/>
        </w:rPr>
        <w:t>212</w:t>
      </w:r>
      <w:r w:rsidRPr="00E97960">
        <w:rPr>
          <w:rFonts w:cs="Arial"/>
          <w:szCs w:val="22"/>
          <w:u w:val="single"/>
        </w:rPr>
        <w:t>:</w:t>
      </w:r>
      <w:r w:rsidR="00E81E85">
        <w:rPr>
          <w:rFonts w:cs="Arial"/>
          <w:szCs w:val="22"/>
          <w:u w:val="single"/>
        </w:rPr>
        <w:t>50</w:t>
      </w:r>
      <w:r>
        <w:rPr>
          <w:rFonts w:cs="Arial"/>
          <w:szCs w:val="22"/>
        </w:rPr>
        <w:t xml:space="preserve"> </w:t>
      </w:r>
      <w:r w:rsidR="00FA4CCB" w:rsidRPr="00AB2826">
        <w:rPr>
          <w:rFonts w:cs="Arial"/>
          <w:szCs w:val="22"/>
        </w:rPr>
        <w:t xml:space="preserve">Siendo las </w:t>
      </w:r>
      <w:r w:rsidR="00E81E85">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E81E85">
        <w:rPr>
          <w:rFonts w:cs="Arial"/>
          <w:szCs w:val="22"/>
        </w:rPr>
        <w:t xml:space="preserve">cuarenta </w:t>
      </w:r>
      <w:r w:rsidR="00EC7E01">
        <w:rPr>
          <w:rFonts w:cs="Arial"/>
          <w:szCs w:val="22"/>
        </w:rPr>
        <w:t>minutos</w:t>
      </w:r>
      <w:r w:rsidR="00FA4CCB" w:rsidRPr="00AB2826">
        <w:rPr>
          <w:rFonts w:cs="Arial"/>
          <w:szCs w:val="22"/>
        </w:rPr>
        <w:t>, se levanta la sesión.</w:t>
      </w:r>
    </w:p>
    <w:p w14:paraId="76B98972" w14:textId="77777777" w:rsidR="006321F4" w:rsidRPr="00D14EAF" w:rsidRDefault="006321F4" w:rsidP="002D0146">
      <w:pPr>
        <w:spacing w:line="360" w:lineRule="auto"/>
        <w:jc w:val="both"/>
        <w:rPr>
          <w:rFonts w:cs="Arial"/>
          <w:b/>
          <w:sz w:val="22"/>
        </w:rPr>
      </w:pPr>
      <w:r w:rsidRPr="00D14EAF">
        <w:rPr>
          <w:rFonts w:cs="Arial"/>
          <w:b/>
          <w:sz w:val="22"/>
        </w:rPr>
        <w:t>************</w:t>
      </w:r>
    </w:p>
    <w:p w14:paraId="46DAD0CD" w14:textId="77777777" w:rsidR="002B71CC" w:rsidRDefault="002B71CC">
      <w:pPr>
        <w:rPr>
          <w:rFonts w:cs="Arial"/>
          <w:sz w:val="22"/>
          <w:szCs w:val="22"/>
        </w:rPr>
      </w:pPr>
      <w:r>
        <w:rPr>
          <w:rFonts w:cs="Arial"/>
          <w:sz w:val="22"/>
          <w:szCs w:val="22"/>
        </w:rPr>
        <w:br w:type="page"/>
      </w:r>
    </w:p>
    <w:p w14:paraId="53892203" w14:textId="77777777" w:rsidR="00FA4CCB" w:rsidRDefault="00FA4CCB" w:rsidP="00AB2826">
      <w:pPr>
        <w:spacing w:line="360" w:lineRule="auto"/>
        <w:jc w:val="both"/>
        <w:rPr>
          <w:rFonts w:cs="Arial"/>
          <w:sz w:val="22"/>
          <w:szCs w:val="22"/>
        </w:rPr>
      </w:pPr>
    </w:p>
    <w:p w14:paraId="4EEAA940" w14:textId="77777777" w:rsidR="002B71CC" w:rsidRDefault="002B71CC" w:rsidP="00AB2826">
      <w:pPr>
        <w:spacing w:line="360" w:lineRule="auto"/>
        <w:jc w:val="both"/>
        <w:rPr>
          <w:rFonts w:cs="Arial"/>
          <w:sz w:val="22"/>
          <w:szCs w:val="22"/>
        </w:rPr>
      </w:pPr>
    </w:p>
    <w:p w14:paraId="1B6BE620" w14:textId="77777777" w:rsidR="002B71CC" w:rsidRDefault="002B71CC" w:rsidP="002B71CC">
      <w:pPr>
        <w:pStyle w:val="Ttulo"/>
        <w:ind w:right="51"/>
        <w:rPr>
          <w:rFonts w:cs="Arial"/>
        </w:rPr>
      </w:pPr>
      <w:r>
        <w:rPr>
          <w:rFonts w:cs="Arial"/>
        </w:rPr>
        <w:t>BANCO HIPOTECARIO DE LA VIVIENDA</w:t>
      </w:r>
    </w:p>
    <w:p w14:paraId="1568265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7942489" w14:textId="77777777" w:rsidR="002B71CC" w:rsidRDefault="002B71CC" w:rsidP="002B71CC">
      <w:pPr>
        <w:spacing w:line="360" w:lineRule="auto"/>
        <w:ind w:right="51"/>
        <w:jc w:val="center"/>
        <w:rPr>
          <w:rFonts w:cs="Arial"/>
          <w:b/>
          <w:sz w:val="22"/>
          <w:u w:val="single"/>
        </w:rPr>
      </w:pPr>
    </w:p>
    <w:p w14:paraId="694A6D70" w14:textId="5132926A"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F72A2">
        <w:rPr>
          <w:rFonts w:cs="Arial"/>
          <w:b/>
          <w:sz w:val="22"/>
          <w:u w:val="single"/>
        </w:rPr>
        <w:t>EXTRA</w:t>
      </w:r>
      <w:r>
        <w:rPr>
          <w:rFonts w:cs="Arial"/>
          <w:b/>
          <w:sz w:val="22"/>
          <w:u w:val="single"/>
        </w:rPr>
        <w:t xml:space="preserve">ORDINARIA N° </w:t>
      </w:r>
      <w:r w:rsidR="00BF72A2">
        <w:rPr>
          <w:rFonts w:cs="Arial"/>
          <w:b/>
          <w:sz w:val="22"/>
          <w:u w:val="single"/>
        </w:rPr>
        <w:t>93</w:t>
      </w:r>
      <w:r>
        <w:rPr>
          <w:rFonts w:cs="Arial"/>
          <w:b/>
          <w:sz w:val="22"/>
          <w:u w:val="single"/>
        </w:rPr>
        <w:t>-20</w:t>
      </w:r>
      <w:r w:rsidR="00E97960">
        <w:rPr>
          <w:rFonts w:cs="Arial"/>
          <w:b/>
          <w:sz w:val="22"/>
          <w:u w:val="single"/>
        </w:rPr>
        <w:t>20</w:t>
      </w:r>
    </w:p>
    <w:p w14:paraId="67556170" w14:textId="1B626530" w:rsidR="002B71CC" w:rsidRDefault="002B71CC" w:rsidP="002B71CC">
      <w:pPr>
        <w:spacing w:line="360" w:lineRule="auto"/>
        <w:ind w:right="51"/>
        <w:jc w:val="center"/>
        <w:rPr>
          <w:rFonts w:cs="Arial"/>
          <w:b/>
          <w:sz w:val="22"/>
          <w:u w:val="single"/>
        </w:rPr>
      </w:pPr>
      <w:r>
        <w:rPr>
          <w:rFonts w:cs="Arial"/>
          <w:b/>
          <w:sz w:val="22"/>
          <w:u w:val="single"/>
        </w:rPr>
        <w:t xml:space="preserve">DEL </w:t>
      </w:r>
      <w:r w:rsidR="00BF72A2">
        <w:rPr>
          <w:rFonts w:cs="Arial"/>
          <w:b/>
          <w:sz w:val="22"/>
          <w:u w:val="single"/>
        </w:rPr>
        <w:t>26</w:t>
      </w:r>
      <w:r>
        <w:rPr>
          <w:rFonts w:cs="Arial"/>
          <w:b/>
          <w:sz w:val="22"/>
          <w:u w:val="single"/>
        </w:rPr>
        <w:t xml:space="preserve"> DE </w:t>
      </w:r>
      <w:r w:rsidR="00BF72A2">
        <w:rPr>
          <w:rFonts w:cs="Arial"/>
          <w:b/>
          <w:sz w:val="22"/>
          <w:u w:val="single"/>
        </w:rPr>
        <w:t>NOVIEMBRE</w:t>
      </w:r>
      <w:r>
        <w:rPr>
          <w:rFonts w:cs="Arial"/>
          <w:b/>
          <w:sz w:val="22"/>
          <w:u w:val="single"/>
        </w:rPr>
        <w:t xml:space="preserve"> DE 20</w:t>
      </w:r>
      <w:r w:rsidR="00E97960">
        <w:rPr>
          <w:rFonts w:cs="Arial"/>
          <w:b/>
          <w:sz w:val="22"/>
          <w:u w:val="single"/>
        </w:rPr>
        <w:t>20</w:t>
      </w:r>
    </w:p>
    <w:p w14:paraId="5187FA46" w14:textId="77777777" w:rsidR="002B71CC" w:rsidRDefault="002B71CC" w:rsidP="00AB2826">
      <w:pPr>
        <w:spacing w:line="360" w:lineRule="auto"/>
        <w:jc w:val="both"/>
        <w:rPr>
          <w:rFonts w:cs="Arial"/>
          <w:sz w:val="22"/>
          <w:szCs w:val="22"/>
        </w:rPr>
      </w:pPr>
    </w:p>
    <w:p w14:paraId="5A7463D6" w14:textId="77777777" w:rsidR="002B71CC" w:rsidRDefault="002B71CC" w:rsidP="002B71CC">
      <w:pPr>
        <w:spacing w:line="360" w:lineRule="auto"/>
        <w:jc w:val="both"/>
        <w:rPr>
          <w:rFonts w:cs="Arial"/>
          <w:sz w:val="22"/>
          <w:lang w:val="es-ES_tradnl"/>
        </w:rPr>
      </w:pPr>
    </w:p>
    <w:p w14:paraId="3E26E9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B098CCC" w14:textId="77777777" w:rsidR="009C07E8" w:rsidRDefault="009C07E8" w:rsidP="009C07E8">
      <w:pPr>
        <w:spacing w:line="360" w:lineRule="auto"/>
        <w:ind w:right="51"/>
        <w:jc w:val="both"/>
        <w:rPr>
          <w:rFonts w:cs="Arial"/>
          <w:b/>
          <w:bCs/>
          <w:sz w:val="22"/>
        </w:rPr>
      </w:pPr>
      <w:r>
        <w:rPr>
          <w:rFonts w:cs="Arial"/>
          <w:b/>
          <w:bCs/>
          <w:sz w:val="22"/>
        </w:rPr>
        <w:t>Considerando:</w:t>
      </w:r>
    </w:p>
    <w:p w14:paraId="386B74E8" w14:textId="16A25460" w:rsidR="009C07E8" w:rsidRDefault="009C07E8" w:rsidP="009C07E8">
      <w:pPr>
        <w:spacing w:line="360" w:lineRule="auto"/>
        <w:jc w:val="both"/>
        <w:rPr>
          <w:rFonts w:cs="Arial"/>
          <w:sz w:val="22"/>
        </w:rPr>
      </w:pPr>
      <w:r>
        <w:rPr>
          <w:rFonts w:cs="Arial"/>
          <w:b/>
          <w:bCs/>
          <w:sz w:val="22"/>
        </w:rPr>
        <w:t>Primero:</w:t>
      </w:r>
      <w:r>
        <w:rPr>
          <w:rFonts w:cs="Arial"/>
          <w:sz w:val="22"/>
        </w:rPr>
        <w:t xml:space="preserve"> Que mediante el acuerdo N° 1 de la sesión </w:t>
      </w:r>
      <w:r w:rsidR="00207129">
        <w:rPr>
          <w:rFonts w:cs="Arial"/>
          <w:sz w:val="22"/>
        </w:rPr>
        <w:t>06</w:t>
      </w:r>
      <w:r>
        <w:rPr>
          <w:rFonts w:cs="Arial"/>
          <w:sz w:val="22"/>
        </w:rPr>
        <w:t>-201</w:t>
      </w:r>
      <w:r w:rsidR="00207129">
        <w:rPr>
          <w:rFonts w:cs="Arial"/>
          <w:sz w:val="22"/>
        </w:rPr>
        <w:t>8</w:t>
      </w:r>
      <w:r>
        <w:rPr>
          <w:rFonts w:cs="Arial"/>
          <w:sz w:val="22"/>
        </w:rPr>
        <w:t xml:space="preserve"> del </w:t>
      </w:r>
      <w:r w:rsidR="00207129">
        <w:rPr>
          <w:rFonts w:cs="Arial"/>
          <w:sz w:val="22"/>
        </w:rPr>
        <w:t>29</w:t>
      </w:r>
      <w:r>
        <w:rPr>
          <w:rFonts w:cs="Arial"/>
          <w:sz w:val="22"/>
        </w:rPr>
        <w:t xml:space="preserve"> de </w:t>
      </w:r>
      <w:r w:rsidR="00207129">
        <w:rPr>
          <w:rFonts w:cs="Arial"/>
          <w:sz w:val="22"/>
        </w:rPr>
        <w:t>enero</w:t>
      </w:r>
      <w:r>
        <w:rPr>
          <w:rFonts w:cs="Arial"/>
          <w:sz w:val="22"/>
        </w:rPr>
        <w:t xml:space="preserve"> de 201</w:t>
      </w:r>
      <w:r w:rsidR="00207129">
        <w:rPr>
          <w:rFonts w:cs="Arial"/>
          <w:sz w:val="22"/>
        </w:rPr>
        <w:t>8</w:t>
      </w:r>
      <w:r>
        <w:rPr>
          <w:rFonts w:cs="Arial"/>
          <w:sz w:val="22"/>
        </w:rPr>
        <w:t xml:space="preserve">, la Junta Directiva de este Banco aprobó </w:t>
      </w:r>
      <w:r w:rsidRPr="00004302">
        <w:rPr>
          <w:rFonts w:cs="Arial"/>
          <w:sz w:val="22"/>
        </w:rPr>
        <w:t xml:space="preserve">el perfil del proyecto y el registro de parámetros para el desarrollo de obras relacionadas con el mejoramiento de la infraestructura del </w:t>
      </w:r>
      <w:r>
        <w:rPr>
          <w:rFonts w:cs="Arial"/>
          <w:sz w:val="22"/>
        </w:rPr>
        <w:t xml:space="preserve">área recreativa denominada </w:t>
      </w:r>
      <w:r w:rsidRPr="00004302">
        <w:rPr>
          <w:rFonts w:cs="Arial"/>
          <w:sz w:val="22"/>
        </w:rPr>
        <w:t xml:space="preserve">Parque </w:t>
      </w:r>
      <w:r w:rsidR="00207129">
        <w:rPr>
          <w:rFonts w:cs="Arial"/>
          <w:sz w:val="22"/>
        </w:rPr>
        <w:t>Esparcimiento La Cima</w:t>
      </w:r>
      <w:r w:rsidRPr="00004302">
        <w:rPr>
          <w:rFonts w:cs="Arial"/>
          <w:sz w:val="22"/>
        </w:rPr>
        <w:t xml:space="preserve">, </w:t>
      </w:r>
      <w:r w:rsidR="00207129" w:rsidRPr="00004302">
        <w:rPr>
          <w:rFonts w:cs="Arial"/>
          <w:sz w:val="22"/>
        </w:rPr>
        <w:t xml:space="preserve">ubicado en el distrito </w:t>
      </w:r>
      <w:r w:rsidR="00207129">
        <w:rPr>
          <w:rFonts w:cs="Arial"/>
          <w:sz w:val="22"/>
        </w:rPr>
        <w:t>Concepción del cantón de La Unión,</w:t>
      </w:r>
      <w:r w:rsidR="00207129" w:rsidRPr="00004302">
        <w:rPr>
          <w:rFonts w:cs="Arial"/>
          <w:sz w:val="22"/>
        </w:rPr>
        <w:t xml:space="preserve"> provincia de </w:t>
      </w:r>
      <w:r w:rsidR="00207129">
        <w:rPr>
          <w:rFonts w:cs="Arial"/>
          <w:sz w:val="22"/>
        </w:rPr>
        <w:t xml:space="preserve">Cartago, </w:t>
      </w:r>
      <w:r w:rsidRPr="00004302">
        <w:rPr>
          <w:rFonts w:cs="Arial"/>
          <w:sz w:val="22"/>
        </w:rPr>
        <w:t xml:space="preserve">bajo la modalidad de Bono Colectivo indicado en la Ley Nº 8627, </w:t>
      </w:r>
      <w:r w:rsidR="00207129">
        <w:rPr>
          <w:rFonts w:cs="Arial"/>
          <w:sz w:val="22"/>
        </w:rPr>
        <w:t xml:space="preserve">y </w:t>
      </w:r>
      <w:r w:rsidRPr="00004302">
        <w:rPr>
          <w:rFonts w:cs="Arial"/>
          <w:sz w:val="22"/>
        </w:rPr>
        <w:t xml:space="preserve">actuando </w:t>
      </w:r>
      <w:r w:rsidR="00207129">
        <w:rPr>
          <w:rFonts w:cs="Arial"/>
          <w:sz w:val="22"/>
        </w:rPr>
        <w:t xml:space="preserve">Mutual Cartago </w:t>
      </w:r>
      <w:r w:rsidR="00207129" w:rsidRPr="00207129">
        <w:rPr>
          <w:rFonts w:cs="Arial"/>
          <w:sz w:val="22"/>
          <w:lang w:val="es-ES_tradnl"/>
        </w:rPr>
        <w:t>de Ahorro y Préstamo</w:t>
      </w:r>
      <w:r w:rsidR="00207129">
        <w:rPr>
          <w:rFonts w:cs="Arial"/>
          <w:sz w:val="22"/>
          <w:lang w:val="es-ES_tradnl"/>
        </w:rPr>
        <w:t xml:space="preserve"> (MUCAP) </w:t>
      </w:r>
      <w:r w:rsidRPr="00004302">
        <w:rPr>
          <w:rFonts w:cs="Arial"/>
          <w:sz w:val="22"/>
        </w:rPr>
        <w:t>como entidad autorizada</w:t>
      </w:r>
      <w:r>
        <w:rPr>
          <w:rFonts w:cs="Arial"/>
          <w:sz w:val="22"/>
        </w:rPr>
        <w:t>.</w:t>
      </w:r>
    </w:p>
    <w:p w14:paraId="0D70B96F" w14:textId="77777777" w:rsidR="009C07E8" w:rsidRDefault="009C07E8" w:rsidP="009C07E8">
      <w:pPr>
        <w:spacing w:line="360" w:lineRule="auto"/>
        <w:jc w:val="both"/>
        <w:rPr>
          <w:rFonts w:cs="Arial"/>
          <w:sz w:val="22"/>
        </w:rPr>
      </w:pPr>
    </w:p>
    <w:p w14:paraId="38867FF0" w14:textId="0E0FE219" w:rsidR="009C07E8" w:rsidRDefault="009C07E8" w:rsidP="009C07E8">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r w:rsidR="00207129">
        <w:rPr>
          <w:rFonts w:cs="Arial"/>
          <w:color w:val="000000"/>
          <w:sz w:val="22"/>
          <w:szCs w:val="22"/>
        </w:rPr>
        <w:t>MUCAP</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00207129">
        <w:rPr>
          <w:rFonts w:cs="Arial"/>
          <w:sz w:val="22"/>
        </w:rPr>
        <w:t xml:space="preserve">el </w:t>
      </w:r>
      <w:r w:rsidR="00207129" w:rsidRPr="009C07E8">
        <w:rPr>
          <w:rFonts w:cs="Arial"/>
          <w:sz w:val="22"/>
          <w:lang w:val="es-CR"/>
        </w:rPr>
        <w:t xml:space="preserve">Consorcio </w:t>
      </w:r>
      <w:proofErr w:type="spellStart"/>
      <w:r w:rsidR="00207129" w:rsidRPr="009C07E8">
        <w:rPr>
          <w:rFonts w:cs="Arial"/>
          <w:sz w:val="22"/>
          <w:lang w:val="es-CR"/>
        </w:rPr>
        <w:t>Proyekta</w:t>
      </w:r>
      <w:proofErr w:type="spellEnd"/>
      <w:r w:rsidR="00207129" w:rsidRPr="009C07E8">
        <w:rPr>
          <w:rFonts w:cs="Arial"/>
          <w:sz w:val="22"/>
          <w:lang w:val="es-CR"/>
        </w:rPr>
        <w:t>-Leiva</w:t>
      </w:r>
      <w:r>
        <w:rPr>
          <w:rFonts w:cs="Arial"/>
          <w:color w:val="000000"/>
          <w:sz w:val="22"/>
          <w:szCs w:val="22"/>
        </w:rPr>
        <w:t xml:space="preserve">. </w:t>
      </w:r>
    </w:p>
    <w:p w14:paraId="1AE6DEE6" w14:textId="77777777" w:rsidR="009C07E8" w:rsidRDefault="009C07E8" w:rsidP="009C07E8">
      <w:pPr>
        <w:spacing w:line="360" w:lineRule="auto"/>
        <w:ind w:right="51"/>
        <w:jc w:val="both"/>
        <w:rPr>
          <w:rFonts w:cs="Arial"/>
          <w:b/>
          <w:bCs/>
          <w:sz w:val="22"/>
        </w:rPr>
      </w:pPr>
    </w:p>
    <w:p w14:paraId="2601E6B0" w14:textId="41787CC9" w:rsidR="009C07E8" w:rsidRDefault="009C07E8" w:rsidP="009C07E8">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DF-DT-IN-0</w:t>
      </w:r>
      <w:r w:rsidR="00207129">
        <w:rPr>
          <w:rFonts w:cs="Arial"/>
          <w:sz w:val="22"/>
        </w:rPr>
        <w:t>811</w:t>
      </w:r>
      <w:r>
        <w:rPr>
          <w:rFonts w:cs="Arial"/>
          <w:sz w:val="22"/>
        </w:rPr>
        <w:t>-2020 y DF-OF-</w:t>
      </w:r>
      <w:r w:rsidR="00207129">
        <w:rPr>
          <w:rFonts w:cs="Arial"/>
          <w:sz w:val="22"/>
        </w:rPr>
        <w:t>1360</w:t>
      </w:r>
      <w:r>
        <w:rPr>
          <w:rFonts w:cs="Arial"/>
          <w:sz w:val="22"/>
        </w:rPr>
        <w:t>-20</w:t>
      </w:r>
      <w:r w:rsidR="00207129">
        <w:rPr>
          <w:rFonts w:cs="Arial"/>
          <w:sz w:val="22"/>
        </w:rPr>
        <w:t xml:space="preserve">20, ambos del </w:t>
      </w:r>
      <w:r>
        <w:rPr>
          <w:rFonts w:cs="Arial"/>
          <w:sz w:val="22"/>
        </w:rPr>
        <w:t>2</w:t>
      </w:r>
      <w:r w:rsidR="00207129">
        <w:rPr>
          <w:rFonts w:cs="Arial"/>
          <w:sz w:val="22"/>
        </w:rPr>
        <w:t>4</w:t>
      </w:r>
      <w:r>
        <w:rPr>
          <w:rFonts w:cs="Arial"/>
          <w:sz w:val="22"/>
        </w:rPr>
        <w:t xml:space="preserve"> de </w:t>
      </w:r>
      <w:r w:rsidR="00207129">
        <w:rPr>
          <w:rFonts w:cs="Arial"/>
          <w:sz w:val="22"/>
        </w:rPr>
        <w:t>octubre</w:t>
      </w:r>
      <w:r>
        <w:rPr>
          <w:rFonts w:cs="Arial"/>
          <w:sz w:val="22"/>
        </w:rPr>
        <w:t xml:space="preserve"> de 2020 –los cuales son avalados por </w:t>
      </w:r>
      <w:r w:rsidR="00207129">
        <w:rPr>
          <w:rFonts w:cs="Arial"/>
          <w:sz w:val="22"/>
        </w:rPr>
        <w:t xml:space="preserve">el asistente de </w:t>
      </w:r>
      <w:r>
        <w:rPr>
          <w:rFonts w:cs="Arial"/>
          <w:sz w:val="22"/>
        </w:rPr>
        <w:t xml:space="preserve">la </w:t>
      </w:r>
      <w:r w:rsidRPr="005E597C">
        <w:rPr>
          <w:rFonts w:cs="Arial"/>
          <w:sz w:val="22"/>
          <w:szCs w:val="22"/>
        </w:rPr>
        <w:t>Gerencia General</w:t>
      </w:r>
      <w:r>
        <w:rPr>
          <w:rFonts w:cs="Arial"/>
          <w:sz w:val="22"/>
          <w:szCs w:val="22"/>
        </w:rPr>
        <w:t xml:space="preserve"> con la nota GG-ME-</w:t>
      </w:r>
      <w:r w:rsidR="00207129">
        <w:rPr>
          <w:rFonts w:cs="Arial"/>
          <w:sz w:val="22"/>
          <w:szCs w:val="22"/>
        </w:rPr>
        <w:t>1417</w:t>
      </w:r>
      <w:r>
        <w:rPr>
          <w:rFonts w:cs="Arial"/>
          <w:sz w:val="22"/>
          <w:szCs w:val="22"/>
        </w:rPr>
        <w:t>-20</w:t>
      </w:r>
      <w:r w:rsidR="00207129">
        <w:rPr>
          <w:rFonts w:cs="Arial"/>
          <w:sz w:val="22"/>
          <w:szCs w:val="22"/>
        </w:rPr>
        <w:t>20</w:t>
      </w:r>
      <w:r>
        <w:rPr>
          <w:rFonts w:cs="Arial"/>
          <w:sz w:val="22"/>
          <w:szCs w:val="22"/>
        </w:rPr>
        <w:t xml:space="preserve"> del 2</w:t>
      </w:r>
      <w:r w:rsidR="00207129">
        <w:rPr>
          <w:rFonts w:cs="Arial"/>
          <w:sz w:val="22"/>
          <w:szCs w:val="22"/>
        </w:rPr>
        <w:t>5</w:t>
      </w:r>
      <w:r>
        <w:rPr>
          <w:rFonts w:cs="Arial"/>
          <w:sz w:val="22"/>
          <w:szCs w:val="22"/>
        </w:rPr>
        <w:t>/</w:t>
      </w:r>
      <w:r w:rsidR="00207129">
        <w:rPr>
          <w:rFonts w:cs="Arial"/>
          <w:sz w:val="22"/>
          <w:szCs w:val="22"/>
        </w:rPr>
        <w:t>11</w:t>
      </w:r>
      <w:r>
        <w:rPr>
          <w:rFonts w:cs="Arial"/>
          <w:sz w:val="22"/>
          <w:szCs w:val="22"/>
        </w:rPr>
        <w:t xml:space="preserve">/2020– la </w:t>
      </w:r>
      <w:r>
        <w:rPr>
          <w:rFonts w:cs="Arial"/>
          <w:sz w:val="22"/>
        </w:rPr>
        <w:t>Dirección FOSUVI presenta el correspondiente dictamen técnico sobre la solicitud del Grupo Mutual,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31FBAC34" w14:textId="77777777" w:rsidR="009C07E8" w:rsidRPr="008F7C6B" w:rsidRDefault="009C07E8" w:rsidP="009C07E8">
      <w:pPr>
        <w:spacing w:line="360" w:lineRule="auto"/>
        <w:jc w:val="both"/>
        <w:rPr>
          <w:b/>
          <w:bCs/>
          <w:sz w:val="22"/>
          <w:szCs w:val="22"/>
        </w:rPr>
      </w:pPr>
    </w:p>
    <w:p w14:paraId="1F0A1E8F" w14:textId="3479334B" w:rsidR="009C07E8" w:rsidRPr="005F6BA4" w:rsidRDefault="009C07E8" w:rsidP="009C07E8">
      <w:pPr>
        <w:spacing w:line="360" w:lineRule="auto"/>
        <w:jc w:val="both"/>
        <w:rPr>
          <w:sz w:val="22"/>
          <w:szCs w:val="22"/>
        </w:rPr>
      </w:pPr>
      <w:r>
        <w:rPr>
          <w:b/>
          <w:bCs/>
          <w:sz w:val="22"/>
          <w:szCs w:val="22"/>
          <w:lang w:val="es-CR"/>
        </w:rPr>
        <w:lastRenderedPageBreak/>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w:t>
      </w:r>
      <w:r w:rsidR="00FC138E">
        <w:rPr>
          <w:rFonts w:cs="Arial"/>
          <w:sz w:val="22"/>
        </w:rPr>
        <w:t>1360</w:t>
      </w:r>
      <w:r>
        <w:rPr>
          <w:rFonts w:cs="Arial"/>
          <w:sz w:val="22"/>
        </w:rPr>
        <w:t>-2020.</w:t>
      </w:r>
      <w:r w:rsidRPr="003C2EA9">
        <w:rPr>
          <w:rFonts w:cs="Arial"/>
          <w:sz w:val="22"/>
        </w:rPr>
        <w:t xml:space="preserve"> </w:t>
      </w:r>
    </w:p>
    <w:p w14:paraId="62431B5B" w14:textId="77777777" w:rsidR="009C07E8" w:rsidRDefault="009C07E8" w:rsidP="009C07E8">
      <w:pPr>
        <w:spacing w:line="360" w:lineRule="auto"/>
        <w:ind w:right="51"/>
        <w:jc w:val="both"/>
        <w:rPr>
          <w:rFonts w:cs="Arial"/>
          <w:b/>
          <w:sz w:val="22"/>
        </w:rPr>
      </w:pPr>
    </w:p>
    <w:p w14:paraId="437D4FDE" w14:textId="77777777" w:rsidR="009C07E8" w:rsidRDefault="009C07E8" w:rsidP="009C07E8">
      <w:pPr>
        <w:spacing w:line="360" w:lineRule="auto"/>
        <w:ind w:right="51"/>
        <w:jc w:val="both"/>
        <w:rPr>
          <w:rFonts w:cs="Arial"/>
          <w:b/>
          <w:sz w:val="22"/>
        </w:rPr>
      </w:pPr>
      <w:r>
        <w:rPr>
          <w:rFonts w:cs="Arial"/>
          <w:b/>
          <w:sz w:val="22"/>
        </w:rPr>
        <w:t>Por tanto, se acuerda:</w:t>
      </w:r>
    </w:p>
    <w:p w14:paraId="0B07EC13" w14:textId="7390D636" w:rsidR="00D0427E" w:rsidRPr="00D0427E" w:rsidRDefault="009C07E8" w:rsidP="00D0427E">
      <w:pPr>
        <w:spacing w:line="360" w:lineRule="auto"/>
        <w:ind w:right="51"/>
        <w:jc w:val="both"/>
        <w:rPr>
          <w:rFonts w:cs="Arial"/>
          <w:sz w:val="22"/>
          <w:szCs w:val="22"/>
          <w:lang w:val="es-CR"/>
        </w:rPr>
      </w:pPr>
      <w:r>
        <w:rPr>
          <w:rFonts w:cs="Arial"/>
          <w:b/>
          <w:bCs/>
          <w:sz w:val="22"/>
        </w:rPr>
        <w:t>1.</w:t>
      </w:r>
      <w:r>
        <w:rPr>
          <w:rFonts w:cs="Arial"/>
          <w:sz w:val="22"/>
        </w:rPr>
        <w:t xml:space="preserve"> </w:t>
      </w:r>
      <w:r w:rsidR="00D0427E">
        <w:rPr>
          <w:rFonts w:cs="Arial"/>
          <w:sz w:val="22"/>
        </w:rPr>
        <w:t xml:space="preserve">Otorgar </w:t>
      </w:r>
      <w:r w:rsidR="00FC138E">
        <w:rPr>
          <w:rFonts w:cs="Arial"/>
          <w:sz w:val="22"/>
        </w:rPr>
        <w:t>a</w:t>
      </w:r>
      <w:r>
        <w:rPr>
          <w:rFonts w:cs="Arial"/>
          <w:sz w:val="22"/>
        </w:rPr>
        <w:t xml:space="preserve"> Mutual </w:t>
      </w:r>
      <w:r w:rsidR="00FC138E">
        <w:rPr>
          <w:rFonts w:cs="Arial"/>
          <w:sz w:val="22"/>
        </w:rPr>
        <w:t>Cartago</w:t>
      </w:r>
      <w:r>
        <w:rPr>
          <w:rFonts w:cs="Arial"/>
          <w:sz w:val="22"/>
        </w:rPr>
        <w:t xml:space="preserve"> </w:t>
      </w:r>
      <w:r w:rsidRPr="00C12E3B">
        <w:rPr>
          <w:rFonts w:cs="Arial"/>
          <w:sz w:val="22"/>
          <w:lang w:val="es-ES_tradnl"/>
        </w:rPr>
        <w:t>de Ahorro y Préstamo</w:t>
      </w:r>
      <w:r w:rsidR="00D0427E">
        <w:rPr>
          <w:rFonts w:cs="Arial"/>
          <w:sz w:val="22"/>
          <w:lang w:val="es-ES_tradnl"/>
        </w:rPr>
        <w:t xml:space="preserve"> </w:t>
      </w:r>
      <w:r w:rsidR="00D0427E" w:rsidRPr="00D0427E">
        <w:rPr>
          <w:rFonts w:cs="Arial"/>
          <w:sz w:val="22"/>
          <w:szCs w:val="22"/>
          <w:lang w:val="es-CR"/>
        </w:rPr>
        <w:t>(MUCAP)</w:t>
      </w:r>
      <w:r w:rsidR="00D0427E">
        <w:rPr>
          <w:rFonts w:cs="Arial"/>
          <w:sz w:val="22"/>
          <w:szCs w:val="22"/>
          <w:lang w:val="es-CR"/>
        </w:rPr>
        <w:t xml:space="preserve">, </w:t>
      </w:r>
      <w:r w:rsidR="00D0427E" w:rsidRPr="00D0427E">
        <w:rPr>
          <w:rFonts w:cs="Arial"/>
          <w:sz w:val="22"/>
          <w:szCs w:val="22"/>
          <w:lang w:val="es-CR"/>
        </w:rPr>
        <w:t>en administración</w:t>
      </w:r>
      <w:r w:rsidR="00D0427E">
        <w:rPr>
          <w:rFonts w:cs="Arial"/>
          <w:sz w:val="22"/>
          <w:szCs w:val="22"/>
          <w:lang w:val="es-CR"/>
        </w:rPr>
        <w:t>,</w:t>
      </w:r>
      <w:r w:rsidR="00D0427E" w:rsidRPr="00D0427E">
        <w:rPr>
          <w:rFonts w:cs="Arial"/>
          <w:sz w:val="22"/>
          <w:szCs w:val="22"/>
          <w:lang w:val="es-CR"/>
        </w:rPr>
        <w:t xml:space="preserve"> el monto total de ₡310.097.682,66 (trescientos diez millones noventa y siete mil seiscientos ochenta y dos colones con 66/100),</w:t>
      </w:r>
      <w:r w:rsidR="00D0427E" w:rsidRPr="00D0427E">
        <w:rPr>
          <w:rFonts w:cs="Arial"/>
          <w:b/>
          <w:bCs/>
          <w:sz w:val="22"/>
          <w:szCs w:val="22"/>
          <w:lang w:val="es-CR"/>
        </w:rPr>
        <w:t xml:space="preserve"> </w:t>
      </w:r>
      <w:r w:rsidR="00D0427E" w:rsidRPr="00D0427E">
        <w:rPr>
          <w:rFonts w:cs="Arial"/>
          <w:sz w:val="22"/>
          <w:szCs w:val="22"/>
          <w:lang w:val="es-CR"/>
        </w:rPr>
        <w:t xml:space="preserve">con el objetivo de sufragar los costos de la construcción del proyecto “Parque de Esparcimiento La Cima”, ubicado en el distrito Concepción </w:t>
      </w:r>
      <w:r w:rsidR="00D0427E">
        <w:rPr>
          <w:rFonts w:cs="Arial"/>
          <w:sz w:val="22"/>
          <w:szCs w:val="22"/>
          <w:lang w:val="es-CR"/>
        </w:rPr>
        <w:t xml:space="preserve">del </w:t>
      </w:r>
      <w:r w:rsidR="00D0427E" w:rsidRPr="00D0427E">
        <w:rPr>
          <w:rFonts w:cs="Arial"/>
          <w:sz w:val="22"/>
          <w:szCs w:val="22"/>
          <w:lang w:val="es-CR"/>
        </w:rPr>
        <w:t>cantón de La Unión</w:t>
      </w:r>
      <w:r w:rsidR="00D0427E">
        <w:rPr>
          <w:rFonts w:cs="Arial"/>
          <w:sz w:val="22"/>
          <w:szCs w:val="22"/>
          <w:lang w:val="es-CR"/>
        </w:rPr>
        <w:t xml:space="preserve">, </w:t>
      </w:r>
      <w:r w:rsidR="00D0427E" w:rsidRPr="00D0427E">
        <w:rPr>
          <w:rFonts w:cs="Arial"/>
          <w:sz w:val="22"/>
          <w:szCs w:val="22"/>
          <w:lang w:val="es-CR"/>
        </w:rPr>
        <w:t xml:space="preserve">provincia de Cartago, según el siguiente detalle: </w:t>
      </w:r>
    </w:p>
    <w:p w14:paraId="24C83CF7" w14:textId="77777777" w:rsidR="00D0427E" w:rsidRDefault="009C07E8" w:rsidP="009C07E8">
      <w:pPr>
        <w:numPr>
          <w:ilvl w:val="0"/>
          <w:numId w:val="20"/>
        </w:numPr>
        <w:spacing w:line="360" w:lineRule="auto"/>
        <w:jc w:val="both"/>
        <w:rPr>
          <w:rFonts w:cs="Arial"/>
          <w:sz w:val="22"/>
          <w:szCs w:val="22"/>
          <w:lang w:val="es-CR"/>
        </w:rPr>
      </w:pPr>
      <w:r w:rsidRPr="00D47B06">
        <w:rPr>
          <w:rFonts w:cs="Arial"/>
          <w:sz w:val="22"/>
          <w:szCs w:val="22"/>
          <w:lang w:val="es-CR"/>
        </w:rPr>
        <w:t>a) Costos directos</w:t>
      </w:r>
      <w:r w:rsidR="00D0427E">
        <w:rPr>
          <w:rFonts w:cs="Arial"/>
          <w:sz w:val="22"/>
          <w:szCs w:val="22"/>
          <w:lang w:val="es-CR"/>
        </w:rPr>
        <w:t xml:space="preserve"> </w:t>
      </w:r>
      <w:r w:rsidRPr="00D47B06">
        <w:rPr>
          <w:rFonts w:cs="Arial"/>
          <w:sz w:val="22"/>
          <w:szCs w:val="22"/>
          <w:lang w:val="es-CR"/>
        </w:rPr>
        <w:t xml:space="preserve">por un monto de </w:t>
      </w:r>
      <w:r w:rsidRPr="00D47B06">
        <w:rPr>
          <w:rFonts w:cs="Arial"/>
          <w:b/>
          <w:bCs/>
          <w:sz w:val="22"/>
          <w:szCs w:val="22"/>
          <w:lang w:val="es-CR"/>
        </w:rPr>
        <w:t>¢</w:t>
      </w:r>
      <w:r w:rsidR="00D0427E">
        <w:rPr>
          <w:rFonts w:cs="Arial"/>
          <w:b/>
          <w:bCs/>
          <w:sz w:val="22"/>
          <w:szCs w:val="22"/>
          <w:lang w:val="es-CR"/>
        </w:rPr>
        <w:t>221</w:t>
      </w:r>
      <w:r w:rsidRPr="00D47B06">
        <w:rPr>
          <w:rFonts w:cs="Arial"/>
          <w:b/>
          <w:bCs/>
          <w:sz w:val="22"/>
          <w:szCs w:val="22"/>
          <w:lang w:val="es-CR"/>
        </w:rPr>
        <w:t>.</w:t>
      </w:r>
      <w:r w:rsidR="00D0427E">
        <w:rPr>
          <w:rFonts w:cs="Arial"/>
          <w:b/>
          <w:bCs/>
          <w:sz w:val="22"/>
          <w:szCs w:val="22"/>
          <w:lang w:val="es-CR"/>
        </w:rPr>
        <w:t>078</w:t>
      </w:r>
      <w:r w:rsidRPr="00D47B06">
        <w:rPr>
          <w:rFonts w:cs="Arial"/>
          <w:b/>
          <w:bCs/>
          <w:sz w:val="22"/>
          <w:szCs w:val="22"/>
          <w:lang w:val="es-CR"/>
        </w:rPr>
        <w:t>.</w:t>
      </w:r>
      <w:r w:rsidR="00D0427E">
        <w:rPr>
          <w:rFonts w:cs="Arial"/>
          <w:b/>
          <w:bCs/>
          <w:sz w:val="22"/>
          <w:szCs w:val="22"/>
          <w:lang w:val="es-CR"/>
        </w:rPr>
        <w:t>085</w:t>
      </w:r>
      <w:r w:rsidRPr="00D47B06">
        <w:rPr>
          <w:rFonts w:cs="Arial"/>
          <w:b/>
          <w:bCs/>
          <w:sz w:val="22"/>
          <w:szCs w:val="22"/>
          <w:lang w:val="es-CR"/>
        </w:rPr>
        <w:t>,</w:t>
      </w:r>
      <w:r w:rsidR="00D0427E">
        <w:rPr>
          <w:rFonts w:cs="Arial"/>
          <w:b/>
          <w:bCs/>
          <w:sz w:val="22"/>
          <w:szCs w:val="22"/>
          <w:lang w:val="es-CR"/>
        </w:rPr>
        <w:t>51</w:t>
      </w:r>
      <w:r>
        <w:rPr>
          <w:rFonts w:cs="Arial"/>
          <w:sz w:val="22"/>
          <w:szCs w:val="22"/>
          <w:lang w:val="es-CR"/>
        </w:rPr>
        <w:t>.</w:t>
      </w:r>
    </w:p>
    <w:p w14:paraId="104A01D8" w14:textId="52C57742" w:rsidR="009C07E8" w:rsidRPr="00D47B06" w:rsidRDefault="009C07E8" w:rsidP="009C07E8">
      <w:pPr>
        <w:numPr>
          <w:ilvl w:val="0"/>
          <w:numId w:val="20"/>
        </w:numPr>
        <w:spacing w:line="360" w:lineRule="auto"/>
        <w:jc w:val="both"/>
        <w:rPr>
          <w:rFonts w:cs="Arial"/>
          <w:sz w:val="22"/>
          <w:szCs w:val="22"/>
          <w:lang w:val="es-CR"/>
        </w:rPr>
      </w:pPr>
      <w:r w:rsidRPr="00D47B06">
        <w:rPr>
          <w:rFonts w:cs="Arial"/>
          <w:sz w:val="22"/>
          <w:szCs w:val="22"/>
          <w:lang w:val="es-CR"/>
        </w:rPr>
        <w:t xml:space="preserve">b) Costos indirectos por un monto de </w:t>
      </w:r>
      <w:r>
        <w:rPr>
          <w:rFonts w:cs="Arial"/>
          <w:b/>
          <w:bCs/>
          <w:sz w:val="22"/>
          <w:szCs w:val="22"/>
          <w:lang w:val="es-CR"/>
        </w:rPr>
        <w:t>¢</w:t>
      </w:r>
      <w:r w:rsidR="00D0427E">
        <w:rPr>
          <w:rFonts w:cs="Arial"/>
          <w:b/>
          <w:bCs/>
          <w:sz w:val="22"/>
          <w:szCs w:val="22"/>
          <w:lang w:val="es-CR"/>
        </w:rPr>
        <w:t>58</w:t>
      </w:r>
      <w:r w:rsidRPr="00D47B06">
        <w:rPr>
          <w:rFonts w:cs="Arial"/>
          <w:b/>
          <w:bCs/>
          <w:sz w:val="22"/>
          <w:szCs w:val="22"/>
          <w:lang w:val="es-CR"/>
        </w:rPr>
        <w:t>.</w:t>
      </w:r>
      <w:r w:rsidR="00D0427E">
        <w:rPr>
          <w:rFonts w:cs="Arial"/>
          <w:b/>
          <w:bCs/>
          <w:sz w:val="22"/>
          <w:szCs w:val="22"/>
          <w:lang w:val="es-CR"/>
        </w:rPr>
        <w:t>408</w:t>
      </w:r>
      <w:r w:rsidRPr="00D47B06">
        <w:rPr>
          <w:rFonts w:cs="Arial"/>
          <w:b/>
          <w:bCs/>
          <w:sz w:val="22"/>
          <w:szCs w:val="22"/>
          <w:lang w:val="es-CR"/>
        </w:rPr>
        <w:t>.</w:t>
      </w:r>
      <w:r w:rsidR="00D0427E">
        <w:rPr>
          <w:rFonts w:cs="Arial"/>
          <w:b/>
          <w:bCs/>
          <w:sz w:val="22"/>
          <w:szCs w:val="22"/>
          <w:lang w:val="es-CR"/>
        </w:rPr>
        <w:t>015</w:t>
      </w:r>
      <w:r w:rsidRPr="00D47B06">
        <w:rPr>
          <w:rFonts w:cs="Arial"/>
          <w:b/>
          <w:bCs/>
          <w:sz w:val="22"/>
          <w:szCs w:val="22"/>
          <w:lang w:val="es-CR"/>
        </w:rPr>
        <w:t>,</w:t>
      </w:r>
      <w:r w:rsidR="00D0427E">
        <w:rPr>
          <w:rFonts w:cs="Arial"/>
          <w:b/>
          <w:bCs/>
          <w:sz w:val="22"/>
          <w:szCs w:val="22"/>
          <w:lang w:val="es-CR"/>
        </w:rPr>
        <w:t>05</w:t>
      </w:r>
      <w:r w:rsidRPr="00D47B06">
        <w:rPr>
          <w:rFonts w:cs="Arial"/>
          <w:sz w:val="22"/>
          <w:szCs w:val="22"/>
          <w:lang w:val="es-CR"/>
        </w:rPr>
        <w:t>.</w:t>
      </w:r>
    </w:p>
    <w:p w14:paraId="628A4E46" w14:textId="6E0ACDFF" w:rsidR="00D0427E" w:rsidRPr="00D0427E" w:rsidRDefault="009C07E8" w:rsidP="009C07E8">
      <w:pPr>
        <w:numPr>
          <w:ilvl w:val="0"/>
          <w:numId w:val="20"/>
        </w:numPr>
        <w:spacing w:line="360" w:lineRule="auto"/>
        <w:jc w:val="both"/>
        <w:rPr>
          <w:rFonts w:cs="Arial"/>
          <w:sz w:val="22"/>
          <w:szCs w:val="22"/>
          <w:lang w:val="es-CR"/>
        </w:rPr>
      </w:pPr>
      <w:r w:rsidRPr="00D47B06">
        <w:rPr>
          <w:rFonts w:cs="Arial"/>
          <w:sz w:val="22"/>
          <w:szCs w:val="22"/>
          <w:lang w:val="es-CR"/>
        </w:rPr>
        <w:t xml:space="preserve">c) </w:t>
      </w:r>
      <w:r w:rsidR="00D0427E" w:rsidRPr="00D0427E">
        <w:rPr>
          <w:rFonts w:cs="Arial"/>
          <w:color w:val="000000"/>
          <w:sz w:val="22"/>
          <w:szCs w:val="22"/>
          <w:lang w:val="es-CR"/>
        </w:rPr>
        <w:t>Honorarios profesionales y permiso de construcción</w:t>
      </w:r>
      <w:r w:rsidR="00D0427E">
        <w:rPr>
          <w:rFonts w:cs="Arial"/>
          <w:color w:val="000000"/>
          <w:sz w:val="22"/>
          <w:szCs w:val="22"/>
          <w:lang w:val="es-CR"/>
        </w:rPr>
        <w:t xml:space="preserve">: </w:t>
      </w:r>
      <w:r w:rsidR="00D0427E" w:rsidRPr="00D0427E">
        <w:rPr>
          <w:rFonts w:cs="Arial"/>
          <w:b/>
          <w:bCs/>
          <w:color w:val="000000"/>
          <w:sz w:val="22"/>
          <w:szCs w:val="22"/>
          <w:lang w:val="es-CR"/>
        </w:rPr>
        <w:t>¢11.568.464,05</w:t>
      </w:r>
      <w:r w:rsidR="00D0427E">
        <w:rPr>
          <w:rFonts w:cs="Arial"/>
          <w:color w:val="000000"/>
          <w:sz w:val="22"/>
          <w:szCs w:val="22"/>
          <w:lang w:val="es-CR"/>
        </w:rPr>
        <w:t>.</w:t>
      </w:r>
    </w:p>
    <w:p w14:paraId="2F8D9252" w14:textId="57B543FD" w:rsidR="00D0427E" w:rsidRPr="00D0427E" w:rsidRDefault="00D0427E" w:rsidP="009C07E8">
      <w:pPr>
        <w:numPr>
          <w:ilvl w:val="0"/>
          <w:numId w:val="20"/>
        </w:numPr>
        <w:spacing w:line="360" w:lineRule="auto"/>
        <w:jc w:val="both"/>
        <w:rPr>
          <w:rFonts w:cs="Arial"/>
          <w:sz w:val="22"/>
          <w:szCs w:val="22"/>
          <w:lang w:val="es-CR"/>
        </w:rPr>
      </w:pPr>
      <w:r>
        <w:rPr>
          <w:rFonts w:cs="Arial"/>
          <w:color w:val="000000"/>
          <w:sz w:val="22"/>
          <w:szCs w:val="22"/>
          <w:lang w:val="es-CR"/>
        </w:rPr>
        <w:t xml:space="preserve">d) Costos </w:t>
      </w:r>
      <w:r w:rsidRPr="00D0427E">
        <w:rPr>
          <w:rFonts w:cs="Arial"/>
          <w:color w:val="000000"/>
          <w:sz w:val="22"/>
          <w:szCs w:val="22"/>
          <w:lang w:val="es-CR"/>
        </w:rPr>
        <w:t xml:space="preserve">indirectos de la entidad autorizada: </w:t>
      </w:r>
      <w:r>
        <w:rPr>
          <w:rFonts w:cs="Arial"/>
          <w:b/>
          <w:bCs/>
          <w:color w:val="000000"/>
          <w:sz w:val="22"/>
          <w:szCs w:val="22"/>
          <w:lang w:val="es-CR"/>
        </w:rPr>
        <w:t>¢</w:t>
      </w:r>
      <w:r w:rsidRPr="00D0427E">
        <w:rPr>
          <w:rFonts w:cs="Arial"/>
          <w:b/>
          <w:bCs/>
          <w:color w:val="000000"/>
          <w:sz w:val="22"/>
          <w:szCs w:val="22"/>
          <w:lang w:val="es-CR"/>
        </w:rPr>
        <w:t>7.116.284,10</w:t>
      </w:r>
      <w:r w:rsidRPr="00D0427E">
        <w:rPr>
          <w:rFonts w:cs="Arial"/>
          <w:color w:val="000000"/>
          <w:sz w:val="22"/>
          <w:szCs w:val="22"/>
          <w:lang w:val="es-CR"/>
        </w:rPr>
        <w:t>.</w:t>
      </w:r>
    </w:p>
    <w:p w14:paraId="7E51004D" w14:textId="43B49A47" w:rsidR="00D0427E" w:rsidRPr="00D0427E" w:rsidRDefault="00D0427E" w:rsidP="00D0427E">
      <w:pPr>
        <w:spacing w:line="360" w:lineRule="auto"/>
        <w:jc w:val="both"/>
        <w:rPr>
          <w:rFonts w:cs="Arial"/>
          <w:sz w:val="22"/>
          <w:szCs w:val="22"/>
          <w:lang w:val="es-CR"/>
        </w:rPr>
      </w:pPr>
      <w:r>
        <w:rPr>
          <w:rFonts w:cs="Arial"/>
          <w:color w:val="000000"/>
          <w:sz w:val="22"/>
          <w:szCs w:val="22"/>
          <w:lang w:val="es-CR"/>
        </w:rPr>
        <w:t xml:space="preserve">e) </w:t>
      </w:r>
      <w:r w:rsidRPr="00D0427E">
        <w:rPr>
          <w:rFonts w:cs="Arial"/>
          <w:sz w:val="22"/>
          <w:szCs w:val="22"/>
          <w:lang w:val="es-CR"/>
        </w:rPr>
        <w:t>Gastos de administración de la entidad autorizada</w:t>
      </w:r>
      <w:r>
        <w:rPr>
          <w:rFonts w:cs="Arial"/>
          <w:sz w:val="22"/>
          <w:szCs w:val="22"/>
          <w:lang w:val="es-CR"/>
        </w:rPr>
        <w:t>,</w:t>
      </w:r>
      <w:r w:rsidRPr="00D0427E">
        <w:rPr>
          <w:rFonts w:cs="Arial"/>
          <w:sz w:val="22"/>
          <w:szCs w:val="22"/>
          <w:lang w:val="es-CR"/>
        </w:rPr>
        <w:t xml:space="preserve"> por un monto de hasta </w:t>
      </w:r>
      <w:r>
        <w:rPr>
          <w:rFonts w:cs="Arial"/>
          <w:sz w:val="22"/>
          <w:szCs w:val="22"/>
          <w:lang w:val="es-CR"/>
        </w:rPr>
        <w:t xml:space="preserve">el </w:t>
      </w:r>
      <w:r w:rsidRPr="00D0427E">
        <w:rPr>
          <w:rFonts w:cs="Arial"/>
          <w:sz w:val="22"/>
          <w:szCs w:val="22"/>
          <w:lang w:val="es-CR"/>
        </w:rPr>
        <w:t xml:space="preserve">4% del valor del proyecto, lo cual representa un monto de </w:t>
      </w:r>
      <w:r>
        <w:rPr>
          <w:rFonts w:cs="Arial"/>
          <w:b/>
          <w:bCs/>
          <w:sz w:val="22"/>
          <w:szCs w:val="22"/>
          <w:lang w:val="es-CR"/>
        </w:rPr>
        <w:t>¢</w:t>
      </w:r>
      <w:r w:rsidRPr="00D0427E">
        <w:rPr>
          <w:rFonts w:cs="Arial"/>
          <w:b/>
          <w:bCs/>
          <w:sz w:val="22"/>
          <w:szCs w:val="22"/>
          <w:lang w:val="es-CR"/>
        </w:rPr>
        <w:t xml:space="preserve">11.926.833,55. </w:t>
      </w:r>
    </w:p>
    <w:p w14:paraId="60E24533" w14:textId="77777777" w:rsidR="009C07E8" w:rsidRPr="00D47B06" w:rsidRDefault="009C07E8" w:rsidP="009C07E8">
      <w:pPr>
        <w:spacing w:line="360" w:lineRule="auto"/>
        <w:jc w:val="both"/>
        <w:rPr>
          <w:rFonts w:cs="Arial"/>
          <w:sz w:val="22"/>
          <w:szCs w:val="22"/>
          <w:lang w:val="es-CR"/>
        </w:rPr>
      </w:pPr>
    </w:p>
    <w:p w14:paraId="20550C46" w14:textId="50735112" w:rsidR="00752C41" w:rsidRPr="00752C41" w:rsidRDefault="00916A2A" w:rsidP="00752C41">
      <w:pPr>
        <w:spacing w:line="360" w:lineRule="auto"/>
        <w:jc w:val="both"/>
        <w:rPr>
          <w:rFonts w:cs="Arial"/>
          <w:sz w:val="22"/>
          <w:szCs w:val="22"/>
          <w:lang w:val="es-CR"/>
        </w:rPr>
      </w:pPr>
      <w:r>
        <w:rPr>
          <w:rFonts w:cs="Arial"/>
          <w:b/>
          <w:bCs/>
          <w:sz w:val="22"/>
          <w:szCs w:val="22"/>
          <w:lang w:val="es-CR"/>
        </w:rPr>
        <w:t>2</w:t>
      </w:r>
      <w:r w:rsidR="009C07E8" w:rsidRPr="00D47B06">
        <w:rPr>
          <w:rFonts w:cs="Arial"/>
          <w:b/>
          <w:bCs/>
          <w:sz w:val="22"/>
          <w:szCs w:val="22"/>
          <w:lang w:val="es-CR"/>
        </w:rPr>
        <w:t>.</w:t>
      </w:r>
      <w:r w:rsidR="009C07E8" w:rsidRPr="00D47B06">
        <w:rPr>
          <w:rFonts w:cs="Arial"/>
          <w:sz w:val="22"/>
          <w:szCs w:val="22"/>
          <w:lang w:val="es-CR"/>
        </w:rPr>
        <w:t xml:space="preserve"> El plazo </w:t>
      </w:r>
      <w:r w:rsidR="00D0427E">
        <w:rPr>
          <w:rFonts w:cs="Arial"/>
          <w:sz w:val="22"/>
          <w:szCs w:val="22"/>
          <w:lang w:val="es-CR"/>
        </w:rPr>
        <w:t xml:space="preserve">para el desarrollo de las obras </w:t>
      </w:r>
      <w:r w:rsidR="009C07E8" w:rsidRPr="00D47B06">
        <w:rPr>
          <w:rFonts w:cs="Arial"/>
          <w:sz w:val="22"/>
          <w:szCs w:val="22"/>
          <w:lang w:val="es-CR"/>
        </w:rPr>
        <w:t xml:space="preserve">es de </w:t>
      </w:r>
      <w:r w:rsidR="00D0427E">
        <w:rPr>
          <w:rFonts w:cs="Arial"/>
          <w:sz w:val="22"/>
          <w:szCs w:val="22"/>
          <w:lang w:val="es-CR"/>
        </w:rPr>
        <w:t>60</w:t>
      </w:r>
      <w:r w:rsidR="009C07E8" w:rsidRPr="00D47B06">
        <w:rPr>
          <w:rFonts w:cs="Arial"/>
          <w:sz w:val="22"/>
          <w:szCs w:val="22"/>
          <w:lang w:val="es-CR"/>
        </w:rPr>
        <w:t xml:space="preserve"> días hábiles</w:t>
      </w:r>
      <w:r w:rsidR="00D0427E">
        <w:rPr>
          <w:rFonts w:cs="Arial"/>
          <w:sz w:val="22"/>
          <w:szCs w:val="22"/>
          <w:lang w:val="es-CR"/>
        </w:rPr>
        <w:t xml:space="preserve">, </w:t>
      </w:r>
      <w:r w:rsidR="00752C41">
        <w:rPr>
          <w:rFonts w:cs="Arial"/>
          <w:sz w:val="22"/>
          <w:szCs w:val="22"/>
          <w:lang w:val="es-CR"/>
        </w:rPr>
        <w:t>compuesto de quince días (</w:t>
      </w:r>
      <w:r w:rsidR="00752C41" w:rsidRPr="00752C41">
        <w:rPr>
          <w:rFonts w:cs="Arial"/>
          <w:sz w:val="22"/>
          <w:szCs w:val="22"/>
          <w:lang w:val="es-CR"/>
        </w:rPr>
        <w:t>15</w:t>
      </w:r>
      <w:r w:rsidR="00752C41">
        <w:rPr>
          <w:rFonts w:cs="Arial"/>
          <w:sz w:val="22"/>
          <w:szCs w:val="22"/>
          <w:lang w:val="es-CR"/>
        </w:rPr>
        <w:t>)</w:t>
      </w:r>
      <w:r w:rsidR="00752C41" w:rsidRPr="00752C41">
        <w:rPr>
          <w:rFonts w:cs="Arial"/>
          <w:sz w:val="22"/>
          <w:szCs w:val="22"/>
          <w:lang w:val="es-CR"/>
        </w:rPr>
        <w:t xml:space="preserve"> hábiles para obtención de permisos</w:t>
      </w:r>
      <w:r w:rsidR="00752C41">
        <w:rPr>
          <w:rFonts w:cs="Arial"/>
          <w:sz w:val="22"/>
          <w:szCs w:val="22"/>
          <w:lang w:val="es-CR"/>
        </w:rPr>
        <w:t xml:space="preserve"> y cuarenta y cinco días (45) hábiles para la construcción de las obras</w:t>
      </w:r>
      <w:r w:rsidR="00752C41" w:rsidRPr="00752C41">
        <w:rPr>
          <w:rFonts w:cs="Arial"/>
          <w:sz w:val="22"/>
          <w:szCs w:val="22"/>
          <w:lang w:val="es-CR"/>
        </w:rPr>
        <w:t xml:space="preserve">. </w:t>
      </w:r>
    </w:p>
    <w:p w14:paraId="17B1459D" w14:textId="64392DA3" w:rsidR="009C07E8" w:rsidRDefault="009C07E8" w:rsidP="009C07E8">
      <w:pPr>
        <w:spacing w:line="360" w:lineRule="auto"/>
        <w:jc w:val="both"/>
        <w:rPr>
          <w:rFonts w:cs="Arial"/>
          <w:sz w:val="22"/>
          <w:szCs w:val="22"/>
          <w:lang w:val="es-CR"/>
        </w:rPr>
      </w:pPr>
    </w:p>
    <w:p w14:paraId="7494C243" w14:textId="729D30B3" w:rsidR="00D9777B" w:rsidRPr="0019390A" w:rsidRDefault="00916A2A" w:rsidP="00D9777B">
      <w:pPr>
        <w:spacing w:line="360" w:lineRule="auto"/>
        <w:jc w:val="both"/>
        <w:rPr>
          <w:rFonts w:cs="Arial"/>
          <w:sz w:val="22"/>
          <w:szCs w:val="22"/>
          <w:lang w:val="es-CR"/>
        </w:rPr>
      </w:pPr>
      <w:r>
        <w:rPr>
          <w:rFonts w:cs="Arial"/>
          <w:b/>
          <w:sz w:val="22"/>
          <w:szCs w:val="22"/>
          <w:lang w:val="es-CR"/>
        </w:rPr>
        <w:t>3</w:t>
      </w:r>
      <w:r w:rsidR="00D9777B" w:rsidRPr="0019390A">
        <w:rPr>
          <w:rFonts w:cs="Arial"/>
          <w:b/>
          <w:sz w:val="22"/>
          <w:szCs w:val="22"/>
          <w:lang w:val="es-CR"/>
        </w:rPr>
        <w:t>.</w:t>
      </w:r>
      <w:r w:rsidR="00D9777B">
        <w:rPr>
          <w:rFonts w:cs="Arial"/>
          <w:sz w:val="22"/>
          <w:szCs w:val="22"/>
          <w:lang w:val="es-CR"/>
        </w:rPr>
        <w:t xml:space="preserve"> El contrato de administración de recursos se </w:t>
      </w:r>
      <w:r w:rsidR="00D9777B" w:rsidRPr="00C94A04">
        <w:rPr>
          <w:rFonts w:cs="Arial"/>
          <w:bCs/>
          <w:sz w:val="22"/>
          <w:szCs w:val="22"/>
        </w:rPr>
        <w:t>tramitará bajo las siguientes condiciones</w:t>
      </w:r>
      <w:r w:rsidR="00D9777B">
        <w:rPr>
          <w:rFonts w:cs="Arial"/>
          <w:bCs/>
          <w:sz w:val="22"/>
          <w:szCs w:val="22"/>
        </w:rPr>
        <w:t xml:space="preserve"> adicionales</w:t>
      </w:r>
      <w:r w:rsidR="00D9777B" w:rsidRPr="00C94A04">
        <w:rPr>
          <w:rFonts w:cs="Arial"/>
          <w:bCs/>
          <w:sz w:val="22"/>
          <w:szCs w:val="22"/>
        </w:rPr>
        <w:t>:</w:t>
      </w:r>
    </w:p>
    <w:p w14:paraId="09ED8AC4" w14:textId="31034B6E" w:rsidR="00D9777B" w:rsidRPr="0019390A" w:rsidRDefault="00916A2A" w:rsidP="00D9777B">
      <w:pPr>
        <w:spacing w:line="360" w:lineRule="auto"/>
        <w:jc w:val="both"/>
        <w:rPr>
          <w:rFonts w:cs="Arial"/>
          <w:sz w:val="22"/>
          <w:szCs w:val="22"/>
          <w:lang w:val="es-CR"/>
        </w:rPr>
      </w:pPr>
      <w:r>
        <w:rPr>
          <w:rFonts w:cs="Arial"/>
          <w:b/>
          <w:bCs/>
          <w:sz w:val="22"/>
          <w:szCs w:val="22"/>
          <w:lang w:val="es-CR"/>
        </w:rPr>
        <w:t>3</w:t>
      </w:r>
      <w:r w:rsidR="00D9777B" w:rsidRPr="0019390A">
        <w:rPr>
          <w:rFonts w:cs="Arial"/>
          <w:b/>
          <w:bCs/>
          <w:sz w:val="22"/>
          <w:szCs w:val="22"/>
          <w:lang w:val="es-CR"/>
        </w:rPr>
        <w:t>.1.</w:t>
      </w:r>
      <w:r w:rsidR="00D9777B" w:rsidRPr="0019390A">
        <w:rPr>
          <w:rFonts w:cs="Arial"/>
          <w:bCs/>
          <w:sz w:val="22"/>
          <w:szCs w:val="22"/>
          <w:lang w:val="es-CR"/>
        </w:rPr>
        <w:t xml:space="preserve"> </w:t>
      </w:r>
      <w:r w:rsidR="00D9777B" w:rsidRPr="00E274CA">
        <w:rPr>
          <w:rFonts w:cs="Arial"/>
          <w:b/>
          <w:bCs/>
          <w:sz w:val="22"/>
          <w:szCs w:val="22"/>
          <w:lang w:val="es-CR"/>
        </w:rPr>
        <w:t>Entidad Autorizada:</w:t>
      </w:r>
      <w:r w:rsidR="00D9777B" w:rsidRPr="0019390A">
        <w:rPr>
          <w:rFonts w:cs="Arial"/>
          <w:bCs/>
          <w:sz w:val="22"/>
          <w:szCs w:val="22"/>
          <w:lang w:val="es-CR"/>
        </w:rPr>
        <w:t xml:space="preserve"> </w:t>
      </w:r>
      <w:r w:rsidR="00D9777B">
        <w:rPr>
          <w:rFonts w:cs="Arial"/>
          <w:bCs/>
          <w:sz w:val="22"/>
          <w:szCs w:val="22"/>
          <w:lang w:val="es-CR"/>
        </w:rPr>
        <w:t xml:space="preserve">Mutual Cartago </w:t>
      </w:r>
      <w:r w:rsidR="00D9777B" w:rsidRPr="00612ABD">
        <w:rPr>
          <w:rFonts w:cs="Arial"/>
          <w:bCs/>
          <w:sz w:val="22"/>
          <w:szCs w:val="22"/>
          <w:lang w:val="es-ES_tradnl"/>
        </w:rPr>
        <w:t>de Ahorro y Préstamo</w:t>
      </w:r>
      <w:r w:rsidR="00D9777B" w:rsidRPr="0019390A">
        <w:rPr>
          <w:rFonts w:cs="Arial"/>
          <w:sz w:val="22"/>
          <w:szCs w:val="22"/>
          <w:lang w:val="es-CR"/>
        </w:rPr>
        <w:t>.</w:t>
      </w:r>
    </w:p>
    <w:p w14:paraId="15DDBFE8" w14:textId="0A39C4ED" w:rsidR="00D9777B" w:rsidRDefault="00916A2A" w:rsidP="00D9777B">
      <w:pPr>
        <w:spacing w:line="360" w:lineRule="auto"/>
        <w:jc w:val="both"/>
        <w:rPr>
          <w:rFonts w:cs="Arial"/>
          <w:sz w:val="22"/>
          <w:szCs w:val="22"/>
          <w:lang w:val="es-CR"/>
        </w:rPr>
      </w:pPr>
      <w:r>
        <w:rPr>
          <w:rFonts w:cs="Arial"/>
          <w:b/>
          <w:bCs/>
          <w:sz w:val="22"/>
          <w:szCs w:val="22"/>
          <w:lang w:val="es-CR"/>
        </w:rPr>
        <w:t>3</w:t>
      </w:r>
      <w:r w:rsidR="00D9777B" w:rsidRPr="0019390A">
        <w:rPr>
          <w:rFonts w:cs="Arial"/>
          <w:b/>
          <w:bCs/>
          <w:sz w:val="22"/>
          <w:szCs w:val="22"/>
          <w:lang w:val="es-CR"/>
        </w:rPr>
        <w:t>.2.</w:t>
      </w:r>
      <w:r w:rsidR="00D9777B" w:rsidRPr="0019390A">
        <w:rPr>
          <w:rFonts w:cs="Arial"/>
          <w:bCs/>
          <w:sz w:val="22"/>
          <w:szCs w:val="22"/>
          <w:lang w:val="es-CR"/>
        </w:rPr>
        <w:t xml:space="preserve"> </w:t>
      </w:r>
      <w:r w:rsidR="00D9777B" w:rsidRPr="00E274CA">
        <w:rPr>
          <w:rFonts w:cs="Arial"/>
          <w:b/>
          <w:bCs/>
          <w:sz w:val="22"/>
          <w:szCs w:val="22"/>
          <w:lang w:val="es-CR"/>
        </w:rPr>
        <w:t>Constructor:</w:t>
      </w:r>
      <w:r w:rsidR="00D9777B" w:rsidRPr="0019390A">
        <w:rPr>
          <w:rFonts w:cs="Arial"/>
          <w:bCs/>
          <w:sz w:val="22"/>
          <w:szCs w:val="22"/>
          <w:lang w:val="es-CR"/>
        </w:rPr>
        <w:t xml:space="preserve"> </w:t>
      </w:r>
      <w:r w:rsidR="00D9777B" w:rsidRPr="009C07E8">
        <w:rPr>
          <w:rFonts w:cs="Arial"/>
          <w:sz w:val="22"/>
          <w:lang w:val="es-CR"/>
        </w:rPr>
        <w:t xml:space="preserve">Consorcio </w:t>
      </w:r>
      <w:proofErr w:type="spellStart"/>
      <w:r w:rsidR="00D9777B" w:rsidRPr="009C07E8">
        <w:rPr>
          <w:rFonts w:cs="Arial"/>
          <w:sz w:val="22"/>
          <w:lang w:val="es-CR"/>
        </w:rPr>
        <w:t>Proyekta</w:t>
      </w:r>
      <w:proofErr w:type="spellEnd"/>
      <w:r w:rsidR="00D9777B" w:rsidRPr="009C07E8">
        <w:rPr>
          <w:rFonts w:cs="Arial"/>
          <w:sz w:val="22"/>
          <w:lang w:val="es-CR"/>
        </w:rPr>
        <w:t>-Leiva</w:t>
      </w:r>
      <w:r w:rsidR="00D9777B">
        <w:rPr>
          <w:rFonts w:cs="Arial"/>
          <w:sz w:val="22"/>
          <w:szCs w:val="22"/>
        </w:rPr>
        <w:t xml:space="preserve">, </w:t>
      </w:r>
      <w:r w:rsidR="00D9777B" w:rsidRPr="00D47B06">
        <w:rPr>
          <w:rFonts w:cs="Arial"/>
          <w:color w:val="000000"/>
          <w:sz w:val="22"/>
          <w:szCs w:val="22"/>
          <w:lang w:val="es-CR"/>
        </w:rPr>
        <w:t>cédula jurídica 3-</w:t>
      </w:r>
      <w:r w:rsidR="00D9777B">
        <w:rPr>
          <w:rFonts w:cs="Arial"/>
          <w:color w:val="000000"/>
          <w:sz w:val="22"/>
          <w:szCs w:val="22"/>
          <w:lang w:val="es-CR"/>
        </w:rPr>
        <w:t>101</w:t>
      </w:r>
      <w:r w:rsidR="00D9777B" w:rsidRPr="00D47B06">
        <w:rPr>
          <w:rFonts w:cs="Arial"/>
          <w:color w:val="000000"/>
          <w:sz w:val="22"/>
          <w:szCs w:val="22"/>
          <w:lang w:val="es-CR"/>
        </w:rPr>
        <w:t>-</w:t>
      </w:r>
      <w:r w:rsidR="00D9777B">
        <w:rPr>
          <w:rFonts w:cs="Arial"/>
          <w:color w:val="000000"/>
          <w:sz w:val="22"/>
          <w:szCs w:val="22"/>
          <w:lang w:val="es-CR"/>
        </w:rPr>
        <w:t>553931</w:t>
      </w:r>
      <w:r w:rsidR="00D9777B">
        <w:rPr>
          <w:rFonts w:cs="Arial"/>
          <w:bCs/>
          <w:sz w:val="22"/>
          <w:szCs w:val="22"/>
          <w:lang w:val="es-CR"/>
        </w:rPr>
        <w:t xml:space="preserve">, </w:t>
      </w:r>
      <w:r w:rsidR="00D9777B" w:rsidRPr="00D9777B">
        <w:rPr>
          <w:rFonts w:cs="Arial"/>
          <w:sz w:val="22"/>
          <w:szCs w:val="22"/>
          <w:lang w:val="es-CR"/>
        </w:rPr>
        <w:t>cuyo representante legal es el señor Roberto Gerardo Arguedas Loaiza cedula de identidad 1-0994-0839 y como parte del consorcio el Arq. Mario Leiva Soto, cédula de identidad 3-0232-0743; bajo el modelo contrato de obra determinada para el diseño y construcción de todas las obras y a firmar entre la Entidad Autorizada y Constructor, mediante la Ley del Sistema Financiero Nacional para la Vivienda.</w:t>
      </w:r>
    </w:p>
    <w:p w14:paraId="59703E05" w14:textId="213FB30B" w:rsidR="00D9777B" w:rsidRPr="0019390A" w:rsidRDefault="00916A2A" w:rsidP="00D9777B">
      <w:pPr>
        <w:spacing w:line="360" w:lineRule="auto"/>
        <w:jc w:val="both"/>
        <w:rPr>
          <w:rFonts w:cs="Arial"/>
          <w:sz w:val="22"/>
          <w:szCs w:val="22"/>
          <w:lang w:val="es-CR"/>
        </w:rPr>
      </w:pPr>
      <w:r>
        <w:rPr>
          <w:rFonts w:cs="Arial"/>
          <w:b/>
          <w:bCs/>
          <w:sz w:val="22"/>
          <w:szCs w:val="22"/>
          <w:lang w:val="es-CR"/>
        </w:rPr>
        <w:t>3</w:t>
      </w:r>
      <w:r w:rsidR="00D9777B" w:rsidRPr="0019390A">
        <w:rPr>
          <w:rFonts w:cs="Arial"/>
          <w:b/>
          <w:bCs/>
          <w:sz w:val="22"/>
          <w:szCs w:val="22"/>
          <w:lang w:val="es-CR"/>
        </w:rPr>
        <w:t>.3.</w:t>
      </w:r>
      <w:r w:rsidR="00D9777B" w:rsidRPr="0019390A">
        <w:rPr>
          <w:rFonts w:cs="Arial"/>
          <w:bCs/>
          <w:sz w:val="22"/>
          <w:szCs w:val="22"/>
          <w:lang w:val="es-CR"/>
        </w:rPr>
        <w:t xml:space="preserve"> </w:t>
      </w:r>
      <w:r w:rsidR="00D9777B" w:rsidRPr="00E274CA">
        <w:rPr>
          <w:rFonts w:cs="Arial"/>
          <w:b/>
          <w:bCs/>
          <w:sz w:val="22"/>
          <w:szCs w:val="22"/>
          <w:lang w:val="es-CR"/>
        </w:rPr>
        <w:t>Alcance de los contratos:</w:t>
      </w:r>
      <w:r w:rsidR="00D9777B" w:rsidRPr="0019390A">
        <w:rPr>
          <w:rFonts w:cs="Arial"/>
          <w:bCs/>
          <w:sz w:val="22"/>
          <w:szCs w:val="22"/>
          <w:lang w:val="es-CR"/>
        </w:rPr>
        <w:t xml:space="preserve"> </w:t>
      </w:r>
      <w:r w:rsidR="00D9777B" w:rsidRPr="0019390A">
        <w:rPr>
          <w:rFonts w:cs="Arial"/>
          <w:sz w:val="22"/>
          <w:szCs w:val="22"/>
          <w:lang w:val="es-CR"/>
        </w:rPr>
        <w:t>Según los lineamientos y modelos ya establecidos</w:t>
      </w:r>
      <w:r w:rsidR="00D9777B">
        <w:rPr>
          <w:rFonts w:cs="Arial"/>
          <w:sz w:val="22"/>
          <w:szCs w:val="22"/>
          <w:lang w:val="es-CR"/>
        </w:rPr>
        <w:t xml:space="preserve"> </w:t>
      </w:r>
      <w:r w:rsidR="00D9777B" w:rsidRPr="0019390A">
        <w:rPr>
          <w:rFonts w:cs="Arial"/>
          <w:sz w:val="22"/>
          <w:szCs w:val="22"/>
          <w:lang w:val="es-CR"/>
        </w:rPr>
        <w:t>y aprobados por es</w:t>
      </w:r>
      <w:r w:rsidR="00D9777B">
        <w:rPr>
          <w:rFonts w:cs="Arial"/>
          <w:sz w:val="22"/>
          <w:szCs w:val="22"/>
          <w:lang w:val="es-CR"/>
        </w:rPr>
        <w:t>t</w:t>
      </w:r>
      <w:r w:rsidR="00D9777B" w:rsidRPr="0019390A">
        <w:rPr>
          <w:rFonts w:cs="Arial"/>
          <w:sz w:val="22"/>
          <w:szCs w:val="22"/>
          <w:lang w:val="es-CR"/>
        </w:rPr>
        <w:t>a Junta Directiva. El giro de recursos quedará sujeto a la</w:t>
      </w:r>
      <w:r w:rsidR="00D9777B">
        <w:rPr>
          <w:rFonts w:cs="Arial"/>
          <w:sz w:val="22"/>
          <w:szCs w:val="22"/>
          <w:lang w:val="es-CR"/>
        </w:rPr>
        <w:t xml:space="preserve"> </w:t>
      </w:r>
      <w:r w:rsidR="00D9777B" w:rsidRPr="0019390A">
        <w:rPr>
          <w:rFonts w:cs="Arial"/>
          <w:sz w:val="22"/>
          <w:szCs w:val="22"/>
          <w:lang w:val="es-CR"/>
        </w:rPr>
        <w:t xml:space="preserve">verificación de </w:t>
      </w:r>
      <w:r w:rsidR="00D9777B" w:rsidRPr="0019390A">
        <w:rPr>
          <w:rFonts w:cs="Arial"/>
          <w:sz w:val="22"/>
          <w:szCs w:val="22"/>
          <w:lang w:val="es-CR"/>
        </w:rPr>
        <w:lastRenderedPageBreak/>
        <w:t>que los contratos se ajusten a cabalidad con lo solicitad</w:t>
      </w:r>
      <w:r w:rsidR="00D9777B">
        <w:rPr>
          <w:rFonts w:cs="Arial"/>
          <w:sz w:val="22"/>
          <w:szCs w:val="22"/>
          <w:lang w:val="es-CR"/>
        </w:rPr>
        <w:t>o</w:t>
      </w:r>
      <w:r w:rsidR="00D9777B" w:rsidRPr="0019390A">
        <w:rPr>
          <w:rFonts w:cs="Arial"/>
          <w:sz w:val="22"/>
          <w:szCs w:val="22"/>
          <w:lang w:val="es-CR"/>
        </w:rPr>
        <w:t xml:space="preserve"> por la</w:t>
      </w:r>
      <w:r w:rsidR="00D9777B">
        <w:rPr>
          <w:rFonts w:cs="Arial"/>
          <w:sz w:val="22"/>
          <w:szCs w:val="22"/>
          <w:lang w:val="es-CR"/>
        </w:rPr>
        <w:t xml:space="preserve"> </w:t>
      </w:r>
      <w:r w:rsidR="00D9777B" w:rsidRPr="0019390A">
        <w:rPr>
          <w:rFonts w:cs="Arial"/>
          <w:sz w:val="22"/>
          <w:szCs w:val="22"/>
          <w:lang w:val="es-CR"/>
        </w:rPr>
        <w:t xml:space="preserve">Junta Directiva de este Banco en </w:t>
      </w:r>
      <w:r w:rsidR="00D9777B">
        <w:rPr>
          <w:rFonts w:cs="Arial"/>
          <w:sz w:val="22"/>
          <w:szCs w:val="22"/>
          <w:lang w:val="es-CR"/>
        </w:rPr>
        <w:t xml:space="preserve">el </w:t>
      </w:r>
      <w:r w:rsidR="00D9777B" w:rsidRPr="0019390A">
        <w:rPr>
          <w:rFonts w:cs="Arial"/>
          <w:sz w:val="22"/>
          <w:szCs w:val="22"/>
          <w:lang w:val="es-CR"/>
        </w:rPr>
        <w:t>acuerdo N°1 de la sesión 47-2008</w:t>
      </w:r>
      <w:r w:rsidR="00D9777B">
        <w:rPr>
          <w:rFonts w:cs="Arial"/>
          <w:sz w:val="22"/>
          <w:szCs w:val="22"/>
          <w:lang w:val="es-CR"/>
        </w:rPr>
        <w:t>, de</w:t>
      </w:r>
      <w:r w:rsidR="00D9777B" w:rsidRPr="0019390A">
        <w:rPr>
          <w:rFonts w:cs="Arial"/>
          <w:sz w:val="22"/>
          <w:szCs w:val="22"/>
          <w:lang w:val="es-CR"/>
        </w:rPr>
        <w:t xml:space="preserve"> fecha 30 de junio de 2008.</w:t>
      </w:r>
    </w:p>
    <w:p w14:paraId="42081E75" w14:textId="42EA5B43" w:rsidR="00D9777B" w:rsidRPr="00F054D0" w:rsidRDefault="00916A2A" w:rsidP="00D9777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D9777B" w:rsidRPr="00F054D0">
        <w:rPr>
          <w:rFonts w:cs="Arial"/>
          <w:b/>
          <w:spacing w:val="-3"/>
          <w:sz w:val="22"/>
          <w:szCs w:val="22"/>
        </w:rPr>
        <w:t>.4.</w:t>
      </w:r>
      <w:r w:rsidR="00D9777B" w:rsidRPr="00F054D0">
        <w:rPr>
          <w:rFonts w:cs="Arial"/>
          <w:spacing w:val="-3"/>
          <w:sz w:val="22"/>
          <w:szCs w:val="22"/>
        </w:rPr>
        <w:t xml:space="preserve"> </w:t>
      </w:r>
      <w:r w:rsidR="00D9777B" w:rsidRPr="00E274CA">
        <w:rPr>
          <w:rFonts w:cs="Arial"/>
          <w:b/>
          <w:spacing w:val="-3"/>
          <w:sz w:val="22"/>
          <w:szCs w:val="22"/>
        </w:rPr>
        <w:t>Garantías fiduciarias a otorgar por la entidad autorizada:</w:t>
      </w:r>
      <w:r w:rsidR="00D9777B" w:rsidRPr="00F054D0">
        <w:rPr>
          <w:rFonts w:cs="Arial"/>
          <w:spacing w:val="-3"/>
          <w:sz w:val="22"/>
          <w:szCs w:val="22"/>
        </w:rPr>
        <w:t xml:space="preserve"> Según lo dispuesto en el acuerdo N°13 de la sesión 32-2012, de fecha 22 de mayo de 2012, la entidad autorizada deberá aportar una garantía fiduciaria del </w:t>
      </w:r>
      <w:r w:rsidR="00D9777B">
        <w:rPr>
          <w:rFonts w:cs="Arial"/>
          <w:spacing w:val="-3"/>
          <w:sz w:val="22"/>
          <w:szCs w:val="22"/>
        </w:rPr>
        <w:t>6</w:t>
      </w:r>
      <w:r w:rsidR="00D9777B" w:rsidRPr="00F054D0">
        <w:rPr>
          <w:rFonts w:cs="Arial"/>
          <w:spacing w:val="-3"/>
          <w:sz w:val="22"/>
          <w:szCs w:val="22"/>
        </w:rPr>
        <w:t xml:space="preserve">% sobre el monto </w:t>
      </w:r>
      <w:r w:rsidR="00D9777B">
        <w:rPr>
          <w:rFonts w:cs="Arial"/>
          <w:spacing w:val="-3"/>
          <w:sz w:val="22"/>
          <w:szCs w:val="22"/>
        </w:rPr>
        <w:t xml:space="preserve">del financiamiento de las obras de infraestructura, </w:t>
      </w:r>
      <w:r w:rsidR="00D9777B" w:rsidRPr="00F054D0">
        <w:rPr>
          <w:rFonts w:cs="Arial"/>
          <w:spacing w:val="-3"/>
          <w:sz w:val="22"/>
          <w:szCs w:val="22"/>
          <w:lang w:val="es-CR"/>
        </w:rPr>
        <w:t xml:space="preserve">y </w:t>
      </w:r>
      <w:r w:rsidR="00D9777B" w:rsidRPr="00F054D0">
        <w:rPr>
          <w:rFonts w:cs="Arial"/>
          <w:bCs/>
          <w:spacing w:val="-3"/>
          <w:sz w:val="22"/>
          <w:szCs w:val="22"/>
          <w:lang w:val="es-CR"/>
        </w:rPr>
        <w:t xml:space="preserve">mediante garantía fiduciaria (un pagaré en el cual </w:t>
      </w:r>
      <w:r w:rsidR="00D9777B">
        <w:rPr>
          <w:rFonts w:cs="Arial"/>
          <w:bCs/>
          <w:spacing w:val="-3"/>
          <w:sz w:val="22"/>
          <w:szCs w:val="22"/>
          <w:lang w:val="es-CR"/>
        </w:rPr>
        <w:t>Mutual Cartago de</w:t>
      </w:r>
      <w:r w:rsidR="00D9777B" w:rsidRPr="00612ABD">
        <w:rPr>
          <w:rFonts w:cs="Arial"/>
          <w:bCs/>
          <w:spacing w:val="-3"/>
          <w:sz w:val="22"/>
          <w:szCs w:val="22"/>
          <w:lang w:val="es-ES_tradnl"/>
        </w:rPr>
        <w:t xml:space="preserve"> Ahorro y Préstamo</w:t>
      </w:r>
      <w:r w:rsidR="00D9777B">
        <w:rPr>
          <w:rFonts w:cs="Arial"/>
          <w:bCs/>
          <w:spacing w:val="-3"/>
          <w:sz w:val="22"/>
          <w:szCs w:val="22"/>
          <w:lang w:val="es-ES_tradnl"/>
        </w:rPr>
        <w:t xml:space="preserve">, </w:t>
      </w:r>
      <w:r w:rsidR="00D9777B"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4C8543C6" w14:textId="65052D52" w:rsidR="00D9777B" w:rsidRDefault="00916A2A" w:rsidP="00D9777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D9777B">
        <w:rPr>
          <w:rFonts w:cs="Arial"/>
          <w:b/>
          <w:spacing w:val="-3"/>
          <w:sz w:val="22"/>
          <w:szCs w:val="22"/>
        </w:rPr>
        <w:t>.5</w:t>
      </w:r>
      <w:r w:rsidR="00D9777B" w:rsidRPr="00FF6F8A">
        <w:rPr>
          <w:rFonts w:cs="Arial"/>
          <w:b/>
          <w:spacing w:val="-3"/>
          <w:sz w:val="22"/>
          <w:szCs w:val="22"/>
        </w:rPr>
        <w:t xml:space="preserve">. </w:t>
      </w:r>
      <w:r w:rsidR="00D9777B" w:rsidRPr="00E274CA">
        <w:rPr>
          <w:rFonts w:cs="Arial"/>
          <w:b/>
          <w:spacing w:val="-3"/>
          <w:sz w:val="22"/>
          <w:szCs w:val="22"/>
        </w:rPr>
        <w:t>Garantías del desarrollador:</w:t>
      </w:r>
      <w:r w:rsidR="00D9777B" w:rsidRPr="008A2839">
        <w:rPr>
          <w:rFonts w:cs="Arial"/>
          <w:spacing w:val="-3"/>
          <w:sz w:val="22"/>
          <w:szCs w:val="22"/>
        </w:rPr>
        <w:t xml:space="preserve"> El desarrollador </w:t>
      </w:r>
      <w:r w:rsidR="00D9777B" w:rsidRPr="00612ABD">
        <w:rPr>
          <w:rFonts w:cs="Arial"/>
          <w:spacing w:val="-3"/>
          <w:sz w:val="22"/>
          <w:szCs w:val="22"/>
          <w:lang w:val="es-CR"/>
        </w:rPr>
        <w:t xml:space="preserve">deberá rendir garantías según lo establecido en el cartel de licitación </w:t>
      </w:r>
      <w:r w:rsidR="00D9777B" w:rsidRPr="00612ABD">
        <w:rPr>
          <w:rFonts w:cs="Arial"/>
          <w:i/>
          <w:iCs/>
          <w:spacing w:val="-3"/>
          <w:sz w:val="22"/>
          <w:szCs w:val="22"/>
          <w:lang w:val="es-CR"/>
        </w:rPr>
        <w:t>“</w:t>
      </w:r>
      <w:r w:rsidR="00D9777B">
        <w:rPr>
          <w:rFonts w:cs="Arial"/>
          <w:i/>
          <w:iCs/>
          <w:spacing w:val="-3"/>
          <w:sz w:val="22"/>
          <w:szCs w:val="22"/>
          <w:lang w:val="es-CR"/>
        </w:rPr>
        <w:t>Parque Esparcimiento La Cima</w:t>
      </w:r>
      <w:r w:rsidR="00D9777B" w:rsidRPr="00612ABD">
        <w:rPr>
          <w:rFonts w:cs="Arial"/>
          <w:i/>
          <w:iCs/>
          <w:spacing w:val="-3"/>
          <w:sz w:val="22"/>
          <w:szCs w:val="22"/>
          <w:lang w:val="es-CR"/>
        </w:rPr>
        <w:t xml:space="preserve">”, </w:t>
      </w:r>
      <w:r w:rsidR="00D9777B" w:rsidRPr="00612ABD">
        <w:rPr>
          <w:rFonts w:cs="Arial"/>
          <w:spacing w:val="-3"/>
          <w:sz w:val="22"/>
          <w:szCs w:val="22"/>
          <w:lang w:val="es-CR"/>
        </w:rPr>
        <w:t>en el que actúa</w:t>
      </w:r>
      <w:r w:rsidR="003B11BE">
        <w:rPr>
          <w:rFonts w:cs="Arial"/>
          <w:spacing w:val="-3"/>
          <w:sz w:val="22"/>
          <w:szCs w:val="22"/>
          <w:lang w:val="es-CR"/>
        </w:rPr>
        <w:t xml:space="preserve"> la Mutual Cartago </w:t>
      </w:r>
      <w:r w:rsidR="003B11BE" w:rsidRPr="003B11BE">
        <w:rPr>
          <w:rFonts w:cs="Arial"/>
          <w:spacing w:val="-3"/>
          <w:sz w:val="22"/>
          <w:szCs w:val="22"/>
          <w:lang w:val="es-ES_tradnl"/>
        </w:rPr>
        <w:t>de Ahorro y Préstamo</w:t>
      </w:r>
      <w:r w:rsidR="00D9777B">
        <w:rPr>
          <w:rFonts w:cs="Arial"/>
          <w:spacing w:val="-3"/>
          <w:sz w:val="22"/>
          <w:szCs w:val="22"/>
          <w:lang w:val="es-CR"/>
        </w:rPr>
        <w:t>,</w:t>
      </w:r>
      <w:r w:rsidR="00D9777B" w:rsidRPr="00612ABD">
        <w:rPr>
          <w:rFonts w:cs="Arial"/>
          <w:spacing w:val="-3"/>
          <w:sz w:val="22"/>
          <w:szCs w:val="22"/>
          <w:lang w:val="es-CR"/>
        </w:rPr>
        <w:t xml:space="preserve"> en calidad de </w:t>
      </w:r>
      <w:r w:rsidR="00D9777B">
        <w:rPr>
          <w:rFonts w:cs="Arial"/>
          <w:spacing w:val="-3"/>
          <w:sz w:val="22"/>
          <w:szCs w:val="22"/>
          <w:lang w:val="es-CR"/>
        </w:rPr>
        <w:t>e</w:t>
      </w:r>
      <w:r w:rsidR="00D9777B" w:rsidRPr="00612ABD">
        <w:rPr>
          <w:rFonts w:cs="Arial"/>
          <w:spacing w:val="-3"/>
          <w:sz w:val="22"/>
          <w:szCs w:val="22"/>
          <w:lang w:val="es-CR"/>
        </w:rPr>
        <w:t xml:space="preserve">ntidad </w:t>
      </w:r>
      <w:r w:rsidR="00D9777B">
        <w:rPr>
          <w:rFonts w:cs="Arial"/>
          <w:spacing w:val="-3"/>
          <w:sz w:val="22"/>
          <w:szCs w:val="22"/>
          <w:lang w:val="es-CR"/>
        </w:rPr>
        <w:t>a</w:t>
      </w:r>
      <w:r w:rsidR="00D9777B" w:rsidRPr="00612ABD">
        <w:rPr>
          <w:rFonts w:cs="Arial"/>
          <w:spacing w:val="-3"/>
          <w:sz w:val="22"/>
          <w:szCs w:val="22"/>
          <w:lang w:val="es-CR"/>
        </w:rPr>
        <w:t>utorizada.</w:t>
      </w:r>
    </w:p>
    <w:p w14:paraId="2F85D188" w14:textId="256D409F" w:rsidR="00D9777B" w:rsidRDefault="00916A2A" w:rsidP="00D9777B">
      <w:pPr>
        <w:spacing w:line="360" w:lineRule="auto"/>
        <w:jc w:val="both"/>
        <w:rPr>
          <w:rFonts w:cs="Arial"/>
          <w:b/>
          <w:bCs/>
          <w:sz w:val="22"/>
          <w:szCs w:val="22"/>
        </w:rPr>
      </w:pPr>
      <w:r>
        <w:rPr>
          <w:rFonts w:cs="Arial"/>
          <w:b/>
          <w:bCs/>
          <w:sz w:val="22"/>
          <w:szCs w:val="22"/>
        </w:rPr>
        <w:t>3</w:t>
      </w:r>
      <w:r w:rsidR="00D9777B">
        <w:rPr>
          <w:rFonts w:cs="Arial"/>
          <w:b/>
          <w:bCs/>
          <w:sz w:val="22"/>
          <w:szCs w:val="22"/>
        </w:rPr>
        <w:t>.6 Plazo:</w:t>
      </w:r>
    </w:p>
    <w:p w14:paraId="6CA548F3" w14:textId="53CF70F7" w:rsidR="00D9777B" w:rsidRDefault="00D9777B" w:rsidP="00D9777B">
      <w:pPr>
        <w:spacing w:line="360" w:lineRule="auto"/>
        <w:jc w:val="both"/>
        <w:rPr>
          <w:rFonts w:cs="Arial"/>
          <w:sz w:val="22"/>
          <w:szCs w:val="22"/>
        </w:rPr>
      </w:pPr>
      <w:r w:rsidRPr="00737544">
        <w:rPr>
          <w:rFonts w:cs="Arial"/>
          <w:bCs/>
          <w:sz w:val="22"/>
          <w:szCs w:val="22"/>
        </w:rPr>
        <w:t>a)</w:t>
      </w:r>
      <w:r>
        <w:rPr>
          <w:rFonts w:cs="Arial"/>
          <w:b/>
          <w:bCs/>
          <w:sz w:val="22"/>
          <w:szCs w:val="22"/>
        </w:rPr>
        <w:t xml:space="preserve"> </w:t>
      </w:r>
      <w:r w:rsidR="003B11BE" w:rsidRPr="003B11BE">
        <w:rPr>
          <w:rFonts w:cs="Arial"/>
          <w:sz w:val="22"/>
          <w:szCs w:val="22"/>
        </w:rPr>
        <w:t>Quince</w:t>
      </w:r>
      <w:r w:rsidRPr="003B11BE">
        <w:rPr>
          <w:rFonts w:cs="Arial"/>
          <w:sz w:val="22"/>
          <w:szCs w:val="22"/>
        </w:rPr>
        <w:t xml:space="preserve"> d</w:t>
      </w:r>
      <w:r>
        <w:rPr>
          <w:rFonts w:cs="Arial"/>
          <w:sz w:val="22"/>
          <w:szCs w:val="22"/>
        </w:rPr>
        <w:t xml:space="preserve">ías hábiles, para la </w:t>
      </w:r>
      <w:r w:rsidR="003B11BE">
        <w:rPr>
          <w:rFonts w:cs="Arial"/>
          <w:sz w:val="22"/>
          <w:szCs w:val="22"/>
        </w:rPr>
        <w:t>obtención de permisos</w:t>
      </w:r>
      <w:r>
        <w:rPr>
          <w:rFonts w:cs="Arial"/>
          <w:sz w:val="22"/>
          <w:szCs w:val="22"/>
        </w:rPr>
        <w:t>.</w:t>
      </w:r>
    </w:p>
    <w:p w14:paraId="7DA7854D" w14:textId="77777777" w:rsidR="003B11BE" w:rsidRDefault="003B11BE" w:rsidP="00D9777B">
      <w:pPr>
        <w:spacing w:line="360" w:lineRule="auto"/>
        <w:jc w:val="both"/>
        <w:rPr>
          <w:rFonts w:cs="Arial"/>
          <w:sz w:val="22"/>
          <w:szCs w:val="22"/>
          <w:lang w:val="es-CR"/>
        </w:rPr>
      </w:pPr>
      <w:r>
        <w:rPr>
          <w:rFonts w:cs="Arial"/>
          <w:sz w:val="22"/>
          <w:szCs w:val="22"/>
        </w:rPr>
        <w:t>b) Cuarenta y cinco días</w:t>
      </w:r>
      <w:r w:rsidR="00D9777B" w:rsidRPr="009B4DB6">
        <w:rPr>
          <w:rFonts w:cs="Arial"/>
          <w:sz w:val="22"/>
          <w:szCs w:val="22"/>
          <w:lang w:val="es-CR"/>
        </w:rPr>
        <w:t xml:space="preserve"> hábiles, para la construcción de las obras</w:t>
      </w:r>
      <w:r w:rsidR="00D9777B">
        <w:rPr>
          <w:rFonts w:cs="Arial"/>
          <w:sz w:val="22"/>
          <w:szCs w:val="22"/>
          <w:lang w:val="es-CR"/>
        </w:rPr>
        <w:t>.</w:t>
      </w:r>
    </w:p>
    <w:p w14:paraId="1BEC7509" w14:textId="0806884C" w:rsidR="00D9777B" w:rsidRPr="009B4DB6" w:rsidRDefault="00D9777B" w:rsidP="00D9777B">
      <w:pPr>
        <w:spacing w:line="360" w:lineRule="auto"/>
        <w:jc w:val="both"/>
        <w:rPr>
          <w:rFonts w:cs="Arial"/>
          <w:sz w:val="22"/>
          <w:szCs w:val="22"/>
          <w:lang w:val="es-CR"/>
        </w:rPr>
      </w:pPr>
      <w:r w:rsidRPr="009B4DB6">
        <w:rPr>
          <w:rFonts w:cs="Arial"/>
          <w:sz w:val="22"/>
          <w:szCs w:val="22"/>
          <w:lang w:val="es-CR"/>
        </w:rPr>
        <w:t xml:space="preserve"> </w:t>
      </w:r>
    </w:p>
    <w:p w14:paraId="024D7E83" w14:textId="66E963D4" w:rsidR="00752C41" w:rsidRPr="00752C41" w:rsidRDefault="00916A2A" w:rsidP="00752C41">
      <w:pPr>
        <w:spacing w:line="360" w:lineRule="auto"/>
        <w:jc w:val="both"/>
        <w:rPr>
          <w:rFonts w:cs="Arial"/>
          <w:sz w:val="22"/>
          <w:szCs w:val="22"/>
          <w:lang w:val="es-CR"/>
        </w:rPr>
      </w:pPr>
      <w:r>
        <w:rPr>
          <w:rFonts w:cs="Arial"/>
          <w:b/>
          <w:bCs/>
          <w:sz w:val="22"/>
          <w:szCs w:val="22"/>
          <w:lang w:val="es-CR"/>
        </w:rPr>
        <w:t>4</w:t>
      </w:r>
      <w:r w:rsidR="00752C41" w:rsidRPr="003B11BE">
        <w:rPr>
          <w:rFonts w:cs="Arial"/>
          <w:b/>
          <w:bCs/>
          <w:sz w:val="22"/>
          <w:szCs w:val="22"/>
          <w:lang w:val="es-CR"/>
        </w:rPr>
        <w:t>.</w:t>
      </w:r>
      <w:r w:rsidR="00752C41">
        <w:rPr>
          <w:rFonts w:cs="Arial"/>
          <w:sz w:val="22"/>
          <w:szCs w:val="22"/>
          <w:lang w:val="es-CR"/>
        </w:rPr>
        <w:t xml:space="preserve"> </w:t>
      </w:r>
      <w:r w:rsidR="00752C41" w:rsidRPr="00752C41">
        <w:rPr>
          <w:rFonts w:cs="Arial"/>
          <w:sz w:val="22"/>
          <w:szCs w:val="22"/>
          <w:lang w:val="es-CR"/>
        </w:rPr>
        <w:t>En caso de requerirse la realización de obras extras o modificaciones de las obras proyectadas inicialmente, se deberá cumplir con el acuerdo N°</w:t>
      </w:r>
      <w:r w:rsidR="00752C41">
        <w:rPr>
          <w:rFonts w:cs="Arial"/>
          <w:sz w:val="22"/>
          <w:szCs w:val="22"/>
          <w:lang w:val="es-CR"/>
        </w:rPr>
        <w:t xml:space="preserve"> </w:t>
      </w:r>
      <w:r w:rsidR="00752C41" w:rsidRPr="00752C41">
        <w:rPr>
          <w:rFonts w:cs="Arial"/>
          <w:sz w:val="22"/>
          <w:szCs w:val="22"/>
          <w:lang w:val="es-CR"/>
        </w:rPr>
        <w:t xml:space="preserve">9 de la sesión 71-2011 emitido por </w:t>
      </w:r>
      <w:r w:rsidR="00752C41">
        <w:rPr>
          <w:rFonts w:cs="Arial"/>
          <w:sz w:val="22"/>
          <w:szCs w:val="22"/>
          <w:lang w:val="es-CR"/>
        </w:rPr>
        <w:t xml:space="preserve">esta </w:t>
      </w:r>
      <w:r w:rsidR="00752C41" w:rsidRPr="00752C41">
        <w:rPr>
          <w:rFonts w:cs="Arial"/>
          <w:sz w:val="22"/>
          <w:szCs w:val="22"/>
          <w:lang w:val="es-CR"/>
        </w:rPr>
        <w:t>Junta Directiva y la circular DF-CI-1085-2011</w:t>
      </w:r>
      <w:r w:rsidR="00752C41">
        <w:rPr>
          <w:rFonts w:cs="Arial"/>
          <w:sz w:val="22"/>
          <w:szCs w:val="22"/>
          <w:lang w:val="es-CR"/>
        </w:rPr>
        <w:t>,</w:t>
      </w:r>
      <w:r w:rsidR="00752C41" w:rsidRPr="00752C41">
        <w:rPr>
          <w:rFonts w:cs="Arial"/>
          <w:sz w:val="22"/>
          <w:szCs w:val="22"/>
          <w:lang w:val="es-CR"/>
        </w:rPr>
        <w:t xml:space="preserve"> de fecha 05 de julio de 2011, emitida por la Dirección FOSUVI. </w:t>
      </w:r>
    </w:p>
    <w:p w14:paraId="12113E1F" w14:textId="08C7E36C" w:rsidR="00752C41" w:rsidRDefault="00752C41" w:rsidP="009C07E8">
      <w:pPr>
        <w:spacing w:line="360" w:lineRule="auto"/>
        <w:jc w:val="both"/>
        <w:rPr>
          <w:rFonts w:cs="Arial"/>
          <w:sz w:val="22"/>
          <w:szCs w:val="22"/>
          <w:lang w:val="es-CR"/>
        </w:rPr>
      </w:pPr>
    </w:p>
    <w:p w14:paraId="5FEA7D49" w14:textId="4FC5F6E9" w:rsidR="00752C41" w:rsidRPr="00752C41" w:rsidRDefault="00916A2A" w:rsidP="00752C41">
      <w:pPr>
        <w:spacing w:line="360" w:lineRule="auto"/>
        <w:jc w:val="both"/>
        <w:rPr>
          <w:rFonts w:cs="Arial"/>
          <w:sz w:val="22"/>
          <w:szCs w:val="22"/>
          <w:lang w:val="es-CR"/>
        </w:rPr>
      </w:pPr>
      <w:r>
        <w:rPr>
          <w:rFonts w:cs="Arial"/>
          <w:b/>
          <w:bCs/>
          <w:sz w:val="22"/>
          <w:szCs w:val="22"/>
          <w:lang w:val="es-CR"/>
        </w:rPr>
        <w:t>5</w:t>
      </w:r>
      <w:r w:rsidR="00752C41" w:rsidRPr="003B11BE">
        <w:rPr>
          <w:rFonts w:cs="Arial"/>
          <w:b/>
          <w:bCs/>
          <w:sz w:val="22"/>
          <w:szCs w:val="22"/>
          <w:lang w:val="es-CR"/>
        </w:rPr>
        <w:t>.</w:t>
      </w:r>
      <w:r w:rsidR="00752C41">
        <w:rPr>
          <w:rFonts w:cs="Arial"/>
          <w:sz w:val="22"/>
          <w:szCs w:val="22"/>
          <w:lang w:val="es-CR"/>
        </w:rPr>
        <w:t xml:space="preserve"> Cada </w:t>
      </w:r>
      <w:r w:rsidR="00752C41" w:rsidRPr="00752C41">
        <w:rPr>
          <w:rFonts w:cs="Arial"/>
          <w:sz w:val="22"/>
          <w:szCs w:val="22"/>
          <w:lang w:val="es-CR"/>
        </w:rPr>
        <w:t xml:space="preserve">uno los aspectos indicados anteriormente deberán ser verificados y sustentados en el informe de cierre de liquidación del proyecto, que para tal efecto debe preparar MUCAP en su calidad de Entidad Autorizada. </w:t>
      </w:r>
    </w:p>
    <w:p w14:paraId="41D5347C" w14:textId="77777777" w:rsidR="00752C41" w:rsidRPr="00752C41" w:rsidRDefault="00752C41" w:rsidP="00752C41">
      <w:pPr>
        <w:spacing w:line="360" w:lineRule="auto"/>
        <w:jc w:val="both"/>
        <w:rPr>
          <w:rFonts w:cs="Arial"/>
          <w:sz w:val="22"/>
          <w:szCs w:val="22"/>
          <w:lang w:val="es-CR"/>
        </w:rPr>
      </w:pPr>
    </w:p>
    <w:p w14:paraId="2B4B4028" w14:textId="12B73C1D" w:rsidR="00752C41" w:rsidRPr="00752C41" w:rsidRDefault="00916A2A" w:rsidP="00752C41">
      <w:pPr>
        <w:spacing w:line="360" w:lineRule="auto"/>
        <w:jc w:val="both"/>
        <w:rPr>
          <w:rFonts w:cs="Arial"/>
          <w:sz w:val="22"/>
          <w:szCs w:val="22"/>
          <w:lang w:val="es-CR"/>
        </w:rPr>
      </w:pPr>
      <w:r>
        <w:rPr>
          <w:rFonts w:cs="Arial"/>
          <w:b/>
          <w:bCs/>
          <w:sz w:val="22"/>
          <w:szCs w:val="22"/>
          <w:lang w:val="es-CR"/>
        </w:rPr>
        <w:t>6</w:t>
      </w:r>
      <w:r w:rsidR="00752C41" w:rsidRPr="00752C41">
        <w:rPr>
          <w:rFonts w:cs="Arial"/>
          <w:b/>
          <w:bCs/>
          <w:sz w:val="22"/>
          <w:szCs w:val="22"/>
          <w:lang w:val="es-CR"/>
        </w:rPr>
        <w:t>.</w:t>
      </w:r>
      <w:r w:rsidR="00752C41" w:rsidRPr="00752C41">
        <w:rPr>
          <w:rFonts w:cs="Arial"/>
          <w:sz w:val="22"/>
          <w:szCs w:val="22"/>
          <w:lang w:val="es-CR"/>
        </w:rPr>
        <w:t xml:space="preserve"> El giro de los montos previstos por posibles aumentos en el precio de materiales y mano de obra</w:t>
      </w:r>
      <w:r w:rsidR="00752C41">
        <w:rPr>
          <w:rFonts w:cs="Arial"/>
          <w:sz w:val="22"/>
          <w:szCs w:val="22"/>
          <w:lang w:val="es-CR"/>
        </w:rPr>
        <w:t>,</w:t>
      </w:r>
      <w:r w:rsidR="00752C41" w:rsidRPr="00752C41">
        <w:rPr>
          <w:rFonts w:cs="Arial"/>
          <w:sz w:val="22"/>
          <w:szCs w:val="22"/>
          <w:lang w:val="es-CR"/>
        </w:rPr>
        <w:t xml:space="preserve"> se realizará a mensualmente o al final del proceso constructivo, con previa solicitud por parte de la Entidad Autorizada y según los cálculos revisados por parte de </w:t>
      </w:r>
      <w:r w:rsidR="00752C41">
        <w:rPr>
          <w:rFonts w:cs="Arial"/>
          <w:sz w:val="22"/>
          <w:szCs w:val="22"/>
          <w:lang w:val="es-CR"/>
        </w:rPr>
        <w:t>la</w:t>
      </w:r>
      <w:r w:rsidR="00752C41" w:rsidRPr="00752C41">
        <w:rPr>
          <w:rFonts w:cs="Arial"/>
          <w:sz w:val="22"/>
          <w:szCs w:val="22"/>
          <w:lang w:val="es-CR"/>
        </w:rPr>
        <w:t xml:space="preserve"> Dirección</w:t>
      </w:r>
      <w:r w:rsidR="00752C41">
        <w:rPr>
          <w:rFonts w:cs="Arial"/>
          <w:sz w:val="22"/>
          <w:szCs w:val="22"/>
          <w:lang w:val="es-CR"/>
        </w:rPr>
        <w:t xml:space="preserve"> FOSUVI</w:t>
      </w:r>
      <w:r w:rsidR="00752C41" w:rsidRPr="00752C41">
        <w:rPr>
          <w:rFonts w:cs="Arial"/>
          <w:sz w:val="22"/>
          <w:szCs w:val="22"/>
          <w:lang w:val="es-CR"/>
        </w:rPr>
        <w:t>, con los índices reales publicados por el INEC</w:t>
      </w:r>
      <w:r w:rsidR="00752C41">
        <w:rPr>
          <w:rFonts w:cs="Arial"/>
          <w:sz w:val="22"/>
          <w:szCs w:val="22"/>
          <w:lang w:val="es-CR"/>
        </w:rPr>
        <w:t>,</w:t>
      </w:r>
      <w:r w:rsidR="00752C41" w:rsidRPr="00752C41">
        <w:rPr>
          <w:rFonts w:cs="Arial"/>
          <w:sz w:val="22"/>
          <w:szCs w:val="22"/>
          <w:lang w:val="es-CR"/>
        </w:rPr>
        <w:t xml:space="preserve"> hasta agotar el monto previsto. </w:t>
      </w:r>
    </w:p>
    <w:p w14:paraId="00E90079" w14:textId="77777777" w:rsidR="00752C41" w:rsidRPr="00752C41" w:rsidRDefault="00752C41" w:rsidP="00752C41">
      <w:pPr>
        <w:spacing w:line="360" w:lineRule="auto"/>
        <w:jc w:val="both"/>
        <w:rPr>
          <w:rFonts w:cs="Arial"/>
          <w:sz w:val="22"/>
          <w:szCs w:val="22"/>
          <w:lang w:val="es-CR"/>
        </w:rPr>
      </w:pPr>
    </w:p>
    <w:p w14:paraId="05C3CF71" w14:textId="2A4D7EA1" w:rsidR="00752C41" w:rsidRPr="00752C41" w:rsidRDefault="00916A2A" w:rsidP="00752C41">
      <w:pPr>
        <w:spacing w:line="360" w:lineRule="auto"/>
        <w:jc w:val="both"/>
        <w:rPr>
          <w:rFonts w:cs="Arial"/>
          <w:sz w:val="22"/>
          <w:szCs w:val="22"/>
          <w:lang w:val="es-CR"/>
        </w:rPr>
      </w:pPr>
      <w:r>
        <w:rPr>
          <w:rFonts w:cs="Arial"/>
          <w:b/>
          <w:bCs/>
          <w:sz w:val="22"/>
          <w:szCs w:val="22"/>
          <w:lang w:val="es-CR"/>
        </w:rPr>
        <w:t>7</w:t>
      </w:r>
      <w:r w:rsidR="00752C41" w:rsidRPr="00752C41">
        <w:rPr>
          <w:rFonts w:cs="Arial"/>
          <w:b/>
          <w:bCs/>
          <w:sz w:val="22"/>
          <w:szCs w:val="22"/>
          <w:lang w:val="es-CR"/>
        </w:rPr>
        <w:t>.</w:t>
      </w:r>
      <w:r w:rsidR="00752C41" w:rsidRPr="00752C41">
        <w:rPr>
          <w:rFonts w:cs="Arial"/>
          <w:sz w:val="22"/>
          <w:szCs w:val="22"/>
          <w:lang w:val="es-CR"/>
        </w:rPr>
        <w:t xml:space="preserve"> El rubro de kilometraje </w:t>
      </w:r>
      <w:r w:rsidR="00752C41">
        <w:rPr>
          <w:rFonts w:cs="Arial"/>
          <w:sz w:val="22"/>
          <w:szCs w:val="22"/>
          <w:lang w:val="es-CR"/>
        </w:rPr>
        <w:t>por</w:t>
      </w:r>
      <w:r w:rsidR="00752C41" w:rsidRPr="00752C41">
        <w:rPr>
          <w:rFonts w:cs="Arial"/>
          <w:sz w:val="22"/>
          <w:szCs w:val="22"/>
          <w:lang w:val="es-CR"/>
        </w:rPr>
        <w:t xml:space="preserve"> inspección de obras de la entidad autorizada y los gastos administrativos</w:t>
      </w:r>
      <w:r w:rsidR="00752C41">
        <w:rPr>
          <w:rFonts w:cs="Arial"/>
          <w:sz w:val="22"/>
          <w:szCs w:val="22"/>
          <w:lang w:val="es-CR"/>
        </w:rPr>
        <w:t>,</w:t>
      </w:r>
      <w:r w:rsidR="00752C41" w:rsidRPr="00752C41">
        <w:rPr>
          <w:rFonts w:cs="Arial"/>
          <w:sz w:val="22"/>
          <w:szCs w:val="22"/>
          <w:lang w:val="es-CR"/>
        </w:rPr>
        <w:t xml:space="preserve"> son liquidables</w:t>
      </w:r>
      <w:r w:rsidR="00752C41">
        <w:rPr>
          <w:rFonts w:cs="Arial"/>
          <w:sz w:val="22"/>
          <w:szCs w:val="22"/>
          <w:lang w:val="es-CR"/>
        </w:rPr>
        <w:t xml:space="preserve">.  La entidad autorizada </w:t>
      </w:r>
      <w:r w:rsidR="00752C41" w:rsidRPr="00752C41">
        <w:rPr>
          <w:rFonts w:cs="Arial"/>
          <w:sz w:val="22"/>
          <w:szCs w:val="22"/>
          <w:lang w:val="es-CR"/>
        </w:rPr>
        <w:t xml:space="preserve">deberá presentar un informe de liquidación, con la justificación del número de visitas realizas por el inspector de obras, así como el monto correspondiente a los gastos administrativos que se deben actualizar según el costo total del proyecto. </w:t>
      </w:r>
    </w:p>
    <w:p w14:paraId="43F9DF58" w14:textId="77777777" w:rsidR="00752C41" w:rsidRPr="00752C41" w:rsidRDefault="00752C41" w:rsidP="00752C41">
      <w:pPr>
        <w:spacing w:line="360" w:lineRule="auto"/>
        <w:jc w:val="both"/>
        <w:rPr>
          <w:rFonts w:cs="Arial"/>
          <w:sz w:val="22"/>
          <w:szCs w:val="22"/>
          <w:lang w:val="es-CR"/>
        </w:rPr>
      </w:pPr>
    </w:p>
    <w:p w14:paraId="37EE75E5" w14:textId="7A9ADDCB" w:rsidR="00752C41" w:rsidRDefault="00916A2A" w:rsidP="00752C4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lang w:val="es-CR"/>
        </w:rPr>
        <w:t>8</w:t>
      </w:r>
      <w:r w:rsidR="00752C41" w:rsidRPr="007618C2">
        <w:rPr>
          <w:rFonts w:cs="Arial"/>
          <w:b/>
          <w:spacing w:val="-3"/>
          <w:sz w:val="22"/>
          <w:szCs w:val="22"/>
          <w:lang w:val="es-CR"/>
        </w:rPr>
        <w:t>.</w:t>
      </w:r>
      <w:r w:rsidR="00752C41" w:rsidRPr="007618C2">
        <w:rPr>
          <w:rFonts w:cs="Arial"/>
          <w:spacing w:val="-3"/>
          <w:sz w:val="22"/>
          <w:szCs w:val="22"/>
          <w:lang w:val="es-CR"/>
        </w:rPr>
        <w:t xml:space="preserve"> Según lo establecido por la Junta Directiva </w:t>
      </w:r>
      <w:r w:rsidR="00752C41">
        <w:rPr>
          <w:rFonts w:cs="Arial"/>
          <w:spacing w:val="-3"/>
          <w:sz w:val="22"/>
          <w:szCs w:val="22"/>
          <w:lang w:val="es-CR"/>
        </w:rPr>
        <w:t>de este Banco, en el a</w:t>
      </w:r>
      <w:r w:rsidR="00752C41" w:rsidRPr="007618C2">
        <w:rPr>
          <w:rFonts w:cs="Arial"/>
          <w:spacing w:val="-3"/>
          <w:sz w:val="22"/>
          <w:szCs w:val="22"/>
          <w:lang w:val="es-CR"/>
        </w:rPr>
        <w:t xml:space="preserve">cuerdo </w:t>
      </w:r>
      <w:r w:rsidR="00752C41">
        <w:rPr>
          <w:rFonts w:cs="Arial"/>
          <w:spacing w:val="-3"/>
          <w:sz w:val="22"/>
          <w:szCs w:val="22"/>
          <w:lang w:val="es-CR"/>
        </w:rPr>
        <w:t xml:space="preserve">N° </w:t>
      </w:r>
      <w:r w:rsidR="00752C41" w:rsidRPr="007618C2">
        <w:rPr>
          <w:rFonts w:cs="Arial"/>
          <w:spacing w:val="-3"/>
          <w:sz w:val="22"/>
          <w:szCs w:val="22"/>
          <w:lang w:val="es-CR"/>
        </w:rPr>
        <w:t>12 de la sesión 04-2012</w:t>
      </w:r>
      <w:r w:rsidR="00752C41">
        <w:rPr>
          <w:rFonts w:cs="Arial"/>
          <w:spacing w:val="-3"/>
          <w:sz w:val="22"/>
          <w:szCs w:val="22"/>
          <w:lang w:val="es-CR"/>
        </w:rPr>
        <w:t xml:space="preserve">, </w:t>
      </w:r>
      <w:r w:rsidR="00752C41" w:rsidRPr="007618C2">
        <w:rPr>
          <w:rFonts w:cs="Arial"/>
          <w:spacing w:val="-3"/>
          <w:sz w:val="22"/>
          <w:szCs w:val="22"/>
          <w:lang w:val="es-CR"/>
        </w:rPr>
        <w:t>del 23 de enero del 2012, con respecto a las disposiciones de la Contraloría</w:t>
      </w:r>
      <w:r w:rsidR="00752C41">
        <w:rPr>
          <w:rFonts w:cs="Arial"/>
          <w:spacing w:val="-3"/>
          <w:sz w:val="22"/>
          <w:szCs w:val="22"/>
          <w:lang w:val="es-CR"/>
        </w:rPr>
        <w:t xml:space="preserve"> </w:t>
      </w:r>
      <w:r w:rsidR="00752C41" w:rsidRPr="007618C2">
        <w:rPr>
          <w:rFonts w:cs="Arial"/>
          <w:spacing w:val="-3"/>
          <w:sz w:val="22"/>
          <w:szCs w:val="22"/>
          <w:lang w:val="es-CR"/>
        </w:rPr>
        <w:t xml:space="preserve">General de la República en </w:t>
      </w:r>
      <w:r w:rsidR="00752C41">
        <w:rPr>
          <w:rFonts w:cs="Arial"/>
          <w:spacing w:val="-3"/>
          <w:sz w:val="22"/>
          <w:szCs w:val="22"/>
          <w:lang w:val="es-CR"/>
        </w:rPr>
        <w:t xml:space="preserve">el </w:t>
      </w:r>
      <w:r w:rsidR="00752C41" w:rsidRPr="007618C2">
        <w:rPr>
          <w:rFonts w:cs="Arial"/>
          <w:spacing w:val="-3"/>
          <w:sz w:val="22"/>
          <w:szCs w:val="22"/>
          <w:lang w:val="es-CR"/>
        </w:rPr>
        <w:t>informe N° DFOE-SOC-IF-10-2011, la</w:t>
      </w:r>
      <w:r w:rsidR="00752C41">
        <w:rPr>
          <w:rFonts w:cs="Arial"/>
          <w:spacing w:val="-3"/>
          <w:sz w:val="22"/>
          <w:szCs w:val="22"/>
          <w:lang w:val="es-CR"/>
        </w:rPr>
        <w:t xml:space="preserve"> </w:t>
      </w:r>
      <w:r w:rsidR="00752C41" w:rsidRPr="007618C2">
        <w:rPr>
          <w:rFonts w:cs="Arial"/>
          <w:spacing w:val="-3"/>
          <w:sz w:val="22"/>
          <w:szCs w:val="22"/>
          <w:lang w:val="es-CR"/>
        </w:rPr>
        <w:t>Dirección FOSUVI deberá realizar la inspección de la calidad del proyecto.</w:t>
      </w:r>
    </w:p>
    <w:p w14:paraId="79B53113" w14:textId="37289EC3" w:rsidR="00752C41" w:rsidRDefault="00752C41" w:rsidP="00752C4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F8117F1" w14:textId="7AE04F9D" w:rsidR="00752C41" w:rsidRPr="00AB2826" w:rsidRDefault="00916A2A" w:rsidP="00752C41">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b/>
          <w:spacing w:val="-3"/>
          <w:sz w:val="22"/>
          <w:szCs w:val="22"/>
          <w:lang w:val="es-CR"/>
        </w:rPr>
        <w:t>9</w:t>
      </w:r>
      <w:r w:rsidR="00752C41" w:rsidRPr="007618C2">
        <w:rPr>
          <w:rFonts w:cs="Arial"/>
          <w:b/>
          <w:spacing w:val="-3"/>
          <w:sz w:val="22"/>
          <w:szCs w:val="22"/>
          <w:lang w:val="es-CR"/>
        </w:rPr>
        <w:t>.</w:t>
      </w:r>
      <w:r w:rsidR="00752C41" w:rsidRPr="007618C2">
        <w:rPr>
          <w:rFonts w:cs="Arial"/>
          <w:spacing w:val="-3"/>
          <w:sz w:val="22"/>
          <w:szCs w:val="22"/>
          <w:lang w:val="es-CR"/>
        </w:rPr>
        <w:t xml:space="preserve"> Para el desarrollo de este proyecto</w:t>
      </w:r>
      <w:r w:rsidR="00752C41">
        <w:rPr>
          <w:rFonts w:cs="Arial"/>
          <w:spacing w:val="-3"/>
          <w:sz w:val="22"/>
          <w:szCs w:val="22"/>
          <w:lang w:val="es-CR"/>
        </w:rPr>
        <w:t>,</w:t>
      </w:r>
      <w:r w:rsidR="00752C41" w:rsidRPr="007618C2">
        <w:rPr>
          <w:rFonts w:cs="Arial"/>
          <w:spacing w:val="-3"/>
          <w:sz w:val="22"/>
          <w:szCs w:val="22"/>
          <w:lang w:val="es-CR"/>
        </w:rPr>
        <w:t xml:space="preserve"> se deberá</w:t>
      </w:r>
      <w:r w:rsidR="00752C41">
        <w:rPr>
          <w:rFonts w:cs="Arial"/>
          <w:spacing w:val="-3"/>
          <w:sz w:val="22"/>
          <w:szCs w:val="22"/>
          <w:lang w:val="es-CR"/>
        </w:rPr>
        <w:t>n</w:t>
      </w:r>
      <w:r w:rsidR="00752C41" w:rsidRPr="007618C2">
        <w:rPr>
          <w:rFonts w:cs="Arial"/>
          <w:spacing w:val="-3"/>
          <w:sz w:val="22"/>
          <w:szCs w:val="22"/>
          <w:lang w:val="es-CR"/>
        </w:rPr>
        <w:t xml:space="preserve"> cumplir todas las</w:t>
      </w:r>
      <w:r w:rsidR="00752C41">
        <w:rPr>
          <w:rFonts w:cs="Arial"/>
          <w:spacing w:val="-3"/>
          <w:sz w:val="22"/>
          <w:szCs w:val="22"/>
          <w:lang w:val="es-CR"/>
        </w:rPr>
        <w:t xml:space="preserve"> </w:t>
      </w:r>
      <w:r w:rsidR="00752C41" w:rsidRPr="007618C2">
        <w:rPr>
          <w:rFonts w:cs="Arial"/>
          <w:spacing w:val="-3"/>
          <w:sz w:val="22"/>
          <w:szCs w:val="22"/>
          <w:lang w:val="es-CR"/>
        </w:rPr>
        <w:t>disposiciones reglamentarias y regulaciones dictadas por el Sistema</w:t>
      </w:r>
      <w:r w:rsidR="00752C41">
        <w:rPr>
          <w:rFonts w:cs="Arial"/>
          <w:spacing w:val="-3"/>
          <w:sz w:val="22"/>
          <w:szCs w:val="22"/>
          <w:lang w:val="es-CR"/>
        </w:rPr>
        <w:t xml:space="preserve"> </w:t>
      </w:r>
      <w:r w:rsidR="00752C41" w:rsidRPr="007618C2">
        <w:rPr>
          <w:rFonts w:cs="Arial"/>
          <w:spacing w:val="-3"/>
          <w:sz w:val="22"/>
          <w:szCs w:val="22"/>
          <w:lang w:val="es-CR"/>
        </w:rPr>
        <w:t>Financiero Nacional para la Vivienda.</w:t>
      </w:r>
    </w:p>
    <w:p w14:paraId="2C5F783B" w14:textId="65943DA8" w:rsidR="00752C41" w:rsidRDefault="00752C41" w:rsidP="00752C4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3763AA9" w14:textId="4F44C1E3" w:rsidR="00D9777B" w:rsidRPr="00752C41" w:rsidRDefault="00D9777B" w:rsidP="00D9777B">
      <w:pPr>
        <w:spacing w:line="360" w:lineRule="auto"/>
        <w:jc w:val="both"/>
        <w:rPr>
          <w:rFonts w:cs="Arial"/>
          <w:sz w:val="22"/>
          <w:szCs w:val="22"/>
          <w:lang w:val="es-CR"/>
        </w:rPr>
      </w:pPr>
      <w:r w:rsidRPr="00752C41">
        <w:rPr>
          <w:rFonts w:cs="Arial"/>
          <w:b/>
          <w:bCs/>
          <w:sz w:val="22"/>
          <w:szCs w:val="22"/>
          <w:lang w:val="es-CR"/>
        </w:rPr>
        <w:t>1</w:t>
      </w:r>
      <w:r w:rsidR="00916A2A">
        <w:rPr>
          <w:rFonts w:cs="Arial"/>
          <w:b/>
          <w:bCs/>
          <w:sz w:val="22"/>
          <w:szCs w:val="22"/>
          <w:lang w:val="es-CR"/>
        </w:rPr>
        <w:t>0</w:t>
      </w:r>
      <w:r w:rsidRPr="00752C41">
        <w:rPr>
          <w:rFonts w:cs="Arial"/>
          <w:b/>
          <w:bCs/>
          <w:sz w:val="22"/>
          <w:szCs w:val="22"/>
          <w:lang w:val="es-CR"/>
        </w:rPr>
        <w:t>.</w:t>
      </w:r>
      <w:r w:rsidRPr="00752C41">
        <w:rPr>
          <w:rFonts w:cs="Arial"/>
          <w:sz w:val="22"/>
          <w:szCs w:val="22"/>
          <w:lang w:val="es-CR"/>
        </w:rPr>
        <w:t xml:space="preserve"> En los casos de proyectos de Bono Colectivo, cuyo diseño sea donado por la municipalidad que será beneficiada con las obras, cualquier omisión o error de diseño que genere la necesidad de ejecutar obras adicionales, los costos de dichas obras deberán ser cubiertos por la municipalidad que dona los diseños. </w:t>
      </w:r>
    </w:p>
    <w:p w14:paraId="19B5685F" w14:textId="77777777" w:rsidR="00D9777B" w:rsidRPr="00752C41" w:rsidRDefault="00D9777B" w:rsidP="00D9777B">
      <w:pPr>
        <w:spacing w:line="360" w:lineRule="auto"/>
        <w:jc w:val="both"/>
        <w:rPr>
          <w:rFonts w:cs="Arial"/>
          <w:sz w:val="22"/>
          <w:szCs w:val="22"/>
          <w:lang w:val="es-CR"/>
        </w:rPr>
      </w:pPr>
    </w:p>
    <w:p w14:paraId="5F71CB78" w14:textId="1BE93672" w:rsidR="00D9777B" w:rsidRPr="00752C41" w:rsidRDefault="00D9777B" w:rsidP="00D9777B">
      <w:pPr>
        <w:spacing w:line="360" w:lineRule="auto"/>
        <w:jc w:val="both"/>
        <w:rPr>
          <w:rFonts w:cs="Arial"/>
          <w:sz w:val="22"/>
          <w:szCs w:val="22"/>
          <w:lang w:val="es-CR"/>
        </w:rPr>
      </w:pPr>
      <w:r w:rsidRPr="00752C41">
        <w:rPr>
          <w:rFonts w:cs="Arial"/>
          <w:b/>
          <w:bCs/>
          <w:sz w:val="22"/>
          <w:szCs w:val="22"/>
          <w:lang w:val="es-CR"/>
        </w:rPr>
        <w:t>1</w:t>
      </w:r>
      <w:r w:rsidR="00916A2A">
        <w:rPr>
          <w:rFonts w:cs="Arial"/>
          <w:b/>
          <w:bCs/>
          <w:sz w:val="22"/>
          <w:szCs w:val="22"/>
          <w:lang w:val="es-CR"/>
        </w:rPr>
        <w:t>1</w:t>
      </w:r>
      <w:r w:rsidRPr="00752C41">
        <w:rPr>
          <w:rFonts w:cs="Arial"/>
          <w:b/>
          <w:bCs/>
          <w:sz w:val="22"/>
          <w:szCs w:val="22"/>
          <w:lang w:val="es-CR"/>
        </w:rPr>
        <w:t>.</w:t>
      </w:r>
      <w:r w:rsidRPr="00752C41">
        <w:rPr>
          <w:rFonts w:cs="Arial"/>
          <w:sz w:val="22"/>
          <w:szCs w:val="22"/>
          <w:lang w:val="es-CR"/>
        </w:rPr>
        <w:t xml:space="preserve"> </w:t>
      </w:r>
      <w:r>
        <w:rPr>
          <w:rFonts w:cs="Arial"/>
          <w:color w:val="000000"/>
          <w:sz w:val="22"/>
          <w:szCs w:val="22"/>
        </w:rPr>
        <w:t>Deberán acatarse las recomendaciones planteadas por el Departamento Técnico de la Dirección FOSUVI, en el informe</w:t>
      </w:r>
      <w:r w:rsidRPr="00752C41">
        <w:rPr>
          <w:rFonts w:cs="Arial"/>
          <w:sz w:val="22"/>
          <w:szCs w:val="22"/>
          <w:lang w:val="es-CR"/>
        </w:rPr>
        <w:t xml:space="preserve"> </w:t>
      </w:r>
      <w:r w:rsidRPr="00752C41">
        <w:rPr>
          <w:rFonts w:cs="Arial"/>
          <w:b/>
          <w:bCs/>
          <w:sz w:val="22"/>
          <w:szCs w:val="22"/>
          <w:lang w:val="es-CR"/>
        </w:rPr>
        <w:t>DF-DT-IN-0811-2020</w:t>
      </w:r>
      <w:r>
        <w:rPr>
          <w:rFonts w:cs="Arial"/>
          <w:sz w:val="22"/>
          <w:szCs w:val="22"/>
          <w:lang w:val="es-CR"/>
        </w:rPr>
        <w:t>, d</w:t>
      </w:r>
      <w:r w:rsidRPr="00752C41">
        <w:rPr>
          <w:rFonts w:cs="Arial"/>
          <w:sz w:val="22"/>
          <w:szCs w:val="22"/>
          <w:lang w:val="es-CR"/>
        </w:rPr>
        <w:t>el 17 de noviembre de 2020.</w:t>
      </w:r>
    </w:p>
    <w:p w14:paraId="58C39591" w14:textId="3B3C4667" w:rsidR="00752C41" w:rsidRDefault="00752C41" w:rsidP="009C07E8">
      <w:pPr>
        <w:spacing w:line="360" w:lineRule="auto"/>
        <w:jc w:val="both"/>
        <w:rPr>
          <w:rFonts w:cs="Arial"/>
          <w:sz w:val="22"/>
          <w:szCs w:val="22"/>
          <w:lang w:val="es-CR"/>
        </w:rPr>
      </w:pPr>
    </w:p>
    <w:p w14:paraId="076F31E7" w14:textId="2EA4AB17" w:rsidR="002B71CC" w:rsidRDefault="003B11BE" w:rsidP="002B71CC">
      <w:pPr>
        <w:spacing w:line="360" w:lineRule="auto"/>
        <w:jc w:val="both"/>
        <w:rPr>
          <w:rFonts w:cs="Arial"/>
          <w:sz w:val="22"/>
          <w:szCs w:val="22"/>
        </w:rPr>
      </w:pPr>
      <w:r w:rsidRPr="003B11BE">
        <w:rPr>
          <w:rFonts w:cs="Arial"/>
          <w:b/>
          <w:bCs/>
          <w:sz w:val="22"/>
          <w:szCs w:val="22"/>
          <w:lang w:val="es-CR"/>
        </w:rPr>
        <w:t>1</w:t>
      </w:r>
      <w:r w:rsidR="00916A2A">
        <w:rPr>
          <w:rFonts w:cs="Arial"/>
          <w:b/>
          <w:bCs/>
          <w:sz w:val="22"/>
          <w:szCs w:val="22"/>
          <w:lang w:val="es-CR"/>
        </w:rPr>
        <w:t>2</w:t>
      </w:r>
      <w:r w:rsidRPr="003B11BE">
        <w:rPr>
          <w:rFonts w:cs="Arial"/>
          <w:b/>
          <w:bCs/>
          <w:sz w:val="22"/>
          <w:szCs w:val="22"/>
          <w:lang w:val="es-CR"/>
        </w:rPr>
        <w:t>.</w:t>
      </w:r>
      <w:r>
        <w:rPr>
          <w:rFonts w:cs="Arial"/>
          <w:sz w:val="22"/>
          <w:szCs w:val="22"/>
          <w:lang w:val="es-CR"/>
        </w:rPr>
        <w:t xml:space="preserve"> </w:t>
      </w:r>
      <w:r w:rsidRPr="003B11BE">
        <w:rPr>
          <w:rFonts w:cs="Arial"/>
          <w:sz w:val="22"/>
          <w:szCs w:val="22"/>
          <w:lang w:val="es-CR"/>
        </w:rPr>
        <w:t>Según se indica en el informe DF-DT-IN-0811-2020,</w:t>
      </w:r>
      <w:r w:rsidRPr="003B11BE">
        <w:rPr>
          <w:rFonts w:cs="Arial"/>
          <w:b/>
          <w:bCs/>
          <w:sz w:val="22"/>
          <w:szCs w:val="22"/>
          <w:lang w:val="es-CR"/>
        </w:rPr>
        <w:t xml:space="preserve"> </w:t>
      </w:r>
      <w:r w:rsidRPr="003B11BE">
        <w:rPr>
          <w:rFonts w:cs="Arial"/>
          <w:sz w:val="22"/>
          <w:szCs w:val="22"/>
          <w:lang w:val="es-CR"/>
        </w:rPr>
        <w:t xml:space="preserve">todos los montos anteriores incluyen I.V.A. Se debe considerar que el proceso licitatorio se realizó antes de la entrada en vigor del Decreto que exonera el IVA, con lo que los montos indicados tienen el impuesto de servicios y materiales del 13%. Dado que obedece a una Licitación, y no se puede modificar la tabla de pagos, el impuesto será liquidable contra avance, al cual se le deducirá el porcentaje correspondiente al impuesto exonerado sobre todos los servicios de construcción. </w:t>
      </w:r>
    </w:p>
    <w:p w14:paraId="4FDA200B" w14:textId="244433B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E0C1784" w14:textId="77777777" w:rsidR="002B71CC" w:rsidRPr="00D14EAF" w:rsidRDefault="002B71CC" w:rsidP="002B71CC">
      <w:pPr>
        <w:spacing w:line="360" w:lineRule="auto"/>
        <w:jc w:val="both"/>
        <w:rPr>
          <w:rFonts w:cs="Arial"/>
          <w:b/>
          <w:sz w:val="22"/>
        </w:rPr>
      </w:pPr>
      <w:r w:rsidRPr="00D14EAF">
        <w:rPr>
          <w:rFonts w:cs="Arial"/>
          <w:b/>
          <w:sz w:val="22"/>
        </w:rPr>
        <w:t>************</w:t>
      </w:r>
    </w:p>
    <w:p w14:paraId="30EF14C5" w14:textId="77777777" w:rsidR="002B71CC" w:rsidRDefault="002B71CC" w:rsidP="00AB2826">
      <w:pPr>
        <w:spacing w:line="360" w:lineRule="auto"/>
        <w:jc w:val="both"/>
        <w:rPr>
          <w:rFonts w:cs="Arial"/>
          <w:sz w:val="22"/>
          <w:szCs w:val="22"/>
        </w:rPr>
      </w:pPr>
    </w:p>
    <w:p w14:paraId="1C97242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5C5C1C67" w14:textId="0E12B109" w:rsidR="002B71CC" w:rsidRDefault="00065B71" w:rsidP="002B71CC">
      <w:pPr>
        <w:spacing w:line="360" w:lineRule="auto"/>
        <w:jc w:val="both"/>
        <w:rPr>
          <w:rFonts w:cs="Arial"/>
          <w:sz w:val="22"/>
          <w:szCs w:val="22"/>
        </w:rPr>
      </w:pPr>
      <w:r>
        <w:rPr>
          <w:rFonts w:cs="Arial"/>
          <w:sz w:val="22"/>
          <w:lang w:val="es-ES_tradnl"/>
        </w:rPr>
        <w:t xml:space="preserve">Instruir a la </w:t>
      </w:r>
      <w:r w:rsidRPr="00070FFE">
        <w:rPr>
          <w:rFonts w:cs="Arial"/>
          <w:sz w:val="22"/>
          <w:lang w:val="es-ES_tradnl"/>
        </w:rPr>
        <w:t>Gerencia General</w:t>
      </w:r>
      <w:r>
        <w:rPr>
          <w:rFonts w:cs="Arial"/>
          <w:sz w:val="22"/>
          <w:lang w:val="es-ES_tradnl"/>
        </w:rPr>
        <w:t xml:space="preserve">, la </w:t>
      </w:r>
      <w:r w:rsidRPr="00070FFE">
        <w:rPr>
          <w:rFonts w:cs="Arial"/>
          <w:sz w:val="22"/>
          <w:lang w:val="es-ES_tradnl"/>
        </w:rPr>
        <w:t>Auditoría Interna</w:t>
      </w:r>
      <w:r>
        <w:rPr>
          <w:rFonts w:cs="Arial"/>
          <w:sz w:val="22"/>
          <w:lang w:val="es-ES_tradnl"/>
        </w:rPr>
        <w:t xml:space="preserve"> y la Unidad de Cumplimiento Normativo, para que definan e implementen un mecanismo ágil y efectivo, que le permita mantener informada a esta </w:t>
      </w:r>
      <w:r w:rsidRPr="00070FFE">
        <w:rPr>
          <w:rFonts w:cs="Arial"/>
          <w:sz w:val="22"/>
          <w:lang w:val="es-ES_tradnl"/>
        </w:rPr>
        <w:t>Junta Directiva</w:t>
      </w:r>
      <w:r>
        <w:rPr>
          <w:rFonts w:cs="Arial"/>
          <w:sz w:val="22"/>
          <w:lang w:val="es-ES_tradnl"/>
        </w:rPr>
        <w:t xml:space="preserve">, de los hechos relevantes tratados con la </w:t>
      </w:r>
      <w:r w:rsidRPr="00070FFE">
        <w:rPr>
          <w:rFonts w:cs="Arial"/>
          <w:sz w:val="22"/>
          <w:lang w:val="es-ES_tradnl"/>
        </w:rPr>
        <w:t>Superintendencia General de Entidades Financieras</w:t>
      </w:r>
      <w:r>
        <w:rPr>
          <w:rFonts w:cs="Arial"/>
          <w:sz w:val="22"/>
          <w:lang w:val="es-ES_tradnl"/>
        </w:rPr>
        <w:t>.</w:t>
      </w:r>
    </w:p>
    <w:p w14:paraId="54BA769B" w14:textId="03B389D6"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065B71">
        <w:rPr>
          <w:rFonts w:cs="Arial"/>
          <w:szCs w:val="22"/>
        </w:rPr>
        <w:t xml:space="preserve"> y Firme</w:t>
      </w:r>
      <w:r w:rsidRPr="00AB2826">
        <w:rPr>
          <w:rFonts w:cs="Arial"/>
          <w:szCs w:val="22"/>
        </w:rPr>
        <w:t>.-</w:t>
      </w:r>
    </w:p>
    <w:p w14:paraId="1064F453" w14:textId="77777777" w:rsidR="002B71CC" w:rsidRPr="00D14EAF" w:rsidRDefault="002B71CC" w:rsidP="002B71CC">
      <w:pPr>
        <w:spacing w:line="360" w:lineRule="auto"/>
        <w:jc w:val="both"/>
        <w:rPr>
          <w:rFonts w:cs="Arial"/>
          <w:b/>
          <w:sz w:val="22"/>
        </w:rPr>
      </w:pPr>
      <w:r w:rsidRPr="00D14EAF">
        <w:rPr>
          <w:rFonts w:cs="Arial"/>
          <w:b/>
          <w:sz w:val="22"/>
        </w:rPr>
        <w:t>************</w:t>
      </w:r>
    </w:p>
    <w:p w14:paraId="0BFDC9BB" w14:textId="77777777" w:rsidR="002B71CC" w:rsidRDefault="002B71CC" w:rsidP="002B71CC">
      <w:pPr>
        <w:spacing w:line="360" w:lineRule="auto"/>
        <w:jc w:val="both"/>
        <w:rPr>
          <w:rFonts w:cs="Arial"/>
          <w:sz w:val="22"/>
          <w:szCs w:val="22"/>
        </w:rPr>
      </w:pPr>
    </w:p>
    <w:p w14:paraId="61DDE45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A4F97" w14:textId="77777777" w:rsidR="00065B71" w:rsidRDefault="00065B71">
      <w:r>
        <w:separator/>
      </w:r>
    </w:p>
  </w:endnote>
  <w:endnote w:type="continuationSeparator" w:id="0">
    <w:p w14:paraId="6C63C8D9" w14:textId="77777777" w:rsidR="00065B71" w:rsidRDefault="000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D2EC7" w14:textId="77777777" w:rsidR="00065B71" w:rsidRDefault="00065B71">
      <w:r>
        <w:separator/>
      </w:r>
    </w:p>
  </w:footnote>
  <w:footnote w:type="continuationSeparator" w:id="0">
    <w:p w14:paraId="1FE446D0" w14:textId="77777777" w:rsidR="00065B71" w:rsidRDefault="000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46DD" w14:textId="77777777" w:rsidR="00065B71" w:rsidRDefault="00065B71">
    <w:pPr>
      <w:pStyle w:val="Encabezado"/>
      <w:rPr>
        <w:lang w:val="es-ES"/>
      </w:rPr>
    </w:pPr>
  </w:p>
  <w:p w14:paraId="26A95438" w14:textId="5B6264B4" w:rsidR="00065B71" w:rsidRDefault="00065B71">
    <w:pPr>
      <w:pStyle w:val="Encabezado"/>
      <w:rPr>
        <w:rStyle w:val="Nmerodepgina"/>
        <w:sz w:val="18"/>
      </w:rPr>
    </w:pPr>
    <w:r>
      <w:rPr>
        <w:sz w:val="18"/>
        <w:lang w:val="es-ES"/>
      </w:rPr>
      <w:t xml:space="preserve">    Minuta de la sesión Nº 93-2020                   26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910AA35" w14:textId="77777777" w:rsidR="00065B71" w:rsidRDefault="00065B7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DB1860"/>
    <w:multiLevelType w:val="hybridMultilevel"/>
    <w:tmpl w:val="C2DBD4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33CF8E4"/>
    <w:multiLevelType w:val="hybridMultilevel"/>
    <w:tmpl w:val="FE5B81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250A43"/>
    <w:multiLevelType w:val="hybridMultilevel"/>
    <w:tmpl w:val="B82012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605B52"/>
    <w:multiLevelType w:val="hybridMultilevel"/>
    <w:tmpl w:val="D00F4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0A817E"/>
    <w:multiLevelType w:val="hybridMultilevel"/>
    <w:tmpl w:val="4A86B8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A68AEB0"/>
    <w:multiLevelType w:val="hybridMultilevel"/>
    <w:tmpl w:val="D8FCFC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EAC5F6C"/>
    <w:multiLevelType w:val="hybridMultilevel"/>
    <w:tmpl w:val="F7F88A3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2"/>
  </w:num>
  <w:num w:numId="5">
    <w:abstractNumId w:val="1"/>
  </w:num>
  <w:num w:numId="6">
    <w:abstractNumId w:val="14"/>
  </w:num>
  <w:num w:numId="7">
    <w:abstractNumId w:val="21"/>
  </w:num>
  <w:num w:numId="8">
    <w:abstractNumId w:val="11"/>
  </w:num>
  <w:num w:numId="9">
    <w:abstractNumId w:val="8"/>
  </w:num>
  <w:num w:numId="10">
    <w:abstractNumId w:val="4"/>
  </w:num>
  <w:num w:numId="11">
    <w:abstractNumId w:val="5"/>
  </w:num>
  <w:num w:numId="12">
    <w:abstractNumId w:val="23"/>
  </w:num>
  <w:num w:numId="13">
    <w:abstractNumId w:val="19"/>
  </w:num>
  <w:num w:numId="14">
    <w:abstractNumId w:val="17"/>
  </w:num>
  <w:num w:numId="15">
    <w:abstractNumId w:val="12"/>
  </w:num>
  <w:num w:numId="16">
    <w:abstractNumId w:val="15"/>
  </w:num>
  <w:num w:numId="17">
    <w:abstractNumId w:val="6"/>
  </w:num>
  <w:num w:numId="18">
    <w:abstractNumId w:val="10"/>
  </w:num>
  <w:num w:numId="19">
    <w:abstractNumId w:val="24"/>
  </w:num>
  <w:num w:numId="20">
    <w:abstractNumId w:val="18"/>
  </w:num>
  <w:num w:numId="21">
    <w:abstractNumId w:val="7"/>
  </w:num>
  <w:num w:numId="22">
    <w:abstractNumId w:val="16"/>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ih2vxGNH/zODEcapwwfR0ss3kyW282LxAhVXbZqxrGdGrr+rAEpblM0TgByapWsT+gQxdP6XhzZE4SSgz1nsw==" w:salt="Q7Uyhkc7o+m26SdGIR0AV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C1"/>
    <w:rsid w:val="0000085A"/>
    <w:rsid w:val="00011DC1"/>
    <w:rsid w:val="0001401F"/>
    <w:rsid w:val="00026DCA"/>
    <w:rsid w:val="00027E78"/>
    <w:rsid w:val="0003318B"/>
    <w:rsid w:val="00036A8B"/>
    <w:rsid w:val="00053A32"/>
    <w:rsid w:val="000547A2"/>
    <w:rsid w:val="00065B71"/>
    <w:rsid w:val="00067B32"/>
    <w:rsid w:val="00070FFE"/>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3C1A"/>
    <w:rsid w:val="00154E36"/>
    <w:rsid w:val="00183234"/>
    <w:rsid w:val="0018634C"/>
    <w:rsid w:val="001909BE"/>
    <w:rsid w:val="00193B2D"/>
    <w:rsid w:val="00196DD0"/>
    <w:rsid w:val="001B6D7C"/>
    <w:rsid w:val="001B703A"/>
    <w:rsid w:val="001C3F1B"/>
    <w:rsid w:val="001D7E23"/>
    <w:rsid w:val="001F277B"/>
    <w:rsid w:val="001F5EF8"/>
    <w:rsid w:val="001F7D2C"/>
    <w:rsid w:val="002026DC"/>
    <w:rsid w:val="00204086"/>
    <w:rsid w:val="00207129"/>
    <w:rsid w:val="00210B7F"/>
    <w:rsid w:val="00213FA6"/>
    <w:rsid w:val="00214849"/>
    <w:rsid w:val="00214A2B"/>
    <w:rsid w:val="002163C7"/>
    <w:rsid w:val="00223B89"/>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B7EA1"/>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22C"/>
    <w:rsid w:val="003803AB"/>
    <w:rsid w:val="00380645"/>
    <w:rsid w:val="003853CD"/>
    <w:rsid w:val="00386AA9"/>
    <w:rsid w:val="003A4E5A"/>
    <w:rsid w:val="003A5204"/>
    <w:rsid w:val="003A70CE"/>
    <w:rsid w:val="003B0676"/>
    <w:rsid w:val="003B11BE"/>
    <w:rsid w:val="003B1738"/>
    <w:rsid w:val="003B20EA"/>
    <w:rsid w:val="003C6FEB"/>
    <w:rsid w:val="00407CC4"/>
    <w:rsid w:val="00421BEA"/>
    <w:rsid w:val="00432126"/>
    <w:rsid w:val="00434CA7"/>
    <w:rsid w:val="00445673"/>
    <w:rsid w:val="004650FC"/>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58C1"/>
    <w:rsid w:val="0059625B"/>
    <w:rsid w:val="00596AB4"/>
    <w:rsid w:val="005A32C2"/>
    <w:rsid w:val="005B45E6"/>
    <w:rsid w:val="005B67A2"/>
    <w:rsid w:val="005C18D2"/>
    <w:rsid w:val="005C6147"/>
    <w:rsid w:val="005E7559"/>
    <w:rsid w:val="00615FBF"/>
    <w:rsid w:val="00623D36"/>
    <w:rsid w:val="006321F4"/>
    <w:rsid w:val="00646C5C"/>
    <w:rsid w:val="0066137A"/>
    <w:rsid w:val="0066494B"/>
    <w:rsid w:val="0066756A"/>
    <w:rsid w:val="00681878"/>
    <w:rsid w:val="00683504"/>
    <w:rsid w:val="00692A55"/>
    <w:rsid w:val="006A02B5"/>
    <w:rsid w:val="006A474B"/>
    <w:rsid w:val="006A779D"/>
    <w:rsid w:val="006B7846"/>
    <w:rsid w:val="006C0086"/>
    <w:rsid w:val="006C1542"/>
    <w:rsid w:val="006C1D3B"/>
    <w:rsid w:val="006C1F07"/>
    <w:rsid w:val="006C772C"/>
    <w:rsid w:val="006D5482"/>
    <w:rsid w:val="006E31FB"/>
    <w:rsid w:val="006E7C0F"/>
    <w:rsid w:val="006F25F4"/>
    <w:rsid w:val="006F7DB3"/>
    <w:rsid w:val="007062BD"/>
    <w:rsid w:val="00711E6C"/>
    <w:rsid w:val="00714076"/>
    <w:rsid w:val="00723211"/>
    <w:rsid w:val="00735384"/>
    <w:rsid w:val="00737234"/>
    <w:rsid w:val="00751002"/>
    <w:rsid w:val="00752C41"/>
    <w:rsid w:val="007605D2"/>
    <w:rsid w:val="00765327"/>
    <w:rsid w:val="007749FC"/>
    <w:rsid w:val="00780AB2"/>
    <w:rsid w:val="00797660"/>
    <w:rsid w:val="007B2EB9"/>
    <w:rsid w:val="007B5EDF"/>
    <w:rsid w:val="007C2929"/>
    <w:rsid w:val="007C3229"/>
    <w:rsid w:val="007C39B9"/>
    <w:rsid w:val="007D6EF8"/>
    <w:rsid w:val="007E1EE6"/>
    <w:rsid w:val="007E31DD"/>
    <w:rsid w:val="007F614F"/>
    <w:rsid w:val="007F66D6"/>
    <w:rsid w:val="008006FA"/>
    <w:rsid w:val="008110AA"/>
    <w:rsid w:val="00811427"/>
    <w:rsid w:val="00825856"/>
    <w:rsid w:val="008273E4"/>
    <w:rsid w:val="008343A2"/>
    <w:rsid w:val="00834957"/>
    <w:rsid w:val="00834A2F"/>
    <w:rsid w:val="00846281"/>
    <w:rsid w:val="00851373"/>
    <w:rsid w:val="00854DE9"/>
    <w:rsid w:val="00861680"/>
    <w:rsid w:val="00870163"/>
    <w:rsid w:val="00895A5D"/>
    <w:rsid w:val="00896BC6"/>
    <w:rsid w:val="008D35D8"/>
    <w:rsid w:val="008D6E0F"/>
    <w:rsid w:val="008F38A8"/>
    <w:rsid w:val="008F6C96"/>
    <w:rsid w:val="00911F06"/>
    <w:rsid w:val="00916A2A"/>
    <w:rsid w:val="00940420"/>
    <w:rsid w:val="009669CF"/>
    <w:rsid w:val="00986348"/>
    <w:rsid w:val="009C07E8"/>
    <w:rsid w:val="009C11C0"/>
    <w:rsid w:val="009D03FE"/>
    <w:rsid w:val="009D70A8"/>
    <w:rsid w:val="009D78B0"/>
    <w:rsid w:val="009E1B07"/>
    <w:rsid w:val="009F2788"/>
    <w:rsid w:val="009F2868"/>
    <w:rsid w:val="009F62A9"/>
    <w:rsid w:val="00A3046D"/>
    <w:rsid w:val="00A3146D"/>
    <w:rsid w:val="00A330FA"/>
    <w:rsid w:val="00A536DE"/>
    <w:rsid w:val="00A53E94"/>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7616A"/>
    <w:rsid w:val="00BA3517"/>
    <w:rsid w:val="00BA3C35"/>
    <w:rsid w:val="00BA58F6"/>
    <w:rsid w:val="00BA7805"/>
    <w:rsid w:val="00BB034D"/>
    <w:rsid w:val="00BC1E08"/>
    <w:rsid w:val="00BD11AC"/>
    <w:rsid w:val="00BD1AE3"/>
    <w:rsid w:val="00BD77EA"/>
    <w:rsid w:val="00BE0F52"/>
    <w:rsid w:val="00BE452A"/>
    <w:rsid w:val="00BF0C80"/>
    <w:rsid w:val="00BF124E"/>
    <w:rsid w:val="00BF72A2"/>
    <w:rsid w:val="00C0084E"/>
    <w:rsid w:val="00C01425"/>
    <w:rsid w:val="00C12152"/>
    <w:rsid w:val="00C308C3"/>
    <w:rsid w:val="00C36F84"/>
    <w:rsid w:val="00C42332"/>
    <w:rsid w:val="00C4730D"/>
    <w:rsid w:val="00C50AAF"/>
    <w:rsid w:val="00C676D8"/>
    <w:rsid w:val="00C72F4F"/>
    <w:rsid w:val="00C80B39"/>
    <w:rsid w:val="00CA3661"/>
    <w:rsid w:val="00CA42F6"/>
    <w:rsid w:val="00CB3802"/>
    <w:rsid w:val="00CC0A79"/>
    <w:rsid w:val="00CC60FC"/>
    <w:rsid w:val="00CC7940"/>
    <w:rsid w:val="00CD7A02"/>
    <w:rsid w:val="00CE0BD5"/>
    <w:rsid w:val="00CF0E50"/>
    <w:rsid w:val="00CF4BE9"/>
    <w:rsid w:val="00D034AB"/>
    <w:rsid w:val="00D0427E"/>
    <w:rsid w:val="00D13B6B"/>
    <w:rsid w:val="00D22B80"/>
    <w:rsid w:val="00D330C4"/>
    <w:rsid w:val="00D35784"/>
    <w:rsid w:val="00D37592"/>
    <w:rsid w:val="00D509A7"/>
    <w:rsid w:val="00D54758"/>
    <w:rsid w:val="00D60482"/>
    <w:rsid w:val="00D61F89"/>
    <w:rsid w:val="00D72C3B"/>
    <w:rsid w:val="00D9777B"/>
    <w:rsid w:val="00DA156E"/>
    <w:rsid w:val="00DA4C56"/>
    <w:rsid w:val="00DB38FB"/>
    <w:rsid w:val="00DB5AE3"/>
    <w:rsid w:val="00DC32CD"/>
    <w:rsid w:val="00DE0BBA"/>
    <w:rsid w:val="00DE7715"/>
    <w:rsid w:val="00E0071B"/>
    <w:rsid w:val="00E2143B"/>
    <w:rsid w:val="00E31F79"/>
    <w:rsid w:val="00E6222D"/>
    <w:rsid w:val="00E63068"/>
    <w:rsid w:val="00E63BC8"/>
    <w:rsid w:val="00E646C7"/>
    <w:rsid w:val="00E76C46"/>
    <w:rsid w:val="00E81E85"/>
    <w:rsid w:val="00E8788A"/>
    <w:rsid w:val="00E97960"/>
    <w:rsid w:val="00E979D2"/>
    <w:rsid w:val="00EA53B9"/>
    <w:rsid w:val="00EB047F"/>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138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6918"/>
  <w15:docId w15:val="{03B1F2C3-E21B-4A67-B1C5-3FB4F0EC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D0427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752745">
      <w:bodyDiv w:val="1"/>
      <w:marLeft w:val="0"/>
      <w:marRight w:val="0"/>
      <w:marTop w:val="0"/>
      <w:marBottom w:val="0"/>
      <w:divBdr>
        <w:top w:val="none" w:sz="0" w:space="0" w:color="auto"/>
        <w:left w:val="none" w:sz="0" w:space="0" w:color="auto"/>
        <w:bottom w:val="none" w:sz="0" w:space="0" w:color="auto"/>
        <w:right w:val="none" w:sz="0" w:space="0" w:color="auto"/>
      </w:divBdr>
    </w:div>
    <w:div w:id="669717841">
      <w:bodyDiv w:val="1"/>
      <w:marLeft w:val="0"/>
      <w:marRight w:val="0"/>
      <w:marTop w:val="0"/>
      <w:marBottom w:val="0"/>
      <w:divBdr>
        <w:top w:val="none" w:sz="0" w:space="0" w:color="auto"/>
        <w:left w:val="none" w:sz="0" w:space="0" w:color="auto"/>
        <w:bottom w:val="none" w:sz="0" w:space="0" w:color="auto"/>
        <w:right w:val="none" w:sz="0" w:space="0" w:color="auto"/>
      </w:divBdr>
    </w:div>
    <w:div w:id="748767529">
      <w:bodyDiv w:val="1"/>
      <w:marLeft w:val="0"/>
      <w:marRight w:val="0"/>
      <w:marTop w:val="0"/>
      <w:marBottom w:val="0"/>
      <w:divBdr>
        <w:top w:val="none" w:sz="0" w:space="0" w:color="auto"/>
        <w:left w:val="none" w:sz="0" w:space="0" w:color="auto"/>
        <w:bottom w:val="none" w:sz="0" w:space="0" w:color="auto"/>
        <w:right w:val="none" w:sz="0" w:space="0" w:color="auto"/>
      </w:divBdr>
    </w:div>
    <w:div w:id="1255631559">
      <w:bodyDiv w:val="1"/>
      <w:marLeft w:val="0"/>
      <w:marRight w:val="0"/>
      <w:marTop w:val="0"/>
      <w:marBottom w:val="0"/>
      <w:divBdr>
        <w:top w:val="none" w:sz="0" w:space="0" w:color="auto"/>
        <w:left w:val="none" w:sz="0" w:space="0" w:color="auto"/>
        <w:bottom w:val="none" w:sz="0" w:space="0" w:color="auto"/>
        <w:right w:val="none" w:sz="0" w:space="0" w:color="auto"/>
      </w:divBdr>
    </w:div>
    <w:div w:id="1322007783">
      <w:bodyDiv w:val="1"/>
      <w:marLeft w:val="0"/>
      <w:marRight w:val="0"/>
      <w:marTop w:val="0"/>
      <w:marBottom w:val="0"/>
      <w:divBdr>
        <w:top w:val="none" w:sz="0" w:space="0" w:color="auto"/>
        <w:left w:val="none" w:sz="0" w:space="0" w:color="auto"/>
        <w:bottom w:val="none" w:sz="0" w:space="0" w:color="auto"/>
        <w:right w:val="none" w:sz="0" w:space="0" w:color="auto"/>
      </w:divBdr>
    </w:div>
    <w:div w:id="16754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216</TotalTime>
  <Pages>13</Pages>
  <Words>4112</Words>
  <Characters>21749</Characters>
  <Application>Microsoft Office Word</Application>
  <DocSecurity>8</DocSecurity>
  <Lines>181</Lines>
  <Paragraphs>51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20</cp:revision>
  <cp:lastPrinted>2011-09-07T16:03:00Z</cp:lastPrinted>
  <dcterms:created xsi:type="dcterms:W3CDTF">2020-12-02T14:51:00Z</dcterms:created>
  <dcterms:modified xsi:type="dcterms:W3CDTF">2020-12-08T19:55:00Z</dcterms:modified>
</cp:coreProperties>
</file>