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5B025" w14:textId="77777777" w:rsidR="00FA4CCB" w:rsidRDefault="00FA4CCB">
      <w:pPr>
        <w:pStyle w:val="Ttulo"/>
        <w:ind w:right="51"/>
        <w:rPr>
          <w:rFonts w:cs="Arial"/>
        </w:rPr>
      </w:pPr>
      <w:r>
        <w:rPr>
          <w:rFonts w:cs="Arial"/>
        </w:rPr>
        <w:t>BANCO HIPOTECARIO DE LA VIVIENDA</w:t>
      </w:r>
    </w:p>
    <w:p w14:paraId="1E8353EF" w14:textId="77777777" w:rsidR="00FA4CCB" w:rsidRDefault="00FA4CCB">
      <w:pPr>
        <w:spacing w:line="360" w:lineRule="auto"/>
        <w:ind w:right="51"/>
        <w:jc w:val="center"/>
        <w:rPr>
          <w:rFonts w:cs="Arial"/>
          <w:b/>
          <w:sz w:val="22"/>
          <w:u w:val="single"/>
        </w:rPr>
      </w:pPr>
      <w:r>
        <w:rPr>
          <w:rFonts w:cs="Arial"/>
          <w:b/>
          <w:sz w:val="22"/>
          <w:u w:val="single"/>
        </w:rPr>
        <w:t>JUNTA DIRECTIVA</w:t>
      </w:r>
    </w:p>
    <w:p w14:paraId="2F37BF28" w14:textId="77777777" w:rsidR="00FA4CCB" w:rsidRDefault="00FA4CCB">
      <w:pPr>
        <w:spacing w:line="360" w:lineRule="auto"/>
        <w:ind w:right="51"/>
        <w:jc w:val="center"/>
        <w:rPr>
          <w:rFonts w:cs="Arial"/>
          <w:b/>
          <w:sz w:val="22"/>
          <w:u w:val="single"/>
        </w:rPr>
      </w:pPr>
    </w:p>
    <w:p w14:paraId="08AD3860" w14:textId="5EC3E199"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9A4443">
        <w:rPr>
          <w:rFonts w:cs="Arial"/>
          <w:b/>
          <w:sz w:val="22"/>
          <w:u w:val="single"/>
        </w:rPr>
        <w:t>EXTRA</w:t>
      </w:r>
      <w:r w:rsidR="00FA4CCB">
        <w:rPr>
          <w:rFonts w:cs="Arial"/>
          <w:b/>
          <w:sz w:val="22"/>
          <w:u w:val="single"/>
        </w:rPr>
        <w:t xml:space="preserve">ORDINARIA </w:t>
      </w:r>
      <w:r>
        <w:rPr>
          <w:rFonts w:cs="Arial"/>
          <w:b/>
          <w:sz w:val="22"/>
          <w:u w:val="single"/>
        </w:rPr>
        <w:t xml:space="preserve">N° </w:t>
      </w:r>
      <w:r w:rsidR="009A4443">
        <w:rPr>
          <w:rFonts w:cs="Arial"/>
          <w:b/>
          <w:sz w:val="22"/>
          <w:u w:val="single"/>
        </w:rPr>
        <w:t>83</w:t>
      </w:r>
      <w:r>
        <w:rPr>
          <w:rFonts w:cs="Arial"/>
          <w:b/>
          <w:sz w:val="22"/>
          <w:u w:val="single"/>
        </w:rPr>
        <w:t>-20</w:t>
      </w:r>
      <w:r w:rsidR="00E97960">
        <w:rPr>
          <w:rFonts w:cs="Arial"/>
          <w:b/>
          <w:sz w:val="22"/>
          <w:u w:val="single"/>
        </w:rPr>
        <w:t>20</w:t>
      </w:r>
    </w:p>
    <w:p w14:paraId="7858825A" w14:textId="4B930349" w:rsidR="00FA4CCB" w:rsidRDefault="00FA4CCB">
      <w:pPr>
        <w:spacing w:line="360" w:lineRule="auto"/>
        <w:ind w:right="51"/>
        <w:jc w:val="center"/>
        <w:rPr>
          <w:rFonts w:cs="Arial"/>
          <w:b/>
          <w:sz w:val="22"/>
          <w:u w:val="single"/>
        </w:rPr>
      </w:pPr>
      <w:r>
        <w:rPr>
          <w:rFonts w:cs="Arial"/>
          <w:b/>
          <w:sz w:val="22"/>
          <w:u w:val="single"/>
        </w:rPr>
        <w:t xml:space="preserve">DEL </w:t>
      </w:r>
      <w:r w:rsidR="009A4443">
        <w:rPr>
          <w:rFonts w:cs="Arial"/>
          <w:b/>
          <w:sz w:val="22"/>
          <w:u w:val="single"/>
        </w:rPr>
        <w:t>22</w:t>
      </w:r>
      <w:r>
        <w:rPr>
          <w:rFonts w:cs="Arial"/>
          <w:b/>
          <w:sz w:val="22"/>
          <w:u w:val="single"/>
        </w:rPr>
        <w:t xml:space="preserve"> DE </w:t>
      </w:r>
      <w:r w:rsidR="009A4443">
        <w:rPr>
          <w:rFonts w:cs="Arial"/>
          <w:b/>
          <w:sz w:val="22"/>
          <w:u w:val="single"/>
        </w:rPr>
        <w:t>OCTUBRE</w:t>
      </w:r>
      <w:r>
        <w:rPr>
          <w:rFonts w:cs="Arial"/>
          <w:b/>
          <w:sz w:val="22"/>
          <w:u w:val="single"/>
        </w:rPr>
        <w:t xml:space="preserve"> DE 20</w:t>
      </w:r>
      <w:r w:rsidR="00E97960">
        <w:rPr>
          <w:rFonts w:cs="Arial"/>
          <w:b/>
          <w:sz w:val="22"/>
          <w:u w:val="single"/>
        </w:rPr>
        <w:t>20</w:t>
      </w:r>
    </w:p>
    <w:p w14:paraId="768DC1D6"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3752146C" w14:textId="77777777" w:rsidR="00FA4CCB" w:rsidRDefault="00FA4CCB">
      <w:pPr>
        <w:spacing w:line="360" w:lineRule="auto"/>
        <w:ind w:right="51"/>
        <w:jc w:val="center"/>
        <w:rPr>
          <w:rFonts w:cs="Arial"/>
          <w:b/>
          <w:sz w:val="22"/>
          <w:u w:val="single"/>
        </w:rPr>
      </w:pPr>
    </w:p>
    <w:p w14:paraId="62E63971" w14:textId="19BF5E2F"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EF6425">
        <w:rPr>
          <w:rFonts w:cs="Arial"/>
          <w:sz w:val="22"/>
        </w:rPr>
        <w:t xml:space="preserve">Por medio de videoconferencia que consta en los archivos de la Secretaría de la </w:t>
      </w:r>
      <w:r w:rsidR="00EF6425" w:rsidRPr="00B85537">
        <w:rPr>
          <w:rFonts w:cs="Arial"/>
          <w:sz w:val="22"/>
          <w:lang w:val="es-ES_tradnl"/>
        </w:rPr>
        <w:t>Junta Directiva</w:t>
      </w:r>
      <w:r w:rsidR="00EF6425">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35368575" w14:textId="77777777" w:rsidR="00AD4F06" w:rsidRDefault="00AD4F06" w:rsidP="0066494B">
      <w:pPr>
        <w:spacing w:line="360" w:lineRule="auto"/>
        <w:jc w:val="both"/>
        <w:rPr>
          <w:rFonts w:cs="Arial"/>
          <w:sz w:val="22"/>
        </w:rPr>
      </w:pPr>
    </w:p>
    <w:p w14:paraId="07AAB871" w14:textId="119D9EAB"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CC6F05">
        <w:rPr>
          <w:rFonts w:cs="Arial"/>
          <w:sz w:val="22"/>
        </w:rPr>
        <w:t xml:space="preserve"> Mauricio González Zumbado, funcionario de la </w:t>
      </w:r>
      <w:r w:rsidR="00CC6F05" w:rsidRPr="00CC6F05">
        <w:rPr>
          <w:rFonts w:cs="Arial"/>
          <w:sz w:val="22"/>
          <w:lang w:val="es-ES_tradnl"/>
        </w:rPr>
        <w:t>Auditoría Interna</w:t>
      </w:r>
      <w:r>
        <w:rPr>
          <w:rFonts w:cs="Arial"/>
          <w:sz w:val="22"/>
        </w:rPr>
        <w:t>; Rodolfo Mora Villalobos, Asesor Legal;</w:t>
      </w:r>
      <w:r>
        <w:rPr>
          <w:bCs/>
          <w:sz w:val="22"/>
        </w:rPr>
        <w:t xml:space="preserve"> </w:t>
      </w:r>
      <w:r>
        <w:rPr>
          <w:rFonts w:cs="Arial"/>
          <w:sz w:val="22"/>
        </w:rPr>
        <w:t>y David López Pacheco, Secretario de Junta Directiva.</w:t>
      </w:r>
    </w:p>
    <w:p w14:paraId="3B727FD9" w14:textId="77777777" w:rsidR="007749FC" w:rsidRDefault="007749FC" w:rsidP="0066494B">
      <w:pPr>
        <w:spacing w:line="360" w:lineRule="auto"/>
        <w:jc w:val="both"/>
        <w:rPr>
          <w:rFonts w:cs="Arial"/>
          <w:sz w:val="22"/>
        </w:rPr>
      </w:pPr>
    </w:p>
    <w:p w14:paraId="329F7589" w14:textId="7E7CEBCE" w:rsidR="007749FC" w:rsidRDefault="007749FC" w:rsidP="0066494B">
      <w:pPr>
        <w:spacing w:line="360" w:lineRule="auto"/>
        <w:jc w:val="both"/>
        <w:rPr>
          <w:rFonts w:cs="Arial"/>
          <w:sz w:val="22"/>
        </w:rPr>
      </w:pPr>
      <w:r>
        <w:rPr>
          <w:rFonts w:cs="Arial"/>
          <w:sz w:val="22"/>
        </w:rPr>
        <w:t>Ausente con justificación:</w:t>
      </w:r>
      <w:r w:rsidR="00CC6F05" w:rsidRPr="00CC6F05">
        <w:rPr>
          <w:rFonts w:cs="Arial"/>
          <w:sz w:val="22"/>
        </w:rPr>
        <w:t xml:space="preserve"> </w:t>
      </w:r>
      <w:r w:rsidR="00CC6F05">
        <w:rPr>
          <w:rFonts w:cs="Arial"/>
          <w:sz w:val="22"/>
        </w:rPr>
        <w:t xml:space="preserve">Gustavo Flores Oviedo, </w:t>
      </w:r>
      <w:r w:rsidR="00CC6F05">
        <w:rPr>
          <w:rFonts w:cs="Arial"/>
          <w:sz w:val="22"/>
          <w:szCs w:val="22"/>
        </w:rPr>
        <w:t>Auditor Interno.</w:t>
      </w:r>
    </w:p>
    <w:p w14:paraId="2A6CCA1C" w14:textId="77777777" w:rsidR="006321F4" w:rsidRPr="00D14EAF" w:rsidRDefault="006321F4" w:rsidP="006321F4">
      <w:pPr>
        <w:spacing w:line="360" w:lineRule="auto"/>
        <w:jc w:val="both"/>
        <w:rPr>
          <w:rFonts w:cs="Arial"/>
          <w:b/>
          <w:sz w:val="22"/>
        </w:rPr>
      </w:pPr>
      <w:r w:rsidRPr="00D14EAF">
        <w:rPr>
          <w:rFonts w:cs="Arial"/>
          <w:b/>
          <w:sz w:val="22"/>
        </w:rPr>
        <w:t>************</w:t>
      </w:r>
    </w:p>
    <w:p w14:paraId="2A9256A3" w14:textId="77777777" w:rsidR="00FA4CCB" w:rsidRDefault="00FA4CCB" w:rsidP="0066494B">
      <w:pPr>
        <w:spacing w:line="360" w:lineRule="auto"/>
        <w:jc w:val="both"/>
        <w:rPr>
          <w:rFonts w:cs="Arial"/>
          <w:sz w:val="22"/>
        </w:rPr>
      </w:pPr>
    </w:p>
    <w:p w14:paraId="4B12631C" w14:textId="77777777" w:rsidR="00FA4CCB" w:rsidRDefault="00FA4CCB" w:rsidP="0066494B">
      <w:pPr>
        <w:pStyle w:val="Ttulo4"/>
        <w:spacing w:line="360" w:lineRule="auto"/>
        <w:jc w:val="both"/>
        <w:rPr>
          <w:rFonts w:cs="Arial"/>
        </w:rPr>
      </w:pPr>
      <w:r>
        <w:rPr>
          <w:rFonts w:cs="Arial"/>
        </w:rPr>
        <w:t>Asuntos conocidos en la presente sesión</w:t>
      </w:r>
    </w:p>
    <w:p w14:paraId="1B711658" w14:textId="77777777" w:rsidR="00FA4CCB" w:rsidRDefault="00FA4CCB" w:rsidP="0066494B">
      <w:pPr>
        <w:spacing w:line="360" w:lineRule="auto"/>
        <w:jc w:val="both"/>
        <w:rPr>
          <w:rFonts w:cs="Arial"/>
          <w:b/>
          <w:sz w:val="22"/>
        </w:rPr>
      </w:pPr>
    </w:p>
    <w:p w14:paraId="5C72FA65"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656D9DA7" w14:textId="5814B5EB" w:rsidR="00843423" w:rsidRPr="00CC6F05" w:rsidRDefault="00843423" w:rsidP="00CC6F05">
      <w:pPr>
        <w:pStyle w:val="Prrafodelista"/>
        <w:numPr>
          <w:ilvl w:val="0"/>
          <w:numId w:val="21"/>
        </w:numPr>
        <w:spacing w:line="360" w:lineRule="auto"/>
        <w:ind w:left="426" w:hanging="426"/>
        <w:jc w:val="both"/>
        <w:rPr>
          <w:rFonts w:cs="Arial"/>
          <w:sz w:val="22"/>
          <w:lang w:val="es-ES_tradnl"/>
        </w:rPr>
      </w:pPr>
      <w:r w:rsidRPr="00CC6F05">
        <w:rPr>
          <w:rFonts w:cs="Arial"/>
          <w:sz w:val="22"/>
        </w:rPr>
        <w:t>Seguimiento a la situación de la asignación de recursos al FOSUVI, en el proyecto de "Ley de presupuesto ordinario y extraordinario de la República para el ejercicio económico 2021".</w:t>
      </w:r>
    </w:p>
    <w:p w14:paraId="3660180D" w14:textId="4B49E97A" w:rsidR="00843423" w:rsidRPr="00CC6F05" w:rsidRDefault="00843423" w:rsidP="00CC6F05">
      <w:pPr>
        <w:pStyle w:val="Prrafodelista"/>
        <w:numPr>
          <w:ilvl w:val="0"/>
          <w:numId w:val="21"/>
        </w:numPr>
        <w:spacing w:line="360" w:lineRule="auto"/>
        <w:ind w:left="426" w:hanging="426"/>
        <w:jc w:val="both"/>
        <w:rPr>
          <w:rFonts w:cs="Arial"/>
          <w:sz w:val="22"/>
          <w:lang w:val="es-ES_tradnl"/>
        </w:rPr>
      </w:pPr>
      <w:r w:rsidRPr="00CC6F05">
        <w:rPr>
          <w:rFonts w:cs="Arial"/>
          <w:sz w:val="22"/>
          <w:lang w:val="es-ES_tradnl"/>
        </w:rPr>
        <w:t>Solicitud de financiamiento adicional y ampliación al plazo constructivo y del contrato de administración de recursos, de la planta de tratamiento de aguas residuales del proyecto Limón 2000.</w:t>
      </w:r>
    </w:p>
    <w:p w14:paraId="2B600C39" w14:textId="71CF246B" w:rsidR="00843423" w:rsidRPr="00CC6F05" w:rsidRDefault="00843423" w:rsidP="00CC6F05">
      <w:pPr>
        <w:pStyle w:val="Prrafodelista"/>
        <w:numPr>
          <w:ilvl w:val="0"/>
          <w:numId w:val="21"/>
        </w:numPr>
        <w:spacing w:line="360" w:lineRule="auto"/>
        <w:ind w:left="426" w:hanging="426"/>
        <w:jc w:val="both"/>
        <w:rPr>
          <w:rFonts w:cs="Arial"/>
          <w:sz w:val="22"/>
          <w:lang w:val="es-ES_tradnl"/>
        </w:rPr>
      </w:pPr>
      <w:r w:rsidRPr="00CC6F05">
        <w:rPr>
          <w:rFonts w:cs="Arial"/>
          <w:sz w:val="22"/>
          <w:lang w:val="es-ES_tradnl"/>
        </w:rPr>
        <w:t>Propuesta de Presupuesto Extraordinario N°2 al Presupuesto Ordinario 2020 y modificación al Plan Operativo Institucional 2020.</w:t>
      </w:r>
    </w:p>
    <w:p w14:paraId="1EC19F5B" w14:textId="1FBFA7CB" w:rsidR="00843423" w:rsidRPr="00CC6F05" w:rsidRDefault="00843423" w:rsidP="00CC6F05">
      <w:pPr>
        <w:pStyle w:val="Prrafodelista"/>
        <w:numPr>
          <w:ilvl w:val="0"/>
          <w:numId w:val="21"/>
        </w:numPr>
        <w:spacing w:line="360" w:lineRule="auto"/>
        <w:ind w:left="426" w:hanging="426"/>
        <w:jc w:val="both"/>
        <w:rPr>
          <w:rFonts w:cs="Arial"/>
          <w:sz w:val="22"/>
          <w:lang w:val="es-ES_tradnl"/>
        </w:rPr>
      </w:pPr>
      <w:r w:rsidRPr="00CC6F05">
        <w:rPr>
          <w:rFonts w:cs="Arial"/>
          <w:sz w:val="22"/>
          <w:lang w:val="es-ES_tradnl"/>
        </w:rPr>
        <w:lastRenderedPageBreak/>
        <w:t>Continuación de análisis del informe de la Auditoría Interna, sobre el proyecto Vistas del Miravalles.</w:t>
      </w:r>
    </w:p>
    <w:p w14:paraId="5FFBA7CC" w14:textId="77777777" w:rsidR="006321F4" w:rsidRPr="00D14EAF" w:rsidRDefault="006321F4" w:rsidP="006321F4">
      <w:pPr>
        <w:spacing w:line="360" w:lineRule="auto"/>
        <w:jc w:val="both"/>
        <w:rPr>
          <w:rFonts w:cs="Arial"/>
          <w:b/>
          <w:sz w:val="22"/>
        </w:rPr>
      </w:pPr>
      <w:r w:rsidRPr="00D14EAF">
        <w:rPr>
          <w:rFonts w:cs="Arial"/>
          <w:b/>
          <w:sz w:val="22"/>
        </w:rPr>
        <w:t>************</w:t>
      </w:r>
    </w:p>
    <w:p w14:paraId="546113A7" w14:textId="77777777" w:rsidR="007F614F" w:rsidRPr="00AB2826" w:rsidRDefault="007F614F" w:rsidP="002D0146">
      <w:pPr>
        <w:spacing w:line="360" w:lineRule="auto"/>
        <w:jc w:val="both"/>
        <w:rPr>
          <w:rFonts w:cs="Arial"/>
          <w:b/>
          <w:sz w:val="22"/>
          <w:szCs w:val="22"/>
          <w:u w:val="single"/>
          <w:lang w:val="es-ES_tradnl"/>
        </w:rPr>
      </w:pPr>
    </w:p>
    <w:p w14:paraId="2B3BCB1B" w14:textId="25E7804A"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754D63" w:rsidRPr="00843423">
        <w:rPr>
          <w:rFonts w:cs="Arial"/>
          <w:b/>
          <w:bCs/>
          <w:sz w:val="22"/>
          <w:u w:val="single"/>
        </w:rPr>
        <w:t>Seguimiento a la situación de la asignación de recursos al FOSUVI, en el proyecto de "</w:t>
      </w:r>
      <w:r w:rsidR="00754D63" w:rsidRPr="00754D63">
        <w:rPr>
          <w:rFonts w:cs="Arial"/>
          <w:b/>
          <w:bCs/>
          <w:sz w:val="22"/>
          <w:u w:val="single"/>
        </w:rPr>
        <w:t>Ley de presupuesto ordinario y extraordinario de la República para el ejercicio económico 2021</w:t>
      </w:r>
      <w:r w:rsidR="00754D63" w:rsidRPr="00843423">
        <w:rPr>
          <w:rFonts w:cs="Arial"/>
          <w:b/>
          <w:bCs/>
          <w:sz w:val="22"/>
          <w:u w:val="single"/>
        </w:rPr>
        <w:t>"</w:t>
      </w:r>
    </w:p>
    <w:p w14:paraId="2FEB91B1" w14:textId="77777777" w:rsidR="00FA4CCB" w:rsidRDefault="00FA4CCB" w:rsidP="002D0146">
      <w:pPr>
        <w:spacing w:line="360" w:lineRule="auto"/>
        <w:jc w:val="both"/>
        <w:rPr>
          <w:rFonts w:cs="Arial"/>
          <w:sz w:val="22"/>
          <w:szCs w:val="22"/>
        </w:rPr>
      </w:pPr>
    </w:p>
    <w:p w14:paraId="779B3933" w14:textId="6E6CEAFF" w:rsidR="008B0C28" w:rsidRDefault="008B0C28" w:rsidP="008B0C28">
      <w:pPr>
        <w:spacing w:line="360" w:lineRule="auto"/>
        <w:jc w:val="both"/>
        <w:rPr>
          <w:rFonts w:cs="Arial"/>
          <w:sz w:val="22"/>
          <w:lang w:val="es-CR"/>
        </w:rPr>
      </w:pPr>
      <w:r w:rsidRPr="0039311E">
        <w:rPr>
          <w:rFonts w:cs="Arial"/>
          <w:sz w:val="22"/>
          <w:u w:val="single"/>
          <w:lang w:val="es-ES_tradnl"/>
        </w:rPr>
        <w:t>Minuto</w:t>
      </w:r>
      <w:r>
        <w:rPr>
          <w:rFonts w:cs="Arial"/>
          <w:sz w:val="22"/>
          <w:u w:val="single"/>
          <w:lang w:val="es-ES_tradnl"/>
        </w:rPr>
        <w:t xml:space="preserve"> 0</w:t>
      </w:r>
      <w:r w:rsidR="00832D21">
        <w:rPr>
          <w:rFonts w:cs="Arial"/>
          <w:sz w:val="22"/>
          <w:u w:val="single"/>
          <w:lang w:val="es-ES_tradnl"/>
        </w:rPr>
        <w:t>1</w:t>
      </w:r>
      <w:r w:rsidRPr="0039311E">
        <w:rPr>
          <w:rFonts w:cs="Arial"/>
          <w:sz w:val="22"/>
          <w:u w:val="single"/>
          <w:lang w:val="es-ES_tradnl"/>
        </w:rPr>
        <w:t>:</w:t>
      </w:r>
      <w:r w:rsidR="00832D21">
        <w:rPr>
          <w:rFonts w:cs="Arial"/>
          <w:sz w:val="22"/>
          <w:u w:val="single"/>
          <w:lang w:val="es-ES_tradnl"/>
        </w:rPr>
        <w:t>14</w:t>
      </w:r>
      <w:r>
        <w:rPr>
          <w:rFonts w:cs="Arial"/>
          <w:sz w:val="22"/>
          <w:lang w:val="es-ES_tradnl"/>
        </w:rPr>
        <w:t xml:space="preserve"> Se</w:t>
      </w:r>
      <w:r>
        <w:rPr>
          <w:rFonts w:cs="Arial"/>
          <w:sz w:val="22"/>
        </w:rPr>
        <w:t xml:space="preserve"> se </w:t>
      </w:r>
      <w:r>
        <w:rPr>
          <w:rFonts w:cs="Arial"/>
          <w:sz w:val="22"/>
          <w:lang w:val="es-ES_tradnl"/>
        </w:rPr>
        <w:t>procede a conocer información sobre la situación actual de la asignación de los recursos para el FOSUVI, contemplados en el</w:t>
      </w:r>
      <w:r w:rsidRPr="00D97D9B">
        <w:rPr>
          <w:rFonts w:cs="Arial"/>
          <w:sz w:val="22"/>
          <w:szCs w:val="22"/>
          <w:lang w:val="es-CR"/>
        </w:rPr>
        <w:t xml:space="preserve"> proyecto de </w:t>
      </w:r>
      <w:r w:rsidRPr="001B5CD1">
        <w:rPr>
          <w:rFonts w:cs="Arial"/>
          <w:sz w:val="22"/>
          <w:lang w:val="es-CR"/>
        </w:rPr>
        <w:t>“Ley de presupuesto ordinario y extraordinario de la República para el ejercicio económico 2021”</w:t>
      </w:r>
      <w:r>
        <w:rPr>
          <w:rFonts w:cs="Arial"/>
          <w:sz w:val="22"/>
          <w:lang w:val="es-CR"/>
        </w:rPr>
        <w:t>.</w:t>
      </w:r>
    </w:p>
    <w:p w14:paraId="18EE4863" w14:textId="77777777" w:rsidR="008B0C28" w:rsidRDefault="008B0C28" w:rsidP="008B0C28">
      <w:pPr>
        <w:spacing w:line="360" w:lineRule="auto"/>
        <w:jc w:val="both"/>
        <w:rPr>
          <w:rFonts w:cs="Arial"/>
          <w:sz w:val="22"/>
          <w:lang w:val="es-CR"/>
        </w:rPr>
      </w:pPr>
    </w:p>
    <w:p w14:paraId="2AFF26D6" w14:textId="641F0EF6" w:rsidR="00832D21" w:rsidRDefault="008B0C28" w:rsidP="008B0C28">
      <w:pPr>
        <w:spacing w:line="360" w:lineRule="auto"/>
        <w:jc w:val="both"/>
        <w:rPr>
          <w:rFonts w:cs="Arial"/>
          <w:sz w:val="22"/>
          <w:szCs w:val="22"/>
        </w:rPr>
      </w:pPr>
      <w:r>
        <w:rPr>
          <w:rFonts w:cs="Arial"/>
          <w:sz w:val="22"/>
          <w:lang w:val="es-CR"/>
        </w:rPr>
        <w:t xml:space="preserve">La Directora Presidenta, informa </w:t>
      </w:r>
      <w:r>
        <w:rPr>
          <w:rFonts w:cs="Arial"/>
          <w:sz w:val="22"/>
          <w:szCs w:val="22"/>
        </w:rPr>
        <w:t xml:space="preserve">que el </w:t>
      </w:r>
      <w:r w:rsidR="00832D21">
        <w:rPr>
          <w:rFonts w:cs="Arial"/>
          <w:sz w:val="22"/>
          <w:szCs w:val="22"/>
        </w:rPr>
        <w:t xml:space="preserve">pasado martes se terminaron de discutir las mociones en </w:t>
      </w:r>
      <w:r>
        <w:rPr>
          <w:rFonts w:cs="Arial"/>
          <w:sz w:val="22"/>
          <w:szCs w:val="22"/>
        </w:rPr>
        <w:t xml:space="preserve">la Comisión Permanente de Asuntos Hacendarios, </w:t>
      </w:r>
      <w:r w:rsidR="00832D21">
        <w:rPr>
          <w:rFonts w:cs="Arial"/>
          <w:sz w:val="22"/>
          <w:szCs w:val="22"/>
        </w:rPr>
        <w:t xml:space="preserve">y se aprobaron las mociones del Diputado Villalta </w:t>
      </w:r>
      <w:r>
        <w:rPr>
          <w:rFonts w:cs="Arial"/>
          <w:sz w:val="22"/>
          <w:szCs w:val="22"/>
        </w:rPr>
        <w:t>para restituir al FOSUVI los ¢2</w:t>
      </w:r>
      <w:r w:rsidR="00832D21">
        <w:rPr>
          <w:rFonts w:cs="Arial"/>
          <w:sz w:val="22"/>
          <w:szCs w:val="22"/>
        </w:rPr>
        <w:t>8</w:t>
      </w:r>
      <w:r w:rsidR="007E4AA7">
        <w:rPr>
          <w:rFonts w:cs="Arial"/>
          <w:sz w:val="22"/>
          <w:szCs w:val="22"/>
        </w:rPr>
        <w:t>,8</w:t>
      </w:r>
      <w:r>
        <w:rPr>
          <w:rFonts w:cs="Arial"/>
          <w:sz w:val="22"/>
          <w:szCs w:val="22"/>
        </w:rPr>
        <w:t xml:space="preserve"> mil millones</w:t>
      </w:r>
      <w:r w:rsidR="00832D21">
        <w:rPr>
          <w:rFonts w:cs="Arial"/>
          <w:sz w:val="22"/>
          <w:szCs w:val="22"/>
        </w:rPr>
        <w:t xml:space="preserve">, </w:t>
      </w:r>
      <w:r w:rsidR="007E4AA7">
        <w:rPr>
          <w:rFonts w:cs="Arial"/>
          <w:sz w:val="22"/>
          <w:szCs w:val="22"/>
        </w:rPr>
        <w:t xml:space="preserve">las cuales han quedado </w:t>
      </w:r>
      <w:r w:rsidR="00832D21">
        <w:rPr>
          <w:rFonts w:cs="Arial"/>
          <w:sz w:val="22"/>
          <w:szCs w:val="22"/>
        </w:rPr>
        <w:t>incluidas en el Dictamen Positivo de Minoría</w:t>
      </w:r>
      <w:r w:rsidR="007E4AA7">
        <w:rPr>
          <w:rFonts w:cs="Arial"/>
          <w:sz w:val="22"/>
          <w:szCs w:val="22"/>
        </w:rPr>
        <w:t>; no obstante, dado que</w:t>
      </w:r>
      <w:r w:rsidR="00832D21">
        <w:rPr>
          <w:rFonts w:cs="Arial"/>
          <w:sz w:val="22"/>
          <w:szCs w:val="22"/>
        </w:rPr>
        <w:t xml:space="preserve"> </w:t>
      </w:r>
      <w:r w:rsidR="007E4AA7">
        <w:rPr>
          <w:rFonts w:cs="Arial"/>
          <w:sz w:val="22"/>
          <w:szCs w:val="22"/>
        </w:rPr>
        <w:t xml:space="preserve">el Dictamen </w:t>
      </w:r>
      <w:r w:rsidR="00FC651A">
        <w:rPr>
          <w:rFonts w:cs="Arial"/>
          <w:sz w:val="22"/>
          <w:szCs w:val="22"/>
        </w:rPr>
        <w:t xml:space="preserve">Negativo </w:t>
      </w:r>
      <w:r w:rsidR="007E4AA7">
        <w:rPr>
          <w:rFonts w:cs="Arial"/>
          <w:sz w:val="22"/>
          <w:szCs w:val="22"/>
        </w:rPr>
        <w:t xml:space="preserve">de Mayoría rechaza el proyecto de presupuesto, </w:t>
      </w:r>
      <w:r w:rsidR="00832D21">
        <w:rPr>
          <w:rFonts w:cs="Arial"/>
          <w:sz w:val="22"/>
          <w:szCs w:val="22"/>
        </w:rPr>
        <w:t>ahora deberá resolverse en el plenario legislativo.</w:t>
      </w:r>
    </w:p>
    <w:p w14:paraId="20465FFA" w14:textId="77777777" w:rsidR="00832D21" w:rsidRDefault="00832D21" w:rsidP="008B0C28">
      <w:pPr>
        <w:spacing w:line="360" w:lineRule="auto"/>
        <w:jc w:val="both"/>
        <w:rPr>
          <w:rFonts w:cs="Arial"/>
          <w:sz w:val="22"/>
          <w:szCs w:val="22"/>
        </w:rPr>
      </w:pPr>
    </w:p>
    <w:p w14:paraId="2290B24D" w14:textId="088C7D75" w:rsidR="007E4AA7" w:rsidRDefault="00832D21" w:rsidP="007E4AA7">
      <w:pPr>
        <w:spacing w:line="360" w:lineRule="auto"/>
        <w:jc w:val="both"/>
        <w:rPr>
          <w:rFonts w:cs="Arial"/>
          <w:sz w:val="22"/>
          <w:szCs w:val="22"/>
        </w:rPr>
      </w:pPr>
      <w:r>
        <w:rPr>
          <w:rFonts w:cs="Arial"/>
          <w:sz w:val="22"/>
          <w:szCs w:val="22"/>
        </w:rPr>
        <w:t xml:space="preserve">De conformidad con estos hechos ocurridos y los cuales repasa con más detalle el Director Alvarado Herrera,  propone a su vez que se tomen dos acuerdos. El primero, para que se agradezca a las señoras y señores Diputados miembros de la Comisión Permanente de Asuntos Hacendarios y que </w:t>
      </w:r>
      <w:r w:rsidR="007E4AA7">
        <w:rPr>
          <w:rFonts w:cs="Arial"/>
          <w:sz w:val="22"/>
          <w:szCs w:val="22"/>
        </w:rPr>
        <w:t>apoyaron la restitución de ¢28,8 mil millones al FOSUVI para el período 2021.  Y el segundo, para</w:t>
      </w:r>
      <w:r w:rsidR="007E4AA7">
        <w:rPr>
          <w:rFonts w:cs="Arial"/>
          <w:sz w:val="22"/>
          <w:szCs w:val="22"/>
          <w:lang w:val="es-ES_tradnl"/>
        </w:rPr>
        <w:t xml:space="preserve"> que </w:t>
      </w:r>
      <w:r w:rsidR="007E4AA7">
        <w:rPr>
          <w:rFonts w:cs="Arial"/>
          <w:sz w:val="22"/>
          <w:szCs w:val="22"/>
        </w:rPr>
        <w:t xml:space="preserve">con base en las mismas justificaciones técnicas y financieras planteadas en otras oportunidades, la </w:t>
      </w:r>
      <w:r w:rsidR="007E4AA7" w:rsidRPr="007E4AA7">
        <w:rPr>
          <w:rFonts w:cs="Arial"/>
          <w:sz w:val="22"/>
          <w:szCs w:val="22"/>
          <w:lang w:val="es-ES_tradnl"/>
        </w:rPr>
        <w:t>Gerencia General</w:t>
      </w:r>
      <w:r w:rsidR="007E4AA7">
        <w:rPr>
          <w:rFonts w:cs="Arial"/>
          <w:sz w:val="22"/>
          <w:szCs w:val="22"/>
          <w:lang w:val="es-ES_tradnl"/>
        </w:rPr>
        <w:t xml:space="preserve"> </w:t>
      </w:r>
      <w:r w:rsidR="007E4AA7">
        <w:rPr>
          <w:rFonts w:cs="Arial"/>
          <w:sz w:val="22"/>
          <w:szCs w:val="22"/>
        </w:rPr>
        <w:t>le reitere al señor Ministro de Hacienda, la necesidad de restituir al Fondo de Subsidios para la Vivienda (FOSUVI), en el dictamen de minoría que se presentará al Plenario Legislativo, la suma de ¢28,8 mil millones en el presupuesto ordinario del año 2021.  Lo anterior,  en congruencia con la voluntad expresada por la mayoría de las señoras y señores Diputados de la Comisión Permanente de Asuntos Hacendarios, en la discusión del proyecto de ley tramitado en el expediente N° 22.174.</w:t>
      </w:r>
    </w:p>
    <w:p w14:paraId="5422B81B" w14:textId="2414F2C4" w:rsidR="00832D21" w:rsidRDefault="00832D21" w:rsidP="008B0C28">
      <w:pPr>
        <w:spacing w:line="360" w:lineRule="auto"/>
        <w:jc w:val="both"/>
        <w:rPr>
          <w:rFonts w:cs="Arial"/>
          <w:sz w:val="22"/>
          <w:szCs w:val="22"/>
        </w:rPr>
      </w:pPr>
    </w:p>
    <w:p w14:paraId="3AB08E00" w14:textId="726803EC" w:rsidR="00832D21" w:rsidRDefault="007E4AA7" w:rsidP="008B0C28">
      <w:pPr>
        <w:spacing w:line="360" w:lineRule="auto"/>
        <w:jc w:val="both"/>
        <w:rPr>
          <w:rFonts w:cs="Arial"/>
          <w:sz w:val="22"/>
          <w:szCs w:val="22"/>
        </w:rPr>
      </w:pPr>
      <w:r>
        <w:rPr>
          <w:rFonts w:cs="Arial"/>
          <w:sz w:val="22"/>
          <w:szCs w:val="22"/>
        </w:rPr>
        <w:t xml:space="preserve">Adicionalmente, se deja clara constancia por parte de los señores Directores, de su agradecimiento </w:t>
      </w:r>
      <w:r w:rsidR="00832D21">
        <w:rPr>
          <w:rFonts w:cs="Arial"/>
          <w:sz w:val="22"/>
          <w:szCs w:val="22"/>
        </w:rPr>
        <w:t>al Gerente General y a</w:t>
      </w:r>
      <w:r>
        <w:rPr>
          <w:rFonts w:cs="Arial"/>
          <w:sz w:val="22"/>
          <w:szCs w:val="22"/>
        </w:rPr>
        <w:t xml:space="preserve"> su </w:t>
      </w:r>
      <w:r w:rsidR="00832D21">
        <w:rPr>
          <w:rFonts w:cs="Arial"/>
          <w:sz w:val="22"/>
          <w:szCs w:val="22"/>
        </w:rPr>
        <w:t>equipo de trabajo</w:t>
      </w:r>
      <w:r>
        <w:rPr>
          <w:rFonts w:cs="Arial"/>
          <w:sz w:val="22"/>
          <w:szCs w:val="22"/>
        </w:rPr>
        <w:t xml:space="preserve">, por la efectividad de la </w:t>
      </w:r>
      <w:r>
        <w:rPr>
          <w:rFonts w:cs="Arial"/>
          <w:sz w:val="22"/>
          <w:szCs w:val="22"/>
        </w:rPr>
        <w:lastRenderedPageBreak/>
        <w:t xml:space="preserve">estrategia que se ha venido implementando, para lograr la restitución de recursos presupuestarios del FOSUVI, por parte de las Diputadas y Diputados miembros de la Comisión Permanente de Asuntos Hacendarios. </w:t>
      </w:r>
    </w:p>
    <w:p w14:paraId="2D335436" w14:textId="25326772" w:rsidR="00832D21" w:rsidRDefault="00832D21" w:rsidP="008B0C28">
      <w:pPr>
        <w:spacing w:line="360" w:lineRule="auto"/>
        <w:jc w:val="both"/>
        <w:rPr>
          <w:rFonts w:cs="Arial"/>
          <w:sz w:val="22"/>
          <w:szCs w:val="22"/>
        </w:rPr>
      </w:pPr>
    </w:p>
    <w:p w14:paraId="5CC7AEE6" w14:textId="2C973D29" w:rsidR="008B0C28" w:rsidRDefault="008B0C28" w:rsidP="008B0C28">
      <w:pPr>
        <w:spacing w:line="360" w:lineRule="auto"/>
        <w:jc w:val="both"/>
        <w:rPr>
          <w:rFonts w:cs="Arial"/>
          <w:sz w:val="22"/>
          <w:lang w:val="es-ES_tradnl"/>
        </w:rPr>
      </w:pPr>
      <w:r w:rsidRPr="00A25DB7">
        <w:rPr>
          <w:rFonts w:cs="Arial"/>
          <w:sz w:val="22"/>
          <w:u w:val="single"/>
          <w:lang w:val="es-ES_tradnl"/>
        </w:rPr>
        <w:t xml:space="preserve">Minuto </w:t>
      </w:r>
      <w:r w:rsidR="00D460A2">
        <w:rPr>
          <w:rFonts w:cs="Arial"/>
          <w:sz w:val="22"/>
          <w:u w:val="single"/>
          <w:lang w:val="es-ES_tradnl"/>
        </w:rPr>
        <w:t>30</w:t>
      </w:r>
      <w:r w:rsidRPr="00A25DB7">
        <w:rPr>
          <w:rFonts w:cs="Arial"/>
          <w:sz w:val="22"/>
          <w:u w:val="single"/>
          <w:lang w:val="es-ES_tradnl"/>
        </w:rPr>
        <w:t>:</w:t>
      </w:r>
      <w:r>
        <w:rPr>
          <w:rFonts w:cs="Arial"/>
          <w:sz w:val="22"/>
          <w:u w:val="single"/>
          <w:lang w:val="es-ES_tradnl"/>
        </w:rPr>
        <w:t>1</w:t>
      </w:r>
      <w:r w:rsidR="00D460A2">
        <w:rPr>
          <w:rFonts w:cs="Arial"/>
          <w:sz w:val="22"/>
          <w:u w:val="single"/>
          <w:lang w:val="es-ES_tradnl"/>
        </w:rPr>
        <w:t>9</w:t>
      </w:r>
      <w:r>
        <w:rPr>
          <w:rFonts w:cs="Arial"/>
          <w:sz w:val="22"/>
          <w:lang w:val="es-ES_tradnl"/>
        </w:rPr>
        <w:t xml:space="preserve"> </w:t>
      </w:r>
      <w:r w:rsidR="007E4AA7">
        <w:rPr>
          <w:rFonts w:cs="Arial"/>
          <w:sz w:val="22"/>
          <w:lang w:val="es-ES_tradnl"/>
        </w:rPr>
        <w:t xml:space="preserve">De conformidad con el análisis realizado en torno al tema, la </w:t>
      </w:r>
      <w:r w:rsidR="007E4AA7" w:rsidRPr="007E4AA7">
        <w:rPr>
          <w:rFonts w:cs="Arial"/>
          <w:sz w:val="22"/>
          <w:lang w:val="es-ES_tradnl"/>
        </w:rPr>
        <w:t>Junta Directiva</w:t>
      </w:r>
      <w:r w:rsidR="007E4AA7">
        <w:rPr>
          <w:rFonts w:cs="Arial"/>
          <w:sz w:val="22"/>
          <w:lang w:val="es-ES_tradnl"/>
        </w:rPr>
        <w:t xml:space="preserve"> </w:t>
      </w:r>
      <w:r>
        <w:rPr>
          <w:rFonts w:cs="Arial"/>
          <w:sz w:val="22"/>
          <w:lang w:val="es-ES_tradnl"/>
        </w:rPr>
        <w:t>da por conocida la información suministrada</w:t>
      </w:r>
      <w:r w:rsidR="00FC651A">
        <w:rPr>
          <w:rFonts w:cs="Arial"/>
          <w:sz w:val="22"/>
          <w:lang w:val="es-ES_tradnl"/>
        </w:rPr>
        <w:t xml:space="preserve"> y toma los </w:t>
      </w:r>
      <w:r w:rsidR="00FC651A" w:rsidRPr="00FC651A">
        <w:rPr>
          <w:rFonts w:cs="Arial"/>
          <w:b/>
          <w:bCs/>
          <w:sz w:val="22"/>
          <w:lang w:val="es-ES_tradnl"/>
        </w:rPr>
        <w:t xml:space="preserve">acuerdos N° 1 </w:t>
      </w:r>
      <w:r w:rsidR="00FC651A" w:rsidRPr="00FC651A">
        <w:rPr>
          <w:rFonts w:cs="Arial"/>
          <w:sz w:val="22"/>
          <w:lang w:val="es-ES_tradnl"/>
        </w:rPr>
        <w:t>y</w:t>
      </w:r>
      <w:r w:rsidR="00FC651A" w:rsidRPr="00FC651A">
        <w:rPr>
          <w:rFonts w:cs="Arial"/>
          <w:b/>
          <w:bCs/>
          <w:sz w:val="22"/>
          <w:lang w:val="es-ES_tradnl"/>
        </w:rPr>
        <w:t xml:space="preserve"> N° 2</w:t>
      </w:r>
      <w:r w:rsidR="00FC651A">
        <w:rPr>
          <w:rFonts w:cs="Arial"/>
          <w:sz w:val="22"/>
          <w:lang w:val="es-ES_tradnl"/>
        </w:rPr>
        <w:t xml:space="preserve"> que se anexan a esta minuta.</w:t>
      </w:r>
    </w:p>
    <w:p w14:paraId="1656AFDE" w14:textId="77777777" w:rsidR="007749FC" w:rsidRPr="00D14EAF" w:rsidRDefault="007749FC" w:rsidP="007749FC">
      <w:pPr>
        <w:spacing w:line="360" w:lineRule="auto"/>
        <w:jc w:val="both"/>
        <w:rPr>
          <w:rFonts w:cs="Arial"/>
          <w:b/>
          <w:sz w:val="22"/>
        </w:rPr>
      </w:pPr>
      <w:r w:rsidRPr="00D14EAF">
        <w:rPr>
          <w:rFonts w:cs="Arial"/>
          <w:b/>
          <w:sz w:val="22"/>
        </w:rPr>
        <w:t>************</w:t>
      </w:r>
    </w:p>
    <w:p w14:paraId="16A585A8" w14:textId="77777777" w:rsidR="00FA4CCB" w:rsidRDefault="00FA4CCB" w:rsidP="002D0146">
      <w:pPr>
        <w:spacing w:line="360" w:lineRule="auto"/>
        <w:jc w:val="both"/>
        <w:rPr>
          <w:rFonts w:cs="Arial"/>
          <w:b/>
          <w:sz w:val="22"/>
          <w:szCs w:val="22"/>
          <w:u w:val="single"/>
          <w:lang w:val="es-ES_tradnl"/>
        </w:rPr>
      </w:pPr>
    </w:p>
    <w:p w14:paraId="670545BC" w14:textId="02F4668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754D63" w:rsidRPr="00843423">
        <w:rPr>
          <w:rFonts w:cs="Arial"/>
          <w:b/>
          <w:bCs/>
          <w:sz w:val="22"/>
          <w:u w:val="single"/>
          <w:lang w:val="es-ES_tradnl"/>
        </w:rPr>
        <w:t>Solicitud de financiamiento adicional y ampliación al plazo constructivo y del contrato de administración de recursos, de la planta de tratamiento de aguas residuales del proyecto Limón 2000</w:t>
      </w:r>
    </w:p>
    <w:p w14:paraId="505136FB" w14:textId="77777777" w:rsidR="009D03FE" w:rsidRDefault="009D03FE" w:rsidP="009D03FE">
      <w:pPr>
        <w:spacing w:line="360" w:lineRule="auto"/>
        <w:jc w:val="both"/>
        <w:rPr>
          <w:rFonts w:cs="Arial"/>
          <w:sz w:val="22"/>
          <w:szCs w:val="22"/>
        </w:rPr>
      </w:pPr>
    </w:p>
    <w:p w14:paraId="464180EA" w14:textId="6C529748" w:rsidR="005C0A82" w:rsidRDefault="005C0A82" w:rsidP="005C0A82">
      <w:pPr>
        <w:spacing w:line="360" w:lineRule="auto"/>
        <w:jc w:val="both"/>
        <w:rPr>
          <w:rFonts w:cs="Arial"/>
          <w:bCs/>
          <w:sz w:val="22"/>
          <w:szCs w:val="22"/>
          <w:lang w:val="es-CR"/>
        </w:rPr>
      </w:pPr>
      <w:r w:rsidRPr="0039311E">
        <w:rPr>
          <w:rFonts w:cs="Arial"/>
          <w:sz w:val="22"/>
          <w:u w:val="single"/>
          <w:lang w:val="es-ES_tradnl"/>
        </w:rPr>
        <w:t xml:space="preserve">Minuto </w:t>
      </w:r>
      <w:r w:rsidR="000D33DD">
        <w:rPr>
          <w:rFonts w:cs="Arial"/>
          <w:sz w:val="22"/>
          <w:u w:val="single"/>
          <w:lang w:val="es-ES_tradnl"/>
        </w:rPr>
        <w:t>35</w:t>
      </w:r>
      <w:r w:rsidRPr="0039311E">
        <w:rPr>
          <w:rFonts w:cs="Arial"/>
          <w:sz w:val="22"/>
          <w:u w:val="single"/>
          <w:lang w:val="es-ES_tradnl"/>
        </w:rPr>
        <w:t>:</w:t>
      </w:r>
      <w:r w:rsidR="000D33DD">
        <w:rPr>
          <w:rFonts w:cs="Arial"/>
          <w:sz w:val="22"/>
          <w:u w:val="single"/>
          <w:lang w:val="es-ES_tradnl"/>
        </w:rPr>
        <w:t>15</w:t>
      </w:r>
      <w:r>
        <w:rPr>
          <w:rFonts w:cs="Arial"/>
          <w:sz w:val="22"/>
          <w:lang w:val="es-ES_tradnl"/>
        </w:rPr>
        <w:t xml:space="preserve"> </w:t>
      </w:r>
      <w:r w:rsidR="000D33DD">
        <w:rPr>
          <w:rFonts w:cs="Arial"/>
          <w:sz w:val="22"/>
          <w:lang w:val="es-ES_tradnl"/>
        </w:rPr>
        <w:t xml:space="preserve">Se </w:t>
      </w:r>
      <w:r w:rsidR="000D33DD">
        <w:rPr>
          <w:rFonts w:cs="Arial"/>
          <w:sz w:val="22"/>
          <w:szCs w:val="22"/>
        </w:rPr>
        <w:t xml:space="preserve">retira </w:t>
      </w:r>
      <w:r w:rsidR="000D33DD">
        <w:rPr>
          <w:sz w:val="22"/>
          <w:szCs w:val="22"/>
        </w:rPr>
        <w:t xml:space="preserve">de la sesión el señor Gerente General, quien se excusa de participar en la discusión y resolución de </w:t>
      </w:r>
      <w:r w:rsidR="00053FFD">
        <w:rPr>
          <w:sz w:val="22"/>
          <w:szCs w:val="22"/>
        </w:rPr>
        <w:t>é</w:t>
      </w:r>
      <w:r w:rsidR="000D33DD">
        <w:rPr>
          <w:sz w:val="22"/>
          <w:szCs w:val="22"/>
        </w:rPr>
        <w:t>ste</w:t>
      </w:r>
      <w:r w:rsidR="00053FFD">
        <w:rPr>
          <w:sz w:val="22"/>
          <w:szCs w:val="22"/>
        </w:rPr>
        <w:t xml:space="preserve"> y los siguientes</w:t>
      </w:r>
      <w:r w:rsidR="000D33DD">
        <w:rPr>
          <w:sz w:val="22"/>
          <w:szCs w:val="22"/>
        </w:rPr>
        <w:t xml:space="preserve"> asunto</w:t>
      </w:r>
      <w:r w:rsidR="00053FFD">
        <w:rPr>
          <w:sz w:val="22"/>
          <w:szCs w:val="22"/>
        </w:rPr>
        <w:t>s</w:t>
      </w:r>
      <w:r w:rsidR="000D33DD">
        <w:rPr>
          <w:sz w:val="22"/>
          <w:szCs w:val="22"/>
        </w:rPr>
        <w:t xml:space="preserve">; y se procede a conocer </w:t>
      </w:r>
      <w:r w:rsidR="000D33DD">
        <w:rPr>
          <w:rFonts w:cs="Arial"/>
          <w:sz w:val="22"/>
          <w:lang w:val="es-ES_tradnl"/>
        </w:rPr>
        <w:t xml:space="preserve">el oficio </w:t>
      </w:r>
      <w:r w:rsidRPr="000347BB">
        <w:rPr>
          <w:rFonts w:cs="Arial"/>
          <w:bCs/>
          <w:sz w:val="22"/>
          <w:szCs w:val="22"/>
          <w:lang w:val="es-CR"/>
        </w:rPr>
        <w:t>GG-ME-</w:t>
      </w:r>
      <w:r w:rsidR="000D33DD">
        <w:rPr>
          <w:rFonts w:cs="Arial"/>
          <w:bCs/>
          <w:sz w:val="22"/>
          <w:szCs w:val="22"/>
          <w:lang w:val="es-CR"/>
        </w:rPr>
        <w:t>1215</w:t>
      </w:r>
      <w:r w:rsidRPr="000347BB">
        <w:rPr>
          <w:rFonts w:cs="Arial"/>
          <w:bCs/>
          <w:sz w:val="22"/>
          <w:szCs w:val="22"/>
          <w:lang w:val="es-CR"/>
        </w:rPr>
        <w:t>-20</w:t>
      </w:r>
      <w:r>
        <w:rPr>
          <w:rFonts w:cs="Arial"/>
          <w:bCs/>
          <w:sz w:val="22"/>
          <w:szCs w:val="22"/>
          <w:lang w:val="es-CR"/>
        </w:rPr>
        <w:t>20</w:t>
      </w:r>
      <w:r w:rsidRPr="000347BB">
        <w:rPr>
          <w:rFonts w:cs="Arial"/>
          <w:bCs/>
          <w:sz w:val="22"/>
          <w:szCs w:val="22"/>
          <w:lang w:val="es-CR"/>
        </w:rPr>
        <w:t xml:space="preserve"> del </w:t>
      </w:r>
      <w:r w:rsidR="000D33DD">
        <w:rPr>
          <w:rFonts w:cs="Arial"/>
          <w:bCs/>
          <w:sz w:val="22"/>
          <w:szCs w:val="22"/>
          <w:lang w:val="es-CR"/>
        </w:rPr>
        <w:t>21</w:t>
      </w:r>
      <w:r>
        <w:rPr>
          <w:rFonts w:cs="Arial"/>
          <w:bCs/>
          <w:sz w:val="22"/>
          <w:szCs w:val="22"/>
          <w:lang w:val="es-CR"/>
        </w:rPr>
        <w:t xml:space="preserve"> de </w:t>
      </w:r>
      <w:r w:rsidR="000D33DD">
        <w:rPr>
          <w:rFonts w:cs="Arial"/>
          <w:bCs/>
          <w:sz w:val="22"/>
          <w:szCs w:val="22"/>
          <w:lang w:val="es-CR"/>
        </w:rPr>
        <w:t>octubre</w:t>
      </w:r>
      <w:r w:rsidRPr="000347BB">
        <w:rPr>
          <w:rFonts w:cs="Arial"/>
          <w:bCs/>
          <w:sz w:val="22"/>
          <w:szCs w:val="22"/>
          <w:lang w:val="es-CR"/>
        </w:rPr>
        <w:t xml:space="preserve"> de 20</w:t>
      </w:r>
      <w:r>
        <w:rPr>
          <w:rFonts w:cs="Arial"/>
          <w:bCs/>
          <w:sz w:val="22"/>
          <w:szCs w:val="22"/>
          <w:lang w:val="es-CR"/>
        </w:rPr>
        <w:t>20</w:t>
      </w:r>
      <w:r w:rsidRPr="000347BB">
        <w:rPr>
          <w:rFonts w:cs="Arial"/>
          <w:bCs/>
          <w:sz w:val="22"/>
          <w:szCs w:val="22"/>
          <w:lang w:val="es-CR"/>
        </w:rPr>
        <w:t xml:space="preserve">, </w:t>
      </w:r>
      <w:r>
        <w:rPr>
          <w:rFonts w:cs="Arial"/>
          <w:bCs/>
          <w:sz w:val="22"/>
          <w:szCs w:val="22"/>
          <w:lang w:val="es-CR"/>
        </w:rPr>
        <w:t xml:space="preserve">mediante el cual, </w:t>
      </w:r>
      <w:r w:rsidRPr="00EA7ADB">
        <w:rPr>
          <w:rFonts w:cs="Arial"/>
          <w:sz w:val="22"/>
          <w:szCs w:val="22"/>
        </w:rPr>
        <w:t xml:space="preserve">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0D33DD">
        <w:rPr>
          <w:rFonts w:cs="Arial"/>
          <w:color w:val="000000"/>
          <w:sz w:val="22"/>
          <w:szCs w:val="22"/>
        </w:rPr>
        <w:t>1189</w:t>
      </w:r>
      <w:r w:rsidRPr="00EA7ADB">
        <w:rPr>
          <w:rFonts w:cs="Arial"/>
          <w:color w:val="000000"/>
          <w:sz w:val="22"/>
          <w:szCs w:val="22"/>
        </w:rPr>
        <w:t>-20</w:t>
      </w:r>
      <w:r>
        <w:rPr>
          <w:rFonts w:cs="Arial"/>
          <w:color w:val="000000"/>
          <w:sz w:val="22"/>
          <w:szCs w:val="22"/>
        </w:rPr>
        <w:t xml:space="preserve">20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w:t>
      </w:r>
      <w:r w:rsidR="000D33DD">
        <w:rPr>
          <w:rFonts w:cs="Arial"/>
          <w:color w:val="000000"/>
          <w:sz w:val="22"/>
          <w:szCs w:val="22"/>
        </w:rPr>
        <w:t xml:space="preserve">la </w:t>
      </w:r>
      <w:r>
        <w:rPr>
          <w:rFonts w:cs="Arial"/>
          <w:color w:val="000000"/>
          <w:sz w:val="22"/>
          <w:szCs w:val="22"/>
        </w:rPr>
        <w:t xml:space="preserve">Mutual </w:t>
      </w:r>
      <w:r w:rsidR="000D33DD">
        <w:rPr>
          <w:rFonts w:cs="Arial"/>
          <w:color w:val="000000"/>
          <w:sz w:val="22"/>
          <w:szCs w:val="22"/>
        </w:rPr>
        <w:t>Cartago</w:t>
      </w:r>
      <w:r>
        <w:rPr>
          <w:rFonts w:cs="Arial"/>
          <w:color w:val="000000"/>
          <w:sz w:val="22"/>
          <w:szCs w:val="22"/>
        </w:rPr>
        <w:t xml:space="preserve"> </w:t>
      </w:r>
      <w:r w:rsidRPr="002E75AC">
        <w:rPr>
          <w:rFonts w:cs="Arial"/>
          <w:color w:val="000000"/>
          <w:sz w:val="22"/>
          <w:szCs w:val="22"/>
          <w:lang w:val="es-ES_tradnl"/>
        </w:rPr>
        <w:t>de Ahorro y Préstamo</w:t>
      </w:r>
      <w:r>
        <w:rPr>
          <w:rFonts w:cs="Arial"/>
          <w:color w:val="000000"/>
          <w:sz w:val="22"/>
          <w:szCs w:val="22"/>
          <w:lang w:val="es-ES_tradnl"/>
        </w:rPr>
        <w:t xml:space="preserve"> (</w:t>
      </w:r>
      <w:r w:rsidR="000D33DD">
        <w:rPr>
          <w:rFonts w:cs="Arial"/>
          <w:color w:val="000000"/>
          <w:sz w:val="22"/>
          <w:szCs w:val="22"/>
          <w:lang w:val="es-ES_tradnl"/>
        </w:rPr>
        <w:t>MUCAP</w:t>
      </w:r>
      <w:r>
        <w:rPr>
          <w:rFonts w:cs="Arial"/>
          <w:color w:val="000000"/>
          <w:sz w:val="22"/>
          <w:szCs w:val="22"/>
          <w:lang w:val="es-ES_tradnl"/>
        </w:rPr>
        <w:t>),</w:t>
      </w:r>
      <w:r>
        <w:rPr>
          <w:rFonts w:cs="Arial"/>
          <w:color w:val="000000"/>
          <w:sz w:val="22"/>
          <w:szCs w:val="22"/>
        </w:rPr>
        <w:t xml:space="preserve"> </w:t>
      </w:r>
      <w:r>
        <w:rPr>
          <w:rFonts w:cs="Arial"/>
          <w:sz w:val="22"/>
          <w:szCs w:val="22"/>
        </w:rPr>
        <w:t>para</w:t>
      </w:r>
      <w:r w:rsidRPr="00690BA8">
        <w:rPr>
          <w:rFonts w:cs="Arial"/>
          <w:sz w:val="22"/>
          <w:szCs w:val="22"/>
        </w:rPr>
        <w:t xml:space="preserve"> </w:t>
      </w:r>
      <w:r>
        <w:rPr>
          <w:rFonts w:cs="Arial"/>
          <w:sz w:val="22"/>
          <w:szCs w:val="22"/>
        </w:rPr>
        <w:t xml:space="preserve">ampliar el plazo del contrato de administración de recursos y financiar, </w:t>
      </w:r>
      <w:r w:rsidRPr="009C1F77">
        <w:rPr>
          <w:rFonts w:cs="Arial"/>
          <w:sz w:val="22"/>
          <w:szCs w:val="22"/>
        </w:rPr>
        <w:t xml:space="preserve">al amparo del </w:t>
      </w:r>
      <w:r>
        <w:rPr>
          <w:rFonts w:cs="Arial"/>
          <w:sz w:val="22"/>
          <w:szCs w:val="22"/>
        </w:rPr>
        <w:t xml:space="preserve">artículo 59 de la Ley del </w:t>
      </w:r>
      <w:r w:rsidRPr="00D2170A">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actividades adicionales no contempladas originalmente en el</w:t>
      </w:r>
      <w:r w:rsidRPr="009C1F77">
        <w:rPr>
          <w:rFonts w:cs="Arial"/>
          <w:sz w:val="22"/>
          <w:szCs w:val="22"/>
        </w:rPr>
        <w:t xml:space="preserve"> </w:t>
      </w:r>
      <w:r w:rsidR="000D33DD">
        <w:rPr>
          <w:rFonts w:cs="Arial"/>
          <w:sz w:val="22"/>
          <w:szCs w:val="22"/>
        </w:rPr>
        <w:t xml:space="preserve">proyecto del </w:t>
      </w:r>
      <w:r w:rsidR="000D33DD" w:rsidRPr="007656B9">
        <w:rPr>
          <w:rFonts w:cs="Arial"/>
          <w:sz w:val="22"/>
          <w:szCs w:val="22"/>
          <w:lang w:val="es-CR"/>
        </w:rPr>
        <w:t xml:space="preserve">Sistema de Recolección y Tratamiento de Aguas Residuales del proyecto Limón 2000, ubicado en el cantón </w:t>
      </w:r>
      <w:r w:rsidR="000D33DD">
        <w:rPr>
          <w:rFonts w:cs="Arial"/>
          <w:sz w:val="22"/>
          <w:szCs w:val="22"/>
          <w:lang w:val="es-CR"/>
        </w:rPr>
        <w:t xml:space="preserve">y provincia de </w:t>
      </w:r>
      <w:r w:rsidR="000D33DD" w:rsidRPr="007656B9">
        <w:rPr>
          <w:rFonts w:cs="Arial"/>
          <w:sz w:val="22"/>
          <w:szCs w:val="22"/>
          <w:lang w:val="es-CR"/>
        </w:rPr>
        <w:t>Limón</w:t>
      </w:r>
      <w:r w:rsidR="000D33DD">
        <w:rPr>
          <w:rFonts w:cs="Arial"/>
          <w:sz w:val="22"/>
          <w:szCs w:val="22"/>
          <w:lang w:val="es-CR"/>
        </w:rPr>
        <w:t>.</w:t>
      </w:r>
      <w:r>
        <w:rPr>
          <w:rFonts w:cs="Arial"/>
          <w:sz w:val="22"/>
          <w:szCs w:val="22"/>
        </w:rPr>
        <w:t xml:space="preserve">  Dichos documentos se adjuntan al expediente del acta.</w:t>
      </w:r>
    </w:p>
    <w:p w14:paraId="59FB6EF7" w14:textId="77777777" w:rsidR="005C0A82" w:rsidRDefault="005C0A82" w:rsidP="005C0A82">
      <w:pPr>
        <w:spacing w:line="360" w:lineRule="auto"/>
        <w:jc w:val="both"/>
        <w:rPr>
          <w:rFonts w:cs="Arial"/>
          <w:bCs/>
          <w:sz w:val="22"/>
          <w:szCs w:val="22"/>
          <w:lang w:val="es-CR"/>
        </w:rPr>
      </w:pPr>
    </w:p>
    <w:p w14:paraId="42AF35E1" w14:textId="2C589072" w:rsidR="000D33DD" w:rsidRDefault="000D33DD" w:rsidP="005C0A82">
      <w:pPr>
        <w:spacing w:line="360" w:lineRule="auto"/>
        <w:jc w:val="both"/>
        <w:rPr>
          <w:rFonts w:cs="Arial"/>
          <w:sz w:val="22"/>
          <w:szCs w:val="22"/>
          <w:lang w:val="es-ES_tradnl"/>
        </w:rPr>
      </w:pPr>
      <w:r>
        <w:rPr>
          <w:rFonts w:cs="Arial"/>
          <w:sz w:val="22"/>
          <w:szCs w:val="22"/>
        </w:rPr>
        <w:t xml:space="preserve">Para exponer el contenido de dicho informe y atender eventuales consultas de carácter técnico sobre el tema, se incorporan a la sesión los funcionarios Carlos Castro miranda, asistente de la </w:t>
      </w:r>
      <w:r w:rsidRPr="000D33DD">
        <w:rPr>
          <w:rFonts w:cs="Arial"/>
          <w:sz w:val="22"/>
          <w:szCs w:val="22"/>
          <w:lang w:val="es-ES_tradnl"/>
        </w:rPr>
        <w:t>Gerencia General</w:t>
      </w:r>
      <w:r>
        <w:rPr>
          <w:rFonts w:cs="Arial"/>
          <w:sz w:val="22"/>
          <w:szCs w:val="22"/>
          <w:lang w:val="es-ES_tradnl"/>
        </w:rPr>
        <w:t xml:space="preserve">; Martha </w:t>
      </w:r>
      <w:r w:rsidR="005C0A82">
        <w:rPr>
          <w:rFonts w:cs="Arial"/>
          <w:sz w:val="22"/>
          <w:szCs w:val="22"/>
        </w:rPr>
        <w:t>Camacho Murillo</w:t>
      </w:r>
      <w:r>
        <w:rPr>
          <w:rFonts w:cs="Arial"/>
          <w:sz w:val="22"/>
          <w:szCs w:val="22"/>
        </w:rPr>
        <w:t xml:space="preserve">, Directora del FOSUVI; y Mariella Salas Rodríguez, jefa del Departamento Técnico; quienes presentan </w:t>
      </w:r>
      <w:r w:rsidR="005C0A82">
        <w:rPr>
          <w:rFonts w:cs="Arial"/>
          <w:sz w:val="22"/>
          <w:szCs w:val="22"/>
        </w:rPr>
        <w:t>los</w:t>
      </w:r>
      <w:r w:rsidR="005C0A82" w:rsidRPr="00EF3F93">
        <w:rPr>
          <w:rFonts w:cs="Arial"/>
          <w:sz w:val="22"/>
          <w:szCs w:val="22"/>
        </w:rPr>
        <w:t xml:space="preserve"> aspectos más relevantes de la solicitud</w:t>
      </w:r>
      <w:r w:rsidR="005C0A82">
        <w:rPr>
          <w:rFonts w:cs="Arial"/>
          <w:sz w:val="22"/>
          <w:szCs w:val="22"/>
          <w:lang w:val="es-ES_tradnl"/>
        </w:rPr>
        <w:t xml:space="preserve"> de </w:t>
      </w:r>
      <w:r>
        <w:rPr>
          <w:rFonts w:cs="Arial"/>
          <w:sz w:val="22"/>
          <w:szCs w:val="22"/>
          <w:lang w:val="es-ES_tradnl"/>
        </w:rPr>
        <w:t xml:space="preserve">la MUCAP, destacando que se propone prorrogar veinticinco meses el contrato de administración de recursos y financiar la suma total de </w:t>
      </w:r>
      <w:r w:rsidRPr="00110579">
        <w:rPr>
          <w:rFonts w:cs="Arial"/>
          <w:sz w:val="22"/>
          <w:szCs w:val="22"/>
          <w:lang w:val="es-ES_tradnl"/>
        </w:rPr>
        <w:t>¢</w:t>
      </w:r>
      <w:r>
        <w:rPr>
          <w:rFonts w:cs="Arial"/>
          <w:sz w:val="22"/>
          <w:szCs w:val="22"/>
          <w:lang w:val="es-ES_tradnl"/>
        </w:rPr>
        <w:t>170</w:t>
      </w:r>
      <w:r w:rsidRPr="00110579">
        <w:rPr>
          <w:rFonts w:cs="Arial"/>
          <w:sz w:val="22"/>
          <w:szCs w:val="22"/>
          <w:lang w:val="es-ES_tradnl"/>
        </w:rPr>
        <w:t>.</w:t>
      </w:r>
      <w:r>
        <w:rPr>
          <w:rFonts w:cs="Arial"/>
          <w:sz w:val="22"/>
          <w:szCs w:val="22"/>
          <w:lang w:val="es-ES_tradnl"/>
        </w:rPr>
        <w:t>522</w:t>
      </w:r>
      <w:r w:rsidRPr="00110579">
        <w:rPr>
          <w:rFonts w:cs="Arial"/>
          <w:sz w:val="22"/>
          <w:szCs w:val="22"/>
          <w:lang w:val="es-ES_tradnl"/>
        </w:rPr>
        <w:t>.</w:t>
      </w:r>
      <w:r>
        <w:rPr>
          <w:rFonts w:cs="Arial"/>
          <w:sz w:val="22"/>
          <w:szCs w:val="22"/>
          <w:lang w:val="es-ES_tradnl"/>
        </w:rPr>
        <w:t>057</w:t>
      </w:r>
      <w:r w:rsidRPr="00110579">
        <w:rPr>
          <w:rFonts w:cs="Arial"/>
          <w:sz w:val="22"/>
          <w:szCs w:val="22"/>
          <w:lang w:val="es-ES_tradnl"/>
        </w:rPr>
        <w:t>,</w:t>
      </w:r>
      <w:r>
        <w:rPr>
          <w:rFonts w:cs="Arial"/>
          <w:sz w:val="22"/>
          <w:szCs w:val="22"/>
          <w:lang w:val="es-ES_tradnl"/>
        </w:rPr>
        <w:t>10 que comprende</w:t>
      </w:r>
      <w:r w:rsidRPr="00860C71">
        <w:rPr>
          <w:rFonts w:cs="Arial"/>
          <w:sz w:val="22"/>
          <w:szCs w:val="22"/>
        </w:rPr>
        <w:t xml:space="preserve"> </w:t>
      </w:r>
      <w:r>
        <w:rPr>
          <w:rFonts w:cs="Arial"/>
          <w:sz w:val="22"/>
          <w:szCs w:val="22"/>
        </w:rPr>
        <w:t>los costos adicionales por las siguientes actividades</w:t>
      </w:r>
      <w:r w:rsidRPr="00611D72">
        <w:rPr>
          <w:rFonts w:cs="Arial"/>
          <w:sz w:val="22"/>
          <w:szCs w:val="22"/>
        </w:rPr>
        <w:t xml:space="preserve">: </w:t>
      </w:r>
      <w:r w:rsidRPr="00611D72">
        <w:rPr>
          <w:rFonts w:cs="Arial"/>
          <w:sz w:val="22"/>
          <w:szCs w:val="22"/>
          <w:lang w:val="es-CR"/>
        </w:rPr>
        <w:t>Construcción de alcantarillado sanitario en las alamedas del proyecto; construcción de caseta para albergar cilindros de gas cloro</w:t>
      </w:r>
      <w:r>
        <w:rPr>
          <w:rFonts w:cs="Arial"/>
          <w:sz w:val="22"/>
          <w:szCs w:val="22"/>
          <w:lang w:val="es-CR"/>
        </w:rPr>
        <w:t xml:space="preserve">; tablero </w:t>
      </w:r>
      <w:r w:rsidRPr="00611D72">
        <w:rPr>
          <w:rFonts w:cs="Arial"/>
          <w:sz w:val="22"/>
          <w:szCs w:val="22"/>
          <w:lang w:val="es-CR"/>
        </w:rPr>
        <w:t xml:space="preserve">de control de motores, </w:t>
      </w:r>
      <w:r>
        <w:rPr>
          <w:rFonts w:cs="Arial"/>
          <w:sz w:val="22"/>
          <w:szCs w:val="22"/>
          <w:lang w:val="es-CR"/>
        </w:rPr>
        <w:t>c</w:t>
      </w:r>
      <w:r w:rsidRPr="00611D72">
        <w:rPr>
          <w:rFonts w:cs="Arial"/>
          <w:sz w:val="22"/>
          <w:szCs w:val="22"/>
          <w:lang w:val="es-CR"/>
        </w:rPr>
        <w:t xml:space="preserve">analización para </w:t>
      </w:r>
      <w:r w:rsidRPr="00611D72">
        <w:rPr>
          <w:rFonts w:cs="Arial"/>
          <w:sz w:val="22"/>
          <w:szCs w:val="22"/>
          <w:lang w:val="es-CR"/>
        </w:rPr>
        <w:lastRenderedPageBreak/>
        <w:t xml:space="preserve">telecomunicaciones e </w:t>
      </w:r>
      <w:r>
        <w:rPr>
          <w:rFonts w:cs="Arial"/>
          <w:sz w:val="22"/>
          <w:szCs w:val="22"/>
          <w:lang w:val="es-CR"/>
        </w:rPr>
        <w:t>i</w:t>
      </w:r>
      <w:r w:rsidRPr="00611D72">
        <w:rPr>
          <w:rFonts w:cs="Arial"/>
          <w:sz w:val="22"/>
          <w:szCs w:val="22"/>
          <w:lang w:val="es-CR"/>
        </w:rPr>
        <w:t>nterruptor principal redundado</w:t>
      </w:r>
      <w:r>
        <w:rPr>
          <w:rFonts w:cs="Arial"/>
          <w:sz w:val="22"/>
          <w:szCs w:val="22"/>
          <w:lang w:val="es-CR"/>
        </w:rPr>
        <w:t xml:space="preserve">, costos </w:t>
      </w:r>
      <w:r w:rsidRPr="00611D72">
        <w:rPr>
          <w:rFonts w:cs="Arial"/>
          <w:sz w:val="22"/>
          <w:szCs w:val="22"/>
          <w:lang w:val="es-CR"/>
        </w:rPr>
        <w:t xml:space="preserve">adicionales por </w:t>
      </w:r>
      <w:r>
        <w:rPr>
          <w:rFonts w:cs="Arial"/>
          <w:sz w:val="22"/>
          <w:szCs w:val="22"/>
          <w:lang w:val="es-CR"/>
        </w:rPr>
        <w:t xml:space="preserve">la </w:t>
      </w:r>
      <w:r w:rsidRPr="00611D72">
        <w:rPr>
          <w:rFonts w:cs="Arial"/>
          <w:sz w:val="22"/>
          <w:szCs w:val="22"/>
          <w:lang w:val="es-CR"/>
        </w:rPr>
        <w:t xml:space="preserve">aplicación de protocolos por </w:t>
      </w:r>
      <w:r>
        <w:rPr>
          <w:rFonts w:cs="Arial"/>
          <w:sz w:val="22"/>
          <w:szCs w:val="22"/>
          <w:lang w:val="es-CR"/>
        </w:rPr>
        <w:t>el C</w:t>
      </w:r>
      <w:r w:rsidRPr="00611D72">
        <w:rPr>
          <w:rFonts w:cs="Arial"/>
          <w:sz w:val="22"/>
          <w:szCs w:val="22"/>
          <w:lang w:val="es-CR"/>
        </w:rPr>
        <w:t>ovid-19</w:t>
      </w:r>
      <w:r>
        <w:rPr>
          <w:rFonts w:cs="Arial"/>
          <w:sz w:val="22"/>
          <w:szCs w:val="22"/>
          <w:lang w:val="es-CR"/>
        </w:rPr>
        <w:t xml:space="preserve">, y costos </w:t>
      </w:r>
      <w:r w:rsidRPr="00611D72">
        <w:rPr>
          <w:rFonts w:cs="Arial"/>
          <w:sz w:val="22"/>
          <w:szCs w:val="22"/>
          <w:lang w:val="es-CR"/>
        </w:rPr>
        <w:t>administrativos adicionales por ampliación de plazo del proyecto</w:t>
      </w:r>
      <w:r>
        <w:rPr>
          <w:rFonts w:cs="Arial"/>
          <w:sz w:val="22"/>
          <w:szCs w:val="22"/>
          <w:lang w:val="es-CR"/>
        </w:rPr>
        <w:t>.  Lo anterior, según</w:t>
      </w:r>
      <w:r>
        <w:rPr>
          <w:rFonts w:cs="Arial"/>
          <w:sz w:val="22"/>
          <w:szCs w:val="22"/>
        </w:rPr>
        <w:t xml:space="preserve"> lo dictaminado por el Departamento Técnico.</w:t>
      </w:r>
    </w:p>
    <w:p w14:paraId="26144021" w14:textId="77777777" w:rsidR="000D33DD" w:rsidRDefault="000D33DD" w:rsidP="005C0A82">
      <w:pPr>
        <w:spacing w:line="360" w:lineRule="auto"/>
        <w:jc w:val="both"/>
        <w:rPr>
          <w:rFonts w:cs="Arial"/>
          <w:sz w:val="22"/>
          <w:szCs w:val="22"/>
          <w:lang w:val="es-ES_tradnl"/>
        </w:rPr>
      </w:pPr>
    </w:p>
    <w:p w14:paraId="75D014FD" w14:textId="6227AA10" w:rsidR="005C0A82" w:rsidRDefault="005C0A82" w:rsidP="005C0A82">
      <w:pPr>
        <w:spacing w:line="360" w:lineRule="auto"/>
        <w:jc w:val="both"/>
        <w:rPr>
          <w:rFonts w:cs="Arial"/>
          <w:sz w:val="22"/>
          <w:szCs w:val="22"/>
          <w:lang w:val="es-ES_tradnl"/>
        </w:rPr>
      </w:pPr>
      <w:r>
        <w:rPr>
          <w:rFonts w:cs="Arial"/>
          <w:sz w:val="22"/>
          <w:szCs w:val="22"/>
        </w:rPr>
        <w:t xml:space="preserve">Por otra parte, </w:t>
      </w:r>
      <w:r w:rsidR="000D33DD">
        <w:rPr>
          <w:rFonts w:cs="Arial"/>
          <w:sz w:val="22"/>
          <w:szCs w:val="22"/>
        </w:rPr>
        <w:t xml:space="preserve">la arquitecta Salas Rodríguez </w:t>
      </w:r>
      <w:r>
        <w:rPr>
          <w:rFonts w:cs="Arial"/>
          <w:sz w:val="22"/>
          <w:szCs w:val="22"/>
          <w:lang w:val="es-ES_tradnl"/>
        </w:rPr>
        <w:t>señala que</w:t>
      </w:r>
      <w:r w:rsidR="000D33DD">
        <w:rPr>
          <w:rFonts w:cs="Arial"/>
          <w:sz w:val="22"/>
          <w:szCs w:val="22"/>
          <w:lang w:val="es-ES_tradnl"/>
        </w:rPr>
        <w:t>,</w:t>
      </w:r>
      <w:r>
        <w:rPr>
          <w:rFonts w:cs="Arial"/>
          <w:sz w:val="22"/>
          <w:szCs w:val="22"/>
          <w:lang w:val="es-ES_tradnl"/>
        </w:rPr>
        <w:t xml:space="preserve"> según lo hace constar el Departamento Técnico en su informe, el pago de este rubro está debidamente justificado técnica y financieramente, y además es importante para garantizar la seguridad de los trabajos que se han venido realizando en el proyecto.</w:t>
      </w:r>
    </w:p>
    <w:p w14:paraId="4AC21E27" w14:textId="77777777" w:rsidR="005C0A82" w:rsidRDefault="005C0A82" w:rsidP="005C0A82">
      <w:pPr>
        <w:spacing w:line="360" w:lineRule="auto"/>
        <w:jc w:val="both"/>
        <w:rPr>
          <w:rFonts w:cs="Arial"/>
          <w:color w:val="000000"/>
          <w:sz w:val="22"/>
          <w:szCs w:val="22"/>
          <w:lang w:val="es-CR"/>
        </w:rPr>
      </w:pPr>
    </w:p>
    <w:p w14:paraId="5AC8FA19" w14:textId="3C4F9F01" w:rsidR="000D33DD" w:rsidRDefault="005C0A82" w:rsidP="005C0A82">
      <w:pPr>
        <w:spacing w:line="360" w:lineRule="auto"/>
        <w:jc w:val="both"/>
        <w:rPr>
          <w:rFonts w:cs="Arial"/>
          <w:sz w:val="22"/>
          <w:szCs w:val="22"/>
        </w:rPr>
      </w:pPr>
      <w:r>
        <w:rPr>
          <w:rFonts w:cs="Arial"/>
          <w:bCs/>
          <w:sz w:val="22"/>
          <w:szCs w:val="22"/>
          <w:u w:val="single"/>
        </w:rPr>
        <w:t>Minuto 112</w:t>
      </w:r>
      <w:r w:rsidRPr="00ED0EF0">
        <w:rPr>
          <w:rFonts w:cs="Arial"/>
          <w:bCs/>
          <w:sz w:val="22"/>
          <w:szCs w:val="22"/>
          <w:u w:val="single"/>
        </w:rPr>
        <w:t>:</w:t>
      </w:r>
      <w:r>
        <w:rPr>
          <w:rFonts w:cs="Arial"/>
          <w:bCs/>
          <w:sz w:val="22"/>
          <w:szCs w:val="22"/>
          <w:u w:val="single"/>
        </w:rPr>
        <w:t>55</w:t>
      </w:r>
      <w:r>
        <w:rPr>
          <w:rFonts w:cs="Arial"/>
          <w:bCs/>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actuar de la forma que recomienda la Dirección FOSUVI en el referido informe técnico, </w:t>
      </w:r>
      <w:r w:rsidR="000D33DD">
        <w:rPr>
          <w:rFonts w:cs="Arial"/>
          <w:sz w:val="22"/>
          <w:szCs w:val="22"/>
        </w:rPr>
        <w:t xml:space="preserve">excepto, por ahora, en lo correspondiente al financiamiento de los </w:t>
      </w:r>
      <w:r w:rsidR="000D33DD">
        <w:rPr>
          <w:rFonts w:cs="Arial"/>
          <w:sz w:val="22"/>
          <w:szCs w:val="22"/>
          <w:lang w:val="es-CR"/>
        </w:rPr>
        <w:t xml:space="preserve">costos </w:t>
      </w:r>
      <w:r w:rsidR="000D33DD" w:rsidRPr="00611D72">
        <w:rPr>
          <w:rFonts w:cs="Arial"/>
          <w:sz w:val="22"/>
          <w:szCs w:val="22"/>
          <w:lang w:val="es-CR"/>
        </w:rPr>
        <w:t xml:space="preserve">adicionales por </w:t>
      </w:r>
      <w:r w:rsidR="000D33DD">
        <w:rPr>
          <w:rFonts w:cs="Arial"/>
          <w:sz w:val="22"/>
          <w:szCs w:val="22"/>
          <w:lang w:val="es-CR"/>
        </w:rPr>
        <w:t xml:space="preserve">la </w:t>
      </w:r>
      <w:r w:rsidR="000D33DD" w:rsidRPr="00611D72">
        <w:rPr>
          <w:rFonts w:cs="Arial"/>
          <w:sz w:val="22"/>
          <w:szCs w:val="22"/>
          <w:lang w:val="es-CR"/>
        </w:rPr>
        <w:t xml:space="preserve">aplicación de protocolos </w:t>
      </w:r>
      <w:r w:rsidR="000D33DD">
        <w:rPr>
          <w:rFonts w:cs="Arial"/>
          <w:sz w:val="22"/>
          <w:szCs w:val="22"/>
          <w:lang w:val="es-CR"/>
        </w:rPr>
        <w:t>ante el C</w:t>
      </w:r>
      <w:r w:rsidR="000D33DD" w:rsidRPr="00611D72">
        <w:rPr>
          <w:rFonts w:cs="Arial"/>
          <w:sz w:val="22"/>
          <w:szCs w:val="22"/>
          <w:lang w:val="es-CR"/>
        </w:rPr>
        <w:t>ovid-19</w:t>
      </w:r>
      <w:r w:rsidR="000D33DD">
        <w:rPr>
          <w:rFonts w:cs="Arial"/>
          <w:sz w:val="22"/>
          <w:szCs w:val="22"/>
          <w:lang w:val="es-CR"/>
        </w:rPr>
        <w:t xml:space="preserve"> </w:t>
      </w:r>
      <w:r w:rsidR="000D33DD" w:rsidRPr="00EA7ADB">
        <w:rPr>
          <w:rFonts w:cs="Arial"/>
          <w:sz w:val="22"/>
          <w:szCs w:val="22"/>
        </w:rPr>
        <w:t>y</w:t>
      </w:r>
      <w:r w:rsidR="000D33DD">
        <w:rPr>
          <w:rFonts w:cs="Arial"/>
          <w:sz w:val="22"/>
          <w:szCs w:val="22"/>
        </w:rPr>
        <w:t xml:space="preserve"> los rubros relacionados con estos costos, debido a los cuestionamientos que se han presentado con respecto a la pertinencia legal de su financiamiento con recursos del FOSUVI.  En </w:t>
      </w:r>
      <w:r w:rsidR="000D33DD" w:rsidRPr="00EA7ADB">
        <w:rPr>
          <w:rFonts w:cs="Arial"/>
          <w:sz w:val="22"/>
          <w:szCs w:val="22"/>
        </w:rPr>
        <w:t xml:space="preserve">consecuencia, lo que procede </w:t>
      </w:r>
      <w:r w:rsidR="000D33DD">
        <w:rPr>
          <w:rFonts w:cs="Arial"/>
          <w:sz w:val="22"/>
          <w:szCs w:val="22"/>
        </w:rPr>
        <w:t xml:space="preserve">ahora </w:t>
      </w:r>
      <w:r w:rsidR="000D33DD" w:rsidRPr="00EA7ADB">
        <w:rPr>
          <w:rFonts w:cs="Arial"/>
          <w:sz w:val="22"/>
          <w:szCs w:val="22"/>
        </w:rPr>
        <w:t xml:space="preserve">es </w:t>
      </w:r>
      <w:r w:rsidR="000D33DD">
        <w:rPr>
          <w:rFonts w:cs="Arial"/>
          <w:sz w:val="22"/>
          <w:szCs w:val="22"/>
        </w:rPr>
        <w:t xml:space="preserve">aprobar parcialmente la recomendación de la </w:t>
      </w:r>
      <w:r w:rsidR="000D33DD" w:rsidRPr="00887AB0">
        <w:rPr>
          <w:rFonts w:cs="Arial"/>
          <w:sz w:val="22"/>
          <w:szCs w:val="22"/>
          <w:lang w:val="es-ES_tradnl"/>
        </w:rPr>
        <w:t>Administración</w:t>
      </w:r>
      <w:r w:rsidR="000D33DD">
        <w:rPr>
          <w:rFonts w:cs="Arial"/>
          <w:sz w:val="22"/>
          <w:szCs w:val="22"/>
          <w:lang w:val="es-ES_tradnl"/>
        </w:rPr>
        <w:t xml:space="preserve">, y solicitar un dictamen a la </w:t>
      </w:r>
      <w:r w:rsidR="000D33DD" w:rsidRPr="00887AB0">
        <w:rPr>
          <w:rFonts w:cs="Arial"/>
          <w:sz w:val="22"/>
          <w:szCs w:val="22"/>
          <w:lang w:val="es-ES_tradnl"/>
        </w:rPr>
        <w:t>Asesoría Legal</w:t>
      </w:r>
      <w:r w:rsidR="000D33DD">
        <w:rPr>
          <w:rFonts w:cs="Arial"/>
          <w:sz w:val="22"/>
          <w:szCs w:val="22"/>
          <w:lang w:val="es-ES_tradnl"/>
        </w:rPr>
        <w:t>, que permita resolver el tema del financiamiento de los rubros</w:t>
      </w:r>
      <w:r w:rsidR="000D33DD">
        <w:rPr>
          <w:rFonts w:cs="Arial"/>
          <w:sz w:val="22"/>
          <w:szCs w:val="22"/>
        </w:rPr>
        <w:t xml:space="preserve"> referidos a la </w:t>
      </w:r>
      <w:r w:rsidR="000D33DD" w:rsidRPr="00FE15CE">
        <w:rPr>
          <w:rFonts w:cs="Arial"/>
          <w:sz w:val="22"/>
          <w:szCs w:val="22"/>
        </w:rPr>
        <w:t xml:space="preserve">aplicación de protocolos por </w:t>
      </w:r>
      <w:r w:rsidR="000D33DD">
        <w:rPr>
          <w:rFonts w:cs="Arial"/>
          <w:sz w:val="22"/>
          <w:szCs w:val="22"/>
        </w:rPr>
        <w:t>la pandemia del C</w:t>
      </w:r>
      <w:r w:rsidR="000D33DD" w:rsidRPr="00FE15CE">
        <w:rPr>
          <w:rFonts w:cs="Arial"/>
          <w:sz w:val="22"/>
          <w:szCs w:val="22"/>
        </w:rPr>
        <w:t>ovid-19</w:t>
      </w:r>
      <w:r w:rsidR="000D33DD">
        <w:rPr>
          <w:rFonts w:cs="Arial"/>
          <w:sz w:val="22"/>
          <w:szCs w:val="22"/>
        </w:rPr>
        <w:t>.</w:t>
      </w:r>
    </w:p>
    <w:p w14:paraId="5593BF15" w14:textId="20165AAD" w:rsidR="001E4BDE" w:rsidRDefault="001E4BDE" w:rsidP="005C0A82">
      <w:pPr>
        <w:spacing w:line="360" w:lineRule="auto"/>
        <w:jc w:val="both"/>
        <w:rPr>
          <w:rFonts w:cs="Arial"/>
          <w:sz w:val="22"/>
          <w:szCs w:val="22"/>
        </w:rPr>
      </w:pPr>
    </w:p>
    <w:p w14:paraId="606946D5" w14:textId="1364731D" w:rsidR="00F165DF" w:rsidRDefault="001E4BDE" w:rsidP="00F165DF">
      <w:pPr>
        <w:spacing w:line="360" w:lineRule="auto"/>
        <w:jc w:val="both"/>
        <w:rPr>
          <w:rFonts w:cs="Arial"/>
          <w:sz w:val="22"/>
          <w:szCs w:val="22"/>
        </w:rPr>
      </w:pPr>
      <w:r>
        <w:rPr>
          <w:rFonts w:cs="Arial"/>
          <w:sz w:val="22"/>
          <w:szCs w:val="22"/>
        </w:rPr>
        <w:t>Adicionalmente</w:t>
      </w:r>
      <w:r w:rsidR="00F165DF">
        <w:rPr>
          <w:rFonts w:cs="Arial"/>
          <w:sz w:val="22"/>
          <w:szCs w:val="22"/>
        </w:rPr>
        <w:t xml:space="preserve"> (minuto 130:40)</w:t>
      </w:r>
      <w:r>
        <w:rPr>
          <w:rFonts w:cs="Arial"/>
          <w:sz w:val="22"/>
          <w:szCs w:val="22"/>
        </w:rPr>
        <w:t xml:space="preserve">, se concuerda en la pertinencia de girar </w:t>
      </w:r>
      <w:r w:rsidR="00F165DF">
        <w:rPr>
          <w:rFonts w:cs="Arial"/>
          <w:sz w:val="22"/>
          <w:szCs w:val="22"/>
        </w:rPr>
        <w:t xml:space="preserve">instrucciones a la </w:t>
      </w:r>
      <w:r w:rsidR="00F165DF" w:rsidRPr="001E4BDE">
        <w:rPr>
          <w:rFonts w:cs="Arial"/>
          <w:sz w:val="22"/>
          <w:szCs w:val="22"/>
          <w:lang w:val="es-ES_tradnl"/>
        </w:rPr>
        <w:t>Administración</w:t>
      </w:r>
      <w:r w:rsidR="00F165DF">
        <w:rPr>
          <w:rFonts w:cs="Arial"/>
          <w:sz w:val="22"/>
          <w:szCs w:val="22"/>
          <w:lang w:val="es-ES_tradnl"/>
        </w:rPr>
        <w:t xml:space="preserve">, para que presente a esta </w:t>
      </w:r>
      <w:r w:rsidR="00F165DF" w:rsidRPr="00F165DF">
        <w:rPr>
          <w:rFonts w:cs="Arial"/>
          <w:sz w:val="22"/>
          <w:szCs w:val="22"/>
          <w:lang w:val="es-ES_tradnl"/>
        </w:rPr>
        <w:t>Junta Directiva</w:t>
      </w:r>
      <w:r w:rsidR="00F165DF">
        <w:rPr>
          <w:rFonts w:cs="Arial"/>
          <w:sz w:val="22"/>
          <w:szCs w:val="22"/>
          <w:lang w:val="es-ES_tradnl"/>
        </w:rPr>
        <w:t>, dentro de los próximos 15 días,  una propuesta de previsión dirigida a las entidades autorizadas, con respecto al giro y gestión de los recursos para proyectos de Bono Colectivo, en lo que resta del presente año.</w:t>
      </w:r>
    </w:p>
    <w:p w14:paraId="11B5157F" w14:textId="41CF54B6" w:rsidR="001E4BDE" w:rsidRDefault="001E4BDE" w:rsidP="005C0A82">
      <w:pPr>
        <w:spacing w:line="360" w:lineRule="auto"/>
        <w:jc w:val="both"/>
        <w:rPr>
          <w:rFonts w:cs="Arial"/>
          <w:sz w:val="22"/>
          <w:szCs w:val="22"/>
        </w:rPr>
      </w:pPr>
    </w:p>
    <w:p w14:paraId="140B9BE8" w14:textId="5AAA2EBF" w:rsidR="005C0A82" w:rsidRDefault="005C0A82" w:rsidP="005C0A82">
      <w:pPr>
        <w:spacing w:line="360" w:lineRule="auto"/>
        <w:jc w:val="both"/>
        <w:rPr>
          <w:rFonts w:cs="Arial"/>
          <w:bCs/>
          <w:sz w:val="22"/>
          <w:szCs w:val="22"/>
        </w:rPr>
      </w:pPr>
      <w:r>
        <w:rPr>
          <w:rFonts w:cs="Arial"/>
          <w:color w:val="000000"/>
          <w:sz w:val="22"/>
          <w:szCs w:val="22"/>
        </w:rPr>
        <w:t xml:space="preserve">Lo anterior, según </w:t>
      </w:r>
      <w:r>
        <w:rPr>
          <w:rFonts w:cs="Arial"/>
          <w:sz w:val="22"/>
          <w:szCs w:val="22"/>
        </w:rPr>
        <w:t xml:space="preserve">se indica en los </w:t>
      </w:r>
      <w:r>
        <w:rPr>
          <w:rFonts w:cs="Arial"/>
          <w:b/>
          <w:sz w:val="22"/>
          <w:szCs w:val="22"/>
        </w:rPr>
        <w:t>a</w:t>
      </w:r>
      <w:r w:rsidRPr="00063967">
        <w:rPr>
          <w:rFonts w:cs="Arial"/>
          <w:b/>
          <w:sz w:val="22"/>
          <w:szCs w:val="22"/>
        </w:rPr>
        <w:t>cuerdo</w:t>
      </w:r>
      <w:r>
        <w:rPr>
          <w:rFonts w:cs="Arial"/>
          <w:b/>
          <w:sz w:val="22"/>
          <w:szCs w:val="22"/>
        </w:rPr>
        <w:t>s</w:t>
      </w:r>
      <w:r w:rsidRPr="00063967">
        <w:rPr>
          <w:rFonts w:cs="Arial"/>
          <w:b/>
          <w:sz w:val="22"/>
          <w:szCs w:val="22"/>
        </w:rPr>
        <w:t xml:space="preserve"> N°</w:t>
      </w:r>
      <w:r>
        <w:rPr>
          <w:rFonts w:cs="Arial"/>
          <w:b/>
          <w:sz w:val="22"/>
          <w:szCs w:val="22"/>
        </w:rPr>
        <w:t xml:space="preserve"> 3</w:t>
      </w:r>
      <w:r>
        <w:rPr>
          <w:rFonts w:cs="Arial"/>
          <w:sz w:val="22"/>
          <w:szCs w:val="22"/>
        </w:rPr>
        <w:t xml:space="preserve"> y </w:t>
      </w:r>
      <w:r w:rsidRPr="005C0A82">
        <w:rPr>
          <w:rFonts w:cs="Arial"/>
          <w:b/>
          <w:bCs/>
          <w:sz w:val="22"/>
          <w:szCs w:val="22"/>
        </w:rPr>
        <w:t>N° 4</w:t>
      </w:r>
      <w:r>
        <w:rPr>
          <w:rFonts w:cs="Arial"/>
          <w:sz w:val="22"/>
          <w:szCs w:val="22"/>
        </w:rPr>
        <w:t xml:space="preserve"> que se anexan a esta minuta.</w:t>
      </w:r>
      <w:r w:rsidR="00F165DF">
        <w:rPr>
          <w:rFonts w:cs="Arial"/>
          <w:sz w:val="22"/>
          <w:szCs w:val="22"/>
        </w:rPr>
        <w:t xml:space="preserve">  Acto seguido, se </w:t>
      </w:r>
      <w:r w:rsidR="0024201C">
        <w:rPr>
          <w:rFonts w:cs="Arial"/>
          <w:sz w:val="22"/>
          <w:szCs w:val="22"/>
        </w:rPr>
        <w:t>retira de la sesión la arquitecta Salas Rodríguez.</w:t>
      </w:r>
    </w:p>
    <w:p w14:paraId="16F45984" w14:textId="77777777" w:rsidR="009D03FE" w:rsidRPr="00D14EAF" w:rsidRDefault="009D03FE" w:rsidP="009D03FE">
      <w:pPr>
        <w:spacing w:line="360" w:lineRule="auto"/>
        <w:jc w:val="both"/>
        <w:rPr>
          <w:rFonts w:cs="Arial"/>
          <w:b/>
          <w:sz w:val="22"/>
        </w:rPr>
      </w:pPr>
      <w:r w:rsidRPr="00D14EAF">
        <w:rPr>
          <w:rFonts w:cs="Arial"/>
          <w:b/>
          <w:sz w:val="22"/>
        </w:rPr>
        <w:t>************</w:t>
      </w:r>
    </w:p>
    <w:p w14:paraId="371ADED1" w14:textId="77777777" w:rsidR="00D13B6B" w:rsidRDefault="00D13B6B" w:rsidP="002D0146">
      <w:pPr>
        <w:spacing w:line="360" w:lineRule="auto"/>
        <w:jc w:val="both"/>
        <w:rPr>
          <w:rFonts w:cs="Arial"/>
          <w:b/>
          <w:bCs/>
          <w:sz w:val="22"/>
          <w:szCs w:val="22"/>
          <w:u w:val="single"/>
          <w:lang w:val="es-ES_tradnl"/>
        </w:rPr>
      </w:pPr>
    </w:p>
    <w:p w14:paraId="1CE2C4CE" w14:textId="2ED1F456"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754D63" w:rsidRPr="00843423">
        <w:rPr>
          <w:rFonts w:cs="Arial"/>
          <w:b/>
          <w:bCs/>
          <w:sz w:val="22"/>
          <w:u w:val="single"/>
          <w:lang w:val="es-ES_tradnl"/>
        </w:rPr>
        <w:t>Propuesta de Presupuesto Extraordinario N°2 al Presupuesto Ordinario 2020 y modificación al Plan Operativo Institucional 2020</w:t>
      </w:r>
    </w:p>
    <w:p w14:paraId="42A4D440" w14:textId="77777777" w:rsidR="009D03FE" w:rsidRDefault="009D03FE" w:rsidP="009D03FE">
      <w:pPr>
        <w:spacing w:line="360" w:lineRule="auto"/>
        <w:jc w:val="both"/>
        <w:rPr>
          <w:rFonts w:cs="Arial"/>
          <w:sz w:val="22"/>
          <w:szCs w:val="22"/>
        </w:rPr>
      </w:pPr>
    </w:p>
    <w:p w14:paraId="5A6CE550" w14:textId="55E5E6AE" w:rsidR="00BF075D" w:rsidRPr="00C70745" w:rsidRDefault="00BF075D" w:rsidP="00BF075D">
      <w:pPr>
        <w:spacing w:line="360" w:lineRule="auto"/>
        <w:jc w:val="both"/>
        <w:rPr>
          <w:rFonts w:cs="Arial"/>
          <w:color w:val="000000"/>
          <w:sz w:val="22"/>
          <w:szCs w:val="22"/>
        </w:rPr>
      </w:pPr>
      <w:r w:rsidRPr="0039311E">
        <w:rPr>
          <w:rFonts w:cs="Arial"/>
          <w:sz w:val="22"/>
          <w:u w:val="single"/>
          <w:lang w:val="es-ES_tradnl"/>
        </w:rPr>
        <w:t xml:space="preserve">Minuto </w:t>
      </w:r>
      <w:r w:rsidR="00053FFD">
        <w:rPr>
          <w:rFonts w:cs="Arial"/>
          <w:sz w:val="22"/>
          <w:u w:val="single"/>
          <w:lang w:val="es-ES_tradnl"/>
        </w:rPr>
        <w:t>152</w:t>
      </w:r>
      <w:r w:rsidRPr="0039311E">
        <w:rPr>
          <w:rFonts w:cs="Arial"/>
          <w:sz w:val="22"/>
          <w:u w:val="single"/>
          <w:lang w:val="es-ES_tradnl"/>
        </w:rPr>
        <w:t>:</w:t>
      </w:r>
      <w:r w:rsidR="00053FFD">
        <w:rPr>
          <w:rFonts w:cs="Arial"/>
          <w:sz w:val="22"/>
          <w:u w:val="single"/>
          <w:lang w:val="es-ES_tradnl"/>
        </w:rPr>
        <w:t>25</w:t>
      </w:r>
      <w:r>
        <w:rPr>
          <w:rFonts w:cs="Arial"/>
          <w:color w:val="000000"/>
          <w:sz w:val="22"/>
          <w:szCs w:val="22"/>
        </w:rPr>
        <w:t xml:space="preserve"> </w:t>
      </w:r>
      <w:r w:rsidR="0024201C">
        <w:rPr>
          <w:rFonts w:cs="Arial"/>
          <w:color w:val="000000"/>
          <w:sz w:val="22"/>
          <w:szCs w:val="22"/>
        </w:rPr>
        <w:t>Luego de un receso, se conoce</w:t>
      </w:r>
      <w:r>
        <w:rPr>
          <w:sz w:val="22"/>
          <w:szCs w:val="22"/>
        </w:rPr>
        <w:t xml:space="preserve"> </w:t>
      </w:r>
      <w:r w:rsidRPr="00C70745">
        <w:rPr>
          <w:rFonts w:cs="Arial"/>
          <w:color w:val="000000"/>
          <w:sz w:val="22"/>
          <w:szCs w:val="22"/>
        </w:rPr>
        <w:t xml:space="preserve">el oficio </w:t>
      </w:r>
      <w:r>
        <w:rPr>
          <w:rFonts w:cs="Arial"/>
          <w:color w:val="000000"/>
          <w:sz w:val="22"/>
          <w:szCs w:val="22"/>
        </w:rPr>
        <w:t>GG</w:t>
      </w:r>
      <w:r w:rsidRPr="00C70745">
        <w:rPr>
          <w:sz w:val="22"/>
          <w:szCs w:val="22"/>
        </w:rPr>
        <w:t>-ME-</w:t>
      </w:r>
      <w:r>
        <w:rPr>
          <w:sz w:val="22"/>
          <w:szCs w:val="22"/>
        </w:rPr>
        <w:t>1</w:t>
      </w:r>
      <w:r w:rsidR="0024201C">
        <w:rPr>
          <w:sz w:val="22"/>
          <w:szCs w:val="22"/>
        </w:rPr>
        <w:t>217</w:t>
      </w:r>
      <w:r w:rsidRPr="00C70745">
        <w:rPr>
          <w:sz w:val="22"/>
          <w:szCs w:val="22"/>
        </w:rPr>
        <w:t>-20</w:t>
      </w:r>
      <w:r>
        <w:rPr>
          <w:sz w:val="22"/>
          <w:szCs w:val="22"/>
        </w:rPr>
        <w:t>20</w:t>
      </w:r>
      <w:r w:rsidRPr="00C70745">
        <w:rPr>
          <w:sz w:val="22"/>
          <w:szCs w:val="22"/>
        </w:rPr>
        <w:t xml:space="preserve"> del </w:t>
      </w:r>
      <w:r>
        <w:rPr>
          <w:sz w:val="22"/>
          <w:szCs w:val="22"/>
        </w:rPr>
        <w:t>2</w:t>
      </w:r>
      <w:r w:rsidR="0024201C">
        <w:rPr>
          <w:sz w:val="22"/>
          <w:szCs w:val="22"/>
        </w:rPr>
        <w:t>2 de octubre</w:t>
      </w:r>
      <w:r w:rsidRPr="00C70745">
        <w:rPr>
          <w:sz w:val="22"/>
          <w:szCs w:val="22"/>
        </w:rPr>
        <w:t xml:space="preserve"> de 20</w:t>
      </w:r>
      <w:r>
        <w:rPr>
          <w:sz w:val="22"/>
          <w:szCs w:val="22"/>
        </w:rPr>
        <w:t>20</w:t>
      </w:r>
      <w:r w:rsidRPr="00C70745">
        <w:rPr>
          <w:sz w:val="22"/>
          <w:szCs w:val="22"/>
        </w:rPr>
        <w:t xml:space="preserve">, por medio del cual, </w:t>
      </w:r>
      <w:r w:rsidR="00053FFD">
        <w:rPr>
          <w:sz w:val="22"/>
          <w:szCs w:val="22"/>
        </w:rPr>
        <w:t xml:space="preserve">el asistente de la </w:t>
      </w:r>
      <w:r w:rsidRPr="00C43674">
        <w:rPr>
          <w:sz w:val="22"/>
          <w:szCs w:val="22"/>
        </w:rPr>
        <w:t>Gerencia General</w:t>
      </w:r>
      <w:r w:rsidRPr="00C70745">
        <w:rPr>
          <w:sz w:val="22"/>
          <w:szCs w:val="22"/>
        </w:rPr>
        <w:t xml:space="preserve"> somete a la aprobación de esta Junta Directiva, el Presupuesto Extraordinario Nº</w:t>
      </w:r>
      <w:r>
        <w:rPr>
          <w:sz w:val="22"/>
          <w:szCs w:val="22"/>
        </w:rPr>
        <w:t xml:space="preserve"> </w:t>
      </w:r>
      <w:r w:rsidR="0024201C">
        <w:rPr>
          <w:sz w:val="22"/>
          <w:szCs w:val="22"/>
        </w:rPr>
        <w:t>2</w:t>
      </w:r>
      <w:r w:rsidRPr="00C70745">
        <w:rPr>
          <w:sz w:val="22"/>
          <w:szCs w:val="22"/>
        </w:rPr>
        <w:t xml:space="preserve"> al Presupuesto Ordinario 20</w:t>
      </w:r>
      <w:r>
        <w:rPr>
          <w:sz w:val="22"/>
          <w:szCs w:val="22"/>
        </w:rPr>
        <w:t>20</w:t>
      </w:r>
      <w:r w:rsidRPr="00C70745">
        <w:rPr>
          <w:sz w:val="22"/>
          <w:szCs w:val="22"/>
        </w:rPr>
        <w:t xml:space="preserve"> del </w:t>
      </w:r>
      <w:r w:rsidRPr="00C70745">
        <w:rPr>
          <w:sz w:val="22"/>
          <w:szCs w:val="22"/>
        </w:rPr>
        <w:lastRenderedPageBreak/>
        <w:t>Banco, por un monto total de</w:t>
      </w:r>
      <w:r>
        <w:rPr>
          <w:sz w:val="22"/>
          <w:szCs w:val="22"/>
        </w:rPr>
        <w:t xml:space="preserve"> </w:t>
      </w:r>
      <w:r w:rsidRPr="004E6116">
        <w:rPr>
          <w:rFonts w:cs="Arial"/>
          <w:sz w:val="22"/>
          <w:szCs w:val="22"/>
        </w:rPr>
        <w:t>¢</w:t>
      </w:r>
      <w:r w:rsidRPr="004E6116">
        <w:rPr>
          <w:rFonts w:cs="Arial"/>
          <w:sz w:val="22"/>
          <w:szCs w:val="22"/>
          <w:lang w:val="es-CR"/>
        </w:rPr>
        <w:t>46.027.568.174,28</w:t>
      </w:r>
      <w:r w:rsidRPr="00C70745">
        <w:rPr>
          <w:sz w:val="22"/>
          <w:szCs w:val="22"/>
        </w:rPr>
        <w:t xml:space="preserve"> </w:t>
      </w:r>
      <w:r>
        <w:rPr>
          <w:sz w:val="22"/>
          <w:szCs w:val="22"/>
        </w:rPr>
        <w:t xml:space="preserve">y </w:t>
      </w:r>
      <w:r w:rsidRPr="00C70745">
        <w:rPr>
          <w:sz w:val="22"/>
          <w:szCs w:val="22"/>
        </w:rPr>
        <w:t xml:space="preserve">el cual se adjunta a la nota </w:t>
      </w:r>
      <w:r w:rsidRPr="00C70745">
        <w:rPr>
          <w:rFonts w:cs="Arial"/>
          <w:sz w:val="22"/>
          <w:szCs w:val="22"/>
        </w:rPr>
        <w:t>DFC-OF-</w:t>
      </w:r>
      <w:r>
        <w:rPr>
          <w:rFonts w:cs="Arial"/>
          <w:sz w:val="22"/>
          <w:szCs w:val="22"/>
        </w:rPr>
        <w:t>0</w:t>
      </w:r>
      <w:r w:rsidR="0024201C">
        <w:rPr>
          <w:rFonts w:cs="Arial"/>
          <w:sz w:val="22"/>
          <w:szCs w:val="22"/>
        </w:rPr>
        <w:t>243</w:t>
      </w:r>
      <w:r w:rsidRPr="00C70745">
        <w:rPr>
          <w:rFonts w:cs="Arial"/>
          <w:sz w:val="22"/>
          <w:szCs w:val="22"/>
        </w:rPr>
        <w:t>-20</w:t>
      </w:r>
      <w:r>
        <w:rPr>
          <w:rFonts w:cs="Arial"/>
          <w:sz w:val="22"/>
          <w:szCs w:val="22"/>
        </w:rPr>
        <w:t>20</w:t>
      </w:r>
      <w:r w:rsidRPr="00C70745">
        <w:rPr>
          <w:rFonts w:cs="Arial"/>
          <w:sz w:val="22"/>
          <w:szCs w:val="22"/>
        </w:rPr>
        <w:t xml:space="preserve"> del </w:t>
      </w:r>
      <w:r w:rsidRPr="00C70745">
        <w:rPr>
          <w:rFonts w:cs="Arial"/>
          <w:color w:val="000000"/>
          <w:sz w:val="22"/>
          <w:szCs w:val="22"/>
        </w:rPr>
        <w:t>Departamento Financiero Contable.   Dichos documentos se adjuntan al</w:t>
      </w:r>
      <w:r>
        <w:rPr>
          <w:rFonts w:cs="Arial"/>
          <w:color w:val="000000"/>
          <w:sz w:val="22"/>
          <w:szCs w:val="22"/>
        </w:rPr>
        <w:t xml:space="preserve"> expediente del </w:t>
      </w:r>
      <w:r w:rsidRPr="00C70745">
        <w:rPr>
          <w:rFonts w:cs="Arial"/>
          <w:color w:val="000000"/>
          <w:sz w:val="22"/>
          <w:szCs w:val="22"/>
        </w:rPr>
        <w:t>acta.</w:t>
      </w:r>
    </w:p>
    <w:p w14:paraId="1EA60D00" w14:textId="77777777" w:rsidR="00BF075D" w:rsidRPr="00C70745" w:rsidRDefault="00BF075D" w:rsidP="00BF075D">
      <w:pPr>
        <w:spacing w:line="360" w:lineRule="auto"/>
        <w:jc w:val="both"/>
        <w:rPr>
          <w:rFonts w:cs="Arial"/>
          <w:sz w:val="22"/>
          <w:szCs w:val="22"/>
        </w:rPr>
      </w:pPr>
    </w:p>
    <w:p w14:paraId="634D71CB" w14:textId="1AD64B1F" w:rsidR="00BF075D" w:rsidRDefault="00BF075D" w:rsidP="00BF075D">
      <w:pPr>
        <w:pStyle w:val="Textoindependiente"/>
        <w:tabs>
          <w:tab w:val="left" w:pos="8789"/>
        </w:tabs>
        <w:ind w:right="0"/>
        <w:rPr>
          <w:rFonts w:cs="Arial"/>
          <w:szCs w:val="22"/>
          <w:lang w:val="es-CR"/>
        </w:rPr>
      </w:pPr>
      <w:r w:rsidRPr="00C70745">
        <w:rPr>
          <w:szCs w:val="22"/>
        </w:rPr>
        <w:t xml:space="preserve">Para exponer los alcances del citado informe y atender eventuales consultas de carácter técnico sobre </w:t>
      </w:r>
      <w:r>
        <w:rPr>
          <w:szCs w:val="22"/>
        </w:rPr>
        <w:t xml:space="preserve">el </w:t>
      </w:r>
      <w:r w:rsidRPr="00C70745">
        <w:rPr>
          <w:szCs w:val="22"/>
        </w:rPr>
        <w:t xml:space="preserve">tema, se incorpora a la sesión </w:t>
      </w:r>
      <w:r w:rsidR="0024201C">
        <w:rPr>
          <w:szCs w:val="22"/>
        </w:rPr>
        <w:t>el</w:t>
      </w:r>
      <w:r>
        <w:rPr>
          <w:szCs w:val="22"/>
        </w:rPr>
        <w:t xml:space="preserve"> licenciado </w:t>
      </w:r>
      <w:r w:rsidRPr="00C70745">
        <w:rPr>
          <w:szCs w:val="22"/>
        </w:rPr>
        <w:t>José Pablo Durán Rodríguez, jefe del Departamento Financiero</w:t>
      </w:r>
      <w:r>
        <w:rPr>
          <w:szCs w:val="22"/>
        </w:rPr>
        <w:t xml:space="preserve"> – </w:t>
      </w:r>
      <w:r w:rsidRPr="00C70745">
        <w:rPr>
          <w:szCs w:val="22"/>
        </w:rPr>
        <w:t>Contable</w:t>
      </w:r>
      <w:r>
        <w:rPr>
          <w:szCs w:val="22"/>
        </w:rPr>
        <w:t xml:space="preserve">, quien se refiere a </w:t>
      </w:r>
      <w:r w:rsidRPr="00C70745">
        <w:rPr>
          <w:szCs w:val="22"/>
        </w:rPr>
        <w:t>los aspectos más relevantes de</w:t>
      </w:r>
      <w:r>
        <w:rPr>
          <w:szCs w:val="22"/>
        </w:rPr>
        <w:t xml:space="preserve"> la referida propuesta</w:t>
      </w:r>
      <w:r w:rsidRPr="00C70745">
        <w:rPr>
          <w:szCs w:val="22"/>
        </w:rPr>
        <w:t xml:space="preserve">, señalando, en resumen, que este presupuesto extraordinario tiene la finalidad de </w:t>
      </w:r>
      <w:r w:rsidRPr="00C70745">
        <w:rPr>
          <w:rFonts w:cs="Arial"/>
          <w:color w:val="000000"/>
          <w:szCs w:val="22"/>
        </w:rPr>
        <w:t xml:space="preserve">realizar </w:t>
      </w:r>
      <w:r w:rsidRPr="00991D9C">
        <w:rPr>
          <w:rFonts w:cs="Arial"/>
          <w:szCs w:val="22"/>
          <w:lang w:val="es-CR"/>
        </w:rPr>
        <w:t>varios ajustes en las partidas de ingresos y en las de egresos, para el ejercicio económico 2020</w:t>
      </w:r>
      <w:r>
        <w:rPr>
          <w:rFonts w:cs="Arial"/>
          <w:szCs w:val="22"/>
          <w:lang w:val="es-CR"/>
        </w:rPr>
        <w:t>, incorporando nuevos ingresos del FOSUVI (Bono Colectivo, Junta de Protección Social y FODESAF), por la suma total de ¢46.027.568.174,28.</w:t>
      </w:r>
    </w:p>
    <w:p w14:paraId="2A0C9BDC" w14:textId="40C41838" w:rsidR="0024201C" w:rsidRPr="00053FFD" w:rsidRDefault="0024201C" w:rsidP="00BF075D">
      <w:pPr>
        <w:pStyle w:val="Textoindependiente"/>
        <w:tabs>
          <w:tab w:val="left" w:pos="8789"/>
        </w:tabs>
        <w:ind w:right="0"/>
        <w:rPr>
          <w:rFonts w:cs="Arial"/>
          <w:szCs w:val="22"/>
          <w:lang w:val="es-CR"/>
        </w:rPr>
      </w:pPr>
    </w:p>
    <w:p w14:paraId="5C32E019" w14:textId="0523E7BF" w:rsidR="0024201C" w:rsidRPr="00053FFD" w:rsidRDefault="0024201C" w:rsidP="0024201C">
      <w:pPr>
        <w:spacing w:line="360" w:lineRule="auto"/>
        <w:jc w:val="both"/>
        <w:rPr>
          <w:rFonts w:cs="Arial"/>
          <w:sz w:val="22"/>
          <w:szCs w:val="22"/>
          <w:lang w:val="es-CR"/>
        </w:rPr>
      </w:pPr>
      <w:r w:rsidRPr="00053FFD">
        <w:rPr>
          <w:rFonts w:cs="Arial"/>
          <w:sz w:val="22"/>
          <w:szCs w:val="22"/>
          <w:lang w:val="es-CR"/>
        </w:rPr>
        <w:t xml:space="preserve">Además, aclara que dicho documento presupuestario contempla las observaciones expuestas por la </w:t>
      </w:r>
      <w:r w:rsidRPr="00053FFD">
        <w:rPr>
          <w:rFonts w:cs="Arial"/>
          <w:sz w:val="22"/>
          <w:szCs w:val="22"/>
          <w:lang w:val="es-ES_tradnl"/>
        </w:rPr>
        <w:t xml:space="preserve">Contraloría General de la República, </w:t>
      </w:r>
      <w:r w:rsidRPr="00053FFD">
        <w:rPr>
          <w:rFonts w:cs="Arial"/>
          <w:sz w:val="22"/>
          <w:szCs w:val="22"/>
          <w:lang w:val="es-CR"/>
        </w:rPr>
        <w:t>mediante oficio N° 15989 (DFOE-EC-1093) del 15 de octubre de 2020, referido a la improbación del Presupuesto Extraordinario N° 1-2020.</w:t>
      </w:r>
    </w:p>
    <w:p w14:paraId="4D7E402F" w14:textId="7F7134F2" w:rsidR="0024201C" w:rsidRDefault="0024201C" w:rsidP="0024201C">
      <w:pPr>
        <w:spacing w:line="360" w:lineRule="auto"/>
        <w:jc w:val="both"/>
        <w:rPr>
          <w:rFonts w:cs="Arial"/>
          <w:sz w:val="22"/>
          <w:szCs w:val="22"/>
          <w:lang w:val="es-CR"/>
        </w:rPr>
      </w:pPr>
    </w:p>
    <w:p w14:paraId="7D4C828C" w14:textId="71951542" w:rsidR="0024201C" w:rsidRDefault="0024201C" w:rsidP="0024201C">
      <w:pPr>
        <w:spacing w:line="360" w:lineRule="auto"/>
        <w:jc w:val="both"/>
        <w:rPr>
          <w:rFonts w:cs="Arial"/>
          <w:sz w:val="22"/>
          <w:szCs w:val="22"/>
          <w:lang w:val="es-CR"/>
        </w:rPr>
      </w:pPr>
      <w:r>
        <w:rPr>
          <w:rFonts w:cs="Arial"/>
          <w:sz w:val="22"/>
          <w:szCs w:val="22"/>
          <w:lang w:val="es-CR"/>
        </w:rPr>
        <w:t xml:space="preserve">Se conoce también la propuesta para incorporar en el </w:t>
      </w:r>
      <w:r w:rsidRPr="001461B2">
        <w:rPr>
          <w:rFonts w:cs="Arial"/>
          <w:sz w:val="22"/>
          <w:szCs w:val="22"/>
          <w:lang w:val="es-CR"/>
        </w:rPr>
        <w:t xml:space="preserve">Plan Operativo Institucional </w:t>
      </w:r>
      <w:r>
        <w:rPr>
          <w:rFonts w:cs="Arial"/>
          <w:sz w:val="22"/>
          <w:szCs w:val="22"/>
          <w:lang w:val="es-CR"/>
        </w:rPr>
        <w:t xml:space="preserve">2020, </w:t>
      </w:r>
      <w:r w:rsidRPr="001461B2">
        <w:rPr>
          <w:rFonts w:cs="Arial"/>
          <w:sz w:val="22"/>
          <w:szCs w:val="22"/>
          <w:lang w:val="es-CR"/>
        </w:rPr>
        <w:t xml:space="preserve">una meta específica para el compromiso de los recursos recibidos durante el </w:t>
      </w:r>
      <w:r>
        <w:rPr>
          <w:rFonts w:cs="Arial"/>
          <w:sz w:val="22"/>
          <w:szCs w:val="22"/>
          <w:lang w:val="es-CR"/>
        </w:rPr>
        <w:t xml:space="preserve">presente </w:t>
      </w:r>
      <w:r w:rsidRPr="001461B2">
        <w:rPr>
          <w:rFonts w:cs="Arial"/>
          <w:sz w:val="22"/>
          <w:szCs w:val="22"/>
          <w:lang w:val="es-CR"/>
        </w:rPr>
        <w:t>año</w:t>
      </w:r>
      <w:r>
        <w:rPr>
          <w:rFonts w:cs="Arial"/>
          <w:sz w:val="22"/>
          <w:szCs w:val="22"/>
          <w:lang w:val="es-CR"/>
        </w:rPr>
        <w:t xml:space="preserve">, </w:t>
      </w:r>
      <w:r w:rsidRPr="001461B2">
        <w:rPr>
          <w:rFonts w:cs="Arial"/>
          <w:sz w:val="22"/>
          <w:szCs w:val="22"/>
          <w:lang w:val="es-CR"/>
        </w:rPr>
        <w:t xml:space="preserve">para su desembolso en periodos siguientes (2021-2022), gestionando </w:t>
      </w:r>
      <w:r>
        <w:rPr>
          <w:rFonts w:cs="Arial"/>
          <w:sz w:val="22"/>
          <w:szCs w:val="22"/>
          <w:lang w:val="es-CR"/>
        </w:rPr>
        <w:t xml:space="preserve">así </w:t>
      </w:r>
      <w:r w:rsidRPr="001461B2">
        <w:rPr>
          <w:rFonts w:cs="Arial"/>
          <w:sz w:val="22"/>
          <w:szCs w:val="22"/>
          <w:lang w:val="es-CR"/>
        </w:rPr>
        <w:t>el cumplimiento de los principios de vinculación del presupuesto con la planificación institucional, programación y medición de resultados, especificación y gestión financiera.</w:t>
      </w:r>
    </w:p>
    <w:p w14:paraId="2D136CD0" w14:textId="77777777" w:rsidR="00BF075D" w:rsidRDefault="00BF075D" w:rsidP="00BF075D">
      <w:pPr>
        <w:pStyle w:val="Textoindependiente"/>
        <w:tabs>
          <w:tab w:val="left" w:pos="8789"/>
        </w:tabs>
        <w:ind w:right="0"/>
        <w:rPr>
          <w:rFonts w:cs="Arial"/>
          <w:szCs w:val="22"/>
        </w:rPr>
      </w:pPr>
    </w:p>
    <w:p w14:paraId="6C0AAF7F" w14:textId="0C4EBFCC" w:rsidR="00BF075D" w:rsidRDefault="00BF075D" w:rsidP="00BF075D">
      <w:pPr>
        <w:pStyle w:val="Textoindependiente"/>
        <w:tabs>
          <w:tab w:val="left" w:pos="8789"/>
        </w:tabs>
        <w:ind w:right="0"/>
        <w:rPr>
          <w:rFonts w:cs="Arial"/>
          <w:color w:val="000000"/>
          <w:szCs w:val="22"/>
          <w:lang w:val="es-ES_tradnl"/>
        </w:rPr>
      </w:pPr>
      <w:r>
        <w:rPr>
          <w:rFonts w:cs="Arial"/>
          <w:u w:val="single"/>
          <w:lang w:val="es-ES_tradnl"/>
        </w:rPr>
        <w:t>Minuto 1</w:t>
      </w:r>
      <w:r w:rsidR="00053FFD">
        <w:rPr>
          <w:rFonts w:cs="Arial"/>
          <w:u w:val="single"/>
          <w:lang w:val="es-ES_tradnl"/>
        </w:rPr>
        <w:t>77</w:t>
      </w:r>
      <w:r w:rsidRPr="0039311E">
        <w:rPr>
          <w:rFonts w:cs="Arial"/>
          <w:u w:val="single"/>
          <w:lang w:val="es-ES_tradnl"/>
        </w:rPr>
        <w:t>:</w:t>
      </w:r>
      <w:r w:rsidR="00053FFD">
        <w:rPr>
          <w:rFonts w:cs="Arial"/>
          <w:u w:val="single"/>
          <w:lang w:val="es-ES_tradnl"/>
        </w:rPr>
        <w:t>32</w:t>
      </w:r>
      <w:r>
        <w:rPr>
          <w:rFonts w:cs="Arial"/>
          <w:color w:val="000000"/>
          <w:szCs w:val="22"/>
        </w:rPr>
        <w:t xml:space="preserve"> Conocida y suficientemente discutida la propuesta de la </w:t>
      </w:r>
      <w:r w:rsidRPr="006640A2">
        <w:rPr>
          <w:rFonts w:cs="Arial"/>
          <w:color w:val="000000"/>
          <w:szCs w:val="22"/>
        </w:rPr>
        <w:t>Administración</w:t>
      </w:r>
      <w:r>
        <w:rPr>
          <w:rFonts w:cs="Arial"/>
          <w:color w:val="000000"/>
          <w:szCs w:val="22"/>
        </w:rPr>
        <w:t xml:space="preserve"> y </w:t>
      </w:r>
      <w:r w:rsidR="0024201C">
        <w:rPr>
          <w:rFonts w:cs="Arial"/>
          <w:color w:val="000000"/>
          <w:szCs w:val="22"/>
        </w:rPr>
        <w:t>una vez hechas las modificaciones que se han estimado pertinentes al proyecto de ajuste al Plan Operativo</w:t>
      </w:r>
      <w:r w:rsidRPr="00C70745">
        <w:rPr>
          <w:lang w:val="es-ES_tradnl"/>
        </w:rPr>
        <w:t xml:space="preserve">, la Junta Directiva resuelve </w:t>
      </w:r>
      <w:r>
        <w:rPr>
          <w:lang w:val="es-ES_tradnl"/>
        </w:rPr>
        <w:t>aprobar el referido Presupuesto Extraordinario</w:t>
      </w:r>
      <w:r>
        <w:rPr>
          <w:rFonts w:cs="Arial"/>
          <w:color w:val="000000"/>
          <w:szCs w:val="22"/>
        </w:rPr>
        <w:t xml:space="preserve"> </w:t>
      </w:r>
      <w:r>
        <w:rPr>
          <w:rFonts w:cs="Arial"/>
          <w:color w:val="000000"/>
          <w:szCs w:val="22"/>
          <w:lang w:val="es-ES_tradnl"/>
        </w:rPr>
        <w:t xml:space="preserve">según se indica en el </w:t>
      </w:r>
      <w:r>
        <w:rPr>
          <w:rFonts w:cs="Arial"/>
          <w:b/>
          <w:bCs/>
          <w:color w:val="000000"/>
          <w:szCs w:val="22"/>
          <w:lang w:val="es-ES_tradnl"/>
        </w:rPr>
        <w:t>A</w:t>
      </w:r>
      <w:r w:rsidRPr="00DC707B">
        <w:rPr>
          <w:rFonts w:cs="Arial"/>
          <w:b/>
          <w:bCs/>
          <w:color w:val="000000"/>
          <w:szCs w:val="22"/>
          <w:lang w:val="es-ES_tradnl"/>
        </w:rPr>
        <w:t xml:space="preserve">cuerdo N° </w:t>
      </w:r>
      <w:r>
        <w:rPr>
          <w:rFonts w:cs="Arial"/>
          <w:b/>
          <w:bCs/>
          <w:color w:val="000000"/>
          <w:szCs w:val="22"/>
          <w:lang w:val="es-ES_tradnl"/>
        </w:rPr>
        <w:t>5</w:t>
      </w:r>
      <w:r w:rsidRPr="00DC707B">
        <w:rPr>
          <w:rFonts w:cs="Arial"/>
          <w:b/>
          <w:bCs/>
          <w:color w:val="000000"/>
          <w:szCs w:val="22"/>
          <w:lang w:val="es-ES_tradnl"/>
        </w:rPr>
        <w:t xml:space="preserve"> </w:t>
      </w:r>
      <w:r>
        <w:rPr>
          <w:rFonts w:cs="Arial"/>
          <w:color w:val="000000"/>
          <w:szCs w:val="22"/>
          <w:lang w:val="es-ES_tradnl"/>
        </w:rPr>
        <w:t>que se anexa a esta minuta.</w:t>
      </w:r>
      <w:r w:rsidR="0024201C">
        <w:rPr>
          <w:rFonts w:cs="Arial"/>
          <w:color w:val="000000"/>
          <w:szCs w:val="22"/>
          <w:lang w:val="es-ES_tradnl"/>
        </w:rPr>
        <w:t xml:space="preserve">  Acto, seguido, se retiran de la sesión los funcionarios, Castro miranda, Camacho Murillo y Durán Rodríguez. </w:t>
      </w:r>
    </w:p>
    <w:p w14:paraId="44DBF213" w14:textId="77777777" w:rsidR="009D03FE" w:rsidRPr="00D14EAF" w:rsidRDefault="009D03FE" w:rsidP="009D03FE">
      <w:pPr>
        <w:spacing w:line="360" w:lineRule="auto"/>
        <w:jc w:val="both"/>
        <w:rPr>
          <w:rFonts w:cs="Arial"/>
          <w:b/>
          <w:sz w:val="22"/>
        </w:rPr>
      </w:pPr>
      <w:r w:rsidRPr="00D14EAF">
        <w:rPr>
          <w:rFonts w:cs="Arial"/>
          <w:b/>
          <w:sz w:val="22"/>
        </w:rPr>
        <w:t>************</w:t>
      </w:r>
    </w:p>
    <w:p w14:paraId="44E29759" w14:textId="77777777" w:rsidR="009D03FE" w:rsidRDefault="009D03FE" w:rsidP="009D03FE">
      <w:pPr>
        <w:spacing w:line="360" w:lineRule="auto"/>
        <w:jc w:val="both"/>
        <w:rPr>
          <w:rFonts w:cs="Arial"/>
          <w:b/>
          <w:bCs/>
          <w:sz w:val="22"/>
          <w:szCs w:val="22"/>
          <w:u w:val="single"/>
          <w:lang w:val="es-ES_tradnl"/>
        </w:rPr>
      </w:pPr>
    </w:p>
    <w:p w14:paraId="43D50002" w14:textId="070A4C0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754D63">
        <w:rPr>
          <w:rFonts w:cs="Arial"/>
          <w:bCs/>
          <w:sz w:val="22"/>
          <w:szCs w:val="22"/>
          <w:lang w:val="es-ES_tradnl"/>
        </w:rPr>
        <w:t xml:space="preserve"> </w:t>
      </w:r>
      <w:r w:rsidR="00754D63" w:rsidRPr="00843423">
        <w:rPr>
          <w:rFonts w:cs="Arial"/>
          <w:b/>
          <w:bCs/>
          <w:sz w:val="22"/>
          <w:u w:val="single"/>
          <w:lang w:val="es-ES_tradnl"/>
        </w:rPr>
        <w:t>Continuación de análisis de</w:t>
      </w:r>
      <w:r w:rsidR="00754D63" w:rsidRPr="00754D63">
        <w:rPr>
          <w:rFonts w:cs="Arial"/>
          <w:b/>
          <w:bCs/>
          <w:sz w:val="22"/>
          <w:u w:val="single"/>
          <w:lang w:val="es-ES_tradnl"/>
        </w:rPr>
        <w:t>l</w:t>
      </w:r>
      <w:r w:rsidR="00754D63" w:rsidRPr="00843423">
        <w:rPr>
          <w:rFonts w:cs="Arial"/>
          <w:b/>
          <w:bCs/>
          <w:sz w:val="22"/>
          <w:u w:val="single"/>
          <w:lang w:val="es-ES_tradnl"/>
        </w:rPr>
        <w:t xml:space="preserve"> informe de la Auditoría Interna, sobre el proyecto Vistas del Miravalles</w:t>
      </w:r>
    </w:p>
    <w:p w14:paraId="5D6E1BED" w14:textId="77777777" w:rsidR="009D03FE" w:rsidRDefault="009D03FE" w:rsidP="009D03FE">
      <w:pPr>
        <w:spacing w:line="360" w:lineRule="auto"/>
        <w:jc w:val="both"/>
        <w:rPr>
          <w:rFonts w:cs="Arial"/>
          <w:sz w:val="22"/>
          <w:szCs w:val="22"/>
        </w:rPr>
      </w:pPr>
    </w:p>
    <w:p w14:paraId="03FFEF24" w14:textId="325F36DB" w:rsidR="000B1954" w:rsidRDefault="000B1954" w:rsidP="000B1954">
      <w:pPr>
        <w:spacing w:line="360" w:lineRule="auto"/>
        <w:jc w:val="both"/>
        <w:rPr>
          <w:rFonts w:cs="Arial"/>
          <w:sz w:val="22"/>
          <w:szCs w:val="22"/>
        </w:rPr>
      </w:pPr>
      <w:r w:rsidRPr="0039311E">
        <w:rPr>
          <w:rFonts w:cs="Arial"/>
          <w:sz w:val="22"/>
          <w:u w:val="single"/>
          <w:lang w:val="es-ES_tradnl"/>
        </w:rPr>
        <w:lastRenderedPageBreak/>
        <w:t xml:space="preserve">Minuto </w:t>
      </w:r>
      <w:r>
        <w:rPr>
          <w:rFonts w:cs="Arial"/>
          <w:sz w:val="22"/>
          <w:u w:val="single"/>
          <w:lang w:val="es-ES_tradnl"/>
        </w:rPr>
        <w:t>1</w:t>
      </w:r>
      <w:r w:rsidR="00053FFD">
        <w:rPr>
          <w:rFonts w:cs="Arial"/>
          <w:sz w:val="22"/>
          <w:u w:val="single"/>
          <w:lang w:val="es-ES_tradnl"/>
        </w:rPr>
        <w:t>79</w:t>
      </w:r>
      <w:r w:rsidRPr="0039311E">
        <w:rPr>
          <w:rFonts w:cs="Arial"/>
          <w:sz w:val="22"/>
          <w:u w:val="single"/>
          <w:lang w:val="es-ES_tradnl"/>
        </w:rPr>
        <w:t>:</w:t>
      </w:r>
      <w:r w:rsidR="00053FFD">
        <w:rPr>
          <w:rFonts w:cs="Arial"/>
          <w:sz w:val="22"/>
          <w:u w:val="single"/>
          <w:lang w:val="es-ES_tradnl"/>
        </w:rPr>
        <w:t>12</w:t>
      </w:r>
      <w:r>
        <w:rPr>
          <w:rFonts w:cs="Arial"/>
          <w:sz w:val="22"/>
          <w:lang w:val="es-ES_tradnl"/>
        </w:rPr>
        <w:t xml:space="preserve"> </w:t>
      </w:r>
      <w:r w:rsidR="00053FFD">
        <w:rPr>
          <w:rFonts w:cs="Arial"/>
          <w:sz w:val="22"/>
          <w:lang w:val="es-ES_tradnl"/>
        </w:rPr>
        <w:t xml:space="preserve">Según lo discutido en la sesión 77-2020 del 01 de octubre de 2020 y atendiendo lo requerido por la </w:t>
      </w:r>
      <w:r>
        <w:rPr>
          <w:rFonts w:cs="Arial"/>
          <w:color w:val="000000"/>
          <w:sz w:val="22"/>
          <w:szCs w:val="22"/>
        </w:rPr>
        <w:t>Auditor</w:t>
      </w:r>
      <w:r w:rsidR="00053FFD">
        <w:rPr>
          <w:rFonts w:cs="Arial"/>
          <w:color w:val="000000"/>
          <w:sz w:val="22"/>
          <w:szCs w:val="22"/>
        </w:rPr>
        <w:t>ía</w:t>
      </w:r>
      <w:r>
        <w:rPr>
          <w:rFonts w:cs="Arial"/>
          <w:color w:val="000000"/>
          <w:sz w:val="22"/>
          <w:szCs w:val="22"/>
        </w:rPr>
        <w:t xml:space="preserve"> Intern</w:t>
      </w:r>
      <w:r w:rsidR="00053FFD">
        <w:rPr>
          <w:rFonts w:cs="Arial"/>
          <w:color w:val="000000"/>
          <w:sz w:val="22"/>
          <w:szCs w:val="22"/>
        </w:rPr>
        <w:t>a</w:t>
      </w:r>
      <w:r>
        <w:rPr>
          <w:rFonts w:cs="Arial"/>
          <w:color w:val="000000"/>
          <w:sz w:val="22"/>
          <w:szCs w:val="22"/>
        </w:rPr>
        <w:t>, la Junta Directiva sesiona únicamente con sus miembros presentes, el</w:t>
      </w:r>
      <w:r>
        <w:rPr>
          <w:rFonts w:cs="Arial"/>
          <w:sz w:val="22"/>
        </w:rPr>
        <w:t xml:space="preserve"> ingeniero externo Enrique Molina y los señores Hamilton Gross Noguera y Mauricio González Zumbado, funcionarios de la </w:t>
      </w:r>
      <w:r w:rsidRPr="00861FFA">
        <w:rPr>
          <w:rFonts w:cs="Arial"/>
          <w:sz w:val="22"/>
          <w:lang w:val="es-ES_tradnl"/>
        </w:rPr>
        <w:t>Auditoría Interna</w:t>
      </w:r>
      <w:r>
        <w:rPr>
          <w:rFonts w:cs="Arial"/>
          <w:sz w:val="22"/>
          <w:lang w:val="es-ES_tradnl"/>
        </w:rPr>
        <w:t xml:space="preserve">; con el propósito de </w:t>
      </w:r>
      <w:r w:rsidR="00053FFD">
        <w:rPr>
          <w:rFonts w:cs="Arial"/>
          <w:sz w:val="22"/>
          <w:lang w:val="es-ES_tradnl"/>
        </w:rPr>
        <w:t xml:space="preserve">continuar </w:t>
      </w:r>
      <w:r>
        <w:rPr>
          <w:rFonts w:cs="Arial"/>
          <w:sz w:val="22"/>
          <w:lang w:val="es-ES_tradnl"/>
        </w:rPr>
        <w:t>conoc</w:t>
      </w:r>
      <w:r w:rsidR="00053FFD">
        <w:rPr>
          <w:rFonts w:cs="Arial"/>
          <w:sz w:val="22"/>
          <w:lang w:val="es-ES_tradnl"/>
        </w:rPr>
        <w:t xml:space="preserve">iendo y </w:t>
      </w:r>
      <w:r>
        <w:rPr>
          <w:rFonts w:cs="Arial"/>
          <w:sz w:val="22"/>
          <w:lang w:val="es-ES_tradnl"/>
        </w:rPr>
        <w:t>discu</w:t>
      </w:r>
      <w:r w:rsidR="00053FFD">
        <w:rPr>
          <w:rFonts w:cs="Arial"/>
          <w:sz w:val="22"/>
          <w:lang w:val="es-ES_tradnl"/>
        </w:rPr>
        <w:t>tiendo</w:t>
      </w:r>
      <w:r>
        <w:rPr>
          <w:rFonts w:cs="Arial"/>
          <w:sz w:val="22"/>
          <w:lang w:val="es-ES_tradnl"/>
        </w:rPr>
        <w:t xml:space="preserve"> el informe de auditoría técnica sobre el proyecto Vistas del Miravalles, según lo requerido en el acuerdo N° 8 de la sesión 17-2020, del 02 de marzo de 2020.  Por lo tanto, </w:t>
      </w:r>
      <w:r>
        <w:rPr>
          <w:rFonts w:cs="Arial"/>
          <w:color w:val="000000"/>
          <w:sz w:val="22"/>
          <w:szCs w:val="22"/>
        </w:rPr>
        <w:t>se retiran de la sesión los funcionarios</w:t>
      </w:r>
      <w:r>
        <w:rPr>
          <w:rFonts w:cs="Arial"/>
          <w:sz w:val="22"/>
        </w:rPr>
        <w:t xml:space="preserve"> Hidalgo Cortés, Mora Villalobos y López Pacheco,</w:t>
      </w:r>
      <w:r>
        <w:rPr>
          <w:sz w:val="22"/>
          <w:szCs w:val="22"/>
        </w:rPr>
        <w:t xml:space="preserve"> suspendiéndose por consiguiente la grabación de la sesión.</w:t>
      </w:r>
    </w:p>
    <w:p w14:paraId="254AE557" w14:textId="77777777" w:rsidR="009D03FE" w:rsidRPr="00D14EAF" w:rsidRDefault="009D03FE" w:rsidP="009D03FE">
      <w:pPr>
        <w:spacing w:line="360" w:lineRule="auto"/>
        <w:jc w:val="both"/>
        <w:rPr>
          <w:rFonts w:cs="Arial"/>
          <w:b/>
          <w:sz w:val="22"/>
        </w:rPr>
      </w:pPr>
      <w:r w:rsidRPr="00D14EAF">
        <w:rPr>
          <w:rFonts w:cs="Arial"/>
          <w:b/>
          <w:sz w:val="22"/>
        </w:rPr>
        <w:t>************</w:t>
      </w:r>
    </w:p>
    <w:p w14:paraId="454D1305" w14:textId="77777777" w:rsidR="009D03FE" w:rsidRDefault="009D03FE" w:rsidP="009D03FE">
      <w:pPr>
        <w:spacing w:line="360" w:lineRule="auto"/>
        <w:jc w:val="both"/>
        <w:rPr>
          <w:rFonts w:cs="Arial"/>
          <w:b/>
          <w:sz w:val="22"/>
          <w:szCs w:val="22"/>
          <w:u w:val="single"/>
          <w:lang w:val="es-ES_tradnl"/>
        </w:rPr>
      </w:pPr>
    </w:p>
    <w:p w14:paraId="215FF774" w14:textId="1648DEB0" w:rsidR="00FA4CCB" w:rsidRPr="00AB2826" w:rsidRDefault="00FA4CCB" w:rsidP="002D0146">
      <w:pPr>
        <w:pStyle w:val="Textoindependiente"/>
        <w:ind w:right="0"/>
        <w:rPr>
          <w:rFonts w:cs="Arial"/>
          <w:szCs w:val="22"/>
        </w:rPr>
      </w:pPr>
      <w:r w:rsidRPr="00AB2826">
        <w:rPr>
          <w:rFonts w:cs="Arial"/>
          <w:szCs w:val="22"/>
        </w:rPr>
        <w:t xml:space="preserve">Siendo las </w:t>
      </w:r>
      <w:r w:rsidR="00053FFD">
        <w:rPr>
          <w:rFonts w:cs="Arial"/>
          <w:szCs w:val="22"/>
        </w:rPr>
        <w:t>veintidós</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053FFD">
        <w:rPr>
          <w:rFonts w:cs="Arial"/>
          <w:szCs w:val="22"/>
        </w:rPr>
        <w:t>diez</w:t>
      </w:r>
      <w:r w:rsidR="00EC7E01">
        <w:rPr>
          <w:rFonts w:cs="Arial"/>
          <w:szCs w:val="22"/>
        </w:rPr>
        <w:t xml:space="preserve"> minutos</w:t>
      </w:r>
      <w:r w:rsidRPr="00AB2826">
        <w:rPr>
          <w:rFonts w:cs="Arial"/>
          <w:szCs w:val="22"/>
        </w:rPr>
        <w:t>, se levanta la sesión.</w:t>
      </w:r>
    </w:p>
    <w:p w14:paraId="79A4E96A" w14:textId="77777777" w:rsidR="006321F4" w:rsidRPr="00D14EAF" w:rsidRDefault="006321F4" w:rsidP="002D0146">
      <w:pPr>
        <w:spacing w:line="360" w:lineRule="auto"/>
        <w:jc w:val="both"/>
        <w:rPr>
          <w:rFonts w:cs="Arial"/>
          <w:b/>
          <w:sz w:val="22"/>
        </w:rPr>
      </w:pPr>
      <w:r w:rsidRPr="00D14EAF">
        <w:rPr>
          <w:rFonts w:cs="Arial"/>
          <w:b/>
          <w:sz w:val="22"/>
        </w:rPr>
        <w:t>************</w:t>
      </w:r>
    </w:p>
    <w:p w14:paraId="469B8443" w14:textId="77777777" w:rsidR="002B71CC" w:rsidRDefault="002B71CC">
      <w:pPr>
        <w:rPr>
          <w:rFonts w:cs="Arial"/>
          <w:sz w:val="22"/>
          <w:szCs w:val="22"/>
        </w:rPr>
      </w:pPr>
      <w:r>
        <w:rPr>
          <w:rFonts w:cs="Arial"/>
          <w:sz w:val="22"/>
          <w:szCs w:val="22"/>
        </w:rPr>
        <w:br w:type="page"/>
      </w:r>
    </w:p>
    <w:p w14:paraId="572DE8D0" w14:textId="77777777" w:rsidR="00FA4CCB" w:rsidRDefault="00FA4CCB" w:rsidP="00AB2826">
      <w:pPr>
        <w:spacing w:line="360" w:lineRule="auto"/>
        <w:jc w:val="both"/>
        <w:rPr>
          <w:rFonts w:cs="Arial"/>
          <w:sz w:val="22"/>
          <w:szCs w:val="22"/>
        </w:rPr>
      </w:pPr>
    </w:p>
    <w:p w14:paraId="174951AD" w14:textId="77777777" w:rsidR="002B71CC" w:rsidRDefault="002B71CC" w:rsidP="00AB2826">
      <w:pPr>
        <w:spacing w:line="360" w:lineRule="auto"/>
        <w:jc w:val="both"/>
        <w:rPr>
          <w:rFonts w:cs="Arial"/>
          <w:sz w:val="22"/>
          <w:szCs w:val="22"/>
        </w:rPr>
      </w:pPr>
    </w:p>
    <w:p w14:paraId="72CF12B7" w14:textId="77777777" w:rsidR="002B71CC" w:rsidRDefault="002B71CC" w:rsidP="002B71CC">
      <w:pPr>
        <w:pStyle w:val="Ttulo"/>
        <w:ind w:right="51"/>
        <w:rPr>
          <w:rFonts w:cs="Arial"/>
        </w:rPr>
      </w:pPr>
      <w:r>
        <w:rPr>
          <w:rFonts w:cs="Arial"/>
        </w:rPr>
        <w:t>BANCO HIPOTECARIO DE LA VIVIENDA</w:t>
      </w:r>
    </w:p>
    <w:p w14:paraId="0D0DF184"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6AF71251" w14:textId="77777777" w:rsidR="002B71CC" w:rsidRDefault="002B71CC" w:rsidP="002B71CC">
      <w:pPr>
        <w:spacing w:line="360" w:lineRule="auto"/>
        <w:ind w:right="51"/>
        <w:jc w:val="center"/>
        <w:rPr>
          <w:rFonts w:cs="Arial"/>
          <w:b/>
          <w:sz w:val="22"/>
          <w:u w:val="single"/>
        </w:rPr>
      </w:pPr>
    </w:p>
    <w:p w14:paraId="2386A490" w14:textId="5F71BA98"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754D63">
        <w:rPr>
          <w:rFonts w:cs="Arial"/>
          <w:b/>
          <w:sz w:val="22"/>
          <w:u w:val="single"/>
        </w:rPr>
        <w:t>EXTRA</w:t>
      </w:r>
      <w:r>
        <w:rPr>
          <w:rFonts w:cs="Arial"/>
          <w:b/>
          <w:sz w:val="22"/>
          <w:u w:val="single"/>
        </w:rPr>
        <w:t xml:space="preserve">ORDINARIA N° </w:t>
      </w:r>
      <w:r w:rsidR="00754D63">
        <w:rPr>
          <w:rFonts w:cs="Arial"/>
          <w:b/>
          <w:sz w:val="22"/>
          <w:u w:val="single"/>
        </w:rPr>
        <w:t>83</w:t>
      </w:r>
      <w:r>
        <w:rPr>
          <w:rFonts w:cs="Arial"/>
          <w:b/>
          <w:sz w:val="22"/>
          <w:u w:val="single"/>
        </w:rPr>
        <w:t>-20</w:t>
      </w:r>
      <w:r w:rsidR="00E97960">
        <w:rPr>
          <w:rFonts w:cs="Arial"/>
          <w:b/>
          <w:sz w:val="22"/>
          <w:u w:val="single"/>
        </w:rPr>
        <w:t>20</w:t>
      </w:r>
    </w:p>
    <w:p w14:paraId="7F63FAF4" w14:textId="712ED354" w:rsidR="002B71CC" w:rsidRDefault="002B71CC" w:rsidP="002B71CC">
      <w:pPr>
        <w:spacing w:line="360" w:lineRule="auto"/>
        <w:ind w:right="51"/>
        <w:jc w:val="center"/>
        <w:rPr>
          <w:rFonts w:cs="Arial"/>
          <w:b/>
          <w:sz w:val="22"/>
          <w:u w:val="single"/>
        </w:rPr>
      </w:pPr>
      <w:r>
        <w:rPr>
          <w:rFonts w:cs="Arial"/>
          <w:b/>
          <w:sz w:val="22"/>
          <w:u w:val="single"/>
        </w:rPr>
        <w:t xml:space="preserve">DEL </w:t>
      </w:r>
      <w:r w:rsidR="00754D63">
        <w:rPr>
          <w:rFonts w:cs="Arial"/>
          <w:b/>
          <w:sz w:val="22"/>
          <w:u w:val="single"/>
        </w:rPr>
        <w:t>22</w:t>
      </w:r>
      <w:r>
        <w:rPr>
          <w:rFonts w:cs="Arial"/>
          <w:b/>
          <w:sz w:val="22"/>
          <w:u w:val="single"/>
        </w:rPr>
        <w:t xml:space="preserve"> DE </w:t>
      </w:r>
      <w:r w:rsidR="00754D63">
        <w:rPr>
          <w:rFonts w:cs="Arial"/>
          <w:b/>
          <w:sz w:val="22"/>
          <w:u w:val="single"/>
        </w:rPr>
        <w:t>OCTUBRE</w:t>
      </w:r>
      <w:r>
        <w:rPr>
          <w:rFonts w:cs="Arial"/>
          <w:b/>
          <w:sz w:val="22"/>
          <w:u w:val="single"/>
        </w:rPr>
        <w:t xml:space="preserve"> DE 20</w:t>
      </w:r>
      <w:r w:rsidR="00E97960">
        <w:rPr>
          <w:rFonts w:cs="Arial"/>
          <w:b/>
          <w:sz w:val="22"/>
          <w:u w:val="single"/>
        </w:rPr>
        <w:t>20</w:t>
      </w:r>
    </w:p>
    <w:p w14:paraId="399F7041" w14:textId="77777777" w:rsidR="002B71CC" w:rsidRDefault="002B71CC" w:rsidP="00AB2826">
      <w:pPr>
        <w:spacing w:line="360" w:lineRule="auto"/>
        <w:jc w:val="both"/>
        <w:rPr>
          <w:rFonts w:cs="Arial"/>
          <w:sz w:val="22"/>
          <w:szCs w:val="22"/>
        </w:rPr>
      </w:pPr>
    </w:p>
    <w:p w14:paraId="525C6AA3" w14:textId="77777777" w:rsidR="002B71CC" w:rsidRDefault="002B71CC" w:rsidP="002B71CC">
      <w:pPr>
        <w:spacing w:line="360" w:lineRule="auto"/>
        <w:jc w:val="both"/>
        <w:rPr>
          <w:rFonts w:cs="Arial"/>
          <w:sz w:val="22"/>
          <w:lang w:val="es-ES_tradnl"/>
        </w:rPr>
      </w:pPr>
    </w:p>
    <w:p w14:paraId="3E73D1E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57470CEF" w14:textId="38D03D3E" w:rsidR="000E3B2E" w:rsidRDefault="00BF68C9" w:rsidP="000E3B2E">
      <w:pPr>
        <w:spacing w:line="360" w:lineRule="auto"/>
        <w:jc w:val="both"/>
        <w:rPr>
          <w:rFonts w:cs="Arial"/>
          <w:sz w:val="22"/>
          <w:szCs w:val="22"/>
          <w:lang w:val="es-CR"/>
        </w:rPr>
      </w:pPr>
      <w:r>
        <w:rPr>
          <w:rFonts w:cs="Arial"/>
          <w:sz w:val="22"/>
          <w:szCs w:val="22"/>
        </w:rPr>
        <w:t>Manifestar a las señoras y señores Diputados</w:t>
      </w:r>
      <w:r w:rsidR="002E117C">
        <w:rPr>
          <w:rFonts w:cs="Arial"/>
          <w:sz w:val="22"/>
          <w:szCs w:val="22"/>
        </w:rPr>
        <w:t xml:space="preserve"> que forman parte de</w:t>
      </w:r>
      <w:r>
        <w:rPr>
          <w:rFonts w:cs="Arial"/>
          <w:sz w:val="22"/>
          <w:szCs w:val="22"/>
        </w:rPr>
        <w:t xml:space="preserve"> la Comisión Permanente de Asuntos Hacendarios y que </w:t>
      </w:r>
      <w:r w:rsidR="008873EF">
        <w:rPr>
          <w:rFonts w:cs="Arial"/>
          <w:sz w:val="22"/>
          <w:szCs w:val="22"/>
        </w:rPr>
        <w:t xml:space="preserve">apoyaron </w:t>
      </w:r>
      <w:r w:rsidR="000E3B2E">
        <w:rPr>
          <w:rFonts w:cs="Arial"/>
          <w:sz w:val="22"/>
          <w:szCs w:val="22"/>
        </w:rPr>
        <w:t xml:space="preserve">las mociones </w:t>
      </w:r>
      <w:r w:rsidR="008873EF">
        <w:rPr>
          <w:rFonts w:cs="Arial"/>
          <w:sz w:val="22"/>
          <w:szCs w:val="22"/>
        </w:rPr>
        <w:t xml:space="preserve">N° </w:t>
      </w:r>
      <w:r w:rsidR="002E117C">
        <w:rPr>
          <w:rFonts w:cs="Arial"/>
          <w:sz w:val="22"/>
          <w:szCs w:val="22"/>
        </w:rPr>
        <w:t xml:space="preserve">57 y </w:t>
      </w:r>
      <w:r w:rsidR="008873EF">
        <w:rPr>
          <w:rFonts w:cs="Arial"/>
          <w:sz w:val="22"/>
          <w:szCs w:val="22"/>
        </w:rPr>
        <w:t xml:space="preserve">N° </w:t>
      </w:r>
      <w:r w:rsidR="002E117C">
        <w:rPr>
          <w:rFonts w:cs="Arial"/>
          <w:sz w:val="22"/>
          <w:szCs w:val="22"/>
        </w:rPr>
        <w:t>59</w:t>
      </w:r>
      <w:r w:rsidR="00823E0D">
        <w:rPr>
          <w:rFonts w:cs="Arial"/>
          <w:sz w:val="22"/>
          <w:szCs w:val="22"/>
        </w:rPr>
        <w:t xml:space="preserve">, presentadas por el Diputado Villalta </w:t>
      </w:r>
      <w:r w:rsidR="008873EF">
        <w:rPr>
          <w:rFonts w:cs="Arial"/>
          <w:sz w:val="22"/>
          <w:szCs w:val="22"/>
        </w:rPr>
        <w:t xml:space="preserve">con respecto al </w:t>
      </w:r>
      <w:r w:rsidR="000E3B2E">
        <w:rPr>
          <w:rFonts w:cs="Arial"/>
          <w:sz w:val="22"/>
          <w:szCs w:val="22"/>
        </w:rPr>
        <w:t xml:space="preserve">proyecto de </w:t>
      </w:r>
      <w:r w:rsidR="002E117C">
        <w:rPr>
          <w:rFonts w:cs="Arial"/>
          <w:sz w:val="22"/>
          <w:szCs w:val="22"/>
        </w:rPr>
        <w:t xml:space="preserve">ley tramitado bajo </w:t>
      </w:r>
      <w:r w:rsidR="000E3B2E" w:rsidRPr="00A50491">
        <w:rPr>
          <w:rFonts w:cs="Arial"/>
          <w:sz w:val="22"/>
          <w:szCs w:val="22"/>
          <w:lang w:val="es-CR"/>
        </w:rPr>
        <w:t>el expediente N° 22.</w:t>
      </w:r>
      <w:r w:rsidR="000E3B2E">
        <w:rPr>
          <w:rFonts w:cs="Arial"/>
          <w:sz w:val="22"/>
          <w:szCs w:val="22"/>
        </w:rPr>
        <w:t xml:space="preserve">174, </w:t>
      </w:r>
      <w:r w:rsidR="00C557AB">
        <w:rPr>
          <w:rFonts w:cs="Arial"/>
          <w:sz w:val="22"/>
          <w:szCs w:val="22"/>
        </w:rPr>
        <w:t xml:space="preserve">el agradecimiento del Banco Hipotecario de la Vivienda, </w:t>
      </w:r>
      <w:r w:rsidR="000E3B2E">
        <w:rPr>
          <w:rFonts w:cs="Arial"/>
          <w:sz w:val="22"/>
          <w:szCs w:val="22"/>
        </w:rPr>
        <w:t xml:space="preserve">por haber comprendido lo </w:t>
      </w:r>
      <w:r w:rsidR="001F5B86">
        <w:rPr>
          <w:rFonts w:cs="Arial"/>
          <w:sz w:val="22"/>
          <w:szCs w:val="22"/>
        </w:rPr>
        <w:t>que significa e</w:t>
      </w:r>
      <w:r w:rsidR="000E3B2E">
        <w:rPr>
          <w:rFonts w:cs="Arial"/>
          <w:sz w:val="22"/>
          <w:szCs w:val="22"/>
        </w:rPr>
        <w:t>l</w:t>
      </w:r>
      <w:r w:rsidR="001F5B86">
        <w:rPr>
          <w:rFonts w:cs="Arial"/>
          <w:sz w:val="22"/>
          <w:szCs w:val="22"/>
        </w:rPr>
        <w:t xml:space="preserve"> derecho</w:t>
      </w:r>
      <w:r w:rsidR="000E3B2E" w:rsidRPr="00CA1A26">
        <w:rPr>
          <w:rFonts w:cs="Arial"/>
          <w:sz w:val="22"/>
          <w:szCs w:val="22"/>
        </w:rPr>
        <w:t xml:space="preserve"> fundamental de las personas a la vivienda</w:t>
      </w:r>
      <w:r w:rsidR="000E3B2E">
        <w:rPr>
          <w:rFonts w:cs="Arial"/>
          <w:sz w:val="22"/>
          <w:szCs w:val="22"/>
        </w:rPr>
        <w:t xml:space="preserve">, así como el </w:t>
      </w:r>
      <w:r w:rsidR="000E3B2E" w:rsidRPr="00CA1A26">
        <w:rPr>
          <w:rFonts w:cs="Arial"/>
          <w:sz w:val="22"/>
          <w:szCs w:val="22"/>
          <w:lang w:val="es-CR"/>
        </w:rPr>
        <w:t xml:space="preserve">objetivo </w:t>
      </w:r>
      <w:r w:rsidR="002E117C">
        <w:rPr>
          <w:rFonts w:cs="Arial"/>
          <w:sz w:val="22"/>
          <w:szCs w:val="22"/>
          <w:lang w:val="es-CR"/>
        </w:rPr>
        <w:t xml:space="preserve">que tiene el BANHVI </w:t>
      </w:r>
      <w:r w:rsidR="000E3B2E" w:rsidRPr="00CA1A26">
        <w:rPr>
          <w:rFonts w:cs="Arial"/>
          <w:sz w:val="22"/>
          <w:szCs w:val="22"/>
          <w:lang w:val="es-CR"/>
        </w:rPr>
        <w:t>de aten</w:t>
      </w:r>
      <w:r w:rsidR="000E3B2E">
        <w:rPr>
          <w:rFonts w:cs="Arial"/>
          <w:sz w:val="22"/>
          <w:szCs w:val="22"/>
          <w:lang w:val="es-CR"/>
        </w:rPr>
        <w:t>der</w:t>
      </w:r>
      <w:r w:rsidR="000E3B2E" w:rsidRPr="00CA1A26">
        <w:rPr>
          <w:rFonts w:cs="Arial"/>
          <w:sz w:val="22"/>
          <w:szCs w:val="22"/>
          <w:lang w:val="es-CR"/>
        </w:rPr>
        <w:t xml:space="preserve"> las necesidades de vivienda de las familias de </w:t>
      </w:r>
      <w:r w:rsidR="000E3B2E">
        <w:rPr>
          <w:rFonts w:cs="Arial"/>
          <w:sz w:val="22"/>
          <w:szCs w:val="22"/>
          <w:lang w:val="es-CR"/>
        </w:rPr>
        <w:t>menores</w:t>
      </w:r>
      <w:r w:rsidR="000E3B2E" w:rsidRPr="00CA1A26">
        <w:rPr>
          <w:rFonts w:cs="Arial"/>
          <w:sz w:val="22"/>
          <w:szCs w:val="22"/>
          <w:lang w:val="es-CR"/>
        </w:rPr>
        <w:t xml:space="preserve"> </w:t>
      </w:r>
      <w:r w:rsidR="000E3B2E">
        <w:rPr>
          <w:rFonts w:cs="Arial"/>
          <w:sz w:val="22"/>
          <w:szCs w:val="22"/>
          <w:lang w:val="es-CR"/>
        </w:rPr>
        <w:t>ingresos</w:t>
      </w:r>
      <w:r w:rsidR="002E117C">
        <w:rPr>
          <w:rFonts w:cs="Arial"/>
          <w:sz w:val="22"/>
          <w:szCs w:val="22"/>
          <w:lang w:val="es-CR"/>
        </w:rPr>
        <w:t>,</w:t>
      </w:r>
      <w:r w:rsidR="000E3B2E">
        <w:rPr>
          <w:rFonts w:cs="Arial"/>
          <w:sz w:val="22"/>
          <w:szCs w:val="22"/>
          <w:lang w:val="es-CR"/>
        </w:rPr>
        <w:t xml:space="preserve"> y </w:t>
      </w:r>
      <w:r w:rsidR="000E3B2E" w:rsidRPr="00CA1A26">
        <w:rPr>
          <w:rFonts w:cs="Arial"/>
          <w:sz w:val="22"/>
          <w:szCs w:val="22"/>
          <w:lang w:val="es-CR"/>
        </w:rPr>
        <w:t>las capacidades del Sistema Financiero Nacional para la Vivienda</w:t>
      </w:r>
      <w:r w:rsidR="000E3B2E">
        <w:rPr>
          <w:rFonts w:cs="Arial"/>
          <w:sz w:val="22"/>
          <w:szCs w:val="22"/>
          <w:lang w:val="es-CR"/>
        </w:rPr>
        <w:t>,</w:t>
      </w:r>
      <w:r w:rsidR="000E3B2E" w:rsidRPr="00CA1A26">
        <w:rPr>
          <w:rFonts w:cs="Arial"/>
          <w:sz w:val="22"/>
          <w:szCs w:val="22"/>
          <w:lang w:val="es-CR"/>
        </w:rPr>
        <w:t xml:space="preserve"> en la </w:t>
      </w:r>
      <w:r w:rsidR="000E3B2E">
        <w:rPr>
          <w:rFonts w:cs="Arial"/>
          <w:sz w:val="22"/>
          <w:szCs w:val="22"/>
          <w:lang w:val="es-CR"/>
        </w:rPr>
        <w:t xml:space="preserve">atención </w:t>
      </w:r>
      <w:r w:rsidR="000E3B2E" w:rsidRPr="00CA1A26">
        <w:rPr>
          <w:rFonts w:cs="Arial"/>
          <w:sz w:val="22"/>
          <w:szCs w:val="22"/>
          <w:lang w:val="es-CR"/>
        </w:rPr>
        <w:t>del déficit habitacional</w:t>
      </w:r>
      <w:r w:rsidR="000E3B2E">
        <w:rPr>
          <w:rFonts w:cs="Arial"/>
          <w:sz w:val="22"/>
          <w:szCs w:val="22"/>
          <w:lang w:val="es-CR"/>
        </w:rPr>
        <w:t xml:space="preserve"> y en el aporte al dinamismo </w:t>
      </w:r>
      <w:r w:rsidR="000E3B2E" w:rsidRPr="00CA1A26">
        <w:rPr>
          <w:rFonts w:cs="Arial"/>
          <w:sz w:val="22"/>
          <w:szCs w:val="22"/>
          <w:lang w:val="es-CR"/>
        </w:rPr>
        <w:t xml:space="preserve">económico que este sector genera en </w:t>
      </w:r>
      <w:r w:rsidR="000E3B2E">
        <w:rPr>
          <w:rFonts w:cs="Arial"/>
          <w:sz w:val="22"/>
          <w:szCs w:val="22"/>
          <w:lang w:val="es-CR"/>
        </w:rPr>
        <w:t xml:space="preserve">el </w:t>
      </w:r>
      <w:r w:rsidR="000E3B2E" w:rsidRPr="00CA1A26">
        <w:rPr>
          <w:rFonts w:cs="Arial"/>
          <w:sz w:val="22"/>
          <w:szCs w:val="22"/>
          <w:lang w:val="es-CR"/>
        </w:rPr>
        <w:t>país.</w:t>
      </w:r>
    </w:p>
    <w:p w14:paraId="39237FB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1E656EF" w14:textId="77777777" w:rsidR="002B71CC" w:rsidRPr="00D14EAF" w:rsidRDefault="002B71CC" w:rsidP="002B71CC">
      <w:pPr>
        <w:spacing w:line="360" w:lineRule="auto"/>
        <w:jc w:val="both"/>
        <w:rPr>
          <w:rFonts w:cs="Arial"/>
          <w:b/>
          <w:sz w:val="22"/>
        </w:rPr>
      </w:pPr>
      <w:r w:rsidRPr="00D14EAF">
        <w:rPr>
          <w:rFonts w:cs="Arial"/>
          <w:b/>
          <w:sz w:val="22"/>
        </w:rPr>
        <w:t>************</w:t>
      </w:r>
    </w:p>
    <w:p w14:paraId="08370CA7" w14:textId="77777777" w:rsidR="002B71CC" w:rsidRDefault="002B71CC" w:rsidP="002B71CC">
      <w:pPr>
        <w:spacing w:line="360" w:lineRule="auto"/>
        <w:jc w:val="both"/>
        <w:rPr>
          <w:rFonts w:cs="Arial"/>
          <w:sz w:val="22"/>
          <w:lang w:val="es-ES_tradnl"/>
        </w:rPr>
      </w:pPr>
      <w:bookmarkStart w:id="0" w:name="_Hlk54606130"/>
    </w:p>
    <w:p w14:paraId="42ED13A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6F58174" w14:textId="7262C154" w:rsidR="00CB2EA5" w:rsidRDefault="00DE1CC8" w:rsidP="002B71CC">
      <w:pPr>
        <w:spacing w:line="360" w:lineRule="auto"/>
        <w:jc w:val="both"/>
        <w:rPr>
          <w:rFonts w:cs="Arial"/>
          <w:sz w:val="22"/>
          <w:szCs w:val="22"/>
        </w:rPr>
      </w:pPr>
      <w:r>
        <w:rPr>
          <w:rFonts w:cs="Arial"/>
          <w:sz w:val="22"/>
          <w:szCs w:val="22"/>
        </w:rPr>
        <w:t xml:space="preserve">Instruir a la </w:t>
      </w:r>
      <w:r w:rsidRPr="00DE1CC8">
        <w:rPr>
          <w:rFonts w:cs="Arial"/>
          <w:sz w:val="22"/>
          <w:szCs w:val="22"/>
          <w:lang w:val="es-ES_tradnl"/>
        </w:rPr>
        <w:t>Gerencia General</w:t>
      </w:r>
      <w:r>
        <w:rPr>
          <w:rFonts w:cs="Arial"/>
          <w:sz w:val="22"/>
          <w:szCs w:val="22"/>
          <w:lang w:val="es-ES_tradnl"/>
        </w:rPr>
        <w:t xml:space="preserve">, para que </w:t>
      </w:r>
      <w:r>
        <w:rPr>
          <w:rFonts w:cs="Arial"/>
          <w:sz w:val="22"/>
          <w:szCs w:val="22"/>
        </w:rPr>
        <w:t xml:space="preserve">con base en las mismas justificaciones técnicas y financieras planteadas en otras oportunidades, le reitere al </w:t>
      </w:r>
      <w:r w:rsidR="00071F30">
        <w:rPr>
          <w:rFonts w:cs="Arial"/>
          <w:sz w:val="22"/>
          <w:szCs w:val="22"/>
        </w:rPr>
        <w:t>señor Ministro de Hacienda</w:t>
      </w:r>
      <w:r w:rsidR="00C96437">
        <w:rPr>
          <w:rFonts w:cs="Arial"/>
          <w:sz w:val="22"/>
          <w:szCs w:val="22"/>
        </w:rPr>
        <w:t>,</w:t>
      </w:r>
      <w:r w:rsidR="00071F30">
        <w:rPr>
          <w:rFonts w:cs="Arial"/>
          <w:sz w:val="22"/>
          <w:szCs w:val="22"/>
        </w:rPr>
        <w:t xml:space="preserve"> </w:t>
      </w:r>
      <w:r>
        <w:rPr>
          <w:rFonts w:cs="Arial"/>
          <w:sz w:val="22"/>
          <w:szCs w:val="22"/>
        </w:rPr>
        <w:t xml:space="preserve">la </w:t>
      </w:r>
      <w:r w:rsidR="00165A8B">
        <w:rPr>
          <w:rFonts w:cs="Arial"/>
          <w:sz w:val="22"/>
          <w:szCs w:val="22"/>
        </w:rPr>
        <w:t xml:space="preserve">necesidad de </w:t>
      </w:r>
      <w:r>
        <w:rPr>
          <w:rFonts w:cs="Arial"/>
          <w:sz w:val="22"/>
          <w:szCs w:val="22"/>
        </w:rPr>
        <w:t xml:space="preserve">restituir al Fondo de Subsidios para la Vivienda (FOSUVI), </w:t>
      </w:r>
      <w:r w:rsidR="00CB2EA5">
        <w:rPr>
          <w:rFonts w:cs="Arial"/>
          <w:sz w:val="22"/>
          <w:szCs w:val="22"/>
        </w:rPr>
        <w:t xml:space="preserve">en el dictamen de minoría que se presentará al Plenario Legislativo, </w:t>
      </w:r>
      <w:r>
        <w:rPr>
          <w:rFonts w:cs="Arial"/>
          <w:sz w:val="22"/>
          <w:szCs w:val="22"/>
        </w:rPr>
        <w:t>la suma de</w:t>
      </w:r>
      <w:r w:rsidR="00071F30">
        <w:rPr>
          <w:rFonts w:cs="Arial"/>
          <w:sz w:val="22"/>
          <w:szCs w:val="22"/>
        </w:rPr>
        <w:t xml:space="preserve"> ¢28,8 mil millones </w:t>
      </w:r>
      <w:r w:rsidR="005A5508">
        <w:rPr>
          <w:rFonts w:cs="Arial"/>
          <w:sz w:val="22"/>
          <w:szCs w:val="22"/>
        </w:rPr>
        <w:t>en e</w:t>
      </w:r>
      <w:r>
        <w:rPr>
          <w:rFonts w:cs="Arial"/>
          <w:sz w:val="22"/>
          <w:szCs w:val="22"/>
        </w:rPr>
        <w:t>l presupuesto ordinario del año 2021</w:t>
      </w:r>
      <w:r w:rsidR="00CB2EA5">
        <w:rPr>
          <w:rFonts w:cs="Arial"/>
          <w:sz w:val="22"/>
          <w:szCs w:val="22"/>
        </w:rPr>
        <w:t xml:space="preserve">.  Lo anterior, </w:t>
      </w:r>
      <w:r>
        <w:rPr>
          <w:rFonts w:cs="Arial"/>
          <w:sz w:val="22"/>
          <w:szCs w:val="22"/>
        </w:rPr>
        <w:t xml:space="preserve"> </w:t>
      </w:r>
      <w:r w:rsidR="00CB2EA5">
        <w:rPr>
          <w:rFonts w:cs="Arial"/>
          <w:sz w:val="22"/>
          <w:szCs w:val="22"/>
        </w:rPr>
        <w:t xml:space="preserve">en congruencia con la voluntad expresada por la mayoría de las señoras y señores Diputados de la Comisión Permanente de Asuntos Hacendarios, en la discusión del proyecto de ley </w:t>
      </w:r>
      <w:r w:rsidR="00C96437">
        <w:rPr>
          <w:rFonts w:cs="Arial"/>
          <w:sz w:val="22"/>
          <w:szCs w:val="22"/>
        </w:rPr>
        <w:t xml:space="preserve">tramitado en el expediente </w:t>
      </w:r>
      <w:r w:rsidR="00CB2EA5">
        <w:rPr>
          <w:rFonts w:cs="Arial"/>
          <w:sz w:val="22"/>
          <w:szCs w:val="22"/>
        </w:rPr>
        <w:t>N°</w:t>
      </w:r>
      <w:r w:rsidR="00C96437">
        <w:rPr>
          <w:rFonts w:cs="Arial"/>
          <w:sz w:val="22"/>
          <w:szCs w:val="22"/>
        </w:rPr>
        <w:t xml:space="preserve"> 22.174.</w:t>
      </w:r>
    </w:p>
    <w:p w14:paraId="0C16E14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4CDC685" w14:textId="77777777" w:rsidR="002B71CC" w:rsidRPr="00D14EAF" w:rsidRDefault="002B71CC" w:rsidP="002B71CC">
      <w:pPr>
        <w:spacing w:line="360" w:lineRule="auto"/>
        <w:jc w:val="both"/>
        <w:rPr>
          <w:rFonts w:cs="Arial"/>
          <w:b/>
          <w:sz w:val="22"/>
        </w:rPr>
      </w:pPr>
      <w:r w:rsidRPr="00D14EAF">
        <w:rPr>
          <w:rFonts w:cs="Arial"/>
          <w:b/>
          <w:sz w:val="22"/>
        </w:rPr>
        <w:t>************</w:t>
      </w:r>
    </w:p>
    <w:bookmarkEnd w:id="0"/>
    <w:p w14:paraId="23A571F0" w14:textId="77777777" w:rsidR="002B71CC" w:rsidRDefault="002B71CC" w:rsidP="002B71CC">
      <w:pPr>
        <w:spacing w:line="360" w:lineRule="auto"/>
        <w:jc w:val="both"/>
        <w:rPr>
          <w:rFonts w:cs="Arial"/>
          <w:sz w:val="22"/>
          <w:lang w:val="es-ES_tradnl"/>
        </w:rPr>
      </w:pPr>
    </w:p>
    <w:p w14:paraId="1D10DB55"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3</w:t>
      </w:r>
      <w:r w:rsidRPr="00AB2826">
        <w:rPr>
          <w:rFonts w:cs="Arial"/>
          <w:szCs w:val="22"/>
        </w:rPr>
        <w:t>:</w:t>
      </w:r>
    </w:p>
    <w:p w14:paraId="3780B28B" w14:textId="77777777" w:rsidR="007656B9" w:rsidRPr="002F0FBB" w:rsidRDefault="007656B9" w:rsidP="007656B9">
      <w:pPr>
        <w:spacing w:line="360" w:lineRule="auto"/>
        <w:ind w:right="51"/>
        <w:jc w:val="both"/>
        <w:rPr>
          <w:rFonts w:cs="Arial"/>
          <w:b/>
          <w:sz w:val="22"/>
          <w:szCs w:val="22"/>
        </w:rPr>
      </w:pPr>
      <w:r w:rsidRPr="002F0FBB">
        <w:rPr>
          <w:rFonts w:cs="Arial"/>
          <w:b/>
          <w:sz w:val="22"/>
          <w:szCs w:val="22"/>
        </w:rPr>
        <w:t>Considerando:</w:t>
      </w:r>
    </w:p>
    <w:p w14:paraId="542AF196" w14:textId="7E02B6DF" w:rsidR="007656B9" w:rsidRDefault="007656B9" w:rsidP="007656B9">
      <w:pPr>
        <w:spacing w:line="360" w:lineRule="auto"/>
        <w:ind w:right="51"/>
        <w:jc w:val="both"/>
        <w:rPr>
          <w:rFonts w:cs="Arial"/>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1215</w:t>
      </w:r>
      <w:r w:rsidRPr="00EA7ADB">
        <w:rPr>
          <w:rFonts w:cs="Arial"/>
          <w:sz w:val="22"/>
          <w:szCs w:val="22"/>
        </w:rPr>
        <w:t>-20</w:t>
      </w:r>
      <w:r>
        <w:rPr>
          <w:rFonts w:cs="Arial"/>
          <w:sz w:val="22"/>
          <w:szCs w:val="22"/>
        </w:rPr>
        <w:t>20</w:t>
      </w:r>
      <w:r w:rsidRPr="00EA7ADB">
        <w:rPr>
          <w:rFonts w:cs="Arial"/>
          <w:sz w:val="22"/>
          <w:szCs w:val="22"/>
        </w:rPr>
        <w:t xml:space="preserve"> del </w:t>
      </w:r>
      <w:r>
        <w:rPr>
          <w:rFonts w:cs="Arial"/>
          <w:sz w:val="22"/>
          <w:szCs w:val="22"/>
        </w:rPr>
        <w:t>21</w:t>
      </w:r>
      <w:r w:rsidRPr="00EA7ADB">
        <w:rPr>
          <w:rFonts w:cs="Arial"/>
          <w:sz w:val="22"/>
          <w:szCs w:val="22"/>
        </w:rPr>
        <w:t xml:space="preserve"> de </w:t>
      </w:r>
      <w:r>
        <w:rPr>
          <w:rFonts w:cs="Arial"/>
          <w:sz w:val="22"/>
          <w:szCs w:val="22"/>
        </w:rPr>
        <w:t>octubre</w:t>
      </w:r>
      <w:r w:rsidRPr="00EA7ADB">
        <w:rPr>
          <w:rFonts w:cs="Arial"/>
          <w:sz w:val="22"/>
          <w:szCs w:val="22"/>
        </w:rPr>
        <w:t xml:space="preserve"> de 20</w:t>
      </w:r>
      <w:r>
        <w:rPr>
          <w:rFonts w:cs="Arial"/>
          <w:sz w:val="22"/>
          <w:szCs w:val="22"/>
        </w:rPr>
        <w:t>20</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E11E39">
        <w:rPr>
          <w:rFonts w:cs="Arial"/>
          <w:color w:val="000000"/>
          <w:sz w:val="22"/>
          <w:szCs w:val="22"/>
        </w:rPr>
        <w:t>1189</w:t>
      </w:r>
      <w:r w:rsidRPr="00EA7ADB">
        <w:rPr>
          <w:rFonts w:cs="Arial"/>
          <w:color w:val="000000"/>
          <w:sz w:val="22"/>
          <w:szCs w:val="22"/>
        </w:rPr>
        <w:t>-20</w:t>
      </w:r>
      <w:r>
        <w:rPr>
          <w:rFonts w:cs="Arial"/>
          <w:color w:val="000000"/>
          <w:sz w:val="22"/>
          <w:szCs w:val="22"/>
        </w:rPr>
        <w:t xml:space="preserve">20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sidR="00E11E39">
        <w:rPr>
          <w:rFonts w:cs="Arial"/>
          <w:color w:val="000000"/>
          <w:sz w:val="22"/>
          <w:szCs w:val="22"/>
        </w:rPr>
        <w:t xml:space="preserve"> la </w:t>
      </w:r>
      <w:r>
        <w:rPr>
          <w:rFonts w:cs="Arial"/>
          <w:color w:val="000000"/>
          <w:sz w:val="22"/>
          <w:szCs w:val="22"/>
        </w:rPr>
        <w:t xml:space="preserve">Mutual </w:t>
      </w:r>
      <w:r w:rsidR="00E11E39">
        <w:rPr>
          <w:rFonts w:cs="Arial"/>
          <w:color w:val="000000"/>
          <w:sz w:val="22"/>
          <w:szCs w:val="22"/>
        </w:rPr>
        <w:t>Cartago</w:t>
      </w:r>
      <w:r>
        <w:rPr>
          <w:rFonts w:cs="Arial"/>
          <w:color w:val="000000"/>
          <w:sz w:val="22"/>
          <w:szCs w:val="22"/>
        </w:rPr>
        <w:t xml:space="preserve"> </w:t>
      </w:r>
      <w:r w:rsidRPr="002E75AC">
        <w:rPr>
          <w:rFonts w:cs="Arial"/>
          <w:color w:val="000000"/>
          <w:sz w:val="22"/>
          <w:szCs w:val="22"/>
          <w:lang w:val="es-ES_tradnl"/>
        </w:rPr>
        <w:t>de Ahorro y Préstamo</w:t>
      </w:r>
      <w:r>
        <w:rPr>
          <w:rFonts w:cs="Arial"/>
          <w:color w:val="000000"/>
          <w:sz w:val="22"/>
          <w:szCs w:val="22"/>
          <w:lang w:val="es-ES_tradnl"/>
        </w:rPr>
        <w:t xml:space="preserve"> (</w:t>
      </w:r>
      <w:r w:rsidR="00E11E39">
        <w:rPr>
          <w:rFonts w:cs="Arial"/>
          <w:color w:val="000000"/>
          <w:sz w:val="22"/>
          <w:szCs w:val="22"/>
          <w:lang w:val="es-ES_tradnl"/>
        </w:rPr>
        <w:t>MUCAP</w:t>
      </w:r>
      <w:r>
        <w:rPr>
          <w:rFonts w:cs="Arial"/>
          <w:color w:val="000000"/>
          <w:sz w:val="22"/>
          <w:szCs w:val="22"/>
          <w:lang w:val="es-ES_tradnl"/>
        </w:rPr>
        <w:t>),</w:t>
      </w:r>
      <w:r>
        <w:rPr>
          <w:rFonts w:cs="Arial"/>
          <w:color w:val="000000"/>
          <w:sz w:val="22"/>
          <w:szCs w:val="22"/>
        </w:rPr>
        <w:t xml:space="preserve"> </w:t>
      </w:r>
      <w:r>
        <w:rPr>
          <w:rFonts w:cs="Arial"/>
          <w:sz w:val="22"/>
          <w:szCs w:val="22"/>
        </w:rPr>
        <w:t xml:space="preserve">para ampliar el plazo del contrato de administración de recursos y financiar, </w:t>
      </w:r>
      <w:r w:rsidRPr="009C1F77">
        <w:rPr>
          <w:rFonts w:cs="Arial"/>
          <w:sz w:val="22"/>
          <w:szCs w:val="22"/>
        </w:rPr>
        <w:t xml:space="preserve">al amparo del </w:t>
      </w:r>
      <w:r>
        <w:rPr>
          <w:rFonts w:cs="Arial"/>
          <w:sz w:val="22"/>
          <w:szCs w:val="22"/>
        </w:rPr>
        <w:t xml:space="preserve">artículo 59 de la Ley del </w:t>
      </w:r>
      <w:r w:rsidRPr="00D2170A">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actividades adicionales no contempladas en el financiamiento original del</w:t>
      </w:r>
      <w:r w:rsidRPr="009C1F77">
        <w:rPr>
          <w:rFonts w:cs="Arial"/>
          <w:sz w:val="22"/>
          <w:szCs w:val="22"/>
        </w:rPr>
        <w:t xml:space="preserve"> </w:t>
      </w:r>
      <w:r w:rsidRPr="007656B9">
        <w:rPr>
          <w:rFonts w:cs="Arial"/>
          <w:sz w:val="22"/>
          <w:szCs w:val="22"/>
          <w:lang w:val="es-CR"/>
        </w:rPr>
        <w:t xml:space="preserve">Sistema de Recolección y Tratamiento de Aguas Residuales del proyecto Limón 2000, ubicado en el cantón </w:t>
      </w:r>
      <w:r w:rsidR="00E11E39">
        <w:rPr>
          <w:rFonts w:cs="Arial"/>
          <w:sz w:val="22"/>
          <w:szCs w:val="22"/>
          <w:lang w:val="es-CR"/>
        </w:rPr>
        <w:t xml:space="preserve">y provincia de </w:t>
      </w:r>
      <w:r w:rsidRPr="007656B9">
        <w:rPr>
          <w:rFonts w:cs="Arial"/>
          <w:sz w:val="22"/>
          <w:szCs w:val="22"/>
          <w:lang w:val="es-CR"/>
        </w:rPr>
        <w:t>Limón</w:t>
      </w:r>
      <w:r w:rsidR="00E11E39">
        <w:rPr>
          <w:rFonts w:cs="Arial"/>
          <w:sz w:val="22"/>
          <w:szCs w:val="22"/>
          <w:lang w:val="es-CR"/>
        </w:rPr>
        <w:t>.</w:t>
      </w:r>
    </w:p>
    <w:p w14:paraId="5B7D2E77" w14:textId="77777777" w:rsidR="007656B9" w:rsidRPr="002F0FBB" w:rsidRDefault="007656B9" w:rsidP="007656B9">
      <w:pPr>
        <w:spacing w:line="360" w:lineRule="auto"/>
        <w:ind w:right="51"/>
        <w:jc w:val="both"/>
        <w:rPr>
          <w:rFonts w:cs="Arial"/>
          <w:b/>
          <w:sz w:val="22"/>
          <w:szCs w:val="22"/>
        </w:rPr>
      </w:pPr>
    </w:p>
    <w:p w14:paraId="6C6C6FB5" w14:textId="243A1181" w:rsidR="007656B9" w:rsidRDefault="007656B9" w:rsidP="007656B9">
      <w:pPr>
        <w:spacing w:line="360" w:lineRule="auto"/>
        <w:jc w:val="both"/>
        <w:rPr>
          <w:rFonts w:cs="Arial"/>
          <w:sz w:val="22"/>
          <w:szCs w:val="22"/>
        </w:rPr>
      </w:pPr>
      <w:r w:rsidRPr="002F0FBB">
        <w:rPr>
          <w:rFonts w:cs="Arial"/>
          <w:b/>
          <w:sz w:val="22"/>
          <w:szCs w:val="22"/>
          <w:lang w:val="es-ES_tradnl"/>
        </w:rPr>
        <w:t>Segundo:</w:t>
      </w:r>
      <w:r w:rsidRPr="002F0FBB">
        <w:rPr>
          <w:rFonts w:cs="Arial"/>
          <w:sz w:val="22"/>
          <w:szCs w:val="22"/>
          <w:lang w:val="es-ES_tradnl"/>
        </w:rPr>
        <w:t xml:space="preserve"> Que en dicho informe, la Dirección FOSUVI</w:t>
      </w:r>
      <w:r>
        <w:rPr>
          <w:rFonts w:cs="Arial"/>
          <w:sz w:val="22"/>
          <w:szCs w:val="22"/>
          <w:lang w:val="es-ES_tradnl"/>
        </w:rPr>
        <w:t xml:space="preserve"> </w:t>
      </w:r>
      <w:r w:rsidRPr="002F0FBB">
        <w:rPr>
          <w:rFonts w:cs="Arial"/>
          <w:sz w:val="22"/>
          <w:szCs w:val="22"/>
          <w:lang w:val="es-ES_tradnl"/>
        </w:rPr>
        <w:t>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en cuanto a prorrogar veinti</w:t>
      </w:r>
      <w:r w:rsidR="00F948F4">
        <w:rPr>
          <w:rFonts w:cs="Arial"/>
          <w:sz w:val="22"/>
          <w:szCs w:val="22"/>
          <w:lang w:val="es-ES_tradnl"/>
        </w:rPr>
        <w:t>cinco</w:t>
      </w:r>
      <w:r>
        <w:rPr>
          <w:rFonts w:cs="Arial"/>
          <w:sz w:val="22"/>
          <w:szCs w:val="22"/>
          <w:lang w:val="es-ES_tradnl"/>
        </w:rPr>
        <w:t xml:space="preserve"> meses el contrato de administración de recursos y financiar la suma total de </w:t>
      </w:r>
      <w:r w:rsidRPr="00110579">
        <w:rPr>
          <w:rFonts w:cs="Arial"/>
          <w:sz w:val="22"/>
          <w:szCs w:val="22"/>
          <w:lang w:val="es-ES_tradnl"/>
        </w:rPr>
        <w:t>¢</w:t>
      </w:r>
      <w:r w:rsidR="00611D72">
        <w:rPr>
          <w:rFonts w:cs="Arial"/>
          <w:sz w:val="22"/>
          <w:szCs w:val="22"/>
          <w:lang w:val="es-ES_tradnl"/>
        </w:rPr>
        <w:t>170</w:t>
      </w:r>
      <w:r w:rsidRPr="00110579">
        <w:rPr>
          <w:rFonts w:cs="Arial"/>
          <w:sz w:val="22"/>
          <w:szCs w:val="22"/>
          <w:lang w:val="es-ES_tradnl"/>
        </w:rPr>
        <w:t>.</w:t>
      </w:r>
      <w:r w:rsidR="00611D72">
        <w:rPr>
          <w:rFonts w:cs="Arial"/>
          <w:sz w:val="22"/>
          <w:szCs w:val="22"/>
          <w:lang w:val="es-ES_tradnl"/>
        </w:rPr>
        <w:t>522</w:t>
      </w:r>
      <w:r w:rsidRPr="00110579">
        <w:rPr>
          <w:rFonts w:cs="Arial"/>
          <w:sz w:val="22"/>
          <w:szCs w:val="22"/>
          <w:lang w:val="es-ES_tradnl"/>
        </w:rPr>
        <w:t>.</w:t>
      </w:r>
      <w:r w:rsidR="00611D72">
        <w:rPr>
          <w:rFonts w:cs="Arial"/>
          <w:sz w:val="22"/>
          <w:szCs w:val="22"/>
          <w:lang w:val="es-ES_tradnl"/>
        </w:rPr>
        <w:t>057</w:t>
      </w:r>
      <w:r w:rsidRPr="00110579">
        <w:rPr>
          <w:rFonts w:cs="Arial"/>
          <w:sz w:val="22"/>
          <w:szCs w:val="22"/>
          <w:lang w:val="es-ES_tradnl"/>
        </w:rPr>
        <w:t>,</w:t>
      </w:r>
      <w:r w:rsidR="00611D72">
        <w:rPr>
          <w:rFonts w:cs="Arial"/>
          <w:sz w:val="22"/>
          <w:szCs w:val="22"/>
          <w:lang w:val="es-ES_tradnl"/>
        </w:rPr>
        <w:t>10</w:t>
      </w:r>
      <w:r>
        <w:rPr>
          <w:rFonts w:cs="Arial"/>
          <w:sz w:val="22"/>
          <w:szCs w:val="22"/>
          <w:lang w:val="es-ES_tradnl"/>
        </w:rPr>
        <w:t xml:space="preserve"> que comprende</w:t>
      </w:r>
      <w:r w:rsidRPr="00860C71">
        <w:rPr>
          <w:rFonts w:cs="Arial"/>
          <w:sz w:val="22"/>
          <w:szCs w:val="22"/>
        </w:rPr>
        <w:t xml:space="preserve"> </w:t>
      </w:r>
      <w:r>
        <w:rPr>
          <w:rFonts w:cs="Arial"/>
          <w:sz w:val="22"/>
          <w:szCs w:val="22"/>
        </w:rPr>
        <w:t xml:space="preserve">los costos adicionales por </w:t>
      </w:r>
      <w:r w:rsidR="00611D72">
        <w:rPr>
          <w:rFonts w:cs="Arial"/>
          <w:sz w:val="22"/>
          <w:szCs w:val="22"/>
        </w:rPr>
        <w:t>las siguientes actividades</w:t>
      </w:r>
      <w:r w:rsidR="00611D72" w:rsidRPr="00611D72">
        <w:rPr>
          <w:rFonts w:cs="Arial"/>
          <w:sz w:val="22"/>
          <w:szCs w:val="22"/>
        </w:rPr>
        <w:t xml:space="preserve">: </w:t>
      </w:r>
      <w:r w:rsidR="00611D72" w:rsidRPr="00611D72">
        <w:rPr>
          <w:rFonts w:cs="Arial"/>
          <w:sz w:val="22"/>
          <w:szCs w:val="22"/>
          <w:lang w:val="es-CR"/>
        </w:rPr>
        <w:t>Construcción de alcantarillado sanitario en las alamedas del proyecto; construcción de caseta para albergar cilindros de gas cloro</w:t>
      </w:r>
      <w:r w:rsidR="00611D72">
        <w:rPr>
          <w:rFonts w:cs="Arial"/>
          <w:sz w:val="22"/>
          <w:szCs w:val="22"/>
          <w:lang w:val="es-CR"/>
        </w:rPr>
        <w:t xml:space="preserve">; tablero </w:t>
      </w:r>
      <w:r w:rsidR="00611D72" w:rsidRPr="00611D72">
        <w:rPr>
          <w:rFonts w:cs="Arial"/>
          <w:sz w:val="22"/>
          <w:szCs w:val="22"/>
          <w:lang w:val="es-CR"/>
        </w:rPr>
        <w:t xml:space="preserve">de control de motores, </w:t>
      </w:r>
      <w:r w:rsidR="00887AB0">
        <w:rPr>
          <w:rFonts w:cs="Arial"/>
          <w:sz w:val="22"/>
          <w:szCs w:val="22"/>
          <w:lang w:val="es-CR"/>
        </w:rPr>
        <w:t>c</w:t>
      </w:r>
      <w:r w:rsidR="00611D72" w:rsidRPr="00611D72">
        <w:rPr>
          <w:rFonts w:cs="Arial"/>
          <w:sz w:val="22"/>
          <w:szCs w:val="22"/>
          <w:lang w:val="es-CR"/>
        </w:rPr>
        <w:t xml:space="preserve">analización para telecomunicaciones e </w:t>
      </w:r>
      <w:r w:rsidR="00887AB0">
        <w:rPr>
          <w:rFonts w:cs="Arial"/>
          <w:sz w:val="22"/>
          <w:szCs w:val="22"/>
          <w:lang w:val="es-CR"/>
        </w:rPr>
        <w:t>i</w:t>
      </w:r>
      <w:r w:rsidR="00611D72" w:rsidRPr="00611D72">
        <w:rPr>
          <w:rFonts w:cs="Arial"/>
          <w:sz w:val="22"/>
          <w:szCs w:val="22"/>
          <w:lang w:val="es-CR"/>
        </w:rPr>
        <w:t>nterruptor principal redundado</w:t>
      </w:r>
      <w:r w:rsidR="00887AB0">
        <w:rPr>
          <w:rFonts w:cs="Arial"/>
          <w:sz w:val="22"/>
          <w:szCs w:val="22"/>
          <w:lang w:val="es-CR"/>
        </w:rPr>
        <w:t xml:space="preserve">, costos </w:t>
      </w:r>
      <w:r w:rsidR="00611D72" w:rsidRPr="00611D72">
        <w:rPr>
          <w:rFonts w:cs="Arial"/>
          <w:sz w:val="22"/>
          <w:szCs w:val="22"/>
          <w:lang w:val="es-CR"/>
        </w:rPr>
        <w:t xml:space="preserve">adicionales por </w:t>
      </w:r>
      <w:r w:rsidR="00887AB0">
        <w:rPr>
          <w:rFonts w:cs="Arial"/>
          <w:sz w:val="22"/>
          <w:szCs w:val="22"/>
          <w:lang w:val="es-CR"/>
        </w:rPr>
        <w:t xml:space="preserve">la </w:t>
      </w:r>
      <w:r w:rsidR="00611D72" w:rsidRPr="00611D72">
        <w:rPr>
          <w:rFonts w:cs="Arial"/>
          <w:sz w:val="22"/>
          <w:szCs w:val="22"/>
          <w:lang w:val="es-CR"/>
        </w:rPr>
        <w:t xml:space="preserve">aplicación de protocolos por </w:t>
      </w:r>
      <w:r w:rsidR="00887AB0">
        <w:rPr>
          <w:rFonts w:cs="Arial"/>
          <w:sz w:val="22"/>
          <w:szCs w:val="22"/>
          <w:lang w:val="es-CR"/>
        </w:rPr>
        <w:t>el C</w:t>
      </w:r>
      <w:r w:rsidR="00611D72" w:rsidRPr="00611D72">
        <w:rPr>
          <w:rFonts w:cs="Arial"/>
          <w:sz w:val="22"/>
          <w:szCs w:val="22"/>
          <w:lang w:val="es-CR"/>
        </w:rPr>
        <w:t>ovid-19</w:t>
      </w:r>
      <w:r w:rsidR="00887AB0">
        <w:rPr>
          <w:rFonts w:cs="Arial"/>
          <w:sz w:val="22"/>
          <w:szCs w:val="22"/>
          <w:lang w:val="es-CR"/>
        </w:rPr>
        <w:t xml:space="preserve">, y costos </w:t>
      </w:r>
      <w:r w:rsidR="00611D72" w:rsidRPr="00611D72">
        <w:rPr>
          <w:rFonts w:cs="Arial"/>
          <w:sz w:val="22"/>
          <w:szCs w:val="22"/>
          <w:lang w:val="es-CR"/>
        </w:rPr>
        <w:t>administrativos adicionales por ampliación de plazo del proyecto</w:t>
      </w:r>
      <w:r w:rsidR="00887AB0">
        <w:rPr>
          <w:rFonts w:cs="Arial"/>
          <w:sz w:val="22"/>
          <w:szCs w:val="22"/>
          <w:lang w:val="es-CR"/>
        </w:rPr>
        <w:t>.  Lo anterior, según</w:t>
      </w:r>
      <w:r>
        <w:rPr>
          <w:rFonts w:cs="Arial"/>
          <w:sz w:val="22"/>
          <w:szCs w:val="22"/>
        </w:rPr>
        <w:t xml:space="preserve"> lo dictaminado por el Departamento Técnico.</w:t>
      </w:r>
    </w:p>
    <w:p w14:paraId="170662D9" w14:textId="77777777" w:rsidR="007656B9" w:rsidRDefault="007656B9" w:rsidP="007656B9">
      <w:pPr>
        <w:spacing w:line="360" w:lineRule="auto"/>
        <w:jc w:val="both"/>
        <w:rPr>
          <w:rFonts w:cs="Arial"/>
          <w:sz w:val="22"/>
          <w:szCs w:val="22"/>
          <w:lang w:val="es-ES_tradnl"/>
        </w:rPr>
      </w:pPr>
    </w:p>
    <w:p w14:paraId="6D17F200" w14:textId="4C784206" w:rsidR="00887AB0" w:rsidRDefault="007656B9" w:rsidP="007656B9">
      <w:pPr>
        <w:spacing w:line="360" w:lineRule="auto"/>
        <w:jc w:val="both"/>
        <w:rPr>
          <w:rFonts w:cs="Arial"/>
          <w:sz w:val="22"/>
          <w:szCs w:val="22"/>
          <w:lang w:val="es-ES_tradnl"/>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mendación de la Administración</w:t>
      </w:r>
      <w:r w:rsidR="00887AB0">
        <w:rPr>
          <w:rFonts w:cs="Arial"/>
          <w:sz w:val="22"/>
          <w:szCs w:val="22"/>
        </w:rPr>
        <w:t xml:space="preserve">, excepto, por ahora, en lo correspondiente al financiamiento de los </w:t>
      </w:r>
      <w:r w:rsidR="00887AB0">
        <w:rPr>
          <w:rFonts w:cs="Arial"/>
          <w:sz w:val="22"/>
          <w:szCs w:val="22"/>
          <w:lang w:val="es-CR"/>
        </w:rPr>
        <w:t xml:space="preserve">costos </w:t>
      </w:r>
      <w:r w:rsidR="00887AB0" w:rsidRPr="00611D72">
        <w:rPr>
          <w:rFonts w:cs="Arial"/>
          <w:sz w:val="22"/>
          <w:szCs w:val="22"/>
          <w:lang w:val="es-CR"/>
        </w:rPr>
        <w:t xml:space="preserve">adicionales por </w:t>
      </w:r>
      <w:r w:rsidR="00887AB0">
        <w:rPr>
          <w:rFonts w:cs="Arial"/>
          <w:sz w:val="22"/>
          <w:szCs w:val="22"/>
          <w:lang w:val="es-CR"/>
        </w:rPr>
        <w:t xml:space="preserve">la </w:t>
      </w:r>
      <w:r w:rsidR="00887AB0" w:rsidRPr="00611D72">
        <w:rPr>
          <w:rFonts w:cs="Arial"/>
          <w:sz w:val="22"/>
          <w:szCs w:val="22"/>
          <w:lang w:val="es-CR"/>
        </w:rPr>
        <w:t xml:space="preserve">aplicación de protocolos </w:t>
      </w:r>
      <w:r w:rsidR="00887AB0">
        <w:rPr>
          <w:rFonts w:cs="Arial"/>
          <w:sz w:val="22"/>
          <w:szCs w:val="22"/>
          <w:lang w:val="es-CR"/>
        </w:rPr>
        <w:t>ante el C</w:t>
      </w:r>
      <w:r w:rsidR="00887AB0" w:rsidRPr="00611D72">
        <w:rPr>
          <w:rFonts w:cs="Arial"/>
          <w:sz w:val="22"/>
          <w:szCs w:val="22"/>
          <w:lang w:val="es-CR"/>
        </w:rPr>
        <w:t>ovid-19</w:t>
      </w:r>
      <w:r w:rsidR="00887AB0">
        <w:rPr>
          <w:rFonts w:cs="Arial"/>
          <w:sz w:val="22"/>
          <w:szCs w:val="22"/>
          <w:lang w:val="es-CR"/>
        </w:rPr>
        <w:t xml:space="preserve"> </w:t>
      </w:r>
      <w:r w:rsidRPr="00EA7ADB">
        <w:rPr>
          <w:rFonts w:cs="Arial"/>
          <w:sz w:val="22"/>
          <w:szCs w:val="22"/>
        </w:rPr>
        <w:t>y</w:t>
      </w:r>
      <w:r w:rsidR="00887AB0">
        <w:rPr>
          <w:rFonts w:cs="Arial"/>
          <w:sz w:val="22"/>
          <w:szCs w:val="22"/>
        </w:rPr>
        <w:t xml:space="preserve"> los rubros relacionados con estos costos, debido a los cuestionamientos que se han presentado con respecto a la pertinencia legal de su financiamiento con recursos del FOSUVI.  En </w:t>
      </w:r>
      <w:r w:rsidRPr="00EA7ADB">
        <w:rPr>
          <w:rFonts w:cs="Arial"/>
          <w:sz w:val="22"/>
          <w:szCs w:val="22"/>
        </w:rPr>
        <w:t xml:space="preserve">consecuencia, lo que procede </w:t>
      </w:r>
      <w:r w:rsidR="00887AB0">
        <w:rPr>
          <w:rFonts w:cs="Arial"/>
          <w:sz w:val="22"/>
          <w:szCs w:val="22"/>
        </w:rPr>
        <w:t xml:space="preserve">ahora </w:t>
      </w:r>
      <w:r w:rsidRPr="00EA7ADB">
        <w:rPr>
          <w:rFonts w:cs="Arial"/>
          <w:sz w:val="22"/>
          <w:szCs w:val="22"/>
        </w:rPr>
        <w:t xml:space="preserve">es </w:t>
      </w:r>
      <w:r w:rsidR="00887AB0">
        <w:rPr>
          <w:rFonts w:cs="Arial"/>
          <w:sz w:val="22"/>
          <w:szCs w:val="22"/>
        </w:rPr>
        <w:t xml:space="preserve">aprobar parcialmente la recomendación de la </w:t>
      </w:r>
      <w:r w:rsidR="00887AB0" w:rsidRPr="00887AB0">
        <w:rPr>
          <w:rFonts w:cs="Arial"/>
          <w:sz w:val="22"/>
          <w:szCs w:val="22"/>
          <w:lang w:val="es-ES_tradnl"/>
        </w:rPr>
        <w:t>Administración</w:t>
      </w:r>
      <w:r w:rsidR="00887AB0">
        <w:rPr>
          <w:rFonts w:cs="Arial"/>
          <w:sz w:val="22"/>
          <w:szCs w:val="22"/>
          <w:lang w:val="es-ES_tradnl"/>
        </w:rPr>
        <w:t xml:space="preserve">, y solicitar un dictamen a la </w:t>
      </w:r>
      <w:r w:rsidR="00887AB0" w:rsidRPr="00887AB0">
        <w:rPr>
          <w:rFonts w:cs="Arial"/>
          <w:sz w:val="22"/>
          <w:szCs w:val="22"/>
          <w:lang w:val="es-ES_tradnl"/>
        </w:rPr>
        <w:t>Asesoría Legal</w:t>
      </w:r>
      <w:r w:rsidR="00887AB0">
        <w:rPr>
          <w:rFonts w:cs="Arial"/>
          <w:sz w:val="22"/>
          <w:szCs w:val="22"/>
          <w:lang w:val="es-ES_tradnl"/>
        </w:rPr>
        <w:t>, que permita resolver el tema del financiamiento de los rubros</w:t>
      </w:r>
      <w:r w:rsidR="00887AB0">
        <w:rPr>
          <w:rFonts w:cs="Arial"/>
          <w:sz w:val="22"/>
          <w:szCs w:val="22"/>
        </w:rPr>
        <w:t xml:space="preserve"> </w:t>
      </w:r>
      <w:r w:rsidR="00C34E50">
        <w:rPr>
          <w:rFonts w:cs="Arial"/>
          <w:sz w:val="22"/>
          <w:szCs w:val="22"/>
        </w:rPr>
        <w:t xml:space="preserve">referidos a </w:t>
      </w:r>
      <w:r w:rsidR="00887AB0">
        <w:rPr>
          <w:rFonts w:cs="Arial"/>
          <w:sz w:val="22"/>
          <w:szCs w:val="22"/>
        </w:rPr>
        <w:t xml:space="preserve">la </w:t>
      </w:r>
      <w:r w:rsidR="00887AB0" w:rsidRPr="00FE15CE">
        <w:rPr>
          <w:rFonts w:cs="Arial"/>
          <w:sz w:val="22"/>
          <w:szCs w:val="22"/>
        </w:rPr>
        <w:t xml:space="preserve">aplicación de protocolos por </w:t>
      </w:r>
      <w:r w:rsidR="00887AB0">
        <w:rPr>
          <w:rFonts w:cs="Arial"/>
          <w:sz w:val="22"/>
          <w:szCs w:val="22"/>
        </w:rPr>
        <w:t>la pandemia del C</w:t>
      </w:r>
      <w:r w:rsidR="00887AB0" w:rsidRPr="00FE15CE">
        <w:rPr>
          <w:rFonts w:cs="Arial"/>
          <w:sz w:val="22"/>
          <w:szCs w:val="22"/>
        </w:rPr>
        <w:t>ovid-19</w:t>
      </w:r>
      <w:r w:rsidR="00887AB0">
        <w:rPr>
          <w:rFonts w:cs="Arial"/>
          <w:sz w:val="22"/>
          <w:szCs w:val="22"/>
        </w:rPr>
        <w:t>.</w:t>
      </w:r>
    </w:p>
    <w:p w14:paraId="1D6BC1BF" w14:textId="77777777" w:rsidR="007656B9" w:rsidRPr="00A620D0" w:rsidRDefault="007656B9" w:rsidP="007656B9">
      <w:pPr>
        <w:spacing w:line="360" w:lineRule="auto"/>
        <w:jc w:val="both"/>
        <w:rPr>
          <w:rFonts w:cs="Arial"/>
          <w:sz w:val="22"/>
          <w:szCs w:val="22"/>
          <w:lang w:val="es-ES_tradnl"/>
        </w:rPr>
      </w:pPr>
    </w:p>
    <w:p w14:paraId="49F486F1" w14:textId="77777777" w:rsidR="007656B9" w:rsidRPr="002F0FBB" w:rsidRDefault="007656B9" w:rsidP="007656B9">
      <w:pPr>
        <w:spacing w:line="360" w:lineRule="auto"/>
        <w:jc w:val="both"/>
        <w:rPr>
          <w:rFonts w:cs="Arial"/>
          <w:b/>
          <w:sz w:val="22"/>
          <w:szCs w:val="22"/>
        </w:rPr>
      </w:pPr>
      <w:r w:rsidRPr="002F0FBB">
        <w:rPr>
          <w:rFonts w:cs="Arial"/>
          <w:b/>
          <w:sz w:val="22"/>
          <w:szCs w:val="22"/>
        </w:rPr>
        <w:t>Por tanto, se acuerda:</w:t>
      </w:r>
    </w:p>
    <w:p w14:paraId="0634C326" w14:textId="440C64D9" w:rsidR="00F51AA0" w:rsidRPr="00F51AA0" w:rsidRDefault="007656B9" w:rsidP="00F51AA0">
      <w:pPr>
        <w:autoSpaceDE w:val="0"/>
        <w:autoSpaceDN w:val="0"/>
        <w:adjustRightInd w:val="0"/>
        <w:spacing w:line="360" w:lineRule="auto"/>
        <w:jc w:val="both"/>
        <w:rPr>
          <w:rFonts w:cs="Arial"/>
          <w:sz w:val="22"/>
          <w:szCs w:val="22"/>
          <w:lang w:val="es-ES_tradnl"/>
        </w:rPr>
      </w:pPr>
      <w:r>
        <w:rPr>
          <w:rFonts w:cs="Arial"/>
          <w:b/>
          <w:sz w:val="22"/>
          <w:szCs w:val="22"/>
          <w:lang w:val="es-ES_tradnl"/>
        </w:rPr>
        <w:t>1</w:t>
      </w:r>
      <w:r w:rsidRPr="00874BC3">
        <w:rPr>
          <w:rFonts w:cs="Arial"/>
          <w:b/>
          <w:sz w:val="22"/>
          <w:szCs w:val="22"/>
          <w:lang w:val="es-ES_tradnl"/>
        </w:rPr>
        <w:t>)</w:t>
      </w:r>
      <w:r w:rsidRPr="00874BC3">
        <w:rPr>
          <w:rFonts w:cs="Arial"/>
          <w:sz w:val="22"/>
          <w:szCs w:val="22"/>
          <w:lang w:val="es-ES_tradnl"/>
        </w:rPr>
        <w:t xml:space="preserve"> </w:t>
      </w:r>
      <w:r>
        <w:rPr>
          <w:rFonts w:cs="Arial"/>
          <w:sz w:val="22"/>
          <w:szCs w:val="22"/>
          <w:lang w:val="es-ES_tradnl"/>
        </w:rPr>
        <w:t xml:space="preserve">Aprobar a Mutual </w:t>
      </w:r>
      <w:r w:rsidR="00F77536">
        <w:rPr>
          <w:rFonts w:cs="Arial"/>
          <w:sz w:val="22"/>
          <w:szCs w:val="22"/>
          <w:lang w:val="es-ES_tradnl"/>
        </w:rPr>
        <w:t>Cartago</w:t>
      </w:r>
      <w:r>
        <w:rPr>
          <w:rFonts w:cs="Arial"/>
          <w:sz w:val="22"/>
          <w:szCs w:val="22"/>
          <w:lang w:val="es-ES_tradnl"/>
        </w:rPr>
        <w:t xml:space="preserve"> </w:t>
      </w:r>
      <w:r w:rsidRPr="002E75AC">
        <w:rPr>
          <w:rFonts w:cs="Arial"/>
          <w:sz w:val="22"/>
          <w:szCs w:val="22"/>
          <w:lang w:val="es-ES_tradnl"/>
        </w:rPr>
        <w:t>de Ahorro y Préstamo</w:t>
      </w:r>
      <w:r>
        <w:rPr>
          <w:rFonts w:cs="Arial"/>
          <w:sz w:val="22"/>
          <w:szCs w:val="22"/>
          <w:lang w:val="es-ES_tradnl"/>
        </w:rPr>
        <w:t xml:space="preserve">, para el proyecto </w:t>
      </w:r>
      <w:r w:rsidR="00F77536">
        <w:rPr>
          <w:rFonts w:cs="Arial"/>
          <w:sz w:val="22"/>
          <w:szCs w:val="22"/>
          <w:lang w:val="es-ES_tradnl"/>
        </w:rPr>
        <w:t>de Bono Colectivo Limón 2000</w:t>
      </w:r>
      <w:r>
        <w:rPr>
          <w:rFonts w:cs="Arial"/>
          <w:sz w:val="22"/>
          <w:szCs w:val="22"/>
          <w:lang w:val="es-ES_tradnl"/>
        </w:rPr>
        <w:t xml:space="preserve">, un financiamiento adicional por un monto de </w:t>
      </w:r>
      <w:r w:rsidRPr="00CE210F">
        <w:rPr>
          <w:rFonts w:cs="Arial"/>
          <w:b/>
          <w:sz w:val="22"/>
          <w:szCs w:val="22"/>
          <w:lang w:val="es-ES_tradnl"/>
        </w:rPr>
        <w:t>¢</w:t>
      </w:r>
      <w:r w:rsidR="00237643">
        <w:rPr>
          <w:rFonts w:cs="Arial"/>
          <w:b/>
          <w:sz w:val="22"/>
          <w:szCs w:val="22"/>
          <w:lang w:val="es-ES_tradnl"/>
        </w:rPr>
        <w:t>118</w:t>
      </w:r>
      <w:r w:rsidRPr="00CE210F">
        <w:rPr>
          <w:rFonts w:cs="Arial"/>
          <w:b/>
          <w:sz w:val="22"/>
          <w:szCs w:val="22"/>
          <w:lang w:val="es-ES_tradnl"/>
        </w:rPr>
        <w:t>.</w:t>
      </w:r>
      <w:r w:rsidR="00237643">
        <w:rPr>
          <w:rFonts w:cs="Arial"/>
          <w:b/>
          <w:sz w:val="22"/>
          <w:szCs w:val="22"/>
          <w:lang w:val="es-ES_tradnl"/>
        </w:rPr>
        <w:t>276</w:t>
      </w:r>
      <w:r w:rsidRPr="00CE210F">
        <w:rPr>
          <w:rFonts w:cs="Arial"/>
          <w:b/>
          <w:sz w:val="22"/>
          <w:szCs w:val="22"/>
          <w:lang w:val="es-ES_tradnl"/>
        </w:rPr>
        <w:t>.</w:t>
      </w:r>
      <w:r w:rsidR="00237643">
        <w:rPr>
          <w:rFonts w:cs="Arial"/>
          <w:b/>
          <w:sz w:val="22"/>
          <w:szCs w:val="22"/>
          <w:lang w:val="es-ES_tradnl"/>
        </w:rPr>
        <w:t>535</w:t>
      </w:r>
      <w:r w:rsidRPr="00CE210F">
        <w:rPr>
          <w:rFonts w:cs="Arial"/>
          <w:b/>
          <w:sz w:val="22"/>
          <w:szCs w:val="22"/>
          <w:lang w:val="es-ES_tradnl"/>
        </w:rPr>
        <w:t>,</w:t>
      </w:r>
      <w:r w:rsidR="00237643">
        <w:rPr>
          <w:rFonts w:cs="Arial"/>
          <w:b/>
          <w:sz w:val="22"/>
          <w:szCs w:val="22"/>
          <w:lang w:val="es-ES_tradnl"/>
        </w:rPr>
        <w:t>21</w:t>
      </w:r>
      <w:r w:rsidRPr="00874BC3">
        <w:rPr>
          <w:rFonts w:cs="Arial"/>
          <w:sz w:val="22"/>
          <w:szCs w:val="22"/>
          <w:lang w:val="es-ES_tradnl"/>
        </w:rPr>
        <w:t xml:space="preserve"> </w:t>
      </w:r>
      <w:r>
        <w:rPr>
          <w:rFonts w:cs="Arial"/>
          <w:sz w:val="22"/>
          <w:szCs w:val="22"/>
          <w:lang w:val="es-ES_tradnl"/>
        </w:rPr>
        <w:t>(</w:t>
      </w:r>
      <w:r w:rsidR="00237643">
        <w:rPr>
          <w:rFonts w:cs="Arial"/>
          <w:sz w:val="22"/>
          <w:szCs w:val="22"/>
          <w:lang w:val="es-ES_tradnl"/>
        </w:rPr>
        <w:t xml:space="preserve">ciento </w:t>
      </w:r>
      <w:r w:rsidR="00237643">
        <w:rPr>
          <w:rFonts w:cs="Arial"/>
          <w:sz w:val="22"/>
          <w:szCs w:val="22"/>
          <w:lang w:val="es-ES_tradnl"/>
        </w:rPr>
        <w:lastRenderedPageBreak/>
        <w:t xml:space="preserve">dieciocho </w:t>
      </w:r>
      <w:r>
        <w:rPr>
          <w:rFonts w:cs="Arial"/>
          <w:sz w:val="22"/>
          <w:szCs w:val="22"/>
          <w:lang w:val="es-ES_tradnl"/>
        </w:rPr>
        <w:t xml:space="preserve">millones </w:t>
      </w:r>
      <w:r w:rsidR="00237643">
        <w:rPr>
          <w:rFonts w:cs="Arial"/>
          <w:sz w:val="22"/>
          <w:szCs w:val="22"/>
          <w:lang w:val="es-ES_tradnl"/>
        </w:rPr>
        <w:t>dos</w:t>
      </w:r>
      <w:r>
        <w:rPr>
          <w:rFonts w:cs="Arial"/>
          <w:sz w:val="22"/>
          <w:szCs w:val="22"/>
          <w:lang w:val="es-ES_tradnl"/>
        </w:rPr>
        <w:t xml:space="preserve">cientos </w:t>
      </w:r>
      <w:r w:rsidR="00237643">
        <w:rPr>
          <w:rFonts w:cs="Arial"/>
          <w:sz w:val="22"/>
          <w:szCs w:val="22"/>
          <w:lang w:val="es-ES_tradnl"/>
        </w:rPr>
        <w:t xml:space="preserve">setenta y seis </w:t>
      </w:r>
      <w:r>
        <w:rPr>
          <w:rFonts w:cs="Arial"/>
          <w:sz w:val="22"/>
          <w:szCs w:val="22"/>
          <w:lang w:val="es-ES_tradnl"/>
        </w:rPr>
        <w:t xml:space="preserve">mil </w:t>
      </w:r>
      <w:r w:rsidR="00237643">
        <w:rPr>
          <w:rFonts w:cs="Arial"/>
          <w:sz w:val="22"/>
          <w:szCs w:val="22"/>
          <w:lang w:val="es-ES_tradnl"/>
        </w:rPr>
        <w:t>quinientos</w:t>
      </w:r>
      <w:r>
        <w:rPr>
          <w:rFonts w:cs="Arial"/>
          <w:sz w:val="22"/>
          <w:szCs w:val="22"/>
          <w:lang w:val="es-ES_tradnl"/>
        </w:rPr>
        <w:t xml:space="preserve"> </w:t>
      </w:r>
      <w:r w:rsidR="00237643">
        <w:rPr>
          <w:rFonts w:cs="Arial"/>
          <w:sz w:val="22"/>
          <w:szCs w:val="22"/>
          <w:lang w:val="es-ES_tradnl"/>
        </w:rPr>
        <w:t>treinta y cinco</w:t>
      </w:r>
      <w:r>
        <w:rPr>
          <w:rFonts w:cs="Arial"/>
          <w:sz w:val="22"/>
          <w:szCs w:val="22"/>
          <w:lang w:val="es-ES_tradnl"/>
        </w:rPr>
        <w:t xml:space="preserve"> colones con </w:t>
      </w:r>
      <w:r w:rsidR="00237643">
        <w:rPr>
          <w:rFonts w:cs="Arial"/>
          <w:sz w:val="22"/>
          <w:szCs w:val="22"/>
          <w:lang w:val="es-ES_tradnl"/>
        </w:rPr>
        <w:t>21</w:t>
      </w:r>
      <w:r>
        <w:rPr>
          <w:rFonts w:cs="Arial"/>
          <w:sz w:val="22"/>
          <w:szCs w:val="22"/>
          <w:lang w:val="es-ES_tradnl"/>
        </w:rPr>
        <w:t>/100)</w:t>
      </w:r>
      <w:r w:rsidRPr="00874BC3">
        <w:rPr>
          <w:rFonts w:cs="Arial"/>
          <w:sz w:val="22"/>
          <w:szCs w:val="22"/>
          <w:lang w:val="es-ES_tradnl"/>
        </w:rPr>
        <w:t xml:space="preserve">, para </w:t>
      </w:r>
      <w:r>
        <w:rPr>
          <w:rFonts w:cs="Arial"/>
          <w:sz w:val="22"/>
          <w:szCs w:val="22"/>
          <w:lang w:val="es-ES_tradnl"/>
        </w:rPr>
        <w:t>sufragar l</w:t>
      </w:r>
      <w:r w:rsidR="00A42E3B">
        <w:rPr>
          <w:rFonts w:cs="Arial"/>
          <w:sz w:val="22"/>
          <w:szCs w:val="22"/>
          <w:lang w:val="es-ES_tradnl"/>
        </w:rPr>
        <w:t xml:space="preserve">os </w:t>
      </w:r>
      <w:r w:rsidR="00237643">
        <w:rPr>
          <w:rFonts w:cs="Arial"/>
          <w:sz w:val="22"/>
          <w:szCs w:val="22"/>
          <w:lang w:val="es-ES_tradnl"/>
        </w:rPr>
        <w:t xml:space="preserve">costos </w:t>
      </w:r>
      <w:r w:rsidR="00A42E3B">
        <w:rPr>
          <w:rFonts w:cs="Arial"/>
          <w:sz w:val="22"/>
          <w:szCs w:val="22"/>
          <w:lang w:val="es-ES_tradnl"/>
        </w:rPr>
        <w:t xml:space="preserve">asociados </w:t>
      </w:r>
      <w:r>
        <w:rPr>
          <w:rFonts w:cs="Arial"/>
          <w:sz w:val="22"/>
          <w:szCs w:val="22"/>
          <w:lang w:val="es-ES_tradnl"/>
        </w:rPr>
        <w:t xml:space="preserve">a </w:t>
      </w:r>
      <w:r w:rsidR="00A42E3B">
        <w:rPr>
          <w:rFonts w:cs="Arial"/>
          <w:sz w:val="22"/>
          <w:szCs w:val="22"/>
          <w:lang w:val="es-ES_tradnl"/>
        </w:rPr>
        <w:t>la</w:t>
      </w:r>
      <w:r w:rsidR="009D5B2E">
        <w:rPr>
          <w:rFonts w:cs="Arial"/>
          <w:sz w:val="22"/>
          <w:szCs w:val="22"/>
          <w:lang w:val="es-ES_tradnl"/>
        </w:rPr>
        <w:t xml:space="preserve">s siguientes </w:t>
      </w:r>
      <w:r w:rsidR="00E11E39">
        <w:rPr>
          <w:rFonts w:cs="Arial"/>
          <w:sz w:val="22"/>
          <w:szCs w:val="22"/>
          <w:lang w:val="es-ES_tradnl"/>
        </w:rPr>
        <w:t>obras y actividades</w:t>
      </w:r>
      <w:r w:rsidR="009D5B2E">
        <w:rPr>
          <w:rFonts w:cs="Arial"/>
          <w:sz w:val="22"/>
          <w:szCs w:val="22"/>
          <w:lang w:val="es-ES_tradnl"/>
        </w:rPr>
        <w:t>:</w:t>
      </w:r>
      <w:r w:rsidR="00A42E3B">
        <w:rPr>
          <w:rFonts w:cs="Arial"/>
          <w:sz w:val="22"/>
          <w:szCs w:val="22"/>
          <w:lang w:val="es-ES_tradnl"/>
        </w:rPr>
        <w:t xml:space="preserve"> </w:t>
      </w:r>
    </w:p>
    <w:p w14:paraId="312F3025" w14:textId="77777777" w:rsidR="00F51AA0" w:rsidRDefault="00F51AA0" w:rsidP="00F51AA0"/>
    <w:tbl>
      <w:tblPr>
        <w:tblW w:w="8782" w:type="dxa"/>
        <w:tblInd w:w="-3" w:type="dxa"/>
        <w:tblCellMar>
          <w:left w:w="0" w:type="dxa"/>
          <w:right w:w="0" w:type="dxa"/>
        </w:tblCellMar>
        <w:tblLook w:val="04A0" w:firstRow="1" w:lastRow="0" w:firstColumn="1" w:lastColumn="0" w:noHBand="0" w:noVBand="1"/>
      </w:tblPr>
      <w:tblGrid>
        <w:gridCol w:w="7081"/>
        <w:gridCol w:w="1701"/>
      </w:tblGrid>
      <w:tr w:rsidR="00F51AA0" w14:paraId="2C3EE83C" w14:textId="77777777" w:rsidTr="004011AB">
        <w:trPr>
          <w:trHeight w:val="300"/>
        </w:trPr>
        <w:tc>
          <w:tcPr>
            <w:tcW w:w="7081" w:type="dxa"/>
            <w:tcBorders>
              <w:top w:val="single" w:sz="8" w:space="0" w:color="auto"/>
              <w:left w:val="single" w:sz="8" w:space="0" w:color="auto"/>
              <w:bottom w:val="single" w:sz="8" w:space="0" w:color="auto"/>
              <w:right w:val="single" w:sz="8" w:space="0" w:color="auto"/>
            </w:tcBorders>
            <w:shd w:val="clear" w:color="auto" w:fill="D8E4BC"/>
            <w:tcMar>
              <w:top w:w="0" w:type="dxa"/>
              <w:left w:w="70" w:type="dxa"/>
              <w:bottom w:w="0" w:type="dxa"/>
              <w:right w:w="70" w:type="dxa"/>
            </w:tcMar>
            <w:vAlign w:val="center"/>
            <w:hideMark/>
          </w:tcPr>
          <w:p w14:paraId="7A56BCC7" w14:textId="77777777" w:rsidR="00F51AA0" w:rsidRPr="00F51AA0" w:rsidRDefault="00F51AA0">
            <w:pPr>
              <w:jc w:val="center"/>
              <w:rPr>
                <w:rFonts w:cs="Arial"/>
                <w:b/>
                <w:bCs/>
                <w:color w:val="000000"/>
                <w:sz w:val="20"/>
                <w:szCs w:val="20"/>
                <w:lang w:eastAsia="es-CR"/>
              </w:rPr>
            </w:pPr>
            <w:r w:rsidRPr="00F51AA0">
              <w:rPr>
                <w:rFonts w:cs="Arial"/>
                <w:b/>
                <w:bCs/>
                <w:color w:val="000000"/>
                <w:sz w:val="20"/>
                <w:szCs w:val="20"/>
                <w:lang w:eastAsia="es-CR"/>
              </w:rPr>
              <w:t>Ítem</w:t>
            </w:r>
          </w:p>
        </w:tc>
        <w:tc>
          <w:tcPr>
            <w:tcW w:w="1701" w:type="dxa"/>
            <w:tcBorders>
              <w:top w:val="single" w:sz="8" w:space="0" w:color="auto"/>
              <w:left w:val="nil"/>
              <w:bottom w:val="single" w:sz="8" w:space="0" w:color="auto"/>
              <w:right w:val="single" w:sz="8" w:space="0" w:color="auto"/>
            </w:tcBorders>
            <w:shd w:val="clear" w:color="auto" w:fill="D8E4BC"/>
            <w:tcMar>
              <w:top w:w="0" w:type="dxa"/>
              <w:left w:w="70" w:type="dxa"/>
              <w:bottom w:w="0" w:type="dxa"/>
              <w:right w:w="70" w:type="dxa"/>
            </w:tcMar>
            <w:vAlign w:val="center"/>
            <w:hideMark/>
          </w:tcPr>
          <w:p w14:paraId="6C95071E" w14:textId="77777777" w:rsidR="00F51AA0" w:rsidRPr="00F51AA0" w:rsidRDefault="00F51AA0">
            <w:pPr>
              <w:jc w:val="center"/>
              <w:rPr>
                <w:rFonts w:cs="Arial"/>
                <w:b/>
                <w:bCs/>
                <w:color w:val="000000"/>
                <w:sz w:val="20"/>
                <w:szCs w:val="20"/>
                <w:lang w:eastAsia="es-CR"/>
              </w:rPr>
            </w:pPr>
            <w:r w:rsidRPr="00F51AA0">
              <w:rPr>
                <w:rFonts w:cs="Arial"/>
                <w:b/>
                <w:bCs/>
                <w:color w:val="000000"/>
                <w:sz w:val="20"/>
                <w:szCs w:val="20"/>
                <w:lang w:eastAsia="es-CR"/>
              </w:rPr>
              <w:t>Monto</w:t>
            </w:r>
          </w:p>
        </w:tc>
      </w:tr>
      <w:tr w:rsidR="00F51AA0" w14:paraId="1A438C5A" w14:textId="77777777" w:rsidTr="004011AB">
        <w:trPr>
          <w:trHeight w:val="340"/>
        </w:trPr>
        <w:tc>
          <w:tcPr>
            <w:tcW w:w="708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46013A7" w14:textId="77777777" w:rsidR="00F51AA0" w:rsidRPr="00F51AA0" w:rsidRDefault="00F51AA0">
            <w:pPr>
              <w:rPr>
                <w:rFonts w:cs="Arial"/>
                <w:color w:val="000000"/>
                <w:sz w:val="20"/>
                <w:szCs w:val="20"/>
                <w:lang w:eastAsia="es-CR"/>
              </w:rPr>
            </w:pPr>
            <w:r w:rsidRPr="00F51AA0">
              <w:rPr>
                <w:rFonts w:cs="Arial"/>
                <w:color w:val="000000"/>
                <w:sz w:val="20"/>
                <w:szCs w:val="20"/>
                <w:lang w:eastAsia="es-CR"/>
              </w:rPr>
              <w:t>Construcción alcantarillado sanitario en las alamedas del proyecto</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4DE9693" w14:textId="77777777" w:rsidR="00F51AA0" w:rsidRPr="00F51AA0" w:rsidRDefault="00F51AA0" w:rsidP="00F51AA0">
            <w:pPr>
              <w:jc w:val="right"/>
              <w:rPr>
                <w:rFonts w:cs="Arial"/>
                <w:color w:val="000000"/>
                <w:sz w:val="20"/>
                <w:szCs w:val="20"/>
                <w:lang w:eastAsia="es-CR"/>
              </w:rPr>
            </w:pPr>
            <w:r w:rsidRPr="00F51AA0">
              <w:rPr>
                <w:rFonts w:cs="Arial"/>
                <w:color w:val="000000"/>
                <w:sz w:val="20"/>
                <w:szCs w:val="20"/>
                <w:lang w:eastAsia="es-CR"/>
              </w:rPr>
              <w:t xml:space="preserve">¢124,708,330.36 </w:t>
            </w:r>
          </w:p>
        </w:tc>
      </w:tr>
      <w:tr w:rsidR="00F51AA0" w14:paraId="13BB8BC5" w14:textId="77777777" w:rsidTr="004011AB">
        <w:trPr>
          <w:trHeight w:val="340"/>
        </w:trPr>
        <w:tc>
          <w:tcPr>
            <w:tcW w:w="708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C6C116B" w14:textId="77777777" w:rsidR="00F51AA0" w:rsidRPr="00F51AA0" w:rsidRDefault="00F51AA0">
            <w:pPr>
              <w:rPr>
                <w:rFonts w:cs="Arial"/>
                <w:color w:val="000000"/>
                <w:sz w:val="20"/>
                <w:szCs w:val="20"/>
                <w:lang w:eastAsia="es-CR"/>
              </w:rPr>
            </w:pPr>
            <w:r w:rsidRPr="00F51AA0">
              <w:rPr>
                <w:rFonts w:cs="Arial"/>
                <w:color w:val="000000"/>
                <w:sz w:val="20"/>
                <w:szCs w:val="20"/>
                <w:lang w:eastAsia="es-CR"/>
              </w:rPr>
              <w:t>Construcción de caseta para albergar cilindros de gas cloro</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8E4FC9A" w14:textId="77777777" w:rsidR="00F51AA0" w:rsidRPr="00F51AA0" w:rsidRDefault="00F51AA0" w:rsidP="00F51AA0">
            <w:pPr>
              <w:jc w:val="right"/>
              <w:rPr>
                <w:rFonts w:cs="Arial"/>
                <w:color w:val="000000"/>
                <w:sz w:val="20"/>
                <w:szCs w:val="20"/>
                <w:lang w:eastAsia="es-CR"/>
              </w:rPr>
            </w:pPr>
            <w:r w:rsidRPr="00F51AA0">
              <w:rPr>
                <w:rFonts w:cs="Arial"/>
                <w:color w:val="000000"/>
                <w:sz w:val="20"/>
                <w:szCs w:val="20"/>
                <w:lang w:eastAsia="es-CR"/>
              </w:rPr>
              <w:t xml:space="preserve">¢2,285,142.23 </w:t>
            </w:r>
          </w:p>
        </w:tc>
      </w:tr>
      <w:tr w:rsidR="00F51AA0" w14:paraId="1431D531" w14:textId="77777777" w:rsidTr="004011AB">
        <w:trPr>
          <w:trHeight w:val="567"/>
        </w:trPr>
        <w:tc>
          <w:tcPr>
            <w:tcW w:w="708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EDC6A8" w14:textId="77777777" w:rsidR="00F51AA0" w:rsidRPr="00F51AA0" w:rsidRDefault="00F51AA0">
            <w:pPr>
              <w:rPr>
                <w:rFonts w:cs="Arial"/>
                <w:color w:val="000000"/>
                <w:sz w:val="20"/>
                <w:szCs w:val="20"/>
                <w:lang w:eastAsia="es-CR"/>
              </w:rPr>
            </w:pPr>
            <w:r w:rsidRPr="00F51AA0">
              <w:rPr>
                <w:rFonts w:cs="Arial"/>
                <w:color w:val="000000"/>
                <w:sz w:val="20"/>
                <w:szCs w:val="20"/>
                <w:lang w:eastAsia="es-CR"/>
              </w:rPr>
              <w:t>Tablero adicional para el control de motores, línea de comunicaciones vos/datos e interruptor principal</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EAD672" w14:textId="77777777" w:rsidR="00F51AA0" w:rsidRPr="00F51AA0" w:rsidRDefault="00F51AA0" w:rsidP="00F51AA0">
            <w:pPr>
              <w:jc w:val="right"/>
              <w:rPr>
                <w:rFonts w:cs="Arial"/>
                <w:color w:val="000000"/>
                <w:sz w:val="20"/>
                <w:szCs w:val="20"/>
                <w:lang w:eastAsia="es-CR"/>
              </w:rPr>
            </w:pPr>
            <w:r w:rsidRPr="00F51AA0">
              <w:rPr>
                <w:rFonts w:cs="Arial"/>
                <w:color w:val="000000"/>
                <w:sz w:val="20"/>
                <w:szCs w:val="20"/>
                <w:lang w:eastAsia="es-CR"/>
              </w:rPr>
              <w:t xml:space="preserve">¢7,004,169.41 </w:t>
            </w:r>
          </w:p>
        </w:tc>
      </w:tr>
      <w:tr w:rsidR="00F51AA0" w14:paraId="40F661F2" w14:textId="77777777" w:rsidTr="004011AB">
        <w:trPr>
          <w:trHeight w:val="340"/>
        </w:trPr>
        <w:tc>
          <w:tcPr>
            <w:tcW w:w="708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CC835A" w14:textId="77777777" w:rsidR="00F51AA0" w:rsidRPr="00F51AA0" w:rsidRDefault="00F51AA0">
            <w:pPr>
              <w:rPr>
                <w:rFonts w:cs="Arial"/>
                <w:color w:val="000000"/>
                <w:sz w:val="20"/>
                <w:szCs w:val="20"/>
                <w:lang w:eastAsia="es-CR"/>
              </w:rPr>
            </w:pPr>
            <w:r w:rsidRPr="00F51AA0">
              <w:rPr>
                <w:rFonts w:cs="Arial"/>
                <w:color w:val="000000"/>
                <w:sz w:val="20"/>
                <w:szCs w:val="20"/>
                <w:lang w:eastAsia="es-CR"/>
              </w:rPr>
              <w:t>Costos adicionales por aplicación de protocolos por covid-19</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ED809A1" w14:textId="77777777" w:rsidR="00F51AA0" w:rsidRPr="00F51AA0" w:rsidRDefault="00F51AA0" w:rsidP="00F51AA0">
            <w:pPr>
              <w:jc w:val="right"/>
              <w:rPr>
                <w:rFonts w:cs="Arial"/>
                <w:color w:val="000000"/>
                <w:sz w:val="20"/>
                <w:szCs w:val="20"/>
                <w:lang w:eastAsia="es-CR"/>
              </w:rPr>
            </w:pPr>
            <w:r w:rsidRPr="00F51AA0">
              <w:rPr>
                <w:rFonts w:cs="Arial"/>
                <w:color w:val="000000"/>
                <w:sz w:val="20"/>
                <w:szCs w:val="20"/>
                <w:lang w:eastAsia="es-CR"/>
              </w:rPr>
              <w:t xml:space="preserve">¢0.00 </w:t>
            </w:r>
          </w:p>
        </w:tc>
      </w:tr>
      <w:tr w:rsidR="00F51AA0" w14:paraId="00B13FD0" w14:textId="77777777" w:rsidTr="004011AB">
        <w:trPr>
          <w:trHeight w:val="340"/>
        </w:trPr>
        <w:tc>
          <w:tcPr>
            <w:tcW w:w="708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7184F84" w14:textId="77777777" w:rsidR="00F51AA0" w:rsidRPr="00F51AA0" w:rsidRDefault="00F51AA0">
            <w:pPr>
              <w:rPr>
                <w:rFonts w:cs="Arial"/>
                <w:color w:val="000000"/>
                <w:sz w:val="20"/>
                <w:szCs w:val="20"/>
                <w:lang w:eastAsia="es-CR"/>
              </w:rPr>
            </w:pPr>
            <w:r w:rsidRPr="00F51AA0">
              <w:rPr>
                <w:rFonts w:cs="Arial"/>
                <w:color w:val="000000"/>
                <w:sz w:val="20"/>
                <w:szCs w:val="20"/>
                <w:lang w:eastAsia="es-CR"/>
              </w:rPr>
              <w:t>Costos administrativos adicionales por ampliación de plazo del proyecto</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AF4330" w14:textId="77777777" w:rsidR="00F51AA0" w:rsidRPr="00F51AA0" w:rsidRDefault="00F51AA0" w:rsidP="00F51AA0">
            <w:pPr>
              <w:jc w:val="right"/>
              <w:rPr>
                <w:rFonts w:cs="Arial"/>
                <w:color w:val="000000"/>
                <w:sz w:val="20"/>
                <w:szCs w:val="20"/>
                <w:lang w:eastAsia="es-CR"/>
              </w:rPr>
            </w:pPr>
            <w:r w:rsidRPr="00F51AA0">
              <w:rPr>
                <w:rFonts w:cs="Arial"/>
                <w:color w:val="000000"/>
                <w:sz w:val="20"/>
                <w:szCs w:val="20"/>
                <w:lang w:eastAsia="es-CR"/>
              </w:rPr>
              <w:t xml:space="preserve">¢0.00 </w:t>
            </w:r>
          </w:p>
        </w:tc>
      </w:tr>
      <w:tr w:rsidR="00F51AA0" w:rsidRPr="004011AB" w14:paraId="55D08D37" w14:textId="77777777" w:rsidTr="004011AB">
        <w:trPr>
          <w:trHeight w:val="340"/>
        </w:trPr>
        <w:tc>
          <w:tcPr>
            <w:tcW w:w="7081" w:type="dxa"/>
            <w:tcBorders>
              <w:top w:val="nil"/>
              <w:left w:val="single" w:sz="8" w:space="0" w:color="auto"/>
              <w:bottom w:val="single" w:sz="8" w:space="0" w:color="auto"/>
              <w:right w:val="single" w:sz="8" w:space="0" w:color="auto"/>
            </w:tcBorders>
            <w:shd w:val="clear" w:color="auto" w:fill="DCE6F1"/>
            <w:tcMar>
              <w:top w:w="0" w:type="dxa"/>
              <w:left w:w="70" w:type="dxa"/>
              <w:bottom w:w="0" w:type="dxa"/>
              <w:right w:w="70" w:type="dxa"/>
            </w:tcMar>
            <w:vAlign w:val="center"/>
            <w:hideMark/>
          </w:tcPr>
          <w:p w14:paraId="2AE9CAF5" w14:textId="77777777" w:rsidR="00F51AA0" w:rsidRPr="004011AB" w:rsidRDefault="00F51AA0">
            <w:pPr>
              <w:rPr>
                <w:rFonts w:cs="Arial"/>
                <w:color w:val="000000"/>
                <w:sz w:val="20"/>
                <w:szCs w:val="20"/>
                <w:lang w:eastAsia="es-CR"/>
              </w:rPr>
            </w:pPr>
            <w:r w:rsidRPr="004011AB">
              <w:rPr>
                <w:rFonts w:cs="Arial"/>
                <w:color w:val="000000"/>
                <w:sz w:val="20"/>
                <w:szCs w:val="20"/>
                <w:lang w:eastAsia="es-CR"/>
              </w:rPr>
              <w:t>Total de actividades aprobadas en esta solicitud</w:t>
            </w:r>
          </w:p>
        </w:tc>
        <w:tc>
          <w:tcPr>
            <w:tcW w:w="1701" w:type="dxa"/>
            <w:tcBorders>
              <w:top w:val="nil"/>
              <w:left w:val="nil"/>
              <w:bottom w:val="single" w:sz="8" w:space="0" w:color="auto"/>
              <w:right w:val="single" w:sz="8" w:space="0" w:color="auto"/>
            </w:tcBorders>
            <w:shd w:val="clear" w:color="auto" w:fill="DAEEF3"/>
            <w:tcMar>
              <w:top w:w="0" w:type="dxa"/>
              <w:left w:w="70" w:type="dxa"/>
              <w:bottom w:w="0" w:type="dxa"/>
              <w:right w:w="70" w:type="dxa"/>
            </w:tcMar>
            <w:vAlign w:val="center"/>
            <w:hideMark/>
          </w:tcPr>
          <w:p w14:paraId="661BDBEA" w14:textId="77777777" w:rsidR="00F51AA0" w:rsidRPr="004011AB" w:rsidRDefault="00F51AA0" w:rsidP="00F51AA0">
            <w:pPr>
              <w:jc w:val="right"/>
              <w:rPr>
                <w:rFonts w:cs="Arial"/>
                <w:color w:val="000000"/>
                <w:sz w:val="20"/>
                <w:szCs w:val="20"/>
                <w:lang w:eastAsia="es-CR"/>
              </w:rPr>
            </w:pPr>
            <w:r w:rsidRPr="004011AB">
              <w:rPr>
                <w:rFonts w:cs="Arial"/>
                <w:color w:val="000000"/>
                <w:sz w:val="20"/>
                <w:szCs w:val="20"/>
                <w:lang w:eastAsia="es-CR"/>
              </w:rPr>
              <w:t xml:space="preserve">¢133,997,642.01 </w:t>
            </w:r>
          </w:p>
        </w:tc>
      </w:tr>
      <w:tr w:rsidR="00F51AA0" w:rsidRPr="004011AB" w14:paraId="59B7EC4F" w14:textId="77777777" w:rsidTr="004011AB">
        <w:trPr>
          <w:trHeight w:val="340"/>
        </w:trPr>
        <w:tc>
          <w:tcPr>
            <w:tcW w:w="708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CC65A09" w14:textId="77777777" w:rsidR="00F51AA0" w:rsidRPr="004011AB" w:rsidRDefault="00F51AA0">
            <w:pPr>
              <w:rPr>
                <w:rFonts w:cs="Arial"/>
                <w:color w:val="000000"/>
                <w:sz w:val="20"/>
                <w:szCs w:val="20"/>
                <w:lang w:eastAsia="es-CR"/>
              </w:rPr>
            </w:pPr>
            <w:r w:rsidRPr="004011AB">
              <w:rPr>
                <w:rFonts w:cs="Arial"/>
                <w:color w:val="000000"/>
                <w:sz w:val="20"/>
                <w:szCs w:val="20"/>
                <w:lang w:eastAsia="es-CR"/>
              </w:rPr>
              <w:t>Monto total disponible imprevistos en el proyecto</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078EA0E" w14:textId="77777777" w:rsidR="00F51AA0" w:rsidRPr="004011AB" w:rsidRDefault="00F51AA0" w:rsidP="00F51AA0">
            <w:pPr>
              <w:jc w:val="right"/>
              <w:rPr>
                <w:rFonts w:cs="Arial"/>
                <w:color w:val="000000"/>
                <w:sz w:val="20"/>
                <w:szCs w:val="20"/>
                <w:lang w:eastAsia="es-CR"/>
              </w:rPr>
            </w:pPr>
            <w:r w:rsidRPr="004011AB">
              <w:rPr>
                <w:rFonts w:cs="Arial"/>
                <w:color w:val="000000"/>
                <w:sz w:val="20"/>
                <w:szCs w:val="20"/>
                <w:lang w:eastAsia="es-CR"/>
              </w:rPr>
              <w:t xml:space="preserve">¢17,731,071.43 </w:t>
            </w:r>
          </w:p>
        </w:tc>
      </w:tr>
      <w:tr w:rsidR="00F51AA0" w:rsidRPr="004011AB" w14:paraId="4E2D250F" w14:textId="77777777" w:rsidTr="004011AB">
        <w:trPr>
          <w:trHeight w:val="340"/>
        </w:trPr>
        <w:tc>
          <w:tcPr>
            <w:tcW w:w="7081" w:type="dxa"/>
            <w:tcBorders>
              <w:top w:val="nil"/>
              <w:left w:val="single" w:sz="8" w:space="0" w:color="auto"/>
              <w:bottom w:val="single" w:sz="8" w:space="0" w:color="auto"/>
              <w:right w:val="single" w:sz="8" w:space="0" w:color="auto"/>
            </w:tcBorders>
            <w:shd w:val="clear" w:color="auto" w:fill="FCD5B4"/>
            <w:tcMar>
              <w:top w:w="0" w:type="dxa"/>
              <w:left w:w="70" w:type="dxa"/>
              <w:bottom w:w="0" w:type="dxa"/>
              <w:right w:w="70" w:type="dxa"/>
            </w:tcMar>
            <w:vAlign w:val="center"/>
            <w:hideMark/>
          </w:tcPr>
          <w:p w14:paraId="7FF168A3" w14:textId="77777777" w:rsidR="00F51AA0" w:rsidRPr="004011AB" w:rsidRDefault="00F51AA0">
            <w:pPr>
              <w:rPr>
                <w:rFonts w:cs="Arial"/>
                <w:color w:val="000000"/>
                <w:sz w:val="20"/>
                <w:szCs w:val="20"/>
                <w:lang w:eastAsia="es-CR"/>
              </w:rPr>
            </w:pPr>
            <w:r w:rsidRPr="004011AB">
              <w:rPr>
                <w:rFonts w:cs="Arial"/>
                <w:color w:val="000000"/>
                <w:sz w:val="20"/>
                <w:szCs w:val="20"/>
                <w:lang w:eastAsia="es-CR"/>
              </w:rPr>
              <w:t>Monto remanente de imprevistos en el proyecto al hacer la liquidación</w:t>
            </w:r>
          </w:p>
        </w:tc>
        <w:tc>
          <w:tcPr>
            <w:tcW w:w="1701" w:type="dxa"/>
            <w:tcBorders>
              <w:top w:val="nil"/>
              <w:left w:val="nil"/>
              <w:bottom w:val="single" w:sz="8" w:space="0" w:color="auto"/>
              <w:right w:val="single" w:sz="8" w:space="0" w:color="auto"/>
            </w:tcBorders>
            <w:shd w:val="clear" w:color="auto" w:fill="FCD5B4"/>
            <w:tcMar>
              <w:top w:w="0" w:type="dxa"/>
              <w:left w:w="70" w:type="dxa"/>
              <w:bottom w:w="0" w:type="dxa"/>
              <w:right w:w="70" w:type="dxa"/>
            </w:tcMar>
            <w:vAlign w:val="center"/>
            <w:hideMark/>
          </w:tcPr>
          <w:p w14:paraId="6B484287" w14:textId="77777777" w:rsidR="00F51AA0" w:rsidRPr="004011AB" w:rsidRDefault="00F51AA0" w:rsidP="00F51AA0">
            <w:pPr>
              <w:jc w:val="right"/>
              <w:rPr>
                <w:rFonts w:cs="Arial"/>
                <w:color w:val="000000"/>
                <w:sz w:val="20"/>
                <w:szCs w:val="20"/>
                <w:lang w:eastAsia="es-CR"/>
              </w:rPr>
            </w:pPr>
            <w:r w:rsidRPr="004011AB">
              <w:rPr>
                <w:rFonts w:cs="Arial"/>
                <w:color w:val="000000"/>
                <w:sz w:val="20"/>
                <w:szCs w:val="20"/>
                <w:lang w:eastAsia="es-CR"/>
              </w:rPr>
              <w:t xml:space="preserve">¢0.00 </w:t>
            </w:r>
          </w:p>
        </w:tc>
      </w:tr>
      <w:tr w:rsidR="00F51AA0" w:rsidRPr="004011AB" w14:paraId="2B783BED" w14:textId="77777777" w:rsidTr="004011AB">
        <w:trPr>
          <w:trHeight w:val="567"/>
        </w:trPr>
        <w:tc>
          <w:tcPr>
            <w:tcW w:w="708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4F39F92" w14:textId="77777777" w:rsidR="00F51AA0" w:rsidRPr="004011AB" w:rsidRDefault="00F51AA0">
            <w:pPr>
              <w:rPr>
                <w:rFonts w:cs="Arial"/>
                <w:color w:val="000000"/>
                <w:sz w:val="20"/>
                <w:szCs w:val="20"/>
                <w:lang w:eastAsia="es-CR"/>
              </w:rPr>
            </w:pPr>
            <w:r w:rsidRPr="004011AB">
              <w:rPr>
                <w:rFonts w:cs="Arial"/>
                <w:color w:val="000000"/>
                <w:sz w:val="20"/>
                <w:szCs w:val="20"/>
                <w:lang w:eastAsia="es-CR"/>
              </w:rPr>
              <w:t>Monto a financiar por actividades aprobadas al realizar la liquidación de Imprevistos</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13D65D5" w14:textId="77777777" w:rsidR="00F51AA0" w:rsidRPr="004011AB" w:rsidRDefault="00F51AA0" w:rsidP="00F51AA0">
            <w:pPr>
              <w:jc w:val="right"/>
              <w:rPr>
                <w:rFonts w:cs="Arial"/>
                <w:color w:val="000000"/>
                <w:sz w:val="20"/>
                <w:szCs w:val="20"/>
                <w:lang w:eastAsia="es-CR"/>
              </w:rPr>
            </w:pPr>
            <w:r w:rsidRPr="004011AB">
              <w:rPr>
                <w:rFonts w:cs="Arial"/>
                <w:color w:val="000000"/>
                <w:sz w:val="20"/>
                <w:szCs w:val="20"/>
                <w:lang w:eastAsia="es-CR"/>
              </w:rPr>
              <w:t xml:space="preserve">¢116,266,570.58 </w:t>
            </w:r>
          </w:p>
        </w:tc>
      </w:tr>
      <w:tr w:rsidR="00F51AA0" w:rsidRPr="004011AB" w14:paraId="57D8C920" w14:textId="77777777" w:rsidTr="004011AB">
        <w:trPr>
          <w:trHeight w:val="567"/>
        </w:trPr>
        <w:tc>
          <w:tcPr>
            <w:tcW w:w="708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E9FB8A2" w14:textId="77777777" w:rsidR="00F51AA0" w:rsidRPr="004011AB" w:rsidRDefault="00F51AA0">
            <w:pPr>
              <w:rPr>
                <w:rFonts w:cs="Arial"/>
                <w:color w:val="000000"/>
                <w:sz w:val="20"/>
                <w:szCs w:val="20"/>
                <w:lang w:eastAsia="es-CR"/>
              </w:rPr>
            </w:pPr>
            <w:r w:rsidRPr="004011AB">
              <w:rPr>
                <w:rFonts w:cs="Arial"/>
                <w:color w:val="000000"/>
                <w:sz w:val="20"/>
                <w:szCs w:val="20"/>
                <w:lang w:eastAsia="es-CR"/>
              </w:rPr>
              <w:t>Inspección de obras por monto adicional de actividades aprobadas (1,5% del monto adicional a excepción de pólizas y regencia ambiental)</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7AF369" w14:textId="77777777" w:rsidR="00F51AA0" w:rsidRPr="004011AB" w:rsidRDefault="00F51AA0" w:rsidP="00F51AA0">
            <w:pPr>
              <w:jc w:val="right"/>
              <w:rPr>
                <w:rFonts w:cs="Arial"/>
                <w:color w:val="000000"/>
                <w:sz w:val="20"/>
                <w:szCs w:val="20"/>
                <w:lang w:eastAsia="es-CR"/>
              </w:rPr>
            </w:pPr>
            <w:r w:rsidRPr="004011AB">
              <w:rPr>
                <w:rFonts w:cs="Arial"/>
                <w:color w:val="000000"/>
                <w:sz w:val="20"/>
                <w:szCs w:val="20"/>
                <w:lang w:eastAsia="es-CR"/>
              </w:rPr>
              <w:t xml:space="preserve">¢2,009,964.63 </w:t>
            </w:r>
          </w:p>
        </w:tc>
      </w:tr>
      <w:tr w:rsidR="00F51AA0" w:rsidRPr="004011AB" w14:paraId="03C366CB" w14:textId="77777777" w:rsidTr="005901BB">
        <w:trPr>
          <w:trHeight w:val="397"/>
        </w:trPr>
        <w:tc>
          <w:tcPr>
            <w:tcW w:w="7081" w:type="dxa"/>
            <w:tcBorders>
              <w:top w:val="nil"/>
              <w:left w:val="single" w:sz="8" w:space="0" w:color="auto"/>
              <w:bottom w:val="single" w:sz="8" w:space="0" w:color="auto"/>
              <w:right w:val="single" w:sz="8" w:space="0" w:color="auto"/>
            </w:tcBorders>
            <w:shd w:val="clear" w:color="auto" w:fill="D6E3BC" w:themeFill="accent3" w:themeFillTint="66"/>
            <w:tcMar>
              <w:top w:w="0" w:type="dxa"/>
              <w:left w:w="70" w:type="dxa"/>
              <w:bottom w:w="0" w:type="dxa"/>
              <w:right w:w="70" w:type="dxa"/>
            </w:tcMar>
            <w:vAlign w:val="center"/>
            <w:hideMark/>
          </w:tcPr>
          <w:p w14:paraId="32A8C37E" w14:textId="77777777" w:rsidR="00F51AA0" w:rsidRPr="00C34E50" w:rsidRDefault="00F51AA0">
            <w:pPr>
              <w:rPr>
                <w:rFonts w:cs="Arial"/>
                <w:b/>
                <w:bCs/>
                <w:color w:val="000000"/>
                <w:sz w:val="20"/>
                <w:szCs w:val="20"/>
                <w:lang w:eastAsia="es-CR"/>
              </w:rPr>
            </w:pPr>
            <w:r w:rsidRPr="00C34E50">
              <w:rPr>
                <w:rFonts w:cs="Arial"/>
                <w:b/>
                <w:bCs/>
                <w:color w:val="000000"/>
                <w:sz w:val="20"/>
                <w:szCs w:val="20"/>
                <w:lang w:eastAsia="es-CR"/>
              </w:rPr>
              <w:t>Monto total de financiamiento adicional</w:t>
            </w:r>
          </w:p>
        </w:tc>
        <w:tc>
          <w:tcPr>
            <w:tcW w:w="1701" w:type="dxa"/>
            <w:tcBorders>
              <w:top w:val="nil"/>
              <w:left w:val="nil"/>
              <w:bottom w:val="single" w:sz="8" w:space="0" w:color="auto"/>
              <w:right w:val="single" w:sz="8" w:space="0" w:color="auto"/>
            </w:tcBorders>
            <w:shd w:val="clear" w:color="auto" w:fill="D6E3BC" w:themeFill="accent3" w:themeFillTint="66"/>
            <w:tcMar>
              <w:top w:w="0" w:type="dxa"/>
              <w:left w:w="70" w:type="dxa"/>
              <w:bottom w:w="0" w:type="dxa"/>
              <w:right w:w="70" w:type="dxa"/>
            </w:tcMar>
            <w:vAlign w:val="center"/>
            <w:hideMark/>
          </w:tcPr>
          <w:p w14:paraId="0F607DB6" w14:textId="77777777" w:rsidR="00F51AA0" w:rsidRPr="00C34E50" w:rsidRDefault="00F51AA0" w:rsidP="00F51AA0">
            <w:pPr>
              <w:jc w:val="right"/>
              <w:rPr>
                <w:rFonts w:cs="Arial"/>
                <w:b/>
                <w:bCs/>
                <w:color w:val="000000"/>
                <w:sz w:val="20"/>
                <w:szCs w:val="20"/>
                <w:lang w:eastAsia="es-CR"/>
              </w:rPr>
            </w:pPr>
            <w:r w:rsidRPr="00C34E50">
              <w:rPr>
                <w:rFonts w:cs="Arial"/>
                <w:b/>
                <w:bCs/>
                <w:color w:val="000000"/>
                <w:sz w:val="20"/>
                <w:szCs w:val="20"/>
                <w:lang w:eastAsia="es-CR"/>
              </w:rPr>
              <w:t xml:space="preserve">¢118,276,535.21 </w:t>
            </w:r>
          </w:p>
        </w:tc>
      </w:tr>
    </w:tbl>
    <w:p w14:paraId="7A4B2BA5" w14:textId="77777777" w:rsidR="00F51AA0" w:rsidRDefault="00F51AA0" w:rsidP="00F51AA0">
      <w:pPr>
        <w:rPr>
          <w:rFonts w:ascii="Calibri" w:eastAsiaTheme="minorHAnsi" w:hAnsi="Calibri" w:cs="Calibri"/>
          <w:sz w:val="22"/>
          <w:szCs w:val="22"/>
          <w:lang w:eastAsia="en-US"/>
        </w:rPr>
      </w:pPr>
    </w:p>
    <w:p w14:paraId="30D65819" w14:textId="77777777" w:rsidR="00F51AA0" w:rsidRDefault="00F51AA0" w:rsidP="00F51AA0"/>
    <w:p w14:paraId="1CB89ACA" w14:textId="73F4FB7F" w:rsidR="000F5FB1" w:rsidRPr="000F5FB1" w:rsidRDefault="000F5FB1" w:rsidP="000F5FB1">
      <w:pPr>
        <w:autoSpaceDE w:val="0"/>
        <w:autoSpaceDN w:val="0"/>
        <w:adjustRightInd w:val="0"/>
        <w:spacing w:line="360" w:lineRule="auto"/>
        <w:jc w:val="both"/>
        <w:rPr>
          <w:rFonts w:cs="Arial"/>
          <w:sz w:val="22"/>
          <w:szCs w:val="22"/>
          <w:lang w:val="es-CR"/>
        </w:rPr>
      </w:pPr>
      <w:r w:rsidRPr="000F5FB1">
        <w:rPr>
          <w:rFonts w:cs="Arial"/>
          <w:b/>
          <w:bCs/>
          <w:sz w:val="22"/>
          <w:szCs w:val="22"/>
          <w:lang w:val="es-CR"/>
        </w:rPr>
        <w:t>2)</w:t>
      </w:r>
      <w:r>
        <w:rPr>
          <w:rFonts w:cs="Arial"/>
          <w:sz w:val="22"/>
          <w:szCs w:val="22"/>
          <w:lang w:val="es-CR"/>
        </w:rPr>
        <w:t xml:space="preserve"> </w:t>
      </w:r>
      <w:r w:rsidRPr="000F5FB1">
        <w:rPr>
          <w:rFonts w:cs="Arial"/>
          <w:sz w:val="22"/>
          <w:szCs w:val="22"/>
          <w:lang w:val="es-CR"/>
        </w:rPr>
        <w:t xml:space="preserve">Dichos montos serán liquidables contra informes del fiscal de inversión de la </w:t>
      </w:r>
      <w:r w:rsidR="00FE15CE">
        <w:rPr>
          <w:rFonts w:cs="Arial"/>
          <w:sz w:val="22"/>
          <w:szCs w:val="22"/>
          <w:lang w:val="es-CR"/>
        </w:rPr>
        <w:t>e</w:t>
      </w:r>
      <w:r w:rsidRPr="000F5FB1">
        <w:rPr>
          <w:rFonts w:cs="Arial"/>
          <w:sz w:val="22"/>
          <w:szCs w:val="22"/>
          <w:lang w:val="es-CR"/>
        </w:rPr>
        <w:t xml:space="preserve">ntidad </w:t>
      </w:r>
      <w:r w:rsidR="00FE15CE">
        <w:rPr>
          <w:rFonts w:cs="Arial"/>
          <w:sz w:val="22"/>
          <w:szCs w:val="22"/>
          <w:lang w:val="es-CR"/>
        </w:rPr>
        <w:t>a</w:t>
      </w:r>
      <w:r w:rsidRPr="000F5FB1">
        <w:rPr>
          <w:rFonts w:cs="Arial"/>
          <w:sz w:val="22"/>
          <w:szCs w:val="22"/>
          <w:lang w:val="es-CR"/>
        </w:rPr>
        <w:t xml:space="preserve">utorizada. </w:t>
      </w:r>
    </w:p>
    <w:p w14:paraId="7116E649" w14:textId="18612895" w:rsidR="000F5FB1" w:rsidRDefault="000F5FB1" w:rsidP="000F5FB1">
      <w:pPr>
        <w:autoSpaceDE w:val="0"/>
        <w:autoSpaceDN w:val="0"/>
        <w:adjustRightInd w:val="0"/>
        <w:spacing w:line="360" w:lineRule="auto"/>
        <w:jc w:val="both"/>
        <w:rPr>
          <w:rFonts w:cs="Arial"/>
          <w:sz w:val="22"/>
          <w:szCs w:val="22"/>
          <w:lang w:val="es-CR"/>
        </w:rPr>
      </w:pPr>
    </w:p>
    <w:p w14:paraId="102884C2" w14:textId="7D2E6052" w:rsidR="00FE15CE" w:rsidRDefault="00FE15CE" w:rsidP="00FE15CE">
      <w:pPr>
        <w:autoSpaceDE w:val="0"/>
        <w:autoSpaceDN w:val="0"/>
        <w:adjustRightInd w:val="0"/>
        <w:spacing w:line="360" w:lineRule="auto"/>
        <w:jc w:val="both"/>
        <w:rPr>
          <w:rFonts w:cs="Arial"/>
          <w:sz w:val="22"/>
          <w:szCs w:val="22"/>
          <w:lang w:val="es-CR"/>
        </w:rPr>
      </w:pPr>
      <w:r w:rsidRPr="00FE15CE">
        <w:rPr>
          <w:rFonts w:cs="Arial"/>
          <w:b/>
          <w:bCs/>
          <w:sz w:val="22"/>
          <w:szCs w:val="22"/>
          <w:lang w:val="es-CR"/>
        </w:rPr>
        <w:t>3)</w:t>
      </w:r>
      <w:r>
        <w:rPr>
          <w:rFonts w:cs="Arial"/>
          <w:sz w:val="22"/>
          <w:szCs w:val="22"/>
          <w:lang w:val="es-CR"/>
        </w:rPr>
        <w:t xml:space="preserve"> </w:t>
      </w:r>
      <w:r w:rsidRPr="00E11E39">
        <w:rPr>
          <w:rFonts w:cs="Arial"/>
          <w:sz w:val="22"/>
          <w:szCs w:val="22"/>
          <w:lang w:val="es-CR"/>
        </w:rPr>
        <w:t xml:space="preserve">Ampliar </w:t>
      </w:r>
      <w:r>
        <w:rPr>
          <w:rFonts w:cs="Arial"/>
          <w:sz w:val="22"/>
          <w:szCs w:val="22"/>
          <w:lang w:val="es-CR"/>
        </w:rPr>
        <w:t>25 meses e</w:t>
      </w:r>
      <w:r w:rsidRPr="00E11E39">
        <w:rPr>
          <w:rFonts w:cs="Arial"/>
          <w:sz w:val="22"/>
          <w:szCs w:val="22"/>
          <w:lang w:val="es-CR"/>
        </w:rPr>
        <w:t>l plazo del Contrato de Construcción y Administración de</w:t>
      </w:r>
      <w:r>
        <w:rPr>
          <w:rFonts w:cs="Arial"/>
          <w:sz w:val="22"/>
          <w:szCs w:val="22"/>
          <w:lang w:val="es-CR"/>
        </w:rPr>
        <w:t xml:space="preserve"> </w:t>
      </w:r>
      <w:r w:rsidRPr="00E11E39">
        <w:rPr>
          <w:rFonts w:cs="Arial"/>
          <w:sz w:val="22"/>
          <w:szCs w:val="22"/>
          <w:lang w:val="es-CR"/>
        </w:rPr>
        <w:t>recurso</w:t>
      </w:r>
      <w:r>
        <w:rPr>
          <w:rFonts w:cs="Arial"/>
          <w:sz w:val="22"/>
          <w:szCs w:val="22"/>
          <w:lang w:val="es-CR"/>
        </w:rPr>
        <w:t>s</w:t>
      </w:r>
      <w:r w:rsidRPr="00E11E39">
        <w:rPr>
          <w:rFonts w:cs="Arial"/>
          <w:sz w:val="22"/>
          <w:szCs w:val="22"/>
          <w:lang w:val="es-CR"/>
        </w:rPr>
        <w:t xml:space="preserve"> del proyecto Limón 2000, a partir del 28 de diciembre de 2020</w:t>
      </w:r>
      <w:r>
        <w:rPr>
          <w:rFonts w:cs="Arial"/>
          <w:sz w:val="22"/>
          <w:szCs w:val="22"/>
          <w:lang w:val="es-CR"/>
        </w:rPr>
        <w:t xml:space="preserve"> y</w:t>
      </w:r>
      <w:r w:rsidRPr="00E11E39">
        <w:rPr>
          <w:rFonts w:cs="Arial"/>
          <w:sz w:val="22"/>
          <w:szCs w:val="22"/>
          <w:lang w:val="es-CR"/>
        </w:rPr>
        <w:t xml:space="preserve"> según el siguiente detalle: </w:t>
      </w:r>
    </w:p>
    <w:p w14:paraId="7D79C38A" w14:textId="5920E156" w:rsidR="00FE15CE" w:rsidRDefault="00FE15CE" w:rsidP="00FE15CE">
      <w:pPr>
        <w:autoSpaceDE w:val="0"/>
        <w:autoSpaceDN w:val="0"/>
        <w:adjustRightInd w:val="0"/>
        <w:spacing w:line="360" w:lineRule="auto"/>
        <w:jc w:val="both"/>
        <w:rPr>
          <w:rFonts w:cs="Arial"/>
          <w:sz w:val="22"/>
          <w:szCs w:val="22"/>
          <w:lang w:val="es-CR"/>
        </w:rPr>
      </w:pPr>
      <w:r>
        <w:rPr>
          <w:rFonts w:cs="Arial"/>
          <w:sz w:val="22"/>
          <w:szCs w:val="22"/>
          <w:lang w:val="es-CR"/>
        </w:rPr>
        <w:t xml:space="preserve">a) </w:t>
      </w:r>
      <w:r w:rsidR="00C34E50">
        <w:rPr>
          <w:rFonts w:cs="Arial"/>
          <w:sz w:val="22"/>
          <w:szCs w:val="22"/>
          <w:lang w:val="es-CR"/>
        </w:rPr>
        <w:t xml:space="preserve">Hasta el </w:t>
      </w:r>
      <w:r w:rsidRPr="00E11E39">
        <w:rPr>
          <w:rFonts w:cs="Arial"/>
          <w:sz w:val="22"/>
          <w:szCs w:val="22"/>
          <w:lang w:val="es-CR"/>
        </w:rPr>
        <w:t>28 de abril de 2021, para la ejecución de las obras.</w:t>
      </w:r>
    </w:p>
    <w:p w14:paraId="434F86C2" w14:textId="3345923A" w:rsidR="00FE15CE" w:rsidRDefault="00FE15CE" w:rsidP="00FE15CE">
      <w:pPr>
        <w:autoSpaceDE w:val="0"/>
        <w:autoSpaceDN w:val="0"/>
        <w:adjustRightInd w:val="0"/>
        <w:spacing w:line="360" w:lineRule="auto"/>
        <w:jc w:val="both"/>
        <w:rPr>
          <w:rFonts w:cs="Arial"/>
          <w:sz w:val="22"/>
          <w:szCs w:val="22"/>
          <w:lang w:val="es-CR"/>
        </w:rPr>
      </w:pPr>
      <w:r>
        <w:rPr>
          <w:rFonts w:cs="Arial"/>
          <w:sz w:val="22"/>
          <w:szCs w:val="22"/>
          <w:lang w:val="es-CR"/>
        </w:rPr>
        <w:t xml:space="preserve">b) </w:t>
      </w:r>
      <w:r w:rsidR="00C34E50">
        <w:rPr>
          <w:rFonts w:cs="Arial"/>
          <w:sz w:val="22"/>
          <w:szCs w:val="22"/>
          <w:lang w:val="es-CR"/>
        </w:rPr>
        <w:t xml:space="preserve">Hasta el </w:t>
      </w:r>
      <w:r w:rsidRPr="00E11E39">
        <w:rPr>
          <w:rFonts w:cs="Arial"/>
          <w:sz w:val="22"/>
          <w:szCs w:val="22"/>
          <w:lang w:val="es-CR"/>
        </w:rPr>
        <w:t>28 de octubre de 2022, para la operación y mantenimiento de la P</w:t>
      </w:r>
      <w:r>
        <w:rPr>
          <w:rFonts w:cs="Arial"/>
          <w:sz w:val="22"/>
          <w:szCs w:val="22"/>
          <w:lang w:val="es-CR"/>
        </w:rPr>
        <w:t>lanta de Tratamiento de Aguas Residuales</w:t>
      </w:r>
      <w:r w:rsidRPr="00E11E39">
        <w:rPr>
          <w:rFonts w:cs="Arial"/>
          <w:sz w:val="22"/>
          <w:szCs w:val="22"/>
          <w:lang w:val="es-CR"/>
        </w:rPr>
        <w:t xml:space="preserve"> </w:t>
      </w:r>
      <w:r>
        <w:rPr>
          <w:rFonts w:cs="Arial"/>
          <w:sz w:val="22"/>
          <w:szCs w:val="22"/>
          <w:lang w:val="es-CR"/>
        </w:rPr>
        <w:t>(</w:t>
      </w:r>
      <w:r w:rsidRPr="00E11E39">
        <w:rPr>
          <w:rFonts w:cs="Arial"/>
          <w:sz w:val="22"/>
          <w:szCs w:val="22"/>
          <w:lang w:val="es-CR"/>
        </w:rPr>
        <w:t>PTAR</w:t>
      </w:r>
      <w:r>
        <w:rPr>
          <w:rFonts w:cs="Arial"/>
          <w:sz w:val="22"/>
          <w:szCs w:val="22"/>
          <w:lang w:val="es-CR"/>
        </w:rPr>
        <w:t>)</w:t>
      </w:r>
      <w:r w:rsidRPr="00E11E39">
        <w:rPr>
          <w:rFonts w:cs="Arial"/>
          <w:sz w:val="22"/>
          <w:szCs w:val="22"/>
          <w:lang w:val="es-CR"/>
        </w:rPr>
        <w:t>.</w:t>
      </w:r>
    </w:p>
    <w:p w14:paraId="5CF1A39B" w14:textId="20D513C9" w:rsidR="00FE15CE" w:rsidRPr="00E11E39" w:rsidRDefault="00FE15CE" w:rsidP="00FE15CE">
      <w:pPr>
        <w:autoSpaceDE w:val="0"/>
        <w:autoSpaceDN w:val="0"/>
        <w:adjustRightInd w:val="0"/>
        <w:spacing w:line="360" w:lineRule="auto"/>
        <w:jc w:val="both"/>
        <w:rPr>
          <w:rFonts w:cs="Arial"/>
          <w:sz w:val="22"/>
          <w:szCs w:val="22"/>
          <w:lang w:val="es-CR"/>
        </w:rPr>
      </w:pPr>
      <w:r>
        <w:rPr>
          <w:rFonts w:cs="Arial"/>
          <w:sz w:val="22"/>
          <w:szCs w:val="22"/>
          <w:lang w:val="es-CR"/>
        </w:rPr>
        <w:t xml:space="preserve">c) </w:t>
      </w:r>
      <w:r w:rsidR="00C34E50">
        <w:rPr>
          <w:rFonts w:cs="Arial"/>
          <w:sz w:val="22"/>
          <w:szCs w:val="22"/>
          <w:lang w:val="es-CR"/>
        </w:rPr>
        <w:t xml:space="preserve">Hasta el </w:t>
      </w:r>
      <w:r w:rsidRPr="00E11E39">
        <w:rPr>
          <w:rFonts w:cs="Arial"/>
          <w:sz w:val="22"/>
          <w:szCs w:val="22"/>
          <w:lang w:val="es-CR"/>
        </w:rPr>
        <w:t xml:space="preserve">28 de enero de 2023, </w:t>
      </w:r>
      <w:r>
        <w:rPr>
          <w:rFonts w:cs="Arial"/>
          <w:sz w:val="22"/>
          <w:szCs w:val="22"/>
          <w:lang w:val="es-CR"/>
        </w:rPr>
        <w:t>p</w:t>
      </w:r>
      <w:r w:rsidRPr="00E11E39">
        <w:rPr>
          <w:rFonts w:cs="Arial"/>
          <w:sz w:val="22"/>
          <w:szCs w:val="22"/>
          <w:lang w:val="es-CR"/>
        </w:rPr>
        <w:t xml:space="preserve">ara la entrega del cierre técnico y financiero. </w:t>
      </w:r>
    </w:p>
    <w:p w14:paraId="625E8FE7" w14:textId="60C37E76" w:rsidR="00FE15CE" w:rsidRDefault="00FE15CE" w:rsidP="000F5FB1">
      <w:pPr>
        <w:autoSpaceDE w:val="0"/>
        <w:autoSpaceDN w:val="0"/>
        <w:adjustRightInd w:val="0"/>
        <w:spacing w:line="360" w:lineRule="auto"/>
        <w:jc w:val="both"/>
        <w:rPr>
          <w:rFonts w:cs="Arial"/>
          <w:sz w:val="22"/>
          <w:szCs w:val="22"/>
          <w:lang w:val="es-CR"/>
        </w:rPr>
      </w:pPr>
    </w:p>
    <w:p w14:paraId="4E4434AA" w14:textId="3D5B9987" w:rsidR="00630051" w:rsidRDefault="007656B9" w:rsidP="007656B9">
      <w:pPr>
        <w:spacing w:line="360" w:lineRule="auto"/>
        <w:jc w:val="both"/>
        <w:rPr>
          <w:rFonts w:cs="Arial"/>
          <w:sz w:val="22"/>
          <w:szCs w:val="22"/>
        </w:rPr>
      </w:pPr>
      <w:r w:rsidRPr="00637D85">
        <w:rPr>
          <w:rFonts w:cs="Arial"/>
          <w:b/>
          <w:bCs/>
          <w:sz w:val="22"/>
          <w:szCs w:val="22"/>
          <w:lang w:val="es-CR"/>
        </w:rPr>
        <w:t>4)</w:t>
      </w:r>
      <w:r>
        <w:rPr>
          <w:rFonts w:cs="Arial"/>
          <w:sz w:val="22"/>
          <w:szCs w:val="22"/>
          <w:lang w:val="es-CR"/>
        </w:rPr>
        <w:t xml:space="preserve"> </w:t>
      </w:r>
      <w:r>
        <w:rPr>
          <w:rFonts w:cs="Arial"/>
          <w:sz w:val="22"/>
          <w:szCs w:val="22"/>
        </w:rPr>
        <w:t xml:space="preserve">Se instruye a la </w:t>
      </w:r>
      <w:r w:rsidR="00FE15CE" w:rsidRPr="00FE15CE">
        <w:rPr>
          <w:rFonts w:cs="Arial"/>
          <w:sz w:val="22"/>
          <w:szCs w:val="22"/>
        </w:rPr>
        <w:t>Asesoría Legal</w:t>
      </w:r>
      <w:r>
        <w:rPr>
          <w:rFonts w:cs="Arial"/>
          <w:sz w:val="22"/>
          <w:szCs w:val="22"/>
          <w:lang w:val="es-ES_tradnl"/>
        </w:rPr>
        <w:t>, para que</w:t>
      </w:r>
      <w:r w:rsidR="00FE15CE">
        <w:rPr>
          <w:rFonts w:cs="Arial"/>
          <w:sz w:val="22"/>
          <w:szCs w:val="22"/>
          <w:lang w:val="es-ES_tradnl"/>
        </w:rPr>
        <w:t xml:space="preserve">, con base en </w:t>
      </w:r>
      <w:r w:rsidR="00630051">
        <w:rPr>
          <w:rFonts w:cs="Arial"/>
          <w:sz w:val="22"/>
          <w:szCs w:val="22"/>
          <w:lang w:val="es-ES_tradnl"/>
        </w:rPr>
        <w:t xml:space="preserve">el análisis de </w:t>
      </w:r>
      <w:r w:rsidR="00FE15CE">
        <w:rPr>
          <w:rFonts w:cs="Arial"/>
          <w:sz w:val="22"/>
          <w:szCs w:val="22"/>
          <w:lang w:val="es-ES_tradnl"/>
        </w:rPr>
        <w:t>las condiciones contractuales de este proyecto y</w:t>
      </w:r>
      <w:r w:rsidR="00414F7E">
        <w:rPr>
          <w:rFonts w:cs="Arial"/>
          <w:sz w:val="22"/>
          <w:szCs w:val="22"/>
          <w:lang w:val="es-ES_tradnl"/>
        </w:rPr>
        <w:t xml:space="preserve"> </w:t>
      </w:r>
      <w:r w:rsidR="00630051">
        <w:rPr>
          <w:rFonts w:cs="Arial"/>
          <w:sz w:val="22"/>
          <w:szCs w:val="22"/>
          <w:lang w:val="es-ES_tradnl"/>
        </w:rPr>
        <w:t>tomando en cuenta</w:t>
      </w:r>
      <w:r w:rsidR="00FE15CE">
        <w:rPr>
          <w:rFonts w:cs="Arial"/>
          <w:sz w:val="22"/>
          <w:szCs w:val="22"/>
          <w:lang w:val="es-ES_tradnl"/>
        </w:rPr>
        <w:t xml:space="preserve"> los argumentos señalados en los </w:t>
      </w:r>
      <w:r w:rsidR="00C34E50">
        <w:rPr>
          <w:rFonts w:cs="Arial"/>
          <w:sz w:val="22"/>
          <w:szCs w:val="22"/>
          <w:lang w:val="es-ES_tradnl"/>
        </w:rPr>
        <w:t>informes</w:t>
      </w:r>
      <w:r w:rsidR="00FE15CE">
        <w:rPr>
          <w:rFonts w:cs="Arial"/>
          <w:sz w:val="22"/>
          <w:szCs w:val="22"/>
          <w:lang w:val="es-ES_tradnl"/>
        </w:rPr>
        <w:t xml:space="preserve"> </w:t>
      </w:r>
      <w:r w:rsidR="00414F7E">
        <w:rPr>
          <w:rFonts w:cs="Arial"/>
          <w:sz w:val="22"/>
          <w:szCs w:val="22"/>
          <w:lang w:val="es-ES_tradnl"/>
        </w:rPr>
        <w:t>expuestos en esta sesión</w:t>
      </w:r>
      <w:r w:rsidR="00FE15CE">
        <w:rPr>
          <w:rFonts w:cs="Arial"/>
          <w:sz w:val="22"/>
          <w:szCs w:val="22"/>
          <w:lang w:val="es-ES_tradnl"/>
        </w:rPr>
        <w:t xml:space="preserve">, dictamine sobre la pertinencia jurídica de financiar, con recursos del FOSUVI, los </w:t>
      </w:r>
      <w:r w:rsidR="00414F7E">
        <w:rPr>
          <w:rFonts w:cs="Arial"/>
          <w:sz w:val="22"/>
          <w:szCs w:val="22"/>
          <w:lang w:val="es-ES_tradnl"/>
        </w:rPr>
        <w:t xml:space="preserve">rubros </w:t>
      </w:r>
      <w:r w:rsidR="00FE15CE" w:rsidRPr="00FE15CE">
        <w:rPr>
          <w:rFonts w:cs="Arial"/>
          <w:sz w:val="22"/>
          <w:szCs w:val="22"/>
        </w:rPr>
        <w:t xml:space="preserve">adicionales </w:t>
      </w:r>
      <w:r w:rsidR="00FE15CE">
        <w:rPr>
          <w:rFonts w:cs="Arial"/>
          <w:sz w:val="22"/>
          <w:szCs w:val="22"/>
        </w:rPr>
        <w:t xml:space="preserve">propuestos </w:t>
      </w:r>
      <w:r w:rsidR="00FE15CE" w:rsidRPr="00FE15CE">
        <w:rPr>
          <w:rFonts w:cs="Arial"/>
          <w:sz w:val="22"/>
          <w:szCs w:val="22"/>
        </w:rPr>
        <w:t xml:space="preserve">por </w:t>
      </w:r>
      <w:r w:rsidR="00FE15CE">
        <w:rPr>
          <w:rFonts w:cs="Arial"/>
          <w:sz w:val="22"/>
          <w:szCs w:val="22"/>
        </w:rPr>
        <w:t xml:space="preserve">la empresa desarrolladora y avalados por la entidad autorizada, relacionados con la </w:t>
      </w:r>
      <w:r w:rsidR="00FE15CE" w:rsidRPr="00FE15CE">
        <w:rPr>
          <w:rFonts w:cs="Arial"/>
          <w:sz w:val="22"/>
          <w:szCs w:val="22"/>
        </w:rPr>
        <w:t xml:space="preserve">aplicación de protocolos por </w:t>
      </w:r>
      <w:r w:rsidR="00414F7E">
        <w:rPr>
          <w:rFonts w:cs="Arial"/>
          <w:sz w:val="22"/>
          <w:szCs w:val="22"/>
        </w:rPr>
        <w:t>la pandemia del C</w:t>
      </w:r>
      <w:r w:rsidR="00FE15CE" w:rsidRPr="00FE15CE">
        <w:rPr>
          <w:rFonts w:cs="Arial"/>
          <w:sz w:val="22"/>
          <w:szCs w:val="22"/>
        </w:rPr>
        <w:t>ovid-19</w:t>
      </w:r>
      <w:r w:rsidR="00414F7E">
        <w:rPr>
          <w:rFonts w:cs="Arial"/>
          <w:sz w:val="22"/>
          <w:szCs w:val="22"/>
        </w:rPr>
        <w:t>.</w:t>
      </w:r>
    </w:p>
    <w:p w14:paraId="428957CC" w14:textId="77777777" w:rsidR="00630051" w:rsidRDefault="00630051" w:rsidP="007656B9">
      <w:pPr>
        <w:spacing w:line="360" w:lineRule="auto"/>
        <w:jc w:val="both"/>
        <w:rPr>
          <w:rFonts w:cs="Arial"/>
          <w:sz w:val="22"/>
          <w:szCs w:val="22"/>
        </w:rPr>
      </w:pPr>
    </w:p>
    <w:p w14:paraId="3DE7B88E" w14:textId="2759DA31" w:rsidR="00630051" w:rsidRPr="00630051" w:rsidRDefault="00414F7E" w:rsidP="007656B9">
      <w:pPr>
        <w:spacing w:line="360" w:lineRule="auto"/>
        <w:jc w:val="both"/>
        <w:rPr>
          <w:rFonts w:cs="Arial"/>
          <w:sz w:val="22"/>
          <w:szCs w:val="22"/>
        </w:rPr>
      </w:pPr>
      <w:r>
        <w:rPr>
          <w:rFonts w:cs="Arial"/>
          <w:sz w:val="22"/>
          <w:szCs w:val="22"/>
        </w:rPr>
        <w:lastRenderedPageBreak/>
        <w:t xml:space="preserve">Dicho dictamen </w:t>
      </w:r>
      <w:r w:rsidR="00F948F4">
        <w:rPr>
          <w:rFonts w:cs="Arial"/>
          <w:sz w:val="22"/>
          <w:szCs w:val="22"/>
        </w:rPr>
        <w:t xml:space="preserve">legal </w:t>
      </w:r>
      <w:r>
        <w:rPr>
          <w:rFonts w:cs="Arial"/>
          <w:sz w:val="22"/>
          <w:szCs w:val="22"/>
        </w:rPr>
        <w:t>deber</w:t>
      </w:r>
      <w:r w:rsidR="00630051">
        <w:rPr>
          <w:rFonts w:cs="Arial"/>
          <w:sz w:val="22"/>
          <w:szCs w:val="22"/>
        </w:rPr>
        <w:t xml:space="preserve">á ser considerado por la </w:t>
      </w:r>
      <w:r w:rsidR="00630051" w:rsidRPr="00630051">
        <w:rPr>
          <w:rFonts w:cs="Arial"/>
          <w:sz w:val="22"/>
          <w:szCs w:val="22"/>
          <w:lang w:val="es-ES_tradnl"/>
        </w:rPr>
        <w:t>Administración</w:t>
      </w:r>
      <w:r w:rsidR="00630051">
        <w:rPr>
          <w:rFonts w:cs="Arial"/>
          <w:sz w:val="22"/>
          <w:szCs w:val="22"/>
          <w:lang w:val="es-ES_tradnl"/>
        </w:rPr>
        <w:t xml:space="preserve">, </w:t>
      </w:r>
      <w:r w:rsidR="00F948F4">
        <w:rPr>
          <w:rFonts w:cs="Arial"/>
          <w:sz w:val="22"/>
          <w:szCs w:val="22"/>
          <w:lang w:val="es-ES_tradnl"/>
        </w:rPr>
        <w:t xml:space="preserve">para </w:t>
      </w:r>
      <w:r w:rsidR="00630051">
        <w:rPr>
          <w:rFonts w:cs="Arial"/>
          <w:sz w:val="22"/>
          <w:szCs w:val="22"/>
          <w:lang w:val="es-ES_tradnl"/>
        </w:rPr>
        <w:t xml:space="preserve">presentar a esta </w:t>
      </w:r>
      <w:r w:rsidR="00630051" w:rsidRPr="00630051">
        <w:rPr>
          <w:rFonts w:cs="Arial"/>
          <w:sz w:val="22"/>
          <w:szCs w:val="22"/>
          <w:lang w:val="es-ES_tradnl"/>
        </w:rPr>
        <w:t>Junta Directiva</w:t>
      </w:r>
      <w:r w:rsidR="00C34E50">
        <w:rPr>
          <w:rFonts w:cs="Arial"/>
          <w:sz w:val="22"/>
          <w:szCs w:val="22"/>
          <w:lang w:val="es-ES_tradnl"/>
        </w:rPr>
        <w:t>,</w:t>
      </w:r>
      <w:r w:rsidR="00630051">
        <w:rPr>
          <w:rFonts w:cs="Arial"/>
          <w:sz w:val="22"/>
          <w:szCs w:val="22"/>
          <w:lang w:val="es-ES_tradnl"/>
        </w:rPr>
        <w:t xml:space="preserve"> una recomendación sobre el eventual financiamiento de dichos costos.</w:t>
      </w:r>
    </w:p>
    <w:p w14:paraId="0C8391B8" w14:textId="77777777" w:rsidR="00FE15CE" w:rsidRDefault="00FE15CE" w:rsidP="007656B9">
      <w:pPr>
        <w:spacing w:line="360" w:lineRule="auto"/>
        <w:jc w:val="both"/>
        <w:rPr>
          <w:rFonts w:cs="Arial"/>
          <w:sz w:val="22"/>
          <w:szCs w:val="22"/>
          <w:lang w:val="es-ES_tradnl"/>
        </w:rPr>
      </w:pPr>
    </w:p>
    <w:p w14:paraId="22301A22" w14:textId="56E04F63" w:rsidR="002B71CC" w:rsidRDefault="00FE15CE" w:rsidP="00FE15CE">
      <w:pPr>
        <w:autoSpaceDE w:val="0"/>
        <w:autoSpaceDN w:val="0"/>
        <w:adjustRightInd w:val="0"/>
        <w:spacing w:line="360" w:lineRule="auto"/>
        <w:jc w:val="both"/>
        <w:rPr>
          <w:rFonts w:cs="Arial"/>
          <w:sz w:val="22"/>
          <w:szCs w:val="22"/>
        </w:rPr>
      </w:pPr>
      <w:r>
        <w:rPr>
          <w:rFonts w:cs="Arial"/>
          <w:b/>
          <w:bCs/>
          <w:sz w:val="22"/>
          <w:szCs w:val="22"/>
          <w:lang w:val="es-CR"/>
        </w:rPr>
        <w:t>5</w:t>
      </w:r>
      <w:r w:rsidRPr="000F5FB1">
        <w:rPr>
          <w:rFonts w:cs="Arial"/>
          <w:b/>
          <w:bCs/>
          <w:sz w:val="22"/>
          <w:szCs w:val="22"/>
          <w:lang w:val="es-CR"/>
        </w:rPr>
        <w:t>)</w:t>
      </w:r>
      <w:r>
        <w:rPr>
          <w:rFonts w:cs="Arial"/>
          <w:sz w:val="22"/>
          <w:szCs w:val="22"/>
          <w:lang w:val="es-CR"/>
        </w:rPr>
        <w:t xml:space="preserve"> Deberá </w:t>
      </w:r>
      <w:r w:rsidRPr="000F5FB1">
        <w:rPr>
          <w:rFonts w:cs="Arial"/>
          <w:sz w:val="22"/>
          <w:szCs w:val="22"/>
          <w:lang w:val="es-CR"/>
        </w:rPr>
        <w:t>realizar</w:t>
      </w:r>
      <w:r>
        <w:rPr>
          <w:rFonts w:cs="Arial"/>
          <w:sz w:val="22"/>
          <w:szCs w:val="22"/>
          <w:lang w:val="es-CR"/>
        </w:rPr>
        <w:t>se</w:t>
      </w:r>
      <w:r w:rsidRPr="000F5FB1">
        <w:rPr>
          <w:rFonts w:cs="Arial"/>
          <w:sz w:val="22"/>
          <w:szCs w:val="22"/>
          <w:lang w:val="es-CR"/>
        </w:rPr>
        <w:t xml:space="preserve"> una adenda al contrato de administración de recursos</w:t>
      </w:r>
      <w:r>
        <w:rPr>
          <w:rFonts w:cs="Arial"/>
          <w:sz w:val="22"/>
          <w:szCs w:val="22"/>
          <w:lang w:val="es-CR"/>
        </w:rPr>
        <w:t>,</w:t>
      </w:r>
      <w:r w:rsidRPr="000F5FB1">
        <w:rPr>
          <w:rFonts w:cs="Arial"/>
          <w:sz w:val="22"/>
          <w:szCs w:val="22"/>
          <w:lang w:val="es-CR"/>
        </w:rPr>
        <w:t xml:space="preserve"> independiente al principal, con los plazos y </w:t>
      </w:r>
      <w:r w:rsidR="00C34E50">
        <w:rPr>
          <w:rFonts w:cs="Arial"/>
          <w:sz w:val="22"/>
          <w:szCs w:val="22"/>
          <w:lang w:val="es-CR"/>
        </w:rPr>
        <w:t xml:space="preserve">los </w:t>
      </w:r>
      <w:r w:rsidRPr="000F5FB1">
        <w:rPr>
          <w:rFonts w:cs="Arial"/>
          <w:sz w:val="22"/>
          <w:szCs w:val="22"/>
          <w:lang w:val="es-CR"/>
        </w:rPr>
        <w:t xml:space="preserve">montos </w:t>
      </w:r>
      <w:r>
        <w:rPr>
          <w:rFonts w:cs="Arial"/>
          <w:sz w:val="22"/>
          <w:szCs w:val="22"/>
          <w:lang w:val="es-CR"/>
        </w:rPr>
        <w:t xml:space="preserve">aprobados en el </w:t>
      </w:r>
      <w:r w:rsidRPr="000F5FB1">
        <w:rPr>
          <w:rFonts w:cs="Arial"/>
          <w:sz w:val="22"/>
          <w:szCs w:val="22"/>
          <w:lang w:val="es-CR"/>
        </w:rPr>
        <w:t xml:space="preserve">presente </w:t>
      </w:r>
      <w:r>
        <w:rPr>
          <w:rFonts w:cs="Arial"/>
          <w:sz w:val="22"/>
          <w:szCs w:val="22"/>
          <w:lang w:val="es-CR"/>
        </w:rPr>
        <w:t>acuerdo</w:t>
      </w:r>
      <w:r w:rsidRPr="000F5FB1">
        <w:rPr>
          <w:rFonts w:cs="Arial"/>
          <w:sz w:val="22"/>
          <w:szCs w:val="22"/>
          <w:lang w:val="es-CR"/>
        </w:rPr>
        <w:t>.</w:t>
      </w:r>
    </w:p>
    <w:p w14:paraId="2A673CE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599413D" w14:textId="77777777" w:rsidR="002B71CC" w:rsidRPr="00D14EAF" w:rsidRDefault="002B71CC" w:rsidP="002B71CC">
      <w:pPr>
        <w:spacing w:line="360" w:lineRule="auto"/>
        <w:jc w:val="both"/>
        <w:rPr>
          <w:rFonts w:cs="Arial"/>
          <w:b/>
          <w:sz w:val="22"/>
        </w:rPr>
      </w:pPr>
      <w:r w:rsidRPr="00D14EAF">
        <w:rPr>
          <w:rFonts w:cs="Arial"/>
          <w:b/>
          <w:sz w:val="22"/>
        </w:rPr>
        <w:t>************</w:t>
      </w:r>
    </w:p>
    <w:p w14:paraId="10A74E50" w14:textId="77777777" w:rsidR="002B71CC" w:rsidRDefault="002B71CC" w:rsidP="002B71CC">
      <w:pPr>
        <w:spacing w:line="360" w:lineRule="auto"/>
        <w:jc w:val="both"/>
        <w:rPr>
          <w:rFonts w:cs="Arial"/>
          <w:sz w:val="22"/>
          <w:lang w:val="es-ES_tradnl"/>
        </w:rPr>
      </w:pPr>
    </w:p>
    <w:p w14:paraId="7D73FC5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1809951D" w14:textId="240CD50E" w:rsidR="002B71CC" w:rsidRDefault="00F165DF" w:rsidP="002B71CC">
      <w:pPr>
        <w:spacing w:line="360" w:lineRule="auto"/>
        <w:jc w:val="both"/>
        <w:rPr>
          <w:rFonts w:cs="Arial"/>
          <w:sz w:val="22"/>
          <w:szCs w:val="22"/>
        </w:rPr>
      </w:pPr>
      <w:r>
        <w:rPr>
          <w:rFonts w:cs="Arial"/>
          <w:sz w:val="22"/>
          <w:szCs w:val="22"/>
        </w:rPr>
        <w:t xml:space="preserve">Instruir a la </w:t>
      </w:r>
      <w:r w:rsidRPr="001E4BDE">
        <w:rPr>
          <w:rFonts w:cs="Arial"/>
          <w:sz w:val="22"/>
          <w:szCs w:val="22"/>
          <w:lang w:val="es-ES_tradnl"/>
        </w:rPr>
        <w:t>Administración</w:t>
      </w:r>
      <w:r>
        <w:rPr>
          <w:rFonts w:cs="Arial"/>
          <w:sz w:val="22"/>
          <w:szCs w:val="22"/>
          <w:lang w:val="es-ES_tradnl"/>
        </w:rPr>
        <w:t xml:space="preserve">, para que presente a esta </w:t>
      </w:r>
      <w:r w:rsidRPr="00F165DF">
        <w:rPr>
          <w:rFonts w:cs="Arial"/>
          <w:sz w:val="22"/>
          <w:szCs w:val="22"/>
          <w:lang w:val="es-ES_tradnl"/>
        </w:rPr>
        <w:t>Junta Directiva</w:t>
      </w:r>
      <w:r>
        <w:rPr>
          <w:rFonts w:cs="Arial"/>
          <w:sz w:val="22"/>
          <w:szCs w:val="22"/>
          <w:lang w:val="es-ES_tradnl"/>
        </w:rPr>
        <w:t>, dentro de los próximos 15 días,  una propuesta de previsión dirigida a las entidades autorizadas, con respecto al giro y gestión de los recursos para proyectos de Bono Colectivo, en lo que resta del presente año.</w:t>
      </w:r>
    </w:p>
    <w:p w14:paraId="42AA2FA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5F2393D" w14:textId="77777777" w:rsidR="002B71CC" w:rsidRPr="00D14EAF" w:rsidRDefault="002B71CC" w:rsidP="002B71CC">
      <w:pPr>
        <w:spacing w:line="360" w:lineRule="auto"/>
        <w:jc w:val="both"/>
        <w:rPr>
          <w:rFonts w:cs="Arial"/>
          <w:b/>
          <w:sz w:val="22"/>
        </w:rPr>
      </w:pPr>
      <w:r w:rsidRPr="00D14EAF">
        <w:rPr>
          <w:rFonts w:cs="Arial"/>
          <w:b/>
          <w:sz w:val="22"/>
        </w:rPr>
        <w:t>************</w:t>
      </w:r>
    </w:p>
    <w:p w14:paraId="47926BC1" w14:textId="77777777" w:rsidR="002B71CC" w:rsidRDefault="002B71CC" w:rsidP="002B71CC">
      <w:pPr>
        <w:spacing w:line="360" w:lineRule="auto"/>
        <w:jc w:val="both"/>
        <w:rPr>
          <w:rFonts w:cs="Arial"/>
          <w:sz w:val="22"/>
          <w:lang w:val="es-ES_tradnl"/>
        </w:rPr>
      </w:pPr>
    </w:p>
    <w:p w14:paraId="573CB51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07036772" w14:textId="77777777" w:rsidR="001461B2" w:rsidRPr="00B346F1" w:rsidRDefault="001461B2" w:rsidP="001461B2">
      <w:pPr>
        <w:spacing w:line="360" w:lineRule="auto"/>
        <w:jc w:val="both"/>
        <w:rPr>
          <w:rFonts w:cs="Arial"/>
          <w:b/>
          <w:bCs/>
          <w:sz w:val="22"/>
          <w:szCs w:val="22"/>
        </w:rPr>
      </w:pPr>
      <w:r w:rsidRPr="00B346F1">
        <w:rPr>
          <w:rFonts w:cs="Arial"/>
          <w:b/>
          <w:bCs/>
          <w:sz w:val="22"/>
          <w:szCs w:val="22"/>
        </w:rPr>
        <w:t>Considerando:</w:t>
      </w:r>
    </w:p>
    <w:p w14:paraId="28A431DE" w14:textId="08C102D3" w:rsidR="001461B2" w:rsidRDefault="001461B2" w:rsidP="001461B2">
      <w:pPr>
        <w:spacing w:line="360" w:lineRule="auto"/>
        <w:jc w:val="both"/>
        <w:rPr>
          <w:rFonts w:cs="Arial"/>
          <w:sz w:val="22"/>
          <w:szCs w:val="22"/>
          <w:lang w:val="es-CR"/>
        </w:rPr>
      </w:pPr>
      <w:r w:rsidRPr="00B346F1">
        <w:rPr>
          <w:rFonts w:cs="Arial"/>
          <w:b/>
          <w:bCs/>
          <w:sz w:val="22"/>
          <w:szCs w:val="22"/>
        </w:rPr>
        <w:t>Primero:</w:t>
      </w:r>
      <w:r w:rsidRPr="00B346F1">
        <w:rPr>
          <w:rFonts w:cs="Arial"/>
          <w:sz w:val="22"/>
          <w:szCs w:val="22"/>
        </w:rPr>
        <w:t xml:space="preserve"> Que mediante el oficio </w:t>
      </w:r>
      <w:r>
        <w:rPr>
          <w:rFonts w:cs="Arial"/>
          <w:sz w:val="22"/>
          <w:szCs w:val="22"/>
        </w:rPr>
        <w:t>GG</w:t>
      </w:r>
      <w:r w:rsidRPr="00B346F1">
        <w:rPr>
          <w:rFonts w:cs="Arial"/>
          <w:sz w:val="22"/>
          <w:szCs w:val="22"/>
        </w:rPr>
        <w:t>-ME-</w:t>
      </w:r>
      <w:r>
        <w:rPr>
          <w:rFonts w:cs="Arial"/>
          <w:sz w:val="22"/>
          <w:szCs w:val="22"/>
        </w:rPr>
        <w:t>1217</w:t>
      </w:r>
      <w:r w:rsidRPr="00B346F1">
        <w:rPr>
          <w:rFonts w:cs="Arial"/>
          <w:sz w:val="22"/>
          <w:szCs w:val="22"/>
        </w:rPr>
        <w:t>-20</w:t>
      </w:r>
      <w:r>
        <w:rPr>
          <w:rFonts w:cs="Arial"/>
          <w:sz w:val="22"/>
          <w:szCs w:val="22"/>
        </w:rPr>
        <w:t>20</w:t>
      </w:r>
      <w:r w:rsidRPr="00B346F1">
        <w:rPr>
          <w:rFonts w:cs="Arial"/>
          <w:sz w:val="22"/>
          <w:szCs w:val="22"/>
        </w:rPr>
        <w:t xml:space="preserve"> del </w:t>
      </w:r>
      <w:r>
        <w:rPr>
          <w:rFonts w:cs="Arial"/>
          <w:sz w:val="22"/>
          <w:szCs w:val="22"/>
        </w:rPr>
        <w:t>22</w:t>
      </w:r>
      <w:r w:rsidRPr="00B346F1">
        <w:rPr>
          <w:rFonts w:cs="Arial"/>
          <w:sz w:val="22"/>
          <w:szCs w:val="22"/>
        </w:rPr>
        <w:t xml:space="preserve"> de </w:t>
      </w:r>
      <w:r>
        <w:rPr>
          <w:rFonts w:cs="Arial"/>
          <w:sz w:val="22"/>
          <w:szCs w:val="22"/>
        </w:rPr>
        <w:t>octubre</w:t>
      </w:r>
      <w:r w:rsidRPr="00B346F1">
        <w:rPr>
          <w:rFonts w:cs="Arial"/>
          <w:sz w:val="22"/>
          <w:szCs w:val="22"/>
        </w:rPr>
        <w:t xml:space="preserve"> de 20</w:t>
      </w:r>
      <w:r>
        <w:rPr>
          <w:rFonts w:cs="Arial"/>
          <w:sz w:val="22"/>
          <w:szCs w:val="22"/>
        </w:rPr>
        <w:t>20</w:t>
      </w:r>
      <w:r w:rsidRPr="00B346F1">
        <w:rPr>
          <w:rFonts w:cs="Arial"/>
          <w:sz w:val="22"/>
          <w:szCs w:val="22"/>
        </w:rPr>
        <w:t xml:space="preserve">, </w:t>
      </w:r>
      <w:r>
        <w:rPr>
          <w:rFonts w:cs="Arial"/>
          <w:sz w:val="22"/>
          <w:szCs w:val="22"/>
        </w:rPr>
        <w:t xml:space="preserve">el asistente de la </w:t>
      </w:r>
      <w:r w:rsidRPr="009C6BBA">
        <w:rPr>
          <w:rFonts w:cs="Arial"/>
          <w:sz w:val="22"/>
          <w:szCs w:val="22"/>
        </w:rPr>
        <w:t>Gerencia General</w:t>
      </w:r>
      <w:r w:rsidRPr="00B346F1">
        <w:rPr>
          <w:rFonts w:cs="Arial"/>
          <w:sz w:val="22"/>
          <w:szCs w:val="22"/>
        </w:rPr>
        <w:t xml:space="preserve"> somete a la consideración de esta Junta Directiva, el Presupuesto Extraordinario N°</w:t>
      </w:r>
      <w:r>
        <w:rPr>
          <w:rFonts w:cs="Arial"/>
          <w:sz w:val="22"/>
          <w:szCs w:val="22"/>
        </w:rPr>
        <w:t xml:space="preserve"> 2</w:t>
      </w:r>
      <w:r w:rsidRPr="00B346F1">
        <w:rPr>
          <w:rFonts w:cs="Arial"/>
          <w:sz w:val="22"/>
          <w:szCs w:val="22"/>
        </w:rPr>
        <w:t xml:space="preserve"> al Presupuesto Ordinario 20</w:t>
      </w:r>
      <w:r>
        <w:rPr>
          <w:rFonts w:cs="Arial"/>
          <w:sz w:val="22"/>
          <w:szCs w:val="22"/>
        </w:rPr>
        <w:t>20</w:t>
      </w:r>
      <w:r w:rsidRPr="00B346F1">
        <w:rPr>
          <w:rFonts w:cs="Arial"/>
          <w:sz w:val="22"/>
          <w:szCs w:val="22"/>
        </w:rPr>
        <w:t xml:space="preserve"> del BANHVI, el que –según lo indica el documento adjunto a la nota DFC-OF-</w:t>
      </w:r>
      <w:r>
        <w:rPr>
          <w:rFonts w:cs="Arial"/>
          <w:sz w:val="22"/>
          <w:szCs w:val="22"/>
        </w:rPr>
        <w:t>0243-</w:t>
      </w:r>
      <w:r w:rsidRPr="00B346F1">
        <w:rPr>
          <w:rFonts w:cs="Arial"/>
          <w:sz w:val="22"/>
          <w:szCs w:val="22"/>
        </w:rPr>
        <w:t>20</w:t>
      </w:r>
      <w:r>
        <w:rPr>
          <w:rFonts w:cs="Arial"/>
          <w:sz w:val="22"/>
          <w:szCs w:val="22"/>
        </w:rPr>
        <w:t>20</w:t>
      </w:r>
      <w:r w:rsidRPr="00B346F1">
        <w:rPr>
          <w:rFonts w:cs="Arial"/>
          <w:sz w:val="22"/>
          <w:szCs w:val="22"/>
        </w:rPr>
        <w:t xml:space="preserve"> del Departamento Financiero Contable– tiene el propósito </w:t>
      </w:r>
      <w:r>
        <w:rPr>
          <w:rFonts w:cs="Arial"/>
          <w:sz w:val="22"/>
          <w:szCs w:val="22"/>
        </w:rPr>
        <w:t xml:space="preserve">de </w:t>
      </w:r>
      <w:r w:rsidRPr="00991D9C">
        <w:rPr>
          <w:rFonts w:cs="Arial"/>
          <w:sz w:val="22"/>
          <w:szCs w:val="22"/>
          <w:lang w:val="es-CR"/>
        </w:rPr>
        <w:t>incluir en el Presupuesto Ordinario 2020, varios ajustes en las partidas de ingresos y de egresos, para el ejercicio económico 2020</w:t>
      </w:r>
      <w:r>
        <w:rPr>
          <w:rFonts w:cs="Arial"/>
          <w:sz w:val="22"/>
          <w:szCs w:val="22"/>
          <w:lang w:val="es-CR"/>
        </w:rPr>
        <w:t>, incorporando nuevos ingresos del FOSUVI (Bono Colectivo, Junta de Protección Social y FODESAF), por la suma total de ¢46.027.568.174,28.</w:t>
      </w:r>
    </w:p>
    <w:p w14:paraId="6F9611F8" w14:textId="6B3C5592" w:rsidR="001461B2" w:rsidRDefault="001461B2" w:rsidP="001461B2">
      <w:pPr>
        <w:spacing w:line="360" w:lineRule="auto"/>
        <w:jc w:val="both"/>
        <w:rPr>
          <w:rFonts w:cs="Arial"/>
          <w:sz w:val="22"/>
          <w:szCs w:val="22"/>
          <w:lang w:val="es-CR"/>
        </w:rPr>
      </w:pPr>
    </w:p>
    <w:p w14:paraId="64D9B231" w14:textId="54D516FF" w:rsidR="001461B2" w:rsidRDefault="001461B2" w:rsidP="001461B2">
      <w:pPr>
        <w:spacing w:line="360" w:lineRule="auto"/>
        <w:jc w:val="both"/>
        <w:rPr>
          <w:rFonts w:cs="Arial"/>
          <w:sz w:val="22"/>
          <w:szCs w:val="22"/>
          <w:lang w:val="es-CR"/>
        </w:rPr>
      </w:pPr>
      <w:r w:rsidRPr="001461B2">
        <w:rPr>
          <w:rFonts w:cs="Arial"/>
          <w:b/>
          <w:bCs/>
          <w:sz w:val="22"/>
          <w:szCs w:val="22"/>
          <w:lang w:val="es-CR"/>
        </w:rPr>
        <w:t>Segundo:</w:t>
      </w:r>
      <w:r>
        <w:rPr>
          <w:rFonts w:cs="Arial"/>
          <w:sz w:val="22"/>
          <w:szCs w:val="22"/>
          <w:lang w:val="es-CR"/>
        </w:rPr>
        <w:t xml:space="preserve"> Que </w:t>
      </w:r>
      <w:r w:rsidR="004A16E7">
        <w:rPr>
          <w:rFonts w:cs="Arial"/>
          <w:sz w:val="22"/>
          <w:szCs w:val="22"/>
          <w:lang w:val="es-CR"/>
        </w:rPr>
        <w:t>dicho documento presupuestario –</w:t>
      </w:r>
      <w:r>
        <w:rPr>
          <w:rFonts w:cs="Arial"/>
          <w:sz w:val="22"/>
          <w:szCs w:val="22"/>
          <w:lang w:val="es-CR"/>
        </w:rPr>
        <w:t>según</w:t>
      </w:r>
      <w:r w:rsidR="004A16E7">
        <w:rPr>
          <w:rFonts w:cs="Arial"/>
          <w:sz w:val="22"/>
          <w:szCs w:val="22"/>
          <w:lang w:val="es-CR"/>
        </w:rPr>
        <w:t xml:space="preserve"> </w:t>
      </w:r>
      <w:r>
        <w:rPr>
          <w:rFonts w:cs="Arial"/>
          <w:sz w:val="22"/>
          <w:szCs w:val="22"/>
          <w:lang w:val="es-CR"/>
        </w:rPr>
        <w:t xml:space="preserve">lo </w:t>
      </w:r>
      <w:r w:rsidR="004A16E7">
        <w:rPr>
          <w:rFonts w:cs="Arial"/>
          <w:sz w:val="22"/>
          <w:szCs w:val="22"/>
          <w:lang w:val="es-CR"/>
        </w:rPr>
        <w:t xml:space="preserve">señala </w:t>
      </w:r>
      <w:r>
        <w:rPr>
          <w:rFonts w:cs="Arial"/>
          <w:sz w:val="22"/>
          <w:szCs w:val="22"/>
          <w:lang w:val="es-CR"/>
        </w:rPr>
        <w:t xml:space="preserve">el Departamento Financiero Contable en </w:t>
      </w:r>
      <w:r w:rsidR="004A16E7">
        <w:rPr>
          <w:rFonts w:cs="Arial"/>
          <w:sz w:val="22"/>
          <w:szCs w:val="22"/>
          <w:lang w:val="es-CR"/>
        </w:rPr>
        <w:t>su</w:t>
      </w:r>
      <w:r>
        <w:rPr>
          <w:rFonts w:cs="Arial"/>
          <w:sz w:val="22"/>
          <w:szCs w:val="22"/>
          <w:lang w:val="es-CR"/>
        </w:rPr>
        <w:t xml:space="preserve"> informe</w:t>
      </w:r>
      <w:r w:rsidR="004A16E7">
        <w:rPr>
          <w:rFonts w:cs="Arial"/>
          <w:sz w:val="22"/>
          <w:szCs w:val="22"/>
          <w:lang w:val="es-CR"/>
        </w:rPr>
        <w:t xml:space="preserve">– contempla </w:t>
      </w:r>
      <w:r w:rsidRPr="001461B2">
        <w:rPr>
          <w:rFonts w:cs="Arial"/>
          <w:sz w:val="22"/>
          <w:szCs w:val="22"/>
          <w:lang w:val="es-CR"/>
        </w:rPr>
        <w:t xml:space="preserve">las observaciones </w:t>
      </w:r>
      <w:r w:rsidR="004A16E7">
        <w:rPr>
          <w:rFonts w:cs="Arial"/>
          <w:sz w:val="22"/>
          <w:szCs w:val="22"/>
          <w:lang w:val="es-CR"/>
        </w:rPr>
        <w:t xml:space="preserve">expuestas </w:t>
      </w:r>
      <w:r w:rsidRPr="001461B2">
        <w:rPr>
          <w:rFonts w:cs="Arial"/>
          <w:sz w:val="22"/>
          <w:szCs w:val="22"/>
          <w:lang w:val="es-CR"/>
        </w:rPr>
        <w:t xml:space="preserve">por la </w:t>
      </w:r>
      <w:r w:rsidR="004A16E7">
        <w:rPr>
          <w:rFonts w:cs="Arial"/>
          <w:sz w:val="22"/>
          <w:lang w:val="es-ES_tradnl"/>
        </w:rPr>
        <w:t xml:space="preserve">Contraloría General de la República, </w:t>
      </w:r>
      <w:r w:rsidR="004A16E7" w:rsidRPr="001461B2">
        <w:rPr>
          <w:rFonts w:cs="Arial"/>
          <w:sz w:val="22"/>
          <w:szCs w:val="22"/>
          <w:lang w:val="es-CR"/>
        </w:rPr>
        <w:t xml:space="preserve">mediante oficio </w:t>
      </w:r>
      <w:r w:rsidR="004A16E7">
        <w:rPr>
          <w:rFonts w:cs="Arial"/>
          <w:sz w:val="22"/>
          <w:szCs w:val="22"/>
          <w:lang w:val="es-CR"/>
        </w:rPr>
        <w:t>N° 15989 (</w:t>
      </w:r>
      <w:r w:rsidR="004A16E7" w:rsidRPr="001461B2">
        <w:rPr>
          <w:rFonts w:cs="Arial"/>
          <w:sz w:val="22"/>
          <w:szCs w:val="22"/>
          <w:lang w:val="es-CR"/>
        </w:rPr>
        <w:t>DFOE-</w:t>
      </w:r>
      <w:r w:rsidR="004A16E7">
        <w:rPr>
          <w:rFonts w:cs="Arial"/>
          <w:sz w:val="22"/>
          <w:szCs w:val="22"/>
          <w:lang w:val="es-CR"/>
        </w:rPr>
        <w:t>EC-</w:t>
      </w:r>
      <w:r w:rsidR="004A16E7" w:rsidRPr="001461B2">
        <w:rPr>
          <w:rFonts w:cs="Arial"/>
          <w:sz w:val="22"/>
          <w:szCs w:val="22"/>
          <w:lang w:val="es-CR"/>
        </w:rPr>
        <w:t>1093</w:t>
      </w:r>
      <w:r w:rsidR="004A16E7">
        <w:rPr>
          <w:rFonts w:cs="Arial"/>
          <w:sz w:val="22"/>
          <w:szCs w:val="22"/>
          <w:lang w:val="es-CR"/>
        </w:rPr>
        <w:t>)</w:t>
      </w:r>
      <w:r w:rsidR="004A16E7" w:rsidRPr="001461B2">
        <w:rPr>
          <w:rFonts w:cs="Arial"/>
          <w:sz w:val="22"/>
          <w:szCs w:val="22"/>
          <w:lang w:val="es-CR"/>
        </w:rPr>
        <w:t xml:space="preserve"> del 15 de octubre</w:t>
      </w:r>
      <w:r w:rsidR="004A16E7">
        <w:rPr>
          <w:rFonts w:cs="Arial"/>
          <w:sz w:val="22"/>
          <w:szCs w:val="22"/>
          <w:lang w:val="es-CR"/>
        </w:rPr>
        <w:t xml:space="preserve"> de 2020, referido a la </w:t>
      </w:r>
      <w:r w:rsidRPr="001461B2">
        <w:rPr>
          <w:rFonts w:cs="Arial"/>
          <w:sz w:val="22"/>
          <w:szCs w:val="22"/>
          <w:lang w:val="es-CR"/>
        </w:rPr>
        <w:t>improbación del Presupuesto Extraordinario N° 1-2020</w:t>
      </w:r>
      <w:r w:rsidR="004A16E7">
        <w:rPr>
          <w:rFonts w:cs="Arial"/>
          <w:sz w:val="22"/>
          <w:szCs w:val="22"/>
          <w:lang w:val="es-CR"/>
        </w:rPr>
        <w:t>.</w:t>
      </w:r>
      <w:r w:rsidRPr="001461B2">
        <w:rPr>
          <w:rFonts w:cs="Arial"/>
          <w:sz w:val="22"/>
          <w:szCs w:val="22"/>
          <w:lang w:val="es-CR"/>
        </w:rPr>
        <w:t xml:space="preserve"> </w:t>
      </w:r>
    </w:p>
    <w:p w14:paraId="0DE022DC" w14:textId="6AA60CD0" w:rsidR="004A16E7" w:rsidRDefault="004A16E7" w:rsidP="001461B2">
      <w:pPr>
        <w:spacing w:line="360" w:lineRule="auto"/>
        <w:jc w:val="both"/>
        <w:rPr>
          <w:rFonts w:cs="Arial"/>
          <w:sz w:val="22"/>
          <w:szCs w:val="22"/>
          <w:lang w:val="es-CR"/>
        </w:rPr>
      </w:pPr>
    </w:p>
    <w:p w14:paraId="33D47957" w14:textId="63559EF5" w:rsidR="001461B2" w:rsidRDefault="004A16E7" w:rsidP="001461B2">
      <w:pPr>
        <w:spacing w:line="360" w:lineRule="auto"/>
        <w:jc w:val="both"/>
        <w:rPr>
          <w:rFonts w:cs="Arial"/>
          <w:sz w:val="22"/>
          <w:szCs w:val="22"/>
          <w:lang w:val="es-CR"/>
        </w:rPr>
      </w:pPr>
      <w:r w:rsidRPr="00CC7584">
        <w:rPr>
          <w:rFonts w:cs="Arial"/>
          <w:b/>
          <w:bCs/>
          <w:sz w:val="22"/>
          <w:szCs w:val="22"/>
          <w:lang w:val="es-CR"/>
        </w:rPr>
        <w:t>Tercero:</w:t>
      </w:r>
      <w:r>
        <w:rPr>
          <w:rFonts w:cs="Arial"/>
          <w:sz w:val="22"/>
          <w:szCs w:val="22"/>
          <w:lang w:val="es-CR"/>
        </w:rPr>
        <w:t xml:space="preserve"> Que complementariamente, la </w:t>
      </w:r>
      <w:r w:rsidRPr="004A16E7">
        <w:rPr>
          <w:rFonts w:cs="Arial"/>
          <w:sz w:val="22"/>
          <w:szCs w:val="22"/>
          <w:lang w:val="es-ES_tradnl"/>
        </w:rPr>
        <w:t>Administración</w:t>
      </w:r>
      <w:r>
        <w:rPr>
          <w:rFonts w:cs="Arial"/>
          <w:sz w:val="22"/>
          <w:szCs w:val="22"/>
          <w:lang w:val="es-ES_tradnl"/>
        </w:rPr>
        <w:t xml:space="preserve"> propone </w:t>
      </w:r>
      <w:r w:rsidR="001461B2" w:rsidRPr="001461B2">
        <w:rPr>
          <w:rFonts w:cs="Arial"/>
          <w:sz w:val="22"/>
          <w:szCs w:val="22"/>
          <w:lang w:val="es-CR"/>
        </w:rPr>
        <w:t>incorpora</w:t>
      </w:r>
      <w:r w:rsidR="00CC7584">
        <w:rPr>
          <w:rFonts w:cs="Arial"/>
          <w:sz w:val="22"/>
          <w:szCs w:val="22"/>
          <w:lang w:val="es-CR"/>
        </w:rPr>
        <w:t xml:space="preserve">r en el </w:t>
      </w:r>
      <w:r w:rsidR="001461B2" w:rsidRPr="001461B2">
        <w:rPr>
          <w:rFonts w:cs="Arial"/>
          <w:sz w:val="22"/>
          <w:szCs w:val="22"/>
          <w:lang w:val="es-CR"/>
        </w:rPr>
        <w:t xml:space="preserve">Plan Operativo Institucional </w:t>
      </w:r>
      <w:r w:rsidR="00CC7584">
        <w:rPr>
          <w:rFonts w:cs="Arial"/>
          <w:sz w:val="22"/>
          <w:szCs w:val="22"/>
          <w:lang w:val="es-CR"/>
        </w:rPr>
        <w:t xml:space="preserve">2020, </w:t>
      </w:r>
      <w:r w:rsidR="001461B2" w:rsidRPr="001461B2">
        <w:rPr>
          <w:rFonts w:cs="Arial"/>
          <w:sz w:val="22"/>
          <w:szCs w:val="22"/>
          <w:lang w:val="es-CR"/>
        </w:rPr>
        <w:t xml:space="preserve">una meta específica para el compromiso de los recursos </w:t>
      </w:r>
      <w:r w:rsidR="001461B2" w:rsidRPr="001461B2">
        <w:rPr>
          <w:rFonts w:cs="Arial"/>
          <w:sz w:val="22"/>
          <w:szCs w:val="22"/>
          <w:lang w:val="es-CR"/>
        </w:rPr>
        <w:lastRenderedPageBreak/>
        <w:t xml:space="preserve">recibidos durante el </w:t>
      </w:r>
      <w:r w:rsidR="00CC7584">
        <w:rPr>
          <w:rFonts w:cs="Arial"/>
          <w:sz w:val="22"/>
          <w:szCs w:val="22"/>
          <w:lang w:val="es-CR"/>
        </w:rPr>
        <w:t xml:space="preserve">presente </w:t>
      </w:r>
      <w:r w:rsidR="001461B2" w:rsidRPr="001461B2">
        <w:rPr>
          <w:rFonts w:cs="Arial"/>
          <w:sz w:val="22"/>
          <w:szCs w:val="22"/>
          <w:lang w:val="es-CR"/>
        </w:rPr>
        <w:t>año</w:t>
      </w:r>
      <w:r w:rsidR="00CC7584">
        <w:rPr>
          <w:rFonts w:cs="Arial"/>
          <w:sz w:val="22"/>
          <w:szCs w:val="22"/>
          <w:lang w:val="es-CR"/>
        </w:rPr>
        <w:t xml:space="preserve">, </w:t>
      </w:r>
      <w:r w:rsidR="001461B2" w:rsidRPr="001461B2">
        <w:rPr>
          <w:rFonts w:cs="Arial"/>
          <w:sz w:val="22"/>
          <w:szCs w:val="22"/>
          <w:lang w:val="es-CR"/>
        </w:rPr>
        <w:t xml:space="preserve">para su desembolso en periodos siguientes (2021-2022), </w:t>
      </w:r>
      <w:r w:rsidR="00CC7584" w:rsidRPr="001461B2">
        <w:rPr>
          <w:rFonts w:cs="Arial"/>
          <w:sz w:val="22"/>
          <w:szCs w:val="22"/>
          <w:lang w:val="es-CR"/>
        </w:rPr>
        <w:t>gestionando</w:t>
      </w:r>
      <w:r w:rsidR="001461B2" w:rsidRPr="001461B2">
        <w:rPr>
          <w:rFonts w:cs="Arial"/>
          <w:sz w:val="22"/>
          <w:szCs w:val="22"/>
          <w:lang w:val="es-CR"/>
        </w:rPr>
        <w:t xml:space="preserve"> </w:t>
      </w:r>
      <w:r w:rsidR="00CC7584">
        <w:rPr>
          <w:rFonts w:cs="Arial"/>
          <w:sz w:val="22"/>
          <w:szCs w:val="22"/>
          <w:lang w:val="es-CR"/>
        </w:rPr>
        <w:t xml:space="preserve">así </w:t>
      </w:r>
      <w:r w:rsidR="001461B2" w:rsidRPr="001461B2">
        <w:rPr>
          <w:rFonts w:cs="Arial"/>
          <w:sz w:val="22"/>
          <w:szCs w:val="22"/>
          <w:lang w:val="es-CR"/>
        </w:rPr>
        <w:t>el cumplimiento de los principios de vinculación del presupuesto con la planificación institucional, programación y medición de resultados, especificación y gestión financiera.</w:t>
      </w:r>
    </w:p>
    <w:p w14:paraId="42525FB9" w14:textId="77777777" w:rsidR="001461B2" w:rsidRDefault="001461B2" w:rsidP="001461B2">
      <w:pPr>
        <w:spacing w:line="360" w:lineRule="auto"/>
        <w:jc w:val="both"/>
        <w:rPr>
          <w:rFonts w:cs="Arial"/>
          <w:sz w:val="22"/>
          <w:szCs w:val="22"/>
          <w:lang w:val="es-CR"/>
        </w:rPr>
      </w:pPr>
    </w:p>
    <w:p w14:paraId="02BF73D8" w14:textId="6AC6BD2C" w:rsidR="001461B2" w:rsidRPr="00B346F1" w:rsidRDefault="00CC7584" w:rsidP="001461B2">
      <w:pPr>
        <w:spacing w:line="360" w:lineRule="auto"/>
        <w:jc w:val="both"/>
        <w:rPr>
          <w:rFonts w:cs="Arial"/>
          <w:sz w:val="22"/>
          <w:szCs w:val="22"/>
        </w:rPr>
      </w:pPr>
      <w:r>
        <w:rPr>
          <w:rFonts w:cs="Arial"/>
          <w:b/>
          <w:bCs/>
          <w:sz w:val="22"/>
          <w:szCs w:val="22"/>
        </w:rPr>
        <w:t>Cuarto</w:t>
      </w:r>
      <w:r w:rsidR="001461B2" w:rsidRPr="00B346F1">
        <w:rPr>
          <w:rFonts w:cs="Arial"/>
          <w:b/>
          <w:bCs/>
          <w:sz w:val="22"/>
          <w:szCs w:val="22"/>
        </w:rPr>
        <w:t xml:space="preserve">: </w:t>
      </w:r>
      <w:r w:rsidR="001461B2" w:rsidRPr="00B346F1">
        <w:rPr>
          <w:rFonts w:cs="Arial"/>
          <w:sz w:val="22"/>
          <w:szCs w:val="22"/>
        </w:rPr>
        <w:t xml:space="preserve">Que conocido por esta Junta Directiva el detalle y justificación de dicho Presupuesto Extraordinario, según el documento adjunto al citado oficio </w:t>
      </w:r>
      <w:r w:rsidR="001461B2">
        <w:rPr>
          <w:rFonts w:cs="Arial"/>
          <w:sz w:val="22"/>
          <w:szCs w:val="22"/>
        </w:rPr>
        <w:t>GG-</w:t>
      </w:r>
      <w:r w:rsidR="001461B2" w:rsidRPr="00B346F1">
        <w:rPr>
          <w:rFonts w:cs="Arial"/>
          <w:sz w:val="22"/>
          <w:szCs w:val="22"/>
        </w:rPr>
        <w:t>ME-</w:t>
      </w:r>
      <w:r w:rsidR="001461B2">
        <w:rPr>
          <w:rFonts w:cs="Arial"/>
          <w:sz w:val="22"/>
          <w:szCs w:val="22"/>
        </w:rPr>
        <w:t>1</w:t>
      </w:r>
      <w:r>
        <w:rPr>
          <w:rFonts w:cs="Arial"/>
          <w:sz w:val="22"/>
          <w:szCs w:val="22"/>
        </w:rPr>
        <w:t>217</w:t>
      </w:r>
      <w:r w:rsidR="001461B2" w:rsidRPr="00B346F1">
        <w:rPr>
          <w:rFonts w:cs="Arial"/>
          <w:sz w:val="22"/>
          <w:szCs w:val="22"/>
        </w:rPr>
        <w:t>-20</w:t>
      </w:r>
      <w:r w:rsidR="001461B2">
        <w:rPr>
          <w:rFonts w:cs="Arial"/>
          <w:sz w:val="22"/>
          <w:szCs w:val="22"/>
        </w:rPr>
        <w:t>20</w:t>
      </w:r>
      <w:r w:rsidR="001461B2" w:rsidRPr="00B346F1">
        <w:rPr>
          <w:rFonts w:cs="Arial"/>
          <w:sz w:val="22"/>
          <w:szCs w:val="22"/>
        </w:rPr>
        <w:t xml:space="preserve">, y </w:t>
      </w:r>
      <w:r>
        <w:rPr>
          <w:rFonts w:cs="Arial"/>
          <w:sz w:val="22"/>
          <w:szCs w:val="22"/>
        </w:rPr>
        <w:t xml:space="preserve">una vez hecho el ajuste que se ha estimado pertinente a la meta del Plan Operativo Institucional, </w:t>
      </w:r>
      <w:r w:rsidR="001461B2" w:rsidRPr="00B346F1">
        <w:rPr>
          <w:rFonts w:cs="Arial"/>
          <w:sz w:val="22"/>
          <w:szCs w:val="22"/>
        </w:rPr>
        <w:t>lo procedente es aprobar la recomendación de la Administración, conforme lo establecido en el inciso g), artículo 26º de la Ley del Sistema Financiero Nacional para la Vivienda.</w:t>
      </w:r>
    </w:p>
    <w:p w14:paraId="05CBE995" w14:textId="77777777" w:rsidR="001461B2" w:rsidRPr="00B346F1" w:rsidRDefault="001461B2" w:rsidP="001461B2">
      <w:pPr>
        <w:spacing w:line="360" w:lineRule="auto"/>
        <w:jc w:val="both"/>
        <w:rPr>
          <w:rFonts w:cs="Arial"/>
          <w:sz w:val="22"/>
          <w:szCs w:val="22"/>
        </w:rPr>
      </w:pPr>
    </w:p>
    <w:p w14:paraId="7ACCB0E0" w14:textId="77777777" w:rsidR="001461B2" w:rsidRPr="00B346F1" w:rsidRDefault="001461B2" w:rsidP="001461B2">
      <w:pPr>
        <w:spacing w:line="360" w:lineRule="auto"/>
        <w:jc w:val="both"/>
        <w:rPr>
          <w:rFonts w:cs="Arial"/>
          <w:b/>
          <w:sz w:val="22"/>
          <w:szCs w:val="22"/>
        </w:rPr>
      </w:pPr>
      <w:r w:rsidRPr="00B346F1">
        <w:rPr>
          <w:rFonts w:cs="Arial"/>
          <w:b/>
          <w:sz w:val="22"/>
          <w:szCs w:val="22"/>
        </w:rPr>
        <w:t>Por tanto, se acuerda:</w:t>
      </w:r>
    </w:p>
    <w:p w14:paraId="19AA779B" w14:textId="20B4CAEF" w:rsidR="001461B2" w:rsidRPr="00B346F1" w:rsidRDefault="001461B2" w:rsidP="001461B2">
      <w:pPr>
        <w:spacing w:line="360" w:lineRule="auto"/>
        <w:jc w:val="both"/>
        <w:rPr>
          <w:rFonts w:cs="Arial"/>
          <w:sz w:val="22"/>
          <w:szCs w:val="22"/>
          <w:lang w:val="es-CR"/>
        </w:rPr>
      </w:pPr>
      <w:r w:rsidRPr="00B346F1">
        <w:rPr>
          <w:rFonts w:cs="Arial"/>
          <w:b/>
          <w:sz w:val="22"/>
          <w:szCs w:val="22"/>
        </w:rPr>
        <w:t>1)</w:t>
      </w:r>
      <w:r w:rsidRPr="00B346F1">
        <w:rPr>
          <w:rFonts w:cs="Arial"/>
          <w:sz w:val="22"/>
          <w:szCs w:val="22"/>
        </w:rPr>
        <w:t xml:space="preserve"> Aprobar el Presupuesto Extraordinario N° </w:t>
      </w:r>
      <w:r w:rsidR="00CC7584">
        <w:rPr>
          <w:rFonts w:cs="Arial"/>
          <w:sz w:val="22"/>
          <w:szCs w:val="22"/>
        </w:rPr>
        <w:t>2</w:t>
      </w:r>
      <w:r w:rsidRPr="00B346F1">
        <w:rPr>
          <w:rFonts w:cs="Arial"/>
          <w:sz w:val="22"/>
          <w:szCs w:val="22"/>
        </w:rPr>
        <w:t xml:space="preserve"> al Presupuesto Ordinario 20</w:t>
      </w:r>
      <w:r>
        <w:rPr>
          <w:rFonts w:cs="Arial"/>
          <w:sz w:val="22"/>
          <w:szCs w:val="22"/>
        </w:rPr>
        <w:t>20</w:t>
      </w:r>
      <w:r w:rsidRPr="00B346F1">
        <w:rPr>
          <w:rFonts w:cs="Arial"/>
          <w:sz w:val="22"/>
          <w:szCs w:val="22"/>
        </w:rPr>
        <w:t xml:space="preserve"> del BANHVI, por </w:t>
      </w:r>
      <w:r w:rsidRPr="00680E40">
        <w:rPr>
          <w:rFonts w:cs="Arial"/>
          <w:sz w:val="22"/>
          <w:szCs w:val="22"/>
        </w:rPr>
        <w:t>un monto total de cuarenta y seis mil veintisiete millones quinientos sesenta y ocho mil ciento setenta y cuatro colones con 28/100 (</w:t>
      </w:r>
      <w:r w:rsidRPr="00680E40">
        <w:rPr>
          <w:rFonts w:cs="Arial"/>
          <w:b/>
          <w:sz w:val="22"/>
          <w:szCs w:val="22"/>
        </w:rPr>
        <w:t>¢</w:t>
      </w:r>
      <w:r w:rsidRPr="00680E40">
        <w:rPr>
          <w:rFonts w:cs="Arial"/>
          <w:b/>
          <w:bCs/>
          <w:sz w:val="22"/>
          <w:szCs w:val="22"/>
          <w:lang w:val="es-CR"/>
        </w:rPr>
        <w:t>46.027.568.174,28</w:t>
      </w:r>
      <w:r w:rsidRPr="00680E40">
        <w:rPr>
          <w:rFonts w:cs="Arial"/>
          <w:sz w:val="22"/>
          <w:szCs w:val="22"/>
          <w:lang w:val="es-CR"/>
        </w:rPr>
        <w:t>),</w:t>
      </w:r>
      <w:r w:rsidRPr="00B346F1">
        <w:rPr>
          <w:rFonts w:cs="Arial"/>
          <w:sz w:val="22"/>
          <w:szCs w:val="22"/>
          <w:lang w:val="es-CR"/>
        </w:rPr>
        <w:t xml:space="preserve"> </w:t>
      </w:r>
      <w:r w:rsidRPr="00B346F1">
        <w:rPr>
          <w:rFonts w:cs="Arial"/>
          <w:sz w:val="22"/>
          <w:szCs w:val="22"/>
        </w:rPr>
        <w:t>según el detalle</w:t>
      </w:r>
      <w:r w:rsidRPr="00B346F1">
        <w:rPr>
          <w:rFonts w:cs="Arial"/>
          <w:sz w:val="22"/>
          <w:szCs w:val="22"/>
          <w:lang w:val="es-CR"/>
        </w:rPr>
        <w:t xml:space="preserve"> </w:t>
      </w:r>
      <w:r>
        <w:rPr>
          <w:rFonts w:cs="Arial"/>
          <w:sz w:val="22"/>
          <w:szCs w:val="22"/>
          <w:lang w:val="es-CR"/>
        </w:rPr>
        <w:t xml:space="preserve">que se consigna </w:t>
      </w:r>
      <w:r w:rsidRPr="00B346F1">
        <w:rPr>
          <w:rFonts w:cs="Arial"/>
          <w:sz w:val="22"/>
          <w:szCs w:val="22"/>
          <w:lang w:val="es-CR"/>
        </w:rPr>
        <w:t>en</w:t>
      </w:r>
      <w:r>
        <w:rPr>
          <w:rFonts w:cs="Arial"/>
          <w:sz w:val="22"/>
          <w:szCs w:val="22"/>
          <w:lang w:val="es-CR"/>
        </w:rPr>
        <w:t xml:space="preserve"> los documentos adjuntos a los oficios </w:t>
      </w:r>
      <w:r w:rsidRPr="00B346F1">
        <w:rPr>
          <w:rFonts w:cs="Arial"/>
          <w:sz w:val="22"/>
          <w:szCs w:val="22"/>
          <w:lang w:val="es-CR"/>
        </w:rPr>
        <w:t>G</w:t>
      </w:r>
      <w:r>
        <w:rPr>
          <w:rFonts w:cs="Arial"/>
          <w:sz w:val="22"/>
          <w:szCs w:val="22"/>
          <w:lang w:val="es-CR"/>
        </w:rPr>
        <w:t>G</w:t>
      </w:r>
      <w:r w:rsidRPr="00B346F1">
        <w:rPr>
          <w:rFonts w:cs="Arial"/>
          <w:sz w:val="22"/>
          <w:szCs w:val="22"/>
          <w:lang w:val="es-CR"/>
        </w:rPr>
        <w:t>-ME-</w:t>
      </w:r>
      <w:r>
        <w:rPr>
          <w:rFonts w:cs="Arial"/>
          <w:sz w:val="22"/>
          <w:szCs w:val="22"/>
          <w:lang w:val="es-CR"/>
        </w:rPr>
        <w:t>1</w:t>
      </w:r>
      <w:r w:rsidR="00CC7584">
        <w:rPr>
          <w:rFonts w:cs="Arial"/>
          <w:sz w:val="22"/>
          <w:szCs w:val="22"/>
          <w:lang w:val="es-CR"/>
        </w:rPr>
        <w:t>217</w:t>
      </w:r>
      <w:r>
        <w:rPr>
          <w:rFonts w:cs="Arial"/>
          <w:sz w:val="22"/>
          <w:szCs w:val="22"/>
          <w:lang w:val="es-CR"/>
        </w:rPr>
        <w:t>-</w:t>
      </w:r>
      <w:r w:rsidRPr="00B346F1">
        <w:rPr>
          <w:rFonts w:cs="Arial"/>
          <w:sz w:val="22"/>
          <w:szCs w:val="22"/>
          <w:lang w:val="es-CR"/>
        </w:rPr>
        <w:t>20</w:t>
      </w:r>
      <w:r>
        <w:rPr>
          <w:rFonts w:cs="Arial"/>
          <w:sz w:val="22"/>
          <w:szCs w:val="22"/>
          <w:lang w:val="es-CR"/>
        </w:rPr>
        <w:t xml:space="preserve">20 </w:t>
      </w:r>
      <w:r w:rsidRPr="00B346F1">
        <w:rPr>
          <w:rFonts w:cs="Arial"/>
          <w:sz w:val="22"/>
          <w:szCs w:val="22"/>
          <w:lang w:val="es-CR"/>
        </w:rPr>
        <w:t xml:space="preserve">de la </w:t>
      </w:r>
      <w:r w:rsidRPr="00805D3F">
        <w:rPr>
          <w:rFonts w:cs="Arial"/>
          <w:sz w:val="22"/>
          <w:szCs w:val="22"/>
          <w:lang w:val="es-CR"/>
        </w:rPr>
        <w:t>Gerencia General</w:t>
      </w:r>
      <w:r>
        <w:rPr>
          <w:rFonts w:cs="Arial"/>
          <w:sz w:val="22"/>
          <w:szCs w:val="22"/>
          <w:lang w:val="es-CR"/>
        </w:rPr>
        <w:t xml:space="preserve"> y </w:t>
      </w:r>
      <w:r w:rsidRPr="00B346F1">
        <w:rPr>
          <w:rFonts w:cs="Arial"/>
          <w:sz w:val="22"/>
          <w:szCs w:val="22"/>
        </w:rPr>
        <w:t>DFC-OF-</w:t>
      </w:r>
      <w:r>
        <w:rPr>
          <w:rFonts w:cs="Arial"/>
          <w:sz w:val="22"/>
          <w:szCs w:val="22"/>
        </w:rPr>
        <w:t>02</w:t>
      </w:r>
      <w:r w:rsidR="00CC7584">
        <w:rPr>
          <w:rFonts w:cs="Arial"/>
          <w:sz w:val="22"/>
          <w:szCs w:val="22"/>
        </w:rPr>
        <w:t>43</w:t>
      </w:r>
      <w:r>
        <w:rPr>
          <w:rFonts w:cs="Arial"/>
          <w:sz w:val="22"/>
          <w:szCs w:val="22"/>
        </w:rPr>
        <w:t>-</w:t>
      </w:r>
      <w:r w:rsidRPr="00B346F1">
        <w:rPr>
          <w:rFonts w:cs="Arial"/>
          <w:sz w:val="22"/>
          <w:szCs w:val="22"/>
        </w:rPr>
        <w:t>20</w:t>
      </w:r>
      <w:r>
        <w:rPr>
          <w:rFonts w:cs="Arial"/>
          <w:sz w:val="22"/>
          <w:szCs w:val="22"/>
        </w:rPr>
        <w:t>20</w:t>
      </w:r>
      <w:r w:rsidRPr="00B346F1">
        <w:rPr>
          <w:rFonts w:cs="Arial"/>
          <w:sz w:val="22"/>
          <w:szCs w:val="22"/>
        </w:rPr>
        <w:t xml:space="preserve"> </w:t>
      </w:r>
      <w:r>
        <w:rPr>
          <w:rFonts w:cs="Arial"/>
          <w:sz w:val="22"/>
          <w:szCs w:val="22"/>
        </w:rPr>
        <w:t>del</w:t>
      </w:r>
      <w:r w:rsidRPr="00B346F1">
        <w:rPr>
          <w:rFonts w:cs="Arial"/>
          <w:sz w:val="22"/>
          <w:szCs w:val="22"/>
        </w:rPr>
        <w:t xml:space="preserve"> Departamento Financiero Contable</w:t>
      </w:r>
      <w:r>
        <w:rPr>
          <w:rFonts w:cs="Arial"/>
          <w:sz w:val="22"/>
          <w:szCs w:val="22"/>
        </w:rPr>
        <w:t>.</w:t>
      </w:r>
    </w:p>
    <w:p w14:paraId="3BBB31C7" w14:textId="738809D9" w:rsidR="001461B2" w:rsidRDefault="001461B2" w:rsidP="001461B2">
      <w:pPr>
        <w:spacing w:line="360" w:lineRule="auto"/>
        <w:jc w:val="both"/>
        <w:rPr>
          <w:rFonts w:cs="Arial"/>
          <w:sz w:val="22"/>
          <w:szCs w:val="22"/>
          <w:lang w:val="es-CR"/>
        </w:rPr>
      </w:pPr>
    </w:p>
    <w:p w14:paraId="1BC726C8" w14:textId="5E4A247D" w:rsidR="00FD50E4" w:rsidRDefault="00FD50E4" w:rsidP="00FD50E4">
      <w:pPr>
        <w:spacing w:line="360" w:lineRule="auto"/>
        <w:jc w:val="both"/>
        <w:rPr>
          <w:rFonts w:cs="Arial"/>
          <w:sz w:val="22"/>
          <w:szCs w:val="22"/>
          <w:lang w:val="es-CR"/>
        </w:rPr>
      </w:pPr>
      <w:r w:rsidRPr="001063D2">
        <w:rPr>
          <w:rFonts w:cs="Arial"/>
          <w:b/>
          <w:bCs/>
          <w:sz w:val="22"/>
          <w:szCs w:val="22"/>
          <w:lang w:val="es-CR"/>
        </w:rPr>
        <w:t>2)</w:t>
      </w:r>
      <w:r>
        <w:rPr>
          <w:rFonts w:cs="Arial"/>
          <w:sz w:val="22"/>
          <w:szCs w:val="22"/>
          <w:lang w:val="es-CR"/>
        </w:rPr>
        <w:t xml:space="preserve"> Incorporar </w:t>
      </w:r>
      <w:r w:rsidRPr="00FD50E4">
        <w:rPr>
          <w:rFonts w:cs="Arial"/>
          <w:sz w:val="22"/>
          <w:szCs w:val="22"/>
          <w:lang w:val="es-CR"/>
        </w:rPr>
        <w:t xml:space="preserve">en el Plan Operativo Institucional </w:t>
      </w:r>
      <w:r>
        <w:rPr>
          <w:rFonts w:cs="Arial"/>
          <w:sz w:val="22"/>
          <w:szCs w:val="22"/>
          <w:lang w:val="es-CR"/>
        </w:rPr>
        <w:t xml:space="preserve">2020 del FOSUVI, la siguiente </w:t>
      </w:r>
      <w:r w:rsidRPr="00FD50E4">
        <w:rPr>
          <w:rFonts w:cs="Arial"/>
          <w:sz w:val="22"/>
          <w:szCs w:val="22"/>
          <w:lang w:val="es-CR"/>
        </w:rPr>
        <w:t>meta específica para el compromiso de los recursos recibidos durante el año 2020</w:t>
      </w:r>
      <w:r>
        <w:rPr>
          <w:rFonts w:cs="Arial"/>
          <w:sz w:val="22"/>
          <w:szCs w:val="22"/>
          <w:lang w:val="es-CR"/>
        </w:rPr>
        <w:t>,</w:t>
      </w:r>
      <w:r w:rsidRPr="00FD50E4">
        <w:rPr>
          <w:rFonts w:cs="Arial"/>
          <w:sz w:val="22"/>
          <w:szCs w:val="22"/>
          <w:lang w:val="es-CR"/>
        </w:rPr>
        <w:t xml:space="preserve"> para su desembolso en periodos siguientes, en concordancia con los recursos que están siendo incorporados en el Presupuesto Extraordinario N</w:t>
      </w:r>
      <w:r>
        <w:rPr>
          <w:rFonts w:cs="Arial"/>
          <w:sz w:val="22"/>
          <w:szCs w:val="22"/>
          <w:lang w:val="es-CR"/>
        </w:rPr>
        <w:t>°</w:t>
      </w:r>
      <w:r w:rsidRPr="00FD50E4">
        <w:rPr>
          <w:rFonts w:cs="Arial"/>
          <w:sz w:val="22"/>
          <w:szCs w:val="22"/>
          <w:lang w:val="es-CR"/>
        </w:rPr>
        <w:t xml:space="preserve"> 2-2020</w:t>
      </w:r>
      <w:r>
        <w:rPr>
          <w:rFonts w:cs="Arial"/>
          <w:sz w:val="22"/>
          <w:szCs w:val="22"/>
          <w:lang w:val="es-CR"/>
        </w:rPr>
        <w:t>:</w:t>
      </w:r>
    </w:p>
    <w:p w14:paraId="5D66C74B" w14:textId="4AF87A10" w:rsidR="00FD50E4" w:rsidRDefault="00FD50E4" w:rsidP="00FD50E4">
      <w:pPr>
        <w:spacing w:line="360" w:lineRule="auto"/>
        <w:jc w:val="both"/>
        <w:rPr>
          <w:rFonts w:cs="Arial"/>
          <w:sz w:val="22"/>
          <w:szCs w:val="22"/>
          <w:lang w:val="es-CR"/>
        </w:rPr>
      </w:pPr>
    </w:p>
    <w:tbl>
      <w:tblPr>
        <w:tblStyle w:val="Tablaconcuadrcula"/>
        <w:tblW w:w="9209" w:type="dxa"/>
        <w:tblLayout w:type="fixed"/>
        <w:tblLook w:val="04A0" w:firstRow="1" w:lastRow="0" w:firstColumn="1" w:lastColumn="0" w:noHBand="0" w:noVBand="1"/>
      </w:tblPr>
      <w:tblGrid>
        <w:gridCol w:w="794"/>
        <w:gridCol w:w="1044"/>
        <w:gridCol w:w="992"/>
        <w:gridCol w:w="1276"/>
        <w:gridCol w:w="709"/>
        <w:gridCol w:w="425"/>
        <w:gridCol w:w="284"/>
        <w:gridCol w:w="283"/>
        <w:gridCol w:w="284"/>
        <w:gridCol w:w="425"/>
        <w:gridCol w:w="709"/>
        <w:gridCol w:w="1234"/>
        <w:gridCol w:w="750"/>
      </w:tblGrid>
      <w:tr w:rsidR="00676D39" w14:paraId="62382A0A" w14:textId="77777777" w:rsidTr="00A9460E">
        <w:tc>
          <w:tcPr>
            <w:tcW w:w="794" w:type="dxa"/>
          </w:tcPr>
          <w:p w14:paraId="2449618D" w14:textId="77777777" w:rsidR="00676D39" w:rsidRPr="00FD50E4" w:rsidRDefault="00676D39" w:rsidP="00676D39">
            <w:pPr>
              <w:ind w:left="-113" w:right="-66"/>
              <w:jc w:val="center"/>
              <w:rPr>
                <w:rFonts w:ascii="Arial Narrow" w:hAnsi="Arial Narrow" w:cs="Arial"/>
                <w:sz w:val="16"/>
                <w:szCs w:val="16"/>
                <w:lang w:val="es-CR"/>
              </w:rPr>
            </w:pPr>
          </w:p>
        </w:tc>
        <w:tc>
          <w:tcPr>
            <w:tcW w:w="1044" w:type="dxa"/>
          </w:tcPr>
          <w:p w14:paraId="2E301B4A" w14:textId="77777777" w:rsidR="00676D39" w:rsidRPr="00FD50E4" w:rsidRDefault="00676D39" w:rsidP="00676D39">
            <w:pPr>
              <w:ind w:left="-8" w:right="-118"/>
              <w:jc w:val="center"/>
              <w:rPr>
                <w:rFonts w:ascii="Arial Narrow" w:hAnsi="Arial Narrow" w:cs="Arial"/>
                <w:sz w:val="16"/>
                <w:szCs w:val="16"/>
                <w:lang w:val="es-CR"/>
              </w:rPr>
            </w:pPr>
          </w:p>
        </w:tc>
        <w:tc>
          <w:tcPr>
            <w:tcW w:w="992" w:type="dxa"/>
          </w:tcPr>
          <w:p w14:paraId="0693C126" w14:textId="77777777" w:rsidR="00676D39" w:rsidRPr="00FD50E4" w:rsidRDefault="00676D39" w:rsidP="00676D39">
            <w:pPr>
              <w:ind w:left="-97" w:right="-10"/>
              <w:jc w:val="center"/>
              <w:rPr>
                <w:rFonts w:ascii="Arial Narrow" w:hAnsi="Arial Narrow" w:cs="Arial"/>
                <w:sz w:val="16"/>
                <w:szCs w:val="16"/>
                <w:lang w:val="es-CR"/>
              </w:rPr>
            </w:pPr>
          </w:p>
        </w:tc>
        <w:tc>
          <w:tcPr>
            <w:tcW w:w="1276" w:type="dxa"/>
          </w:tcPr>
          <w:p w14:paraId="6D658B6B" w14:textId="77777777" w:rsidR="00676D39" w:rsidRPr="00FD50E4" w:rsidRDefault="00676D39" w:rsidP="00676D39">
            <w:pPr>
              <w:jc w:val="center"/>
              <w:rPr>
                <w:rFonts w:ascii="Arial Narrow" w:hAnsi="Arial Narrow" w:cs="Arial"/>
                <w:sz w:val="16"/>
                <w:szCs w:val="16"/>
                <w:lang w:val="es-CR"/>
              </w:rPr>
            </w:pPr>
          </w:p>
        </w:tc>
        <w:tc>
          <w:tcPr>
            <w:tcW w:w="709" w:type="dxa"/>
          </w:tcPr>
          <w:p w14:paraId="6BA2860C" w14:textId="77777777" w:rsidR="00676D39" w:rsidRPr="00FD50E4" w:rsidRDefault="00676D39" w:rsidP="00676D39">
            <w:pPr>
              <w:jc w:val="center"/>
              <w:rPr>
                <w:rFonts w:ascii="Arial Narrow" w:hAnsi="Arial Narrow" w:cs="Arial"/>
                <w:sz w:val="16"/>
                <w:szCs w:val="16"/>
                <w:lang w:val="es-CR"/>
              </w:rPr>
            </w:pPr>
          </w:p>
        </w:tc>
        <w:tc>
          <w:tcPr>
            <w:tcW w:w="425" w:type="dxa"/>
          </w:tcPr>
          <w:p w14:paraId="54FD7611" w14:textId="77777777" w:rsidR="00676D39" w:rsidRPr="00FD50E4" w:rsidRDefault="00676D39" w:rsidP="00676D39">
            <w:pPr>
              <w:ind w:left="-57" w:right="-117"/>
              <w:rPr>
                <w:rFonts w:ascii="Arial Narrow" w:hAnsi="Arial Narrow" w:cs="Arial"/>
                <w:sz w:val="16"/>
                <w:szCs w:val="16"/>
                <w:lang w:val="es-CR"/>
              </w:rPr>
            </w:pPr>
          </w:p>
        </w:tc>
        <w:tc>
          <w:tcPr>
            <w:tcW w:w="1276" w:type="dxa"/>
            <w:gridSpan w:val="4"/>
          </w:tcPr>
          <w:p w14:paraId="0F2F2454" w14:textId="4FE0ABBA" w:rsidR="00676D39" w:rsidRPr="00FD50E4" w:rsidRDefault="00676D39" w:rsidP="00676D39">
            <w:pPr>
              <w:jc w:val="center"/>
              <w:rPr>
                <w:rFonts w:ascii="Arial Narrow" w:hAnsi="Arial Narrow" w:cs="Arial"/>
                <w:sz w:val="16"/>
                <w:szCs w:val="16"/>
                <w:lang w:val="es-CR"/>
              </w:rPr>
            </w:pPr>
            <w:r>
              <w:rPr>
                <w:rFonts w:ascii="Arial Narrow" w:hAnsi="Arial Narrow" w:cs="Arial"/>
                <w:sz w:val="16"/>
                <w:szCs w:val="16"/>
                <w:lang w:val="es-CR"/>
              </w:rPr>
              <w:t>Meta</w:t>
            </w:r>
          </w:p>
        </w:tc>
        <w:tc>
          <w:tcPr>
            <w:tcW w:w="2693" w:type="dxa"/>
            <w:gridSpan w:val="3"/>
          </w:tcPr>
          <w:p w14:paraId="46F5E3FD" w14:textId="2C4370FC" w:rsidR="00676D39" w:rsidRPr="00FD50E4" w:rsidRDefault="00676D39" w:rsidP="00676D39">
            <w:pPr>
              <w:jc w:val="center"/>
              <w:rPr>
                <w:rFonts w:ascii="Arial Narrow" w:hAnsi="Arial Narrow" w:cs="Arial"/>
                <w:sz w:val="16"/>
                <w:szCs w:val="16"/>
                <w:lang w:val="es-CR"/>
              </w:rPr>
            </w:pPr>
            <w:r>
              <w:rPr>
                <w:rFonts w:ascii="Arial Narrow" w:hAnsi="Arial Narrow" w:cs="Arial"/>
                <w:sz w:val="16"/>
                <w:szCs w:val="16"/>
                <w:lang w:val="es-CR"/>
              </w:rPr>
              <w:t>Estimación presupuestaria</w:t>
            </w:r>
          </w:p>
        </w:tc>
      </w:tr>
      <w:tr w:rsidR="008E7F22" w14:paraId="4392AE70" w14:textId="77777777" w:rsidTr="00A9460E">
        <w:tc>
          <w:tcPr>
            <w:tcW w:w="794" w:type="dxa"/>
            <w:shd w:val="clear" w:color="auto" w:fill="DBE5F1" w:themeFill="accent1" w:themeFillTint="33"/>
            <w:vAlign w:val="center"/>
          </w:tcPr>
          <w:p w14:paraId="1FB1A644" w14:textId="10DDFEDB" w:rsidR="00FD50E4" w:rsidRPr="00FD50E4" w:rsidRDefault="00AF0318" w:rsidP="009051FC">
            <w:pPr>
              <w:ind w:left="-113" w:right="-66"/>
              <w:jc w:val="center"/>
              <w:rPr>
                <w:rFonts w:ascii="Arial Narrow" w:hAnsi="Arial Narrow" w:cs="Arial"/>
                <w:sz w:val="16"/>
                <w:szCs w:val="16"/>
                <w:lang w:val="es-CR"/>
              </w:rPr>
            </w:pPr>
            <w:r>
              <w:rPr>
                <w:rFonts w:ascii="Arial Narrow" w:hAnsi="Arial Narrow" w:cs="Arial"/>
                <w:sz w:val="16"/>
                <w:szCs w:val="16"/>
                <w:lang w:val="es-CR"/>
              </w:rPr>
              <w:t>Objetivo estratégico</w:t>
            </w:r>
          </w:p>
        </w:tc>
        <w:tc>
          <w:tcPr>
            <w:tcW w:w="1044" w:type="dxa"/>
            <w:shd w:val="clear" w:color="auto" w:fill="DBE5F1" w:themeFill="accent1" w:themeFillTint="33"/>
            <w:vAlign w:val="center"/>
          </w:tcPr>
          <w:p w14:paraId="7D443001" w14:textId="36588A9A" w:rsidR="00FD50E4" w:rsidRPr="00FD50E4" w:rsidRDefault="00AF0318" w:rsidP="009051FC">
            <w:pPr>
              <w:ind w:left="-8" w:right="-118"/>
              <w:jc w:val="center"/>
              <w:rPr>
                <w:rFonts w:ascii="Arial Narrow" w:hAnsi="Arial Narrow" w:cs="Arial"/>
                <w:sz w:val="16"/>
                <w:szCs w:val="16"/>
                <w:lang w:val="es-CR"/>
              </w:rPr>
            </w:pPr>
            <w:r>
              <w:rPr>
                <w:rFonts w:ascii="Arial Narrow" w:hAnsi="Arial Narrow" w:cs="Arial"/>
                <w:sz w:val="16"/>
                <w:szCs w:val="16"/>
                <w:lang w:val="es-CR"/>
              </w:rPr>
              <w:t>Objetivo específico</w:t>
            </w:r>
          </w:p>
        </w:tc>
        <w:tc>
          <w:tcPr>
            <w:tcW w:w="992" w:type="dxa"/>
            <w:shd w:val="clear" w:color="auto" w:fill="DBE5F1" w:themeFill="accent1" w:themeFillTint="33"/>
            <w:vAlign w:val="center"/>
          </w:tcPr>
          <w:p w14:paraId="3BF28422" w14:textId="7B7B3417" w:rsidR="00FD50E4" w:rsidRPr="00FD50E4" w:rsidRDefault="00AF0318" w:rsidP="009051FC">
            <w:pPr>
              <w:ind w:left="-97" w:right="-10"/>
              <w:jc w:val="center"/>
              <w:rPr>
                <w:rFonts w:ascii="Arial Narrow" w:hAnsi="Arial Narrow" w:cs="Arial"/>
                <w:sz w:val="16"/>
                <w:szCs w:val="16"/>
                <w:lang w:val="es-CR"/>
              </w:rPr>
            </w:pPr>
            <w:r>
              <w:rPr>
                <w:rFonts w:ascii="Arial Narrow" w:hAnsi="Arial Narrow" w:cs="Arial"/>
                <w:sz w:val="16"/>
                <w:szCs w:val="16"/>
                <w:lang w:val="es-CR"/>
              </w:rPr>
              <w:t>Indicador de gestión</w:t>
            </w:r>
          </w:p>
        </w:tc>
        <w:tc>
          <w:tcPr>
            <w:tcW w:w="1276" w:type="dxa"/>
            <w:shd w:val="clear" w:color="auto" w:fill="DBE5F1" w:themeFill="accent1" w:themeFillTint="33"/>
            <w:vAlign w:val="center"/>
          </w:tcPr>
          <w:p w14:paraId="61C3EA3C" w14:textId="774246AD" w:rsidR="00FD50E4" w:rsidRPr="00FD50E4" w:rsidRDefault="00AF0318" w:rsidP="009051FC">
            <w:pPr>
              <w:jc w:val="center"/>
              <w:rPr>
                <w:rFonts w:ascii="Arial Narrow" w:hAnsi="Arial Narrow" w:cs="Arial"/>
                <w:sz w:val="16"/>
                <w:szCs w:val="16"/>
                <w:lang w:val="es-CR"/>
              </w:rPr>
            </w:pPr>
            <w:r>
              <w:rPr>
                <w:rFonts w:ascii="Arial Narrow" w:hAnsi="Arial Narrow" w:cs="Arial"/>
                <w:sz w:val="16"/>
                <w:szCs w:val="16"/>
                <w:lang w:val="es-CR"/>
              </w:rPr>
              <w:t>Fórmula</w:t>
            </w:r>
          </w:p>
        </w:tc>
        <w:tc>
          <w:tcPr>
            <w:tcW w:w="709" w:type="dxa"/>
            <w:shd w:val="clear" w:color="auto" w:fill="DBE5F1" w:themeFill="accent1" w:themeFillTint="33"/>
            <w:vAlign w:val="center"/>
          </w:tcPr>
          <w:p w14:paraId="33FDF07D" w14:textId="672FB61D" w:rsidR="00FD50E4" w:rsidRPr="00FD50E4" w:rsidRDefault="00AF0318" w:rsidP="009051FC">
            <w:pPr>
              <w:jc w:val="center"/>
              <w:rPr>
                <w:rFonts w:ascii="Arial Narrow" w:hAnsi="Arial Narrow" w:cs="Arial"/>
                <w:sz w:val="16"/>
                <w:szCs w:val="16"/>
                <w:lang w:val="es-CR"/>
              </w:rPr>
            </w:pPr>
            <w:r>
              <w:rPr>
                <w:rFonts w:ascii="Arial Narrow" w:hAnsi="Arial Narrow" w:cs="Arial"/>
                <w:sz w:val="16"/>
                <w:szCs w:val="16"/>
                <w:lang w:val="es-CR"/>
              </w:rPr>
              <w:t>Unidad</w:t>
            </w:r>
          </w:p>
        </w:tc>
        <w:tc>
          <w:tcPr>
            <w:tcW w:w="425" w:type="dxa"/>
            <w:shd w:val="clear" w:color="auto" w:fill="DBE5F1" w:themeFill="accent1" w:themeFillTint="33"/>
            <w:vAlign w:val="center"/>
          </w:tcPr>
          <w:p w14:paraId="2FFFCC72" w14:textId="3A86E781" w:rsidR="00FD50E4" w:rsidRPr="00FD50E4" w:rsidRDefault="00AF0318" w:rsidP="009051FC">
            <w:pPr>
              <w:ind w:left="-57" w:right="-117"/>
              <w:jc w:val="center"/>
              <w:rPr>
                <w:rFonts w:ascii="Arial Narrow" w:hAnsi="Arial Narrow" w:cs="Arial"/>
                <w:sz w:val="16"/>
                <w:szCs w:val="16"/>
                <w:lang w:val="es-CR"/>
              </w:rPr>
            </w:pPr>
            <w:r>
              <w:rPr>
                <w:rFonts w:ascii="Arial Narrow" w:hAnsi="Arial Narrow" w:cs="Arial"/>
                <w:sz w:val="16"/>
                <w:szCs w:val="16"/>
                <w:lang w:val="es-CR"/>
              </w:rPr>
              <w:t>Peso</w:t>
            </w:r>
          </w:p>
        </w:tc>
        <w:tc>
          <w:tcPr>
            <w:tcW w:w="284" w:type="dxa"/>
            <w:shd w:val="clear" w:color="auto" w:fill="DBE5F1" w:themeFill="accent1" w:themeFillTint="33"/>
            <w:vAlign w:val="center"/>
          </w:tcPr>
          <w:p w14:paraId="0352ED83" w14:textId="1D602634" w:rsidR="00FD50E4" w:rsidRPr="00FD50E4" w:rsidRDefault="00AF0318" w:rsidP="009051FC">
            <w:pPr>
              <w:ind w:left="-123" w:right="-79"/>
              <w:jc w:val="center"/>
              <w:rPr>
                <w:rFonts w:ascii="Arial Narrow" w:hAnsi="Arial Narrow" w:cs="Arial"/>
                <w:sz w:val="16"/>
                <w:szCs w:val="16"/>
                <w:lang w:val="es-CR"/>
              </w:rPr>
            </w:pPr>
            <w:r>
              <w:rPr>
                <w:rFonts w:ascii="Arial Narrow" w:hAnsi="Arial Narrow" w:cs="Arial"/>
                <w:sz w:val="16"/>
                <w:szCs w:val="16"/>
                <w:lang w:val="es-CR"/>
              </w:rPr>
              <w:t>I-T</w:t>
            </w:r>
          </w:p>
        </w:tc>
        <w:tc>
          <w:tcPr>
            <w:tcW w:w="283" w:type="dxa"/>
            <w:shd w:val="clear" w:color="auto" w:fill="DBE5F1" w:themeFill="accent1" w:themeFillTint="33"/>
            <w:vAlign w:val="center"/>
          </w:tcPr>
          <w:p w14:paraId="1F6E61A1" w14:textId="5497C0F0" w:rsidR="00FD50E4" w:rsidRPr="00FD50E4" w:rsidRDefault="00AF0318" w:rsidP="009051FC">
            <w:pPr>
              <w:ind w:left="-137" w:right="-108"/>
              <w:jc w:val="center"/>
              <w:rPr>
                <w:rFonts w:ascii="Arial Narrow" w:hAnsi="Arial Narrow" w:cs="Arial"/>
                <w:sz w:val="16"/>
                <w:szCs w:val="16"/>
                <w:lang w:val="es-CR"/>
              </w:rPr>
            </w:pPr>
            <w:r>
              <w:rPr>
                <w:rFonts w:ascii="Arial Narrow" w:hAnsi="Arial Narrow" w:cs="Arial"/>
                <w:sz w:val="16"/>
                <w:szCs w:val="16"/>
                <w:lang w:val="es-CR"/>
              </w:rPr>
              <w:t>II-T</w:t>
            </w:r>
          </w:p>
        </w:tc>
        <w:tc>
          <w:tcPr>
            <w:tcW w:w="284" w:type="dxa"/>
            <w:shd w:val="clear" w:color="auto" w:fill="DBE5F1" w:themeFill="accent1" w:themeFillTint="33"/>
            <w:vAlign w:val="center"/>
          </w:tcPr>
          <w:p w14:paraId="68A42951" w14:textId="273111CE" w:rsidR="00FD50E4" w:rsidRPr="00FD50E4" w:rsidRDefault="00AF0318" w:rsidP="009051FC">
            <w:pPr>
              <w:ind w:left="-108" w:right="-108"/>
              <w:jc w:val="center"/>
              <w:rPr>
                <w:rFonts w:ascii="Arial Narrow" w:hAnsi="Arial Narrow" w:cs="Arial"/>
                <w:sz w:val="16"/>
                <w:szCs w:val="16"/>
                <w:lang w:val="es-CR"/>
              </w:rPr>
            </w:pPr>
            <w:r>
              <w:rPr>
                <w:rFonts w:ascii="Arial Narrow" w:hAnsi="Arial Narrow" w:cs="Arial"/>
                <w:sz w:val="16"/>
                <w:szCs w:val="16"/>
                <w:lang w:val="es-CR"/>
              </w:rPr>
              <w:t>III-T</w:t>
            </w:r>
          </w:p>
        </w:tc>
        <w:tc>
          <w:tcPr>
            <w:tcW w:w="425" w:type="dxa"/>
            <w:shd w:val="clear" w:color="auto" w:fill="DBE5F1" w:themeFill="accent1" w:themeFillTint="33"/>
            <w:vAlign w:val="center"/>
          </w:tcPr>
          <w:p w14:paraId="7CD1F25F" w14:textId="7959052C" w:rsidR="00FD50E4" w:rsidRPr="00FD50E4" w:rsidRDefault="00AF0318" w:rsidP="009051FC">
            <w:pPr>
              <w:ind w:left="-108" w:right="-108"/>
              <w:jc w:val="center"/>
              <w:rPr>
                <w:rFonts w:ascii="Arial Narrow" w:hAnsi="Arial Narrow" w:cs="Arial"/>
                <w:sz w:val="16"/>
                <w:szCs w:val="16"/>
                <w:lang w:val="es-CR"/>
              </w:rPr>
            </w:pPr>
            <w:r>
              <w:rPr>
                <w:rFonts w:ascii="Arial Narrow" w:hAnsi="Arial Narrow" w:cs="Arial"/>
                <w:sz w:val="16"/>
                <w:szCs w:val="16"/>
                <w:lang w:val="es-CR"/>
              </w:rPr>
              <w:t>IV-T</w:t>
            </w:r>
          </w:p>
        </w:tc>
        <w:tc>
          <w:tcPr>
            <w:tcW w:w="709" w:type="dxa"/>
            <w:shd w:val="clear" w:color="auto" w:fill="DBE5F1" w:themeFill="accent1" w:themeFillTint="33"/>
            <w:vAlign w:val="center"/>
          </w:tcPr>
          <w:p w14:paraId="1D4C2093" w14:textId="79BA6AA8" w:rsidR="00FD50E4" w:rsidRPr="00FD50E4" w:rsidRDefault="00AF0318" w:rsidP="009051FC">
            <w:pPr>
              <w:ind w:left="-96"/>
              <w:jc w:val="center"/>
              <w:rPr>
                <w:rFonts w:ascii="Arial Narrow" w:hAnsi="Arial Narrow" w:cs="Arial"/>
                <w:sz w:val="16"/>
                <w:szCs w:val="16"/>
                <w:lang w:val="es-CR"/>
              </w:rPr>
            </w:pPr>
            <w:r>
              <w:rPr>
                <w:rFonts w:ascii="Arial Narrow" w:hAnsi="Arial Narrow" w:cs="Arial"/>
                <w:sz w:val="16"/>
                <w:szCs w:val="16"/>
                <w:lang w:val="es-CR"/>
              </w:rPr>
              <w:t>Cuentas</w:t>
            </w:r>
          </w:p>
        </w:tc>
        <w:tc>
          <w:tcPr>
            <w:tcW w:w="1234" w:type="dxa"/>
            <w:shd w:val="clear" w:color="auto" w:fill="DBE5F1" w:themeFill="accent1" w:themeFillTint="33"/>
            <w:vAlign w:val="center"/>
          </w:tcPr>
          <w:p w14:paraId="0C8A56D6" w14:textId="04DFCA51" w:rsidR="00FD50E4" w:rsidRPr="00FD50E4" w:rsidRDefault="00AF0318" w:rsidP="009051FC">
            <w:pPr>
              <w:ind w:left="-126"/>
              <w:jc w:val="center"/>
              <w:rPr>
                <w:rFonts w:ascii="Arial Narrow" w:hAnsi="Arial Narrow" w:cs="Arial"/>
                <w:sz w:val="16"/>
                <w:szCs w:val="16"/>
                <w:lang w:val="es-CR"/>
              </w:rPr>
            </w:pPr>
            <w:r>
              <w:rPr>
                <w:rFonts w:ascii="Arial Narrow" w:hAnsi="Arial Narrow" w:cs="Arial"/>
                <w:sz w:val="16"/>
                <w:szCs w:val="16"/>
                <w:lang w:val="es-CR"/>
              </w:rPr>
              <w:t>Monto (¢)</w:t>
            </w:r>
          </w:p>
        </w:tc>
        <w:tc>
          <w:tcPr>
            <w:tcW w:w="750" w:type="dxa"/>
            <w:shd w:val="clear" w:color="auto" w:fill="DBE5F1" w:themeFill="accent1" w:themeFillTint="33"/>
            <w:vAlign w:val="center"/>
          </w:tcPr>
          <w:p w14:paraId="32320265" w14:textId="3851A991" w:rsidR="00FD50E4" w:rsidRPr="00FD50E4" w:rsidRDefault="00AF0318" w:rsidP="009051FC">
            <w:pPr>
              <w:jc w:val="center"/>
              <w:rPr>
                <w:rFonts w:ascii="Arial Narrow" w:hAnsi="Arial Narrow" w:cs="Arial"/>
                <w:sz w:val="16"/>
                <w:szCs w:val="16"/>
                <w:lang w:val="es-CR"/>
              </w:rPr>
            </w:pPr>
            <w:r>
              <w:rPr>
                <w:rFonts w:ascii="Arial Narrow" w:hAnsi="Arial Narrow" w:cs="Arial"/>
                <w:sz w:val="16"/>
                <w:szCs w:val="16"/>
                <w:lang w:val="es-CR"/>
              </w:rPr>
              <w:t>Origen</w:t>
            </w:r>
          </w:p>
        </w:tc>
      </w:tr>
      <w:tr w:rsidR="008E7F22" w:rsidRPr="00676D39" w14:paraId="34669BB5" w14:textId="77777777" w:rsidTr="00A9460E">
        <w:tc>
          <w:tcPr>
            <w:tcW w:w="794" w:type="dxa"/>
          </w:tcPr>
          <w:p w14:paraId="6D3ADF0B" w14:textId="475F1287" w:rsidR="00FD50E4" w:rsidRPr="00676D39" w:rsidRDefault="00AF0318" w:rsidP="00A9460E">
            <w:pPr>
              <w:ind w:left="-113" w:right="-66"/>
              <w:rPr>
                <w:rFonts w:ascii="Arial Narrow" w:hAnsi="Arial Narrow" w:cs="Arial"/>
                <w:sz w:val="15"/>
                <w:szCs w:val="15"/>
                <w:lang w:val="es-CR"/>
              </w:rPr>
            </w:pPr>
            <w:r w:rsidRPr="00676D39">
              <w:rPr>
                <w:rFonts w:ascii="Arial Narrow" w:hAnsi="Arial Narrow" w:cs="Arial"/>
                <w:sz w:val="15"/>
                <w:szCs w:val="15"/>
                <w:lang w:val="es-CR"/>
              </w:rPr>
              <w:t>04.02 Mejorar la ejecución del Presupuesto FOSUVI</w:t>
            </w:r>
          </w:p>
        </w:tc>
        <w:tc>
          <w:tcPr>
            <w:tcW w:w="1044" w:type="dxa"/>
          </w:tcPr>
          <w:p w14:paraId="068B9978" w14:textId="0E2E9C11" w:rsidR="00FD50E4" w:rsidRPr="00676D39" w:rsidRDefault="00AF0318" w:rsidP="00A9460E">
            <w:pPr>
              <w:ind w:left="-25"/>
              <w:rPr>
                <w:rFonts w:ascii="Arial Narrow" w:hAnsi="Arial Narrow" w:cs="Arial"/>
                <w:sz w:val="15"/>
                <w:szCs w:val="15"/>
                <w:lang w:val="es-CR"/>
              </w:rPr>
            </w:pPr>
            <w:r w:rsidRPr="00676D39">
              <w:rPr>
                <w:rFonts w:ascii="Arial Narrow" w:hAnsi="Arial Narrow" w:cs="Arial"/>
                <w:sz w:val="15"/>
                <w:szCs w:val="15"/>
                <w:lang w:val="es-CR"/>
              </w:rPr>
              <w:t>02.01.01 Realizar la eficiente asignación de los recursos destinados para el otorgamiento</w:t>
            </w:r>
            <w:r w:rsidR="004F4C41" w:rsidRPr="00676D39">
              <w:rPr>
                <w:rFonts w:ascii="Arial Narrow" w:hAnsi="Arial Narrow" w:cs="Arial"/>
                <w:sz w:val="15"/>
                <w:szCs w:val="15"/>
                <w:lang w:val="es-CR"/>
              </w:rPr>
              <w:t xml:space="preserve"> del </w:t>
            </w:r>
            <w:r w:rsidR="004F4C41" w:rsidRPr="00676D39">
              <w:rPr>
                <w:rFonts w:ascii="Arial Narrow" w:hAnsi="Arial Narrow" w:cs="Arial"/>
                <w:sz w:val="15"/>
                <w:szCs w:val="15"/>
                <w:lang w:val="es-ES_tradnl"/>
              </w:rPr>
              <w:t>Bono Familiar de Vivienda por segmento</w:t>
            </w:r>
          </w:p>
        </w:tc>
        <w:tc>
          <w:tcPr>
            <w:tcW w:w="992" w:type="dxa"/>
          </w:tcPr>
          <w:p w14:paraId="348B366F" w14:textId="47F5D6FF" w:rsidR="00FD50E4" w:rsidRPr="00676D39" w:rsidRDefault="004F4C41" w:rsidP="00A9460E">
            <w:pPr>
              <w:ind w:left="-97" w:right="-10"/>
              <w:rPr>
                <w:rFonts w:ascii="Arial Narrow" w:hAnsi="Arial Narrow" w:cs="Arial"/>
                <w:sz w:val="15"/>
                <w:szCs w:val="15"/>
                <w:lang w:val="es-CR"/>
              </w:rPr>
            </w:pPr>
            <w:r w:rsidRPr="00676D39">
              <w:rPr>
                <w:rFonts w:ascii="Arial Narrow" w:hAnsi="Arial Narrow" w:cs="Arial"/>
                <w:sz w:val="15"/>
                <w:szCs w:val="15"/>
                <w:lang w:val="es-CR"/>
              </w:rPr>
              <w:t>02.01.01.06 Número de Bonos Familiares de Vivienda comprometidos pendientes de pagar</w:t>
            </w:r>
          </w:p>
        </w:tc>
        <w:tc>
          <w:tcPr>
            <w:tcW w:w="1276" w:type="dxa"/>
          </w:tcPr>
          <w:p w14:paraId="5BB40FBF" w14:textId="61D80EAD" w:rsidR="00FD50E4" w:rsidRPr="00676D39" w:rsidRDefault="00CF5A9A" w:rsidP="00A9460E">
            <w:pPr>
              <w:rPr>
                <w:rFonts w:ascii="Arial Narrow" w:hAnsi="Arial Narrow" w:cs="Arial"/>
                <w:sz w:val="15"/>
                <w:szCs w:val="15"/>
                <w:lang w:val="es-CR"/>
              </w:rPr>
            </w:pPr>
            <w:r w:rsidRPr="00676D39">
              <w:rPr>
                <w:rFonts w:ascii="Arial Narrow" w:hAnsi="Arial Narrow" w:cs="Arial"/>
                <w:sz w:val="15"/>
                <w:szCs w:val="15"/>
                <w:lang w:val="es-CR"/>
              </w:rPr>
              <w:t>N° de bonos comprometidos / Total N° de bonos presupuestados por comprometer pendientes de pagar al cierre del año</w:t>
            </w:r>
          </w:p>
        </w:tc>
        <w:tc>
          <w:tcPr>
            <w:tcW w:w="709" w:type="dxa"/>
          </w:tcPr>
          <w:p w14:paraId="25CD00E8" w14:textId="7E15CA9E" w:rsidR="00FD50E4" w:rsidRPr="00676D39" w:rsidRDefault="00CF5A9A" w:rsidP="00674F2F">
            <w:pPr>
              <w:ind w:left="-108" w:right="-108"/>
              <w:jc w:val="center"/>
              <w:rPr>
                <w:rFonts w:ascii="Arial Narrow" w:hAnsi="Arial Narrow" w:cs="Arial"/>
                <w:sz w:val="15"/>
                <w:szCs w:val="15"/>
                <w:lang w:val="es-CR"/>
              </w:rPr>
            </w:pPr>
            <w:r w:rsidRPr="00676D39">
              <w:rPr>
                <w:rFonts w:ascii="Arial Narrow" w:hAnsi="Arial Narrow" w:cs="Arial"/>
                <w:sz w:val="15"/>
                <w:szCs w:val="15"/>
                <w:lang w:val="es-CR"/>
              </w:rPr>
              <w:t>Unidades</w:t>
            </w:r>
          </w:p>
        </w:tc>
        <w:tc>
          <w:tcPr>
            <w:tcW w:w="425" w:type="dxa"/>
          </w:tcPr>
          <w:p w14:paraId="44A89B0C" w14:textId="250B0D48" w:rsidR="00FD50E4" w:rsidRPr="00676D39" w:rsidRDefault="00CF5A9A" w:rsidP="00676D39">
            <w:pPr>
              <w:ind w:left="-57" w:right="-117"/>
              <w:jc w:val="center"/>
              <w:rPr>
                <w:rFonts w:ascii="Arial Narrow" w:hAnsi="Arial Narrow" w:cs="Arial"/>
                <w:sz w:val="15"/>
                <w:szCs w:val="15"/>
                <w:lang w:val="es-CR"/>
              </w:rPr>
            </w:pPr>
            <w:r w:rsidRPr="00676D39">
              <w:rPr>
                <w:rFonts w:ascii="Arial Narrow" w:hAnsi="Arial Narrow" w:cs="Arial"/>
                <w:sz w:val="15"/>
                <w:szCs w:val="15"/>
                <w:lang w:val="es-CR"/>
              </w:rPr>
              <w:t>5</w:t>
            </w:r>
          </w:p>
        </w:tc>
        <w:tc>
          <w:tcPr>
            <w:tcW w:w="284" w:type="dxa"/>
          </w:tcPr>
          <w:p w14:paraId="1351023D" w14:textId="34093CA1" w:rsidR="00FD50E4" w:rsidRPr="00676D39" w:rsidRDefault="00CF5A9A" w:rsidP="00676D39">
            <w:pPr>
              <w:jc w:val="center"/>
              <w:rPr>
                <w:rFonts w:ascii="Arial Narrow" w:hAnsi="Arial Narrow" w:cs="Arial"/>
                <w:sz w:val="15"/>
                <w:szCs w:val="15"/>
                <w:lang w:val="es-CR"/>
              </w:rPr>
            </w:pPr>
            <w:r w:rsidRPr="00676D39">
              <w:rPr>
                <w:rFonts w:ascii="Arial Narrow" w:hAnsi="Arial Narrow" w:cs="Arial"/>
                <w:sz w:val="15"/>
                <w:szCs w:val="15"/>
                <w:lang w:val="es-CR"/>
              </w:rPr>
              <w:t>0</w:t>
            </w:r>
          </w:p>
        </w:tc>
        <w:tc>
          <w:tcPr>
            <w:tcW w:w="283" w:type="dxa"/>
          </w:tcPr>
          <w:p w14:paraId="25CFA0B3" w14:textId="6167AC2D" w:rsidR="00FD50E4" w:rsidRPr="00676D39" w:rsidRDefault="00CF5A9A" w:rsidP="00676D39">
            <w:pPr>
              <w:jc w:val="center"/>
              <w:rPr>
                <w:rFonts w:ascii="Arial Narrow" w:hAnsi="Arial Narrow" w:cs="Arial"/>
                <w:sz w:val="15"/>
                <w:szCs w:val="15"/>
                <w:lang w:val="es-CR"/>
              </w:rPr>
            </w:pPr>
            <w:r w:rsidRPr="00676D39">
              <w:rPr>
                <w:rFonts w:ascii="Arial Narrow" w:hAnsi="Arial Narrow" w:cs="Arial"/>
                <w:sz w:val="15"/>
                <w:szCs w:val="15"/>
                <w:lang w:val="es-CR"/>
              </w:rPr>
              <w:t>0</w:t>
            </w:r>
          </w:p>
        </w:tc>
        <w:tc>
          <w:tcPr>
            <w:tcW w:w="284" w:type="dxa"/>
          </w:tcPr>
          <w:p w14:paraId="2954B1E5" w14:textId="61452352" w:rsidR="00FD50E4" w:rsidRPr="00676D39" w:rsidRDefault="00CF5A9A" w:rsidP="00676D39">
            <w:pPr>
              <w:jc w:val="center"/>
              <w:rPr>
                <w:rFonts w:ascii="Arial Narrow" w:hAnsi="Arial Narrow" w:cs="Arial"/>
                <w:sz w:val="15"/>
                <w:szCs w:val="15"/>
                <w:lang w:val="es-CR"/>
              </w:rPr>
            </w:pPr>
            <w:r w:rsidRPr="00676D39">
              <w:rPr>
                <w:rFonts w:ascii="Arial Narrow" w:hAnsi="Arial Narrow" w:cs="Arial"/>
                <w:sz w:val="15"/>
                <w:szCs w:val="15"/>
                <w:lang w:val="es-CR"/>
              </w:rPr>
              <w:t>0</w:t>
            </w:r>
          </w:p>
        </w:tc>
        <w:tc>
          <w:tcPr>
            <w:tcW w:w="425" w:type="dxa"/>
          </w:tcPr>
          <w:p w14:paraId="313960E1" w14:textId="2E73B08B" w:rsidR="00FD50E4" w:rsidRPr="00676D39" w:rsidRDefault="00CF5A9A" w:rsidP="00676D39">
            <w:pPr>
              <w:ind w:left="-123" w:right="-56"/>
              <w:jc w:val="center"/>
              <w:rPr>
                <w:rFonts w:ascii="Arial Narrow" w:hAnsi="Arial Narrow" w:cs="Arial"/>
                <w:sz w:val="15"/>
                <w:szCs w:val="15"/>
                <w:lang w:val="es-CR"/>
              </w:rPr>
            </w:pPr>
            <w:r w:rsidRPr="00676D39">
              <w:rPr>
                <w:rFonts w:ascii="Arial Narrow" w:hAnsi="Arial Narrow" w:cs="Arial"/>
                <w:sz w:val="15"/>
                <w:szCs w:val="15"/>
                <w:lang w:val="es-CR"/>
              </w:rPr>
              <w:t>3.155</w:t>
            </w:r>
          </w:p>
        </w:tc>
        <w:tc>
          <w:tcPr>
            <w:tcW w:w="709" w:type="dxa"/>
          </w:tcPr>
          <w:p w14:paraId="0146648B" w14:textId="2FD31074" w:rsidR="00FD50E4" w:rsidRPr="00676D39" w:rsidRDefault="00CF5A9A" w:rsidP="00AF0318">
            <w:pPr>
              <w:ind w:left="-96"/>
              <w:jc w:val="both"/>
              <w:rPr>
                <w:rFonts w:ascii="Arial Narrow" w:hAnsi="Arial Narrow" w:cs="Arial"/>
                <w:sz w:val="15"/>
                <w:szCs w:val="15"/>
                <w:lang w:val="es-CR"/>
              </w:rPr>
            </w:pPr>
            <w:r w:rsidRPr="00676D39">
              <w:rPr>
                <w:rFonts w:ascii="Arial Narrow" w:hAnsi="Arial Narrow" w:cs="Arial"/>
                <w:sz w:val="15"/>
                <w:szCs w:val="15"/>
                <w:lang w:val="es-CR"/>
              </w:rPr>
              <w:t>Transfe</w:t>
            </w:r>
            <w:r w:rsidR="00676D39">
              <w:rPr>
                <w:rFonts w:ascii="Arial Narrow" w:hAnsi="Arial Narrow" w:cs="Arial"/>
                <w:sz w:val="15"/>
                <w:szCs w:val="15"/>
                <w:lang w:val="es-CR"/>
              </w:rPr>
              <w:t>-</w:t>
            </w:r>
            <w:r w:rsidRPr="00676D39">
              <w:rPr>
                <w:rFonts w:ascii="Arial Narrow" w:hAnsi="Arial Narrow" w:cs="Arial"/>
                <w:sz w:val="15"/>
                <w:szCs w:val="15"/>
                <w:lang w:val="es-CR"/>
              </w:rPr>
              <w:t>rencias corrientes y de capital</w:t>
            </w:r>
          </w:p>
        </w:tc>
        <w:tc>
          <w:tcPr>
            <w:tcW w:w="1234" w:type="dxa"/>
          </w:tcPr>
          <w:p w14:paraId="048BE2F2" w14:textId="3E53CC58" w:rsidR="00FD50E4" w:rsidRPr="00676D39" w:rsidRDefault="00CF5A9A" w:rsidP="00676D39">
            <w:pPr>
              <w:ind w:left="-126" w:right="-86"/>
              <w:jc w:val="both"/>
              <w:rPr>
                <w:rFonts w:ascii="Arial Narrow" w:hAnsi="Arial Narrow" w:cs="Arial"/>
                <w:sz w:val="15"/>
                <w:szCs w:val="15"/>
                <w:lang w:val="es-CR"/>
              </w:rPr>
            </w:pPr>
            <w:r w:rsidRPr="00676D39">
              <w:rPr>
                <w:rFonts w:ascii="Arial Narrow" w:hAnsi="Arial Narrow" w:cs="Arial"/>
                <w:sz w:val="15"/>
                <w:szCs w:val="15"/>
                <w:lang w:val="es-CR"/>
              </w:rPr>
              <w:t xml:space="preserve"> </w:t>
            </w:r>
            <w:r w:rsidR="00676D39">
              <w:rPr>
                <w:rFonts w:ascii="Arial Narrow" w:hAnsi="Arial Narrow" w:cs="Arial"/>
                <w:sz w:val="15"/>
                <w:szCs w:val="15"/>
                <w:lang w:val="es-CR"/>
              </w:rPr>
              <w:t xml:space="preserve"> </w:t>
            </w:r>
            <w:r w:rsidRPr="00676D39">
              <w:rPr>
                <w:rFonts w:ascii="Arial Narrow" w:hAnsi="Arial Narrow" w:cs="Arial"/>
                <w:sz w:val="15"/>
                <w:szCs w:val="15"/>
                <w:lang w:val="es-CR"/>
              </w:rPr>
              <w:t>36.547.735.595,80</w:t>
            </w:r>
          </w:p>
        </w:tc>
        <w:tc>
          <w:tcPr>
            <w:tcW w:w="750" w:type="dxa"/>
          </w:tcPr>
          <w:p w14:paraId="669D5CF7" w14:textId="77777777" w:rsidR="00FD50E4" w:rsidRPr="00676D39" w:rsidRDefault="00CF5A9A" w:rsidP="00676D39">
            <w:pPr>
              <w:ind w:left="-82" w:right="-62"/>
              <w:jc w:val="both"/>
              <w:rPr>
                <w:rFonts w:ascii="Arial Narrow" w:hAnsi="Arial Narrow" w:cs="Arial"/>
                <w:sz w:val="15"/>
                <w:szCs w:val="15"/>
                <w:lang w:val="es-CR"/>
              </w:rPr>
            </w:pPr>
            <w:r w:rsidRPr="00676D39">
              <w:rPr>
                <w:rFonts w:ascii="Arial Narrow" w:hAnsi="Arial Narrow" w:cs="Arial"/>
                <w:sz w:val="15"/>
                <w:szCs w:val="15"/>
                <w:lang w:val="es-CR"/>
              </w:rPr>
              <w:t>Recursos externos</w:t>
            </w:r>
          </w:p>
          <w:p w14:paraId="4A192313" w14:textId="77777777" w:rsidR="00CF5A9A" w:rsidRPr="00676D39" w:rsidRDefault="00CF5A9A" w:rsidP="00676D39">
            <w:pPr>
              <w:ind w:left="-82" w:right="-62"/>
              <w:jc w:val="both"/>
              <w:rPr>
                <w:rFonts w:ascii="Arial Narrow" w:hAnsi="Arial Narrow" w:cs="Arial"/>
                <w:sz w:val="15"/>
                <w:szCs w:val="15"/>
                <w:lang w:val="es-CR"/>
              </w:rPr>
            </w:pPr>
          </w:p>
          <w:p w14:paraId="058E051B" w14:textId="1955EDF6" w:rsidR="00CF5A9A" w:rsidRPr="00676D39" w:rsidRDefault="00CF5A9A" w:rsidP="00676D39">
            <w:pPr>
              <w:ind w:left="-82" w:right="-62"/>
              <w:jc w:val="both"/>
              <w:rPr>
                <w:rFonts w:ascii="Arial Narrow" w:hAnsi="Arial Narrow" w:cs="Arial"/>
                <w:sz w:val="15"/>
                <w:szCs w:val="15"/>
                <w:lang w:val="es-CR"/>
              </w:rPr>
            </w:pPr>
            <w:r w:rsidRPr="00676D39">
              <w:rPr>
                <w:rFonts w:ascii="Arial Narrow" w:hAnsi="Arial Narrow" w:cs="Arial"/>
                <w:sz w:val="15"/>
                <w:szCs w:val="15"/>
                <w:lang w:val="es-CR"/>
              </w:rPr>
              <w:t>FODESAF, JPS, Bono Colectivo</w:t>
            </w:r>
          </w:p>
        </w:tc>
      </w:tr>
    </w:tbl>
    <w:p w14:paraId="396F8E48" w14:textId="77777777" w:rsidR="00FD50E4" w:rsidRPr="00FD50E4" w:rsidRDefault="00FD50E4" w:rsidP="00FD50E4">
      <w:pPr>
        <w:spacing w:line="360" w:lineRule="auto"/>
        <w:jc w:val="both"/>
        <w:rPr>
          <w:rFonts w:cs="Arial"/>
          <w:sz w:val="22"/>
          <w:szCs w:val="22"/>
          <w:lang w:val="es-CR"/>
        </w:rPr>
      </w:pPr>
    </w:p>
    <w:p w14:paraId="48CA063C" w14:textId="4A9D00B6" w:rsidR="002B71CC" w:rsidRDefault="00D17FA6" w:rsidP="002B71CC">
      <w:pPr>
        <w:spacing w:line="360" w:lineRule="auto"/>
        <w:jc w:val="both"/>
        <w:rPr>
          <w:rFonts w:cs="Arial"/>
          <w:sz w:val="22"/>
          <w:szCs w:val="22"/>
        </w:rPr>
      </w:pPr>
      <w:r>
        <w:rPr>
          <w:rFonts w:cs="Arial"/>
          <w:b/>
          <w:bCs/>
          <w:sz w:val="22"/>
          <w:szCs w:val="22"/>
        </w:rPr>
        <w:t>3</w:t>
      </w:r>
      <w:r w:rsidR="001461B2" w:rsidRPr="00B346F1">
        <w:rPr>
          <w:rFonts w:cs="Arial"/>
          <w:b/>
          <w:bCs/>
          <w:sz w:val="22"/>
          <w:szCs w:val="22"/>
        </w:rPr>
        <w:t>)</w:t>
      </w:r>
      <w:r w:rsidR="001461B2" w:rsidRPr="00B346F1">
        <w:rPr>
          <w:rFonts w:cs="Arial"/>
          <w:sz w:val="22"/>
          <w:szCs w:val="22"/>
        </w:rPr>
        <w:t xml:space="preserve"> Se autoriza a la Administración, para que de acuerdo con las disposiciones, procedimientos y regulaciones </w:t>
      </w:r>
      <w:r w:rsidR="00B16FF3">
        <w:rPr>
          <w:rFonts w:cs="Arial"/>
          <w:sz w:val="22"/>
          <w:szCs w:val="22"/>
        </w:rPr>
        <w:t>vigentes</w:t>
      </w:r>
      <w:r w:rsidR="001461B2" w:rsidRPr="00B346F1">
        <w:rPr>
          <w:rFonts w:cs="Arial"/>
          <w:sz w:val="22"/>
          <w:szCs w:val="22"/>
        </w:rPr>
        <w:t xml:space="preserve">, someta a la aprobación de </w:t>
      </w:r>
      <w:r w:rsidR="00B16FF3">
        <w:rPr>
          <w:rFonts w:cs="Arial"/>
          <w:sz w:val="22"/>
          <w:szCs w:val="22"/>
        </w:rPr>
        <w:t xml:space="preserve">la </w:t>
      </w:r>
      <w:r w:rsidR="00B16FF3">
        <w:rPr>
          <w:rFonts w:cs="Arial"/>
          <w:sz w:val="22"/>
          <w:lang w:val="es-ES_tradnl"/>
        </w:rPr>
        <w:t xml:space="preserve">Contraloría General </w:t>
      </w:r>
      <w:r w:rsidR="00B16FF3">
        <w:rPr>
          <w:rFonts w:cs="Arial"/>
          <w:sz w:val="22"/>
          <w:lang w:val="es-ES_tradnl"/>
        </w:rPr>
        <w:lastRenderedPageBreak/>
        <w:t xml:space="preserve">de la República </w:t>
      </w:r>
      <w:r w:rsidR="001461B2" w:rsidRPr="00B346F1">
        <w:rPr>
          <w:rFonts w:cs="Arial"/>
          <w:sz w:val="22"/>
          <w:szCs w:val="22"/>
        </w:rPr>
        <w:t>el referido Presupuesto Extraordinario.</w:t>
      </w:r>
      <w:r w:rsidR="00B16FF3">
        <w:rPr>
          <w:rFonts w:cs="Arial"/>
          <w:sz w:val="22"/>
          <w:szCs w:val="22"/>
        </w:rPr>
        <w:t xml:space="preserve">  En la respectiva nota de remisión, la </w:t>
      </w:r>
      <w:r w:rsidR="00B16FF3" w:rsidRPr="00B16FF3">
        <w:rPr>
          <w:rFonts w:cs="Arial"/>
          <w:sz w:val="22"/>
          <w:szCs w:val="22"/>
          <w:lang w:val="es-ES_tradnl"/>
        </w:rPr>
        <w:t>Gerencia General</w:t>
      </w:r>
      <w:r w:rsidR="00B16FF3">
        <w:rPr>
          <w:rFonts w:cs="Arial"/>
          <w:sz w:val="22"/>
          <w:szCs w:val="22"/>
          <w:lang w:val="es-ES_tradnl"/>
        </w:rPr>
        <w:t xml:space="preserve"> deberá consignar, </w:t>
      </w:r>
      <w:r w:rsidR="00B16FF3">
        <w:rPr>
          <w:rFonts w:cs="Arial"/>
          <w:sz w:val="22"/>
          <w:szCs w:val="22"/>
        </w:rPr>
        <w:t xml:space="preserve">según se ha indicado a esta </w:t>
      </w:r>
      <w:r w:rsidR="00B16FF3" w:rsidRPr="00B16FF3">
        <w:rPr>
          <w:rFonts w:cs="Arial"/>
          <w:sz w:val="22"/>
          <w:szCs w:val="22"/>
          <w:lang w:val="es-ES_tradnl"/>
        </w:rPr>
        <w:t>Junta Directiva</w:t>
      </w:r>
      <w:r w:rsidR="00B16FF3">
        <w:rPr>
          <w:rFonts w:cs="Arial"/>
          <w:sz w:val="22"/>
          <w:szCs w:val="22"/>
          <w:lang w:val="es-ES_tradnl"/>
        </w:rPr>
        <w:t xml:space="preserve">, que el </w:t>
      </w:r>
      <w:r w:rsidR="00B16FF3" w:rsidRPr="009C769E">
        <w:rPr>
          <w:rFonts w:cs="Arial"/>
          <w:sz w:val="22"/>
          <w:szCs w:val="22"/>
          <w:lang w:val="es-CR"/>
        </w:rPr>
        <w:t>trámite del Presupuesto Extraordinario N</w:t>
      </w:r>
      <w:r w:rsidR="00B16FF3">
        <w:rPr>
          <w:rFonts w:cs="Arial"/>
          <w:sz w:val="22"/>
          <w:szCs w:val="22"/>
          <w:lang w:val="es-CR"/>
        </w:rPr>
        <w:t>°</w:t>
      </w:r>
      <w:r w:rsidR="00B16FF3" w:rsidRPr="009C769E">
        <w:rPr>
          <w:rFonts w:cs="Arial"/>
          <w:sz w:val="22"/>
          <w:szCs w:val="22"/>
          <w:lang w:val="es-CR"/>
        </w:rPr>
        <w:t xml:space="preserve"> 1-2020</w:t>
      </w:r>
      <w:r w:rsidR="00B16FF3">
        <w:rPr>
          <w:rFonts w:cs="Arial"/>
          <w:sz w:val="22"/>
          <w:szCs w:val="22"/>
          <w:lang w:val="es-CR"/>
        </w:rPr>
        <w:t>,</w:t>
      </w:r>
      <w:r w:rsidR="00B16FF3" w:rsidRPr="009C769E">
        <w:rPr>
          <w:rFonts w:cs="Arial"/>
          <w:sz w:val="22"/>
          <w:szCs w:val="22"/>
          <w:lang w:val="es-CR"/>
        </w:rPr>
        <w:t xml:space="preserve"> fue realizado siguiendo la práctica que normalmente se había implementado en años anteriores</w:t>
      </w:r>
      <w:r w:rsidR="00B16FF3">
        <w:rPr>
          <w:rFonts w:cs="Arial"/>
          <w:sz w:val="22"/>
          <w:szCs w:val="22"/>
          <w:lang w:val="es-CR"/>
        </w:rPr>
        <w:t xml:space="preserve"> y, por consiguiente, el nuevo criterio de ese Ente Contralor, </w:t>
      </w:r>
      <w:r w:rsidR="00910117">
        <w:rPr>
          <w:rFonts w:cs="Arial"/>
          <w:sz w:val="22"/>
          <w:szCs w:val="22"/>
          <w:lang w:val="es-CR"/>
        </w:rPr>
        <w:t xml:space="preserve">requirió hacer </w:t>
      </w:r>
      <w:r w:rsidR="00B16FF3">
        <w:rPr>
          <w:rFonts w:cs="Arial"/>
          <w:sz w:val="22"/>
          <w:szCs w:val="22"/>
          <w:lang w:val="es-CR"/>
        </w:rPr>
        <w:t xml:space="preserve">un </w:t>
      </w:r>
      <w:r w:rsidR="00B16FF3" w:rsidRPr="009C769E">
        <w:rPr>
          <w:rFonts w:cs="Arial"/>
          <w:sz w:val="22"/>
          <w:szCs w:val="22"/>
          <w:lang w:val="es-CR"/>
        </w:rPr>
        <w:t>replanteamiento de los egresos del presupuesto, asociándolos a partidas de gasto relacionadas con los compromisos a realizar, aun cuando no sean desembolsados en el presente año y pasen a formar parte del superávit al cierre del año, para ser incorporados en el presupuesto del per</w:t>
      </w:r>
      <w:r w:rsidR="00B16FF3">
        <w:rPr>
          <w:rFonts w:cs="Arial"/>
          <w:sz w:val="22"/>
          <w:szCs w:val="22"/>
          <w:lang w:val="es-CR"/>
        </w:rPr>
        <w:t>í</w:t>
      </w:r>
      <w:r w:rsidR="00B16FF3" w:rsidRPr="009C769E">
        <w:rPr>
          <w:rFonts w:cs="Arial"/>
          <w:sz w:val="22"/>
          <w:szCs w:val="22"/>
          <w:lang w:val="es-CR"/>
        </w:rPr>
        <w:t>odo presupuestario siguiente.</w:t>
      </w:r>
    </w:p>
    <w:p w14:paraId="095E0BC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7F6C547" w14:textId="77777777" w:rsidR="002B71CC" w:rsidRPr="00D14EAF" w:rsidRDefault="002B71CC" w:rsidP="002B71CC">
      <w:pPr>
        <w:spacing w:line="360" w:lineRule="auto"/>
        <w:jc w:val="both"/>
        <w:rPr>
          <w:rFonts w:cs="Arial"/>
          <w:b/>
          <w:sz w:val="22"/>
        </w:rPr>
      </w:pPr>
      <w:r w:rsidRPr="00D14EAF">
        <w:rPr>
          <w:rFonts w:cs="Arial"/>
          <w:b/>
          <w:sz w:val="22"/>
        </w:rPr>
        <w:t>************</w:t>
      </w:r>
    </w:p>
    <w:p w14:paraId="5135607C" w14:textId="77777777" w:rsidR="002B71CC" w:rsidRDefault="002B71CC" w:rsidP="002B71CC">
      <w:pPr>
        <w:spacing w:line="360" w:lineRule="auto"/>
        <w:jc w:val="both"/>
        <w:rPr>
          <w:rFonts w:cs="Arial"/>
          <w:sz w:val="22"/>
          <w:lang w:val="es-ES_tradnl"/>
        </w:rPr>
      </w:pPr>
    </w:p>
    <w:p w14:paraId="1B0F9626"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3D8B7" w14:textId="77777777" w:rsidR="009A4443" w:rsidRDefault="009A4443">
      <w:r>
        <w:separator/>
      </w:r>
    </w:p>
  </w:endnote>
  <w:endnote w:type="continuationSeparator" w:id="0">
    <w:p w14:paraId="7073C112" w14:textId="77777777" w:rsidR="009A4443" w:rsidRDefault="009A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FE694" w14:textId="77777777" w:rsidR="009A4443" w:rsidRDefault="009A4443">
      <w:r>
        <w:separator/>
      </w:r>
    </w:p>
  </w:footnote>
  <w:footnote w:type="continuationSeparator" w:id="0">
    <w:p w14:paraId="6F5C5B97" w14:textId="77777777" w:rsidR="009A4443" w:rsidRDefault="009A4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CF3D0" w14:textId="77777777" w:rsidR="009D03FE" w:rsidRDefault="009D03FE">
    <w:pPr>
      <w:pStyle w:val="Encabezado"/>
      <w:rPr>
        <w:lang w:val="es-ES"/>
      </w:rPr>
    </w:pPr>
  </w:p>
  <w:p w14:paraId="48E233C0" w14:textId="17B7336E"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9A4443">
      <w:rPr>
        <w:sz w:val="18"/>
        <w:lang w:val="es-ES"/>
      </w:rPr>
      <w:t>83</w:t>
    </w:r>
    <w:r>
      <w:rPr>
        <w:sz w:val="18"/>
        <w:lang w:val="es-ES"/>
      </w:rPr>
      <w:t>-20</w:t>
    </w:r>
    <w:r w:rsidR="00E97960">
      <w:rPr>
        <w:sz w:val="18"/>
        <w:lang w:val="es-ES"/>
      </w:rPr>
      <w:t>20</w:t>
    </w:r>
    <w:r>
      <w:rPr>
        <w:sz w:val="18"/>
        <w:lang w:val="es-ES"/>
      </w:rPr>
      <w:t xml:space="preserve">                   2</w:t>
    </w:r>
    <w:r w:rsidR="009A4443">
      <w:rPr>
        <w:sz w:val="18"/>
        <w:lang w:val="es-ES"/>
      </w:rPr>
      <w:t>2</w:t>
    </w:r>
    <w:r>
      <w:rPr>
        <w:sz w:val="18"/>
        <w:lang w:val="es-ES"/>
      </w:rPr>
      <w:t xml:space="preserve"> de </w:t>
    </w:r>
    <w:r w:rsidR="009A4443">
      <w:rPr>
        <w:sz w:val="18"/>
        <w:lang w:val="es-ES"/>
      </w:rPr>
      <w:t>octubre</w:t>
    </w:r>
    <w:r>
      <w:rPr>
        <w:sz w:val="18"/>
        <w:lang w:val="es-ES"/>
      </w:rPr>
      <w:t xml:space="preserve"> de 20</w:t>
    </w:r>
    <w:r w:rsidR="00E97960">
      <w:rPr>
        <w:sz w:val="18"/>
        <w:lang w:val="es-ES"/>
      </w:rPr>
      <w:t>20</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28E827A4"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3CB19F8"/>
    <w:multiLevelType w:val="hybridMultilevel"/>
    <w:tmpl w:val="F830E1C2"/>
    <w:lvl w:ilvl="0" w:tplc="FFFFFFFF">
      <w:start w:val="1"/>
      <w:numFmt w:val="bullet"/>
      <w:lvlText w:val="•"/>
      <w:lvlJc w:val="left"/>
      <w:pPr>
        <w:ind w:left="720" w:hanging="360"/>
      </w:p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E920BC3"/>
    <w:multiLevelType w:val="hybridMultilevel"/>
    <w:tmpl w:val="B743EC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FB858C7"/>
    <w:multiLevelType w:val="hybridMultilevel"/>
    <w:tmpl w:val="E6A25EA2"/>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EF175A4"/>
    <w:multiLevelType w:val="hybridMultilevel"/>
    <w:tmpl w:val="ACF249BA"/>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AB12917"/>
    <w:multiLevelType w:val="hybridMultilevel"/>
    <w:tmpl w:val="83E35E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2"/>
  </w:num>
  <w:num w:numId="3">
    <w:abstractNumId w:val="13"/>
  </w:num>
  <w:num w:numId="4">
    <w:abstractNumId w:val="1"/>
  </w:num>
  <w:num w:numId="5">
    <w:abstractNumId w:val="0"/>
  </w:num>
  <w:num w:numId="6">
    <w:abstractNumId w:val="14"/>
  </w:num>
  <w:num w:numId="7">
    <w:abstractNumId w:val="18"/>
  </w:num>
  <w:num w:numId="8">
    <w:abstractNumId w:val="11"/>
  </w:num>
  <w:num w:numId="9">
    <w:abstractNumId w:val="8"/>
  </w:num>
  <w:num w:numId="10">
    <w:abstractNumId w:val="3"/>
  </w:num>
  <w:num w:numId="11">
    <w:abstractNumId w:val="5"/>
  </w:num>
  <w:num w:numId="12">
    <w:abstractNumId w:val="20"/>
  </w:num>
  <w:num w:numId="13">
    <w:abstractNumId w:val="17"/>
  </w:num>
  <w:num w:numId="14">
    <w:abstractNumId w:val="16"/>
  </w:num>
  <w:num w:numId="15">
    <w:abstractNumId w:val="12"/>
  </w:num>
  <w:num w:numId="16">
    <w:abstractNumId w:val="15"/>
  </w:num>
  <w:num w:numId="17">
    <w:abstractNumId w:val="7"/>
  </w:num>
  <w:num w:numId="18">
    <w:abstractNumId w:val="6"/>
  </w:num>
  <w:num w:numId="19">
    <w:abstractNumId w:val="4"/>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dIkO6CCx1KSmhXPs37t/DWyLcAtQO4djrB1Mf0MHVvE2ESyWgl+s/uVJLLYphE6v0SpBZkOanxlapJ2aOif5lQ==" w:salt="wxIgR64g2bCA7w+ZZ0ZBR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43"/>
    <w:rsid w:val="0000085A"/>
    <w:rsid w:val="00011DC1"/>
    <w:rsid w:val="0001401F"/>
    <w:rsid w:val="00026DCA"/>
    <w:rsid w:val="00027E78"/>
    <w:rsid w:val="0003318B"/>
    <w:rsid w:val="00036A8B"/>
    <w:rsid w:val="00036EE0"/>
    <w:rsid w:val="00053A32"/>
    <w:rsid w:val="00053FFD"/>
    <w:rsid w:val="000547A2"/>
    <w:rsid w:val="00067B32"/>
    <w:rsid w:val="00071F30"/>
    <w:rsid w:val="00076A47"/>
    <w:rsid w:val="00081BB0"/>
    <w:rsid w:val="00085DF1"/>
    <w:rsid w:val="0009389D"/>
    <w:rsid w:val="000A6259"/>
    <w:rsid w:val="000B0F7B"/>
    <w:rsid w:val="000B1954"/>
    <w:rsid w:val="000C1E34"/>
    <w:rsid w:val="000C4E35"/>
    <w:rsid w:val="000C5661"/>
    <w:rsid w:val="000D33DD"/>
    <w:rsid w:val="000E3B2E"/>
    <w:rsid w:val="000F5F31"/>
    <w:rsid w:val="000F5FB1"/>
    <w:rsid w:val="000F6DBD"/>
    <w:rsid w:val="00105CCE"/>
    <w:rsid w:val="001063D2"/>
    <w:rsid w:val="0011401E"/>
    <w:rsid w:val="001147C3"/>
    <w:rsid w:val="00117E78"/>
    <w:rsid w:val="001227FE"/>
    <w:rsid w:val="001461B2"/>
    <w:rsid w:val="00154E36"/>
    <w:rsid w:val="00165A8B"/>
    <w:rsid w:val="00183234"/>
    <w:rsid w:val="0018634C"/>
    <w:rsid w:val="001909BE"/>
    <w:rsid w:val="00193B2D"/>
    <w:rsid w:val="00196DD0"/>
    <w:rsid w:val="001B6D7C"/>
    <w:rsid w:val="001B703A"/>
    <w:rsid w:val="001C3F1B"/>
    <w:rsid w:val="001D7E23"/>
    <w:rsid w:val="001E4BDE"/>
    <w:rsid w:val="001F277B"/>
    <w:rsid w:val="001F5B86"/>
    <w:rsid w:val="001F7D2C"/>
    <w:rsid w:val="002026DC"/>
    <w:rsid w:val="00204086"/>
    <w:rsid w:val="00210B7F"/>
    <w:rsid w:val="00213FA6"/>
    <w:rsid w:val="00214849"/>
    <w:rsid w:val="002163C7"/>
    <w:rsid w:val="00236CA9"/>
    <w:rsid w:val="00237191"/>
    <w:rsid w:val="00237643"/>
    <w:rsid w:val="00240946"/>
    <w:rsid w:val="0024201C"/>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E117C"/>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2B6D"/>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4011AB"/>
    <w:rsid w:val="00407CC4"/>
    <w:rsid w:val="00414F7E"/>
    <w:rsid w:val="00421BEA"/>
    <w:rsid w:val="00432126"/>
    <w:rsid w:val="00445673"/>
    <w:rsid w:val="004755F8"/>
    <w:rsid w:val="0047593B"/>
    <w:rsid w:val="0048086A"/>
    <w:rsid w:val="0048746C"/>
    <w:rsid w:val="004930AA"/>
    <w:rsid w:val="00496B93"/>
    <w:rsid w:val="00497711"/>
    <w:rsid w:val="004A16E7"/>
    <w:rsid w:val="004B373F"/>
    <w:rsid w:val="004B7456"/>
    <w:rsid w:val="004C5B22"/>
    <w:rsid w:val="004C724E"/>
    <w:rsid w:val="004E10F9"/>
    <w:rsid w:val="004E1777"/>
    <w:rsid w:val="004E5D21"/>
    <w:rsid w:val="004F4C41"/>
    <w:rsid w:val="005011AD"/>
    <w:rsid w:val="00513B4F"/>
    <w:rsid w:val="00531B93"/>
    <w:rsid w:val="005459D0"/>
    <w:rsid w:val="005504E6"/>
    <w:rsid w:val="0057519A"/>
    <w:rsid w:val="00585347"/>
    <w:rsid w:val="005901BB"/>
    <w:rsid w:val="00595395"/>
    <w:rsid w:val="0059625B"/>
    <w:rsid w:val="00596AB4"/>
    <w:rsid w:val="005A32C2"/>
    <w:rsid w:val="005A5508"/>
    <w:rsid w:val="005B45E6"/>
    <w:rsid w:val="005B67A2"/>
    <w:rsid w:val="005C0A82"/>
    <w:rsid w:val="005C18D2"/>
    <w:rsid w:val="005C6147"/>
    <w:rsid w:val="005E7559"/>
    <w:rsid w:val="00611D72"/>
    <w:rsid w:val="00615FBF"/>
    <w:rsid w:val="00623D36"/>
    <w:rsid w:val="00630051"/>
    <w:rsid w:val="006321F4"/>
    <w:rsid w:val="00646C5C"/>
    <w:rsid w:val="0066494B"/>
    <w:rsid w:val="0066756A"/>
    <w:rsid w:val="00674F2F"/>
    <w:rsid w:val="00676D39"/>
    <w:rsid w:val="00681878"/>
    <w:rsid w:val="00683504"/>
    <w:rsid w:val="00692A55"/>
    <w:rsid w:val="006A474B"/>
    <w:rsid w:val="006A779D"/>
    <w:rsid w:val="006B7846"/>
    <w:rsid w:val="006C0086"/>
    <w:rsid w:val="006C1542"/>
    <w:rsid w:val="006C1D3B"/>
    <w:rsid w:val="006C1F07"/>
    <w:rsid w:val="006C772C"/>
    <w:rsid w:val="006D5482"/>
    <w:rsid w:val="006E014D"/>
    <w:rsid w:val="006E31FB"/>
    <w:rsid w:val="006E7C0F"/>
    <w:rsid w:val="006F7DB3"/>
    <w:rsid w:val="007062BD"/>
    <w:rsid w:val="00711E6C"/>
    <w:rsid w:val="00723211"/>
    <w:rsid w:val="00735384"/>
    <w:rsid w:val="00737234"/>
    <w:rsid w:val="00751002"/>
    <w:rsid w:val="00754D63"/>
    <w:rsid w:val="007605D2"/>
    <w:rsid w:val="00765327"/>
    <w:rsid w:val="007656B9"/>
    <w:rsid w:val="007749FC"/>
    <w:rsid w:val="00780AB2"/>
    <w:rsid w:val="00797660"/>
    <w:rsid w:val="007B2EB9"/>
    <w:rsid w:val="007B5EDF"/>
    <w:rsid w:val="007C2929"/>
    <w:rsid w:val="007C3229"/>
    <w:rsid w:val="007C39B9"/>
    <w:rsid w:val="007D6EF8"/>
    <w:rsid w:val="007E31DD"/>
    <w:rsid w:val="007E4AA7"/>
    <w:rsid w:val="007F614F"/>
    <w:rsid w:val="007F66D6"/>
    <w:rsid w:val="008006FA"/>
    <w:rsid w:val="008110AA"/>
    <w:rsid w:val="00811427"/>
    <w:rsid w:val="00823E0D"/>
    <w:rsid w:val="00825856"/>
    <w:rsid w:val="00832D21"/>
    <w:rsid w:val="008343A2"/>
    <w:rsid w:val="00834957"/>
    <w:rsid w:val="00834A2F"/>
    <w:rsid w:val="00843423"/>
    <w:rsid w:val="00846281"/>
    <w:rsid w:val="00851373"/>
    <w:rsid w:val="00854DE9"/>
    <w:rsid w:val="00861680"/>
    <w:rsid w:val="00870163"/>
    <w:rsid w:val="008873EF"/>
    <w:rsid w:val="00887AB0"/>
    <w:rsid w:val="00895A5D"/>
    <w:rsid w:val="00896BC6"/>
    <w:rsid w:val="008B0C28"/>
    <w:rsid w:val="008D35D8"/>
    <w:rsid w:val="008D6E0F"/>
    <w:rsid w:val="008E7F22"/>
    <w:rsid w:val="008F38A8"/>
    <w:rsid w:val="008F6C96"/>
    <w:rsid w:val="009051FC"/>
    <w:rsid w:val="00910117"/>
    <w:rsid w:val="00911F06"/>
    <w:rsid w:val="00940420"/>
    <w:rsid w:val="009669CF"/>
    <w:rsid w:val="00986348"/>
    <w:rsid w:val="009A4443"/>
    <w:rsid w:val="009C11C0"/>
    <w:rsid w:val="009C769E"/>
    <w:rsid w:val="009D03FE"/>
    <w:rsid w:val="009D5B2E"/>
    <w:rsid w:val="009D70A8"/>
    <w:rsid w:val="009D78B0"/>
    <w:rsid w:val="009E1B07"/>
    <w:rsid w:val="009F2788"/>
    <w:rsid w:val="009F62A9"/>
    <w:rsid w:val="00A3046D"/>
    <w:rsid w:val="00A3146D"/>
    <w:rsid w:val="00A330FA"/>
    <w:rsid w:val="00A42E3B"/>
    <w:rsid w:val="00A536DE"/>
    <w:rsid w:val="00A57ECD"/>
    <w:rsid w:val="00A70A82"/>
    <w:rsid w:val="00A73DC5"/>
    <w:rsid w:val="00A775DD"/>
    <w:rsid w:val="00A837EB"/>
    <w:rsid w:val="00A9460E"/>
    <w:rsid w:val="00AA4E2A"/>
    <w:rsid w:val="00AA6BAA"/>
    <w:rsid w:val="00AB15C1"/>
    <w:rsid w:val="00AB1E41"/>
    <w:rsid w:val="00AB2826"/>
    <w:rsid w:val="00AB4B39"/>
    <w:rsid w:val="00AD4F06"/>
    <w:rsid w:val="00AE7AB3"/>
    <w:rsid w:val="00AF0318"/>
    <w:rsid w:val="00AF4C49"/>
    <w:rsid w:val="00B00832"/>
    <w:rsid w:val="00B019A0"/>
    <w:rsid w:val="00B16FF3"/>
    <w:rsid w:val="00B2152C"/>
    <w:rsid w:val="00B34414"/>
    <w:rsid w:val="00B3640B"/>
    <w:rsid w:val="00B36CE6"/>
    <w:rsid w:val="00B5583C"/>
    <w:rsid w:val="00B56F87"/>
    <w:rsid w:val="00B64449"/>
    <w:rsid w:val="00B66D8C"/>
    <w:rsid w:val="00BA3517"/>
    <w:rsid w:val="00BA3C35"/>
    <w:rsid w:val="00BA58F6"/>
    <w:rsid w:val="00BA7805"/>
    <w:rsid w:val="00BB034D"/>
    <w:rsid w:val="00BC1E08"/>
    <w:rsid w:val="00BD11AC"/>
    <w:rsid w:val="00BE0F52"/>
    <w:rsid w:val="00BE452A"/>
    <w:rsid w:val="00BF075D"/>
    <w:rsid w:val="00BF0C80"/>
    <w:rsid w:val="00BF124E"/>
    <w:rsid w:val="00BF68C9"/>
    <w:rsid w:val="00C0084E"/>
    <w:rsid w:val="00C01425"/>
    <w:rsid w:val="00C12152"/>
    <w:rsid w:val="00C308C3"/>
    <w:rsid w:val="00C34E50"/>
    <w:rsid w:val="00C36F84"/>
    <w:rsid w:val="00C42332"/>
    <w:rsid w:val="00C4730D"/>
    <w:rsid w:val="00C50AAF"/>
    <w:rsid w:val="00C557AB"/>
    <w:rsid w:val="00C676D8"/>
    <w:rsid w:val="00C80B39"/>
    <w:rsid w:val="00C96437"/>
    <w:rsid w:val="00CA3661"/>
    <w:rsid w:val="00CA42F6"/>
    <w:rsid w:val="00CB2EA5"/>
    <w:rsid w:val="00CC0A79"/>
    <w:rsid w:val="00CC60FC"/>
    <w:rsid w:val="00CC6F05"/>
    <w:rsid w:val="00CC7584"/>
    <w:rsid w:val="00CC7940"/>
    <w:rsid w:val="00CD7A02"/>
    <w:rsid w:val="00CF0E50"/>
    <w:rsid w:val="00CF4BE9"/>
    <w:rsid w:val="00CF5A9A"/>
    <w:rsid w:val="00D034AB"/>
    <w:rsid w:val="00D13B6B"/>
    <w:rsid w:val="00D17FA6"/>
    <w:rsid w:val="00D22B80"/>
    <w:rsid w:val="00D330C4"/>
    <w:rsid w:val="00D35784"/>
    <w:rsid w:val="00D37592"/>
    <w:rsid w:val="00D460A2"/>
    <w:rsid w:val="00D509A7"/>
    <w:rsid w:val="00D54758"/>
    <w:rsid w:val="00D60482"/>
    <w:rsid w:val="00D61F89"/>
    <w:rsid w:val="00D72C3B"/>
    <w:rsid w:val="00DA156E"/>
    <w:rsid w:val="00DA4C56"/>
    <w:rsid w:val="00DB38FB"/>
    <w:rsid w:val="00DC32CD"/>
    <w:rsid w:val="00DC7AB8"/>
    <w:rsid w:val="00DE0BBA"/>
    <w:rsid w:val="00DE1CC8"/>
    <w:rsid w:val="00DE7715"/>
    <w:rsid w:val="00E0071B"/>
    <w:rsid w:val="00E11E39"/>
    <w:rsid w:val="00E2143B"/>
    <w:rsid w:val="00E31F79"/>
    <w:rsid w:val="00E6222D"/>
    <w:rsid w:val="00E63068"/>
    <w:rsid w:val="00E63BC8"/>
    <w:rsid w:val="00E646C7"/>
    <w:rsid w:val="00E76C46"/>
    <w:rsid w:val="00E8788A"/>
    <w:rsid w:val="00E97960"/>
    <w:rsid w:val="00E979D2"/>
    <w:rsid w:val="00EA53B9"/>
    <w:rsid w:val="00EC02B6"/>
    <w:rsid w:val="00EC6324"/>
    <w:rsid w:val="00EC7E01"/>
    <w:rsid w:val="00EE139E"/>
    <w:rsid w:val="00EE228C"/>
    <w:rsid w:val="00EE4383"/>
    <w:rsid w:val="00EE491C"/>
    <w:rsid w:val="00EF6425"/>
    <w:rsid w:val="00EF7D85"/>
    <w:rsid w:val="00F00FF1"/>
    <w:rsid w:val="00F1305E"/>
    <w:rsid w:val="00F165DF"/>
    <w:rsid w:val="00F16E81"/>
    <w:rsid w:val="00F30531"/>
    <w:rsid w:val="00F31891"/>
    <w:rsid w:val="00F343EA"/>
    <w:rsid w:val="00F357CB"/>
    <w:rsid w:val="00F42278"/>
    <w:rsid w:val="00F51AA0"/>
    <w:rsid w:val="00F541D9"/>
    <w:rsid w:val="00F77536"/>
    <w:rsid w:val="00F83C00"/>
    <w:rsid w:val="00F9130B"/>
    <w:rsid w:val="00F948F4"/>
    <w:rsid w:val="00F97718"/>
    <w:rsid w:val="00FA1809"/>
    <w:rsid w:val="00FA2104"/>
    <w:rsid w:val="00FA4CCB"/>
    <w:rsid w:val="00FC257F"/>
    <w:rsid w:val="00FC651A"/>
    <w:rsid w:val="00FD50E4"/>
    <w:rsid w:val="00FE15CE"/>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6E7C4"/>
  <w15:docId w15:val="{5EEE29E0-613E-4122-AE31-54DEDCDB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3">
    <w:name w:val="heading 3"/>
    <w:basedOn w:val="Normal"/>
    <w:next w:val="Normal"/>
    <w:link w:val="Ttulo3Car"/>
    <w:uiPriority w:val="9"/>
    <w:unhideWhenUsed/>
    <w:qFormat/>
    <w:rsid w:val="00FD50E4"/>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Ttulo3Car">
    <w:name w:val="Título 3 Car"/>
    <w:basedOn w:val="Fuentedeprrafopredeter"/>
    <w:link w:val="Ttulo3"/>
    <w:uiPriority w:val="9"/>
    <w:rsid w:val="00FD50E4"/>
    <w:rPr>
      <w:rFonts w:asciiTheme="majorHAnsi" w:eastAsiaTheme="majorEastAsia" w:hAnsiTheme="majorHAnsi" w:cstheme="majorBidi"/>
      <w:color w:val="243F60" w:themeColor="accent1" w:themeShade="7F"/>
      <w:sz w:val="24"/>
      <w:szCs w:val="24"/>
      <w:lang w:val="es-ES" w:eastAsia="es-ES"/>
    </w:rPr>
  </w:style>
  <w:style w:type="paragraph" w:styleId="Lista">
    <w:name w:val="List"/>
    <w:basedOn w:val="Normal"/>
    <w:uiPriority w:val="99"/>
    <w:unhideWhenUsed/>
    <w:rsid w:val="00FD50E4"/>
    <w:pPr>
      <w:ind w:left="283" w:hanging="283"/>
      <w:contextualSpacing/>
    </w:pPr>
  </w:style>
  <w:style w:type="paragraph" w:styleId="Subttulo">
    <w:name w:val="Subtitle"/>
    <w:basedOn w:val="Normal"/>
    <w:next w:val="Normal"/>
    <w:link w:val="SubttuloCar"/>
    <w:uiPriority w:val="11"/>
    <w:qFormat/>
    <w:rsid w:val="00FD50E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FD50E4"/>
    <w:rPr>
      <w:rFonts w:asciiTheme="minorHAnsi" w:eastAsiaTheme="minorEastAsia" w:hAnsiTheme="minorHAnsi" w:cstheme="minorBidi"/>
      <w:color w:val="5A5A5A" w:themeColor="text1" w:themeTint="A5"/>
      <w:spacing w:val="15"/>
      <w:sz w:val="22"/>
      <w:szCs w:val="22"/>
      <w:lang w:val="es-ES" w:eastAsia="es-ES"/>
    </w:rPr>
  </w:style>
  <w:style w:type="paragraph" w:customStyle="1" w:styleId="Default">
    <w:name w:val="Default"/>
    <w:rsid w:val="00F7753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728654">
      <w:bodyDiv w:val="1"/>
      <w:marLeft w:val="0"/>
      <w:marRight w:val="0"/>
      <w:marTop w:val="0"/>
      <w:marBottom w:val="0"/>
      <w:divBdr>
        <w:top w:val="none" w:sz="0" w:space="0" w:color="auto"/>
        <w:left w:val="none" w:sz="0" w:space="0" w:color="auto"/>
        <w:bottom w:val="none" w:sz="0" w:space="0" w:color="auto"/>
        <w:right w:val="none" w:sz="0" w:space="0" w:color="auto"/>
      </w:divBdr>
    </w:div>
    <w:div w:id="386226908">
      <w:bodyDiv w:val="1"/>
      <w:marLeft w:val="0"/>
      <w:marRight w:val="0"/>
      <w:marTop w:val="0"/>
      <w:marBottom w:val="0"/>
      <w:divBdr>
        <w:top w:val="none" w:sz="0" w:space="0" w:color="auto"/>
        <w:left w:val="none" w:sz="0" w:space="0" w:color="auto"/>
        <w:bottom w:val="none" w:sz="0" w:space="0" w:color="auto"/>
        <w:right w:val="none" w:sz="0" w:space="0" w:color="auto"/>
      </w:divBdr>
    </w:div>
    <w:div w:id="81272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495</TotalTime>
  <Pages>12</Pages>
  <Words>3367</Words>
  <Characters>18996</Characters>
  <Application>Microsoft Office Word</Application>
  <DocSecurity>8</DocSecurity>
  <Lines>158</Lines>
  <Paragraphs>44</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44</cp:revision>
  <cp:lastPrinted>2011-09-07T16:03:00Z</cp:lastPrinted>
  <dcterms:created xsi:type="dcterms:W3CDTF">2020-10-23T12:56:00Z</dcterms:created>
  <dcterms:modified xsi:type="dcterms:W3CDTF">2020-11-03T19:55:00Z</dcterms:modified>
</cp:coreProperties>
</file>