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0C4AA" w14:textId="77777777" w:rsidR="00FA4CCB" w:rsidRDefault="00FA4CCB">
      <w:pPr>
        <w:pStyle w:val="Ttulo"/>
        <w:ind w:right="51"/>
        <w:rPr>
          <w:rFonts w:cs="Arial"/>
        </w:rPr>
      </w:pPr>
      <w:r>
        <w:rPr>
          <w:rFonts w:cs="Arial"/>
        </w:rPr>
        <w:t>BANCO HIPOTECARIO DE LA VIVIENDA</w:t>
      </w:r>
    </w:p>
    <w:p w14:paraId="330591DD" w14:textId="77777777" w:rsidR="00FA4CCB" w:rsidRDefault="00FA4CCB">
      <w:pPr>
        <w:spacing w:line="360" w:lineRule="auto"/>
        <w:ind w:right="51"/>
        <w:jc w:val="center"/>
        <w:rPr>
          <w:rFonts w:cs="Arial"/>
          <w:b/>
          <w:sz w:val="22"/>
          <w:u w:val="single"/>
        </w:rPr>
      </w:pPr>
      <w:r>
        <w:rPr>
          <w:rFonts w:cs="Arial"/>
          <w:b/>
          <w:sz w:val="22"/>
          <w:u w:val="single"/>
        </w:rPr>
        <w:t>JUNTA DIRECTIVA</w:t>
      </w:r>
    </w:p>
    <w:p w14:paraId="77B99888" w14:textId="77777777" w:rsidR="00FA4CCB" w:rsidRDefault="00FA4CCB">
      <w:pPr>
        <w:spacing w:line="360" w:lineRule="auto"/>
        <w:ind w:right="51"/>
        <w:jc w:val="center"/>
        <w:rPr>
          <w:rFonts w:cs="Arial"/>
          <w:b/>
          <w:sz w:val="22"/>
          <w:u w:val="single"/>
        </w:rPr>
      </w:pPr>
    </w:p>
    <w:p w14:paraId="261DA407" w14:textId="43BBED8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66F1B">
        <w:rPr>
          <w:rFonts w:cs="Arial"/>
          <w:b/>
          <w:sz w:val="22"/>
          <w:u w:val="single"/>
        </w:rPr>
        <w:t>51</w:t>
      </w:r>
      <w:r>
        <w:rPr>
          <w:rFonts w:cs="Arial"/>
          <w:b/>
          <w:sz w:val="22"/>
          <w:u w:val="single"/>
        </w:rPr>
        <w:t>-20</w:t>
      </w:r>
      <w:r w:rsidR="00E97960">
        <w:rPr>
          <w:rFonts w:cs="Arial"/>
          <w:b/>
          <w:sz w:val="22"/>
          <w:u w:val="single"/>
        </w:rPr>
        <w:t>20</w:t>
      </w:r>
    </w:p>
    <w:p w14:paraId="5A2A5584" w14:textId="156F9F7D" w:rsidR="00FA4CCB" w:rsidRDefault="00FA4CCB">
      <w:pPr>
        <w:spacing w:line="360" w:lineRule="auto"/>
        <w:ind w:right="51"/>
        <w:jc w:val="center"/>
        <w:rPr>
          <w:rFonts w:cs="Arial"/>
          <w:b/>
          <w:sz w:val="22"/>
          <w:u w:val="single"/>
        </w:rPr>
      </w:pPr>
      <w:r>
        <w:rPr>
          <w:rFonts w:cs="Arial"/>
          <w:b/>
          <w:sz w:val="22"/>
          <w:u w:val="single"/>
        </w:rPr>
        <w:t xml:space="preserve">DEL </w:t>
      </w:r>
      <w:r w:rsidR="00C66F1B">
        <w:rPr>
          <w:rFonts w:cs="Arial"/>
          <w:b/>
          <w:sz w:val="22"/>
          <w:u w:val="single"/>
        </w:rPr>
        <w:t>06</w:t>
      </w:r>
      <w:r>
        <w:rPr>
          <w:rFonts w:cs="Arial"/>
          <w:b/>
          <w:sz w:val="22"/>
          <w:u w:val="single"/>
        </w:rPr>
        <w:t xml:space="preserve"> DE </w:t>
      </w:r>
      <w:r w:rsidR="00C66F1B">
        <w:rPr>
          <w:rFonts w:cs="Arial"/>
          <w:b/>
          <w:sz w:val="22"/>
          <w:u w:val="single"/>
        </w:rPr>
        <w:t>JULIO</w:t>
      </w:r>
      <w:r>
        <w:rPr>
          <w:rFonts w:cs="Arial"/>
          <w:b/>
          <w:sz w:val="22"/>
          <w:u w:val="single"/>
        </w:rPr>
        <w:t xml:space="preserve"> DE 20</w:t>
      </w:r>
      <w:r w:rsidR="00E97960">
        <w:rPr>
          <w:rFonts w:cs="Arial"/>
          <w:b/>
          <w:sz w:val="22"/>
          <w:u w:val="single"/>
        </w:rPr>
        <w:t>20</w:t>
      </w:r>
    </w:p>
    <w:p w14:paraId="251F92E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7537B9D" w14:textId="77777777" w:rsidR="00FA4CCB" w:rsidRDefault="00FA4CCB">
      <w:pPr>
        <w:spacing w:line="360" w:lineRule="auto"/>
        <w:ind w:right="51"/>
        <w:jc w:val="center"/>
        <w:rPr>
          <w:rFonts w:cs="Arial"/>
          <w:b/>
          <w:sz w:val="22"/>
          <w:u w:val="single"/>
        </w:rPr>
      </w:pPr>
    </w:p>
    <w:p w14:paraId="68BA0BC0" w14:textId="026E32B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045C72">
        <w:rPr>
          <w:rFonts w:cs="Arial"/>
          <w:sz w:val="22"/>
        </w:rPr>
        <w:t xml:space="preserve">Por medio de videoconferencia que consta en los archivos de la Secretaría de la </w:t>
      </w:r>
      <w:r w:rsidR="00045C72" w:rsidRPr="00B85537">
        <w:rPr>
          <w:rFonts w:cs="Arial"/>
          <w:sz w:val="22"/>
          <w:lang w:val="es-ES_tradnl"/>
        </w:rPr>
        <w:t>Junta Directiva</w:t>
      </w:r>
      <w:r w:rsidR="00045C72">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461BD29" w14:textId="77777777" w:rsidR="00AD4F06" w:rsidRDefault="00AD4F06" w:rsidP="0066494B">
      <w:pPr>
        <w:spacing w:line="360" w:lineRule="auto"/>
        <w:jc w:val="both"/>
        <w:rPr>
          <w:rFonts w:cs="Arial"/>
          <w:sz w:val="22"/>
        </w:rPr>
      </w:pPr>
    </w:p>
    <w:p w14:paraId="74A2A3C2" w14:textId="5F53CF1F" w:rsidR="00FA4CCB" w:rsidRDefault="00045C72"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D40E46">
        <w:rPr>
          <w:rFonts w:cs="Arial"/>
          <w:sz w:val="22"/>
        </w:rPr>
        <w:t xml:space="preserve">Mauricio González Zumbado, funcionario de la </w:t>
      </w:r>
      <w:r w:rsidR="00D40E46" w:rsidRPr="00D40E46">
        <w:rPr>
          <w:rFonts w:cs="Arial"/>
          <w:sz w:val="22"/>
          <w:lang w:val="es-ES_tradnl"/>
        </w:rPr>
        <w:t>Auditoría Interna</w:t>
      </w:r>
      <w:r w:rsidR="00FA4CCB">
        <w:rPr>
          <w:rFonts w:cs="Arial"/>
          <w:sz w:val="22"/>
        </w:rPr>
        <w:t>; Rodolfo Mora Villalobos, Asesor Legal;</w:t>
      </w:r>
      <w:r w:rsidR="00FA4CCB">
        <w:rPr>
          <w:bCs/>
          <w:sz w:val="22"/>
        </w:rPr>
        <w:t xml:space="preserve"> </w:t>
      </w:r>
      <w:r w:rsidR="00FA4CCB">
        <w:rPr>
          <w:rFonts w:cs="Arial"/>
          <w:sz w:val="22"/>
        </w:rPr>
        <w:t>y David López Pacheco, Secretario de Junta Directiva.</w:t>
      </w:r>
    </w:p>
    <w:p w14:paraId="1E714FD3" w14:textId="77777777" w:rsidR="007749FC" w:rsidRDefault="007749FC" w:rsidP="0066494B">
      <w:pPr>
        <w:spacing w:line="360" w:lineRule="auto"/>
        <w:jc w:val="both"/>
        <w:rPr>
          <w:rFonts w:cs="Arial"/>
          <w:sz w:val="22"/>
        </w:rPr>
      </w:pPr>
    </w:p>
    <w:p w14:paraId="7C101F5A" w14:textId="006C7EEB" w:rsidR="007749FC" w:rsidRDefault="007749FC" w:rsidP="0066494B">
      <w:pPr>
        <w:spacing w:line="360" w:lineRule="auto"/>
        <w:jc w:val="both"/>
        <w:rPr>
          <w:rFonts w:cs="Arial"/>
          <w:sz w:val="22"/>
        </w:rPr>
      </w:pPr>
      <w:r>
        <w:rPr>
          <w:rFonts w:cs="Arial"/>
          <w:sz w:val="22"/>
        </w:rPr>
        <w:t>Ausente con justificación:</w:t>
      </w:r>
      <w:r w:rsidR="00D40E46">
        <w:rPr>
          <w:rFonts w:cs="Arial"/>
          <w:sz w:val="22"/>
          <w:lang w:val="es-ES_tradnl"/>
        </w:rPr>
        <w:t xml:space="preserve"> </w:t>
      </w:r>
      <w:r w:rsidR="00D40E46">
        <w:rPr>
          <w:rFonts w:cs="Arial"/>
          <w:sz w:val="22"/>
        </w:rPr>
        <w:t xml:space="preserve">Gustavo Flores Oviedo, </w:t>
      </w:r>
      <w:r w:rsidR="00D40E46">
        <w:rPr>
          <w:rFonts w:cs="Arial"/>
          <w:sz w:val="22"/>
          <w:szCs w:val="22"/>
        </w:rPr>
        <w:t>Auditor Interno.</w:t>
      </w:r>
    </w:p>
    <w:p w14:paraId="118FA766" w14:textId="77777777" w:rsidR="006321F4" w:rsidRPr="00D14EAF" w:rsidRDefault="006321F4" w:rsidP="006321F4">
      <w:pPr>
        <w:spacing w:line="360" w:lineRule="auto"/>
        <w:jc w:val="both"/>
        <w:rPr>
          <w:rFonts w:cs="Arial"/>
          <w:b/>
          <w:sz w:val="22"/>
        </w:rPr>
      </w:pPr>
      <w:r w:rsidRPr="00D14EAF">
        <w:rPr>
          <w:rFonts w:cs="Arial"/>
          <w:b/>
          <w:sz w:val="22"/>
        </w:rPr>
        <w:t>************</w:t>
      </w:r>
    </w:p>
    <w:p w14:paraId="4F15B684" w14:textId="77777777" w:rsidR="00FA4CCB" w:rsidRDefault="00FA4CCB" w:rsidP="0066494B">
      <w:pPr>
        <w:spacing w:line="360" w:lineRule="auto"/>
        <w:jc w:val="both"/>
        <w:rPr>
          <w:rFonts w:cs="Arial"/>
          <w:sz w:val="22"/>
        </w:rPr>
      </w:pPr>
    </w:p>
    <w:p w14:paraId="0F07C437" w14:textId="77777777" w:rsidR="00FA4CCB" w:rsidRDefault="00FA4CCB" w:rsidP="0066494B">
      <w:pPr>
        <w:pStyle w:val="Ttulo4"/>
        <w:spacing w:line="360" w:lineRule="auto"/>
        <w:jc w:val="both"/>
        <w:rPr>
          <w:rFonts w:cs="Arial"/>
        </w:rPr>
      </w:pPr>
      <w:r>
        <w:rPr>
          <w:rFonts w:cs="Arial"/>
        </w:rPr>
        <w:t>Asuntos conocidos en la presente sesión</w:t>
      </w:r>
    </w:p>
    <w:p w14:paraId="37FF38CA" w14:textId="77777777" w:rsidR="00FA4CCB" w:rsidRDefault="00FA4CCB" w:rsidP="0066494B">
      <w:pPr>
        <w:spacing w:line="360" w:lineRule="auto"/>
        <w:jc w:val="both"/>
        <w:rPr>
          <w:rFonts w:cs="Arial"/>
          <w:b/>
          <w:sz w:val="22"/>
        </w:rPr>
      </w:pPr>
    </w:p>
    <w:p w14:paraId="553269C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A29C748" w14:textId="77777777"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lang w:val="es-ES_tradnl"/>
        </w:rPr>
        <w:t>Lectura y aprobación de las actas N° 48-2020 del 25/06/2020 y 49-2020 del 29/06/2020.</w:t>
      </w:r>
    </w:p>
    <w:p w14:paraId="1D82D470" w14:textId="22153D1C"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lang w:val="es-ES_tradnl"/>
        </w:rPr>
        <w:t>Solicitud de aprobación de diecinueve bonos extraordinarios individuales.</w:t>
      </w:r>
    </w:p>
    <w:p w14:paraId="43F796B9" w14:textId="6B83071B"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Solicitud de aprobación de un caso de segundo Bono Familiar de Vivienda.</w:t>
      </w:r>
    </w:p>
    <w:p w14:paraId="0EC99628" w14:textId="625533F0"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Solicitud de aprobación de cuatro bonos extraordinarios individuales.</w:t>
      </w:r>
    </w:p>
    <w:p w14:paraId="1295FF66" w14:textId="5B4FFF10"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Solicitud para sustituir un beneficiario en el proyecto Las Palmas.</w:t>
      </w:r>
    </w:p>
    <w:p w14:paraId="34C41329" w14:textId="4FE64A2E"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Solicitud de reasignación de saldos y ampliación de plazo constructivo y del contrato de administración de recursos del proyecto Los Lirios.</w:t>
      </w:r>
    </w:p>
    <w:p w14:paraId="1FA63001" w14:textId="7C12546D"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lastRenderedPageBreak/>
        <w:t>Solicitud de ampliación del plazo del contrato de administración de recursos del proyecto Linda Vista.</w:t>
      </w:r>
    </w:p>
    <w:p w14:paraId="36D916A7" w14:textId="6A2DE95E"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Reporte de seguimiento sobre la ejecución del plan de acción para lograr la recuperación de las viviendas de los proyectos Ivannia y La Flor.</w:t>
      </w:r>
    </w:p>
    <w:p w14:paraId="532F9CCD" w14:textId="3BCB74FE"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 xml:space="preserve">Criterio sobre el proyecto de “Ley para el tratamiento especial de los recursos del Fondo de Desarrollo Social y Asignaciones Familiares (FODESAF) en casos de declaratoria de emergencia nacional por parte del </w:t>
      </w:r>
      <w:r w:rsidR="006C3068" w:rsidRPr="009B06B3">
        <w:rPr>
          <w:rFonts w:cs="Arial"/>
          <w:sz w:val="22"/>
        </w:rPr>
        <w:t>E</w:t>
      </w:r>
      <w:r w:rsidRPr="009B06B3">
        <w:rPr>
          <w:rFonts w:cs="Arial"/>
          <w:sz w:val="22"/>
        </w:rPr>
        <w:t>stado</w:t>
      </w:r>
      <w:r w:rsidR="0051636B" w:rsidRPr="009B06B3">
        <w:rPr>
          <w:rFonts w:cs="Arial"/>
          <w:sz w:val="22"/>
        </w:rPr>
        <w:t>”</w:t>
      </w:r>
      <w:r w:rsidRPr="009B06B3">
        <w:rPr>
          <w:rFonts w:cs="Arial"/>
          <w:sz w:val="22"/>
        </w:rPr>
        <w:t>.</w:t>
      </w:r>
    </w:p>
    <w:p w14:paraId="4AF5A271" w14:textId="49D455A2"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Borrador de consulta a la Contraloría General de la República, en torno a la naturaleza del FOSUVI.</w:t>
      </w:r>
    </w:p>
    <w:p w14:paraId="2657C832" w14:textId="1BCDA0E4" w:rsidR="00251610" w:rsidRPr="009B06B3" w:rsidRDefault="00251610" w:rsidP="009B06B3">
      <w:pPr>
        <w:pStyle w:val="Prrafodelista"/>
        <w:numPr>
          <w:ilvl w:val="0"/>
          <w:numId w:val="18"/>
        </w:numPr>
        <w:spacing w:line="360" w:lineRule="auto"/>
        <w:ind w:left="567" w:hanging="720"/>
        <w:jc w:val="both"/>
        <w:rPr>
          <w:rFonts w:cs="Arial"/>
          <w:sz w:val="22"/>
          <w:lang w:val="es-ES_tradnl"/>
        </w:rPr>
      </w:pPr>
      <w:r w:rsidRPr="009B06B3">
        <w:rPr>
          <w:rFonts w:cs="Arial"/>
          <w:sz w:val="22"/>
        </w:rPr>
        <w:t xml:space="preserve">Comunicado de prensa con respecto al informe de la </w:t>
      </w:r>
      <w:r w:rsidRPr="009B06B3">
        <w:rPr>
          <w:rFonts w:cs="Arial"/>
          <w:sz w:val="22"/>
          <w:lang w:val="es-ES_tradnl"/>
        </w:rPr>
        <w:t xml:space="preserve">Contraloría General de la República, sobre </w:t>
      </w:r>
      <w:r w:rsidR="008B5841" w:rsidRPr="009B06B3">
        <w:rPr>
          <w:rFonts w:cs="Arial"/>
          <w:sz w:val="22"/>
          <w:lang w:val="es-ES_tradnl"/>
        </w:rPr>
        <w:t>la administración y disposición de bienes realizables en el BANHVI.</w:t>
      </w:r>
    </w:p>
    <w:p w14:paraId="254E16A5" w14:textId="55D6E97A" w:rsidR="00251610" w:rsidRPr="009B06B3" w:rsidRDefault="008B5841" w:rsidP="009B06B3">
      <w:pPr>
        <w:pStyle w:val="Prrafodelista"/>
        <w:numPr>
          <w:ilvl w:val="0"/>
          <w:numId w:val="18"/>
        </w:numPr>
        <w:spacing w:line="360" w:lineRule="auto"/>
        <w:ind w:left="567" w:hanging="720"/>
        <w:jc w:val="both"/>
        <w:rPr>
          <w:rFonts w:cs="Arial"/>
          <w:sz w:val="22"/>
          <w:lang w:val="es-CR"/>
        </w:rPr>
      </w:pPr>
      <w:r w:rsidRPr="009B06B3">
        <w:rPr>
          <w:rFonts w:cs="Arial"/>
          <w:sz w:val="22"/>
        </w:rPr>
        <w:t xml:space="preserve">Oficio de beneficiarios del proyecto Malinche, solicitando </w:t>
      </w:r>
      <w:r w:rsidRPr="009B06B3">
        <w:rPr>
          <w:rFonts w:cs="Arial"/>
          <w:sz w:val="22"/>
          <w:lang w:val="es-CR"/>
        </w:rPr>
        <w:t>ayuda porque</w:t>
      </w:r>
      <w:r w:rsidR="00B91D21" w:rsidRPr="009B06B3">
        <w:rPr>
          <w:rFonts w:cs="Arial"/>
          <w:sz w:val="22"/>
          <w:lang w:val="es-CR"/>
        </w:rPr>
        <w:t xml:space="preserve"> no</w:t>
      </w:r>
      <w:r w:rsidRPr="009B06B3">
        <w:rPr>
          <w:rFonts w:cs="Arial"/>
          <w:sz w:val="22"/>
          <w:lang w:val="es-CR"/>
        </w:rPr>
        <w:t xml:space="preserve"> tienen la posibilidad de aportar los gastos de formalización</w:t>
      </w:r>
      <w:r w:rsidR="00B91D21" w:rsidRPr="009B06B3">
        <w:rPr>
          <w:rFonts w:cs="Arial"/>
          <w:sz w:val="22"/>
          <w:lang w:val="es-CR"/>
        </w:rPr>
        <w:t xml:space="preserve"> de sus operaciones.</w:t>
      </w:r>
    </w:p>
    <w:p w14:paraId="30C7D552" w14:textId="0055D1FF" w:rsidR="00B91D21" w:rsidRPr="009B06B3" w:rsidRDefault="00B91D21" w:rsidP="009B06B3">
      <w:pPr>
        <w:pStyle w:val="Prrafodelista"/>
        <w:numPr>
          <w:ilvl w:val="0"/>
          <w:numId w:val="18"/>
        </w:numPr>
        <w:spacing w:line="360" w:lineRule="auto"/>
        <w:ind w:left="567" w:hanging="720"/>
        <w:jc w:val="both"/>
        <w:rPr>
          <w:rFonts w:cs="Arial"/>
          <w:sz w:val="22"/>
          <w:lang w:val="es-CR"/>
        </w:rPr>
      </w:pPr>
      <w:r w:rsidRPr="009B06B3">
        <w:rPr>
          <w:rFonts w:cs="Arial"/>
          <w:sz w:val="22"/>
          <w:lang w:val="es-CR"/>
        </w:rPr>
        <w:t xml:space="preserve">Copia de oficio enviado por la </w:t>
      </w:r>
      <w:r w:rsidRPr="009B06B3">
        <w:rPr>
          <w:rFonts w:cs="Arial"/>
          <w:sz w:val="22"/>
          <w:lang w:val="es-ES_tradnl"/>
        </w:rPr>
        <w:t xml:space="preserve">Gerencia General a la Procuraduría General de la República, remitiendo la </w:t>
      </w:r>
      <w:r w:rsidRPr="009B06B3">
        <w:rPr>
          <w:rFonts w:cs="Arial"/>
          <w:sz w:val="22"/>
          <w:lang w:val="es-CR"/>
        </w:rPr>
        <w:t>posición del BANHVI en torno a la consulta presentada por el Ministerio de Trabajo y Seguridad Social.</w:t>
      </w:r>
    </w:p>
    <w:p w14:paraId="3BE2F1FB" w14:textId="17A08002" w:rsidR="00B91D21" w:rsidRPr="009B06B3" w:rsidRDefault="00B91D21" w:rsidP="009B06B3">
      <w:pPr>
        <w:pStyle w:val="Prrafodelista"/>
        <w:numPr>
          <w:ilvl w:val="0"/>
          <w:numId w:val="18"/>
        </w:numPr>
        <w:spacing w:line="360" w:lineRule="auto"/>
        <w:ind w:left="567" w:hanging="720"/>
        <w:jc w:val="both"/>
        <w:rPr>
          <w:rFonts w:cs="Arial"/>
          <w:sz w:val="22"/>
          <w:lang w:val="es-CR"/>
        </w:rPr>
      </w:pPr>
      <w:r w:rsidRPr="009B06B3">
        <w:rPr>
          <w:rFonts w:cs="Arial"/>
          <w:sz w:val="22"/>
          <w:lang w:val="es-CR"/>
        </w:rPr>
        <w:t>Oficio de la Fundación Promotora de Vivienda (FUPROVI), comunicando el nombramiento del nuevo Director Ejecutivo.</w:t>
      </w:r>
    </w:p>
    <w:p w14:paraId="4C65B147" w14:textId="17561ACA" w:rsidR="006731F1" w:rsidRPr="009B06B3" w:rsidRDefault="006731F1" w:rsidP="009B06B3">
      <w:pPr>
        <w:pStyle w:val="Prrafodelista"/>
        <w:numPr>
          <w:ilvl w:val="0"/>
          <w:numId w:val="18"/>
        </w:numPr>
        <w:spacing w:line="360" w:lineRule="auto"/>
        <w:ind w:left="567" w:hanging="720"/>
        <w:jc w:val="both"/>
        <w:rPr>
          <w:rFonts w:cs="Arial"/>
          <w:sz w:val="22"/>
        </w:rPr>
      </w:pPr>
      <w:r w:rsidRPr="009B06B3">
        <w:rPr>
          <w:rFonts w:cs="Arial"/>
          <w:sz w:val="22"/>
        </w:rPr>
        <w:t xml:space="preserve">Tema confidencial de </w:t>
      </w:r>
      <w:r w:rsidR="00A7333C" w:rsidRPr="009B06B3">
        <w:rPr>
          <w:rFonts w:cs="Arial"/>
          <w:sz w:val="22"/>
        </w:rPr>
        <w:t xml:space="preserve">la </w:t>
      </w:r>
      <w:r w:rsidRPr="009B06B3">
        <w:rPr>
          <w:rFonts w:cs="Arial"/>
          <w:sz w:val="22"/>
        </w:rPr>
        <w:t>Junta Directiva.</w:t>
      </w:r>
    </w:p>
    <w:p w14:paraId="6EDD00D4" w14:textId="77777777" w:rsidR="006321F4" w:rsidRPr="00D14EAF" w:rsidRDefault="006321F4" w:rsidP="006321F4">
      <w:pPr>
        <w:spacing w:line="360" w:lineRule="auto"/>
        <w:jc w:val="both"/>
        <w:rPr>
          <w:rFonts w:cs="Arial"/>
          <w:b/>
          <w:sz w:val="22"/>
        </w:rPr>
      </w:pPr>
      <w:r w:rsidRPr="00D14EAF">
        <w:rPr>
          <w:rFonts w:cs="Arial"/>
          <w:b/>
          <w:sz w:val="22"/>
        </w:rPr>
        <w:t>************</w:t>
      </w:r>
    </w:p>
    <w:p w14:paraId="2F75AD51" w14:textId="77777777" w:rsidR="007F614F" w:rsidRPr="00AB2826" w:rsidRDefault="007F614F" w:rsidP="002D0146">
      <w:pPr>
        <w:spacing w:line="360" w:lineRule="auto"/>
        <w:jc w:val="both"/>
        <w:rPr>
          <w:rFonts w:cs="Arial"/>
          <w:b/>
          <w:sz w:val="22"/>
          <w:szCs w:val="22"/>
          <w:u w:val="single"/>
          <w:lang w:val="es-ES_tradnl"/>
        </w:rPr>
      </w:pPr>
    </w:p>
    <w:p w14:paraId="5086D045" w14:textId="6AE0CF1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7333C" w:rsidRPr="00A7333C">
        <w:rPr>
          <w:rFonts w:cs="Arial"/>
          <w:b/>
          <w:bCs/>
          <w:sz w:val="22"/>
          <w:u w:val="single"/>
          <w:lang w:val="es-ES_tradnl"/>
        </w:rPr>
        <w:t>Lectura y aprobación de las actas N° 48-2020 del 25/06/2020 y 49-2020 del 29/06/2020</w:t>
      </w:r>
    </w:p>
    <w:p w14:paraId="5EF0CAB8" w14:textId="77777777" w:rsidR="00FA4CCB" w:rsidRDefault="00FA4CCB" w:rsidP="002D0146">
      <w:pPr>
        <w:spacing w:line="360" w:lineRule="auto"/>
        <w:jc w:val="both"/>
        <w:rPr>
          <w:rFonts w:cs="Arial"/>
          <w:sz w:val="22"/>
          <w:szCs w:val="22"/>
        </w:rPr>
      </w:pPr>
    </w:p>
    <w:p w14:paraId="461C1BD1" w14:textId="381FAF56" w:rsidR="006A0F2F" w:rsidRDefault="006A0F2F" w:rsidP="006A0F2F">
      <w:pPr>
        <w:spacing w:line="360" w:lineRule="auto"/>
        <w:jc w:val="both"/>
        <w:rPr>
          <w:rFonts w:cs="Arial"/>
          <w:sz w:val="22"/>
          <w:lang w:val="es-ES_tradnl"/>
        </w:rPr>
      </w:pPr>
      <w:r w:rsidRPr="0039311E">
        <w:rPr>
          <w:rFonts w:cs="Arial"/>
          <w:sz w:val="22"/>
          <w:u w:val="single"/>
          <w:lang w:val="es-ES_tradnl"/>
        </w:rPr>
        <w:t>Minuto 0</w:t>
      </w:r>
      <w:r w:rsidR="00D40E46">
        <w:rPr>
          <w:rFonts w:cs="Arial"/>
          <w:sz w:val="22"/>
          <w:u w:val="single"/>
          <w:lang w:val="es-ES_tradnl"/>
        </w:rPr>
        <w:t>1</w:t>
      </w:r>
      <w:r w:rsidRPr="0039311E">
        <w:rPr>
          <w:rFonts w:cs="Arial"/>
          <w:sz w:val="22"/>
          <w:u w:val="single"/>
          <w:lang w:val="es-ES_tradnl"/>
        </w:rPr>
        <w:t>:</w:t>
      </w:r>
      <w:r w:rsidR="00D40E46">
        <w:rPr>
          <w:rFonts w:cs="Arial"/>
          <w:sz w:val="22"/>
          <w:u w:val="single"/>
          <w:lang w:val="es-ES_tradnl"/>
        </w:rPr>
        <w:t>5</w:t>
      </w:r>
      <w:r w:rsidRPr="0039311E">
        <w:rPr>
          <w:rFonts w:cs="Arial"/>
          <w:sz w:val="22"/>
          <w:u w:val="single"/>
          <w:lang w:val="es-ES_tradnl"/>
        </w:rPr>
        <w:t>0</w:t>
      </w:r>
      <w:r>
        <w:rPr>
          <w:rFonts w:cs="Arial"/>
          <w:sz w:val="22"/>
          <w:lang w:val="es-ES_tradnl"/>
        </w:rPr>
        <w:t xml:space="preserve"> </w:t>
      </w:r>
      <w:r w:rsidR="00D40E46">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D40E46">
        <w:rPr>
          <w:rFonts w:cs="Arial"/>
          <w:sz w:val="22"/>
          <w:lang w:val="es-ES_tradnl"/>
        </w:rPr>
        <w:t>extra</w:t>
      </w:r>
      <w:r>
        <w:rPr>
          <w:rFonts w:cs="Arial"/>
          <w:sz w:val="22"/>
          <w:lang w:val="es-ES_tradnl"/>
        </w:rPr>
        <w:t xml:space="preserve">ordinaria N° </w:t>
      </w:r>
      <w:r w:rsidR="00D40E46">
        <w:rPr>
          <w:rFonts w:cs="Arial"/>
          <w:sz w:val="22"/>
          <w:lang w:val="es-ES_tradnl"/>
        </w:rPr>
        <w:t>48</w:t>
      </w:r>
      <w:r>
        <w:rPr>
          <w:rFonts w:cs="Arial"/>
          <w:sz w:val="22"/>
          <w:lang w:val="es-ES_tradnl"/>
        </w:rPr>
        <w:t xml:space="preserve">-2020, celebrada el </w:t>
      </w:r>
      <w:r w:rsidR="00D40E46">
        <w:rPr>
          <w:rFonts w:cs="Arial"/>
          <w:sz w:val="22"/>
          <w:lang w:val="es-ES_tradnl"/>
        </w:rPr>
        <w:t>25</w:t>
      </w:r>
      <w:r>
        <w:rPr>
          <w:rFonts w:cs="Arial"/>
          <w:sz w:val="22"/>
          <w:lang w:val="es-ES_tradnl"/>
        </w:rPr>
        <w:t xml:space="preserve"> de </w:t>
      </w:r>
      <w:r w:rsidR="00D40E46">
        <w:rPr>
          <w:rFonts w:cs="Arial"/>
          <w:sz w:val="22"/>
          <w:lang w:val="es-ES_tradnl"/>
        </w:rPr>
        <w:t>junio</w:t>
      </w:r>
      <w:r>
        <w:rPr>
          <w:rFonts w:cs="Arial"/>
          <w:sz w:val="22"/>
          <w:lang w:val="es-ES_tradnl"/>
        </w:rPr>
        <w:t xml:space="preserve"> de 2020.</w:t>
      </w:r>
    </w:p>
    <w:p w14:paraId="3F63EB2E" w14:textId="77777777" w:rsidR="006A0F2F" w:rsidRDefault="006A0F2F" w:rsidP="006A0F2F">
      <w:pPr>
        <w:spacing w:line="360" w:lineRule="auto"/>
        <w:jc w:val="both"/>
        <w:rPr>
          <w:rFonts w:cs="Arial"/>
          <w:sz w:val="22"/>
          <w:szCs w:val="22"/>
        </w:rPr>
      </w:pPr>
    </w:p>
    <w:p w14:paraId="77421DC6" w14:textId="1C9ADD72" w:rsidR="006A0F2F" w:rsidRDefault="006A0F2F" w:rsidP="006A0F2F">
      <w:pPr>
        <w:spacing w:line="360" w:lineRule="auto"/>
        <w:jc w:val="both"/>
        <w:rPr>
          <w:rFonts w:cs="Arial"/>
          <w:sz w:val="22"/>
          <w:lang w:val="es-ES_tradnl"/>
        </w:rPr>
      </w:pPr>
      <w:r w:rsidRPr="00A25DB7">
        <w:rPr>
          <w:rFonts w:cs="Arial"/>
          <w:sz w:val="22"/>
          <w:u w:val="single"/>
          <w:lang w:val="es-ES_tradnl"/>
        </w:rPr>
        <w:t xml:space="preserve">Minuto </w:t>
      </w:r>
      <w:r w:rsidR="00D40E46">
        <w:rPr>
          <w:rFonts w:cs="Arial"/>
          <w:sz w:val="22"/>
          <w:u w:val="single"/>
          <w:lang w:val="es-ES_tradnl"/>
        </w:rPr>
        <w:t>04</w:t>
      </w:r>
      <w:r w:rsidRPr="00A25DB7">
        <w:rPr>
          <w:rFonts w:cs="Arial"/>
          <w:sz w:val="22"/>
          <w:u w:val="single"/>
          <w:lang w:val="es-ES_tradnl"/>
        </w:rPr>
        <w:t>:</w:t>
      </w:r>
      <w:r w:rsidR="00D40E46">
        <w:rPr>
          <w:rFonts w:cs="Arial"/>
          <w:sz w:val="22"/>
          <w:u w:val="single"/>
          <w:lang w:val="es-ES_tradnl"/>
        </w:rPr>
        <w:t>25</w:t>
      </w:r>
      <w:r>
        <w:rPr>
          <w:rFonts w:cs="Arial"/>
          <w:sz w:val="22"/>
          <w:lang w:val="es-ES_tradnl"/>
        </w:rPr>
        <w:t xml:space="preserve"> Hechas las enmiendas pertinentes al acta y la minuta en discusión, se aprueban en forma unánime por parte de los señores Directores.</w:t>
      </w:r>
    </w:p>
    <w:p w14:paraId="3E7D1B82" w14:textId="77777777" w:rsidR="006A0F2F" w:rsidRDefault="006A0F2F" w:rsidP="006A0F2F">
      <w:pPr>
        <w:spacing w:line="360" w:lineRule="auto"/>
        <w:jc w:val="both"/>
        <w:rPr>
          <w:rFonts w:cs="Arial"/>
          <w:sz w:val="22"/>
          <w:lang w:val="es-ES_tradnl"/>
        </w:rPr>
      </w:pPr>
    </w:p>
    <w:p w14:paraId="60951753" w14:textId="5DDC6F48" w:rsidR="006A0F2F" w:rsidRDefault="006A0F2F" w:rsidP="006A0F2F">
      <w:pPr>
        <w:spacing w:line="360" w:lineRule="auto"/>
        <w:jc w:val="both"/>
        <w:rPr>
          <w:rFonts w:cs="Arial"/>
          <w:sz w:val="22"/>
          <w:lang w:val="es-ES_tradnl"/>
        </w:rPr>
      </w:pPr>
      <w:r w:rsidRPr="0039311E">
        <w:rPr>
          <w:rFonts w:cs="Arial"/>
          <w:sz w:val="22"/>
          <w:u w:val="single"/>
          <w:lang w:val="es-ES_tradnl"/>
        </w:rPr>
        <w:t>Minuto 0</w:t>
      </w:r>
      <w:r w:rsidR="00D40E46">
        <w:rPr>
          <w:rFonts w:cs="Arial"/>
          <w:sz w:val="22"/>
          <w:u w:val="single"/>
          <w:lang w:val="es-ES_tradnl"/>
        </w:rPr>
        <w:t>5</w:t>
      </w:r>
      <w:r w:rsidRPr="0039311E">
        <w:rPr>
          <w:rFonts w:cs="Arial"/>
          <w:sz w:val="22"/>
          <w:u w:val="single"/>
          <w:lang w:val="es-ES_tradnl"/>
        </w:rPr>
        <w:t>:</w:t>
      </w:r>
      <w:r w:rsidR="00D40E46">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2041E6">
        <w:rPr>
          <w:rFonts w:cs="Arial"/>
          <w:sz w:val="22"/>
          <w:lang w:val="es-ES_tradnl"/>
        </w:rPr>
        <w:t>49</w:t>
      </w:r>
      <w:r>
        <w:rPr>
          <w:rFonts w:cs="Arial"/>
          <w:sz w:val="22"/>
          <w:lang w:val="es-ES_tradnl"/>
        </w:rPr>
        <w:t xml:space="preserve">-2020, celebrada el </w:t>
      </w:r>
      <w:r w:rsidR="002041E6">
        <w:rPr>
          <w:rFonts w:cs="Arial"/>
          <w:sz w:val="22"/>
          <w:lang w:val="es-ES_tradnl"/>
        </w:rPr>
        <w:t>29</w:t>
      </w:r>
      <w:r>
        <w:rPr>
          <w:rFonts w:cs="Arial"/>
          <w:sz w:val="22"/>
          <w:lang w:val="es-ES_tradnl"/>
        </w:rPr>
        <w:t xml:space="preserve"> de </w:t>
      </w:r>
      <w:r w:rsidR="002041E6">
        <w:rPr>
          <w:rFonts w:cs="Arial"/>
          <w:sz w:val="22"/>
          <w:lang w:val="es-ES_tradnl"/>
        </w:rPr>
        <w:t>junio</w:t>
      </w:r>
      <w:r>
        <w:rPr>
          <w:rFonts w:cs="Arial"/>
          <w:sz w:val="22"/>
          <w:lang w:val="es-ES_tradnl"/>
        </w:rPr>
        <w:t xml:space="preserve"> de 2020.</w:t>
      </w:r>
    </w:p>
    <w:p w14:paraId="615B5AFC" w14:textId="0FF6ECA9" w:rsidR="002141FE" w:rsidRDefault="002141FE" w:rsidP="006A0F2F">
      <w:pPr>
        <w:spacing w:line="360" w:lineRule="auto"/>
        <w:jc w:val="both"/>
        <w:rPr>
          <w:rFonts w:cs="Arial"/>
          <w:sz w:val="22"/>
          <w:szCs w:val="22"/>
        </w:rPr>
      </w:pPr>
    </w:p>
    <w:p w14:paraId="497B19CF" w14:textId="167C6B3E" w:rsidR="006A0F2F" w:rsidRDefault="00D40E46" w:rsidP="006A0F2F">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24</w:t>
      </w:r>
      <w:r w:rsidRPr="00A25DB7">
        <w:rPr>
          <w:rFonts w:cs="Arial"/>
          <w:sz w:val="22"/>
          <w:u w:val="single"/>
          <w:lang w:val="es-ES_tradnl"/>
        </w:rPr>
        <w:t>:</w:t>
      </w:r>
      <w:r>
        <w:rPr>
          <w:rFonts w:cs="Arial"/>
          <w:sz w:val="22"/>
          <w:u w:val="single"/>
          <w:lang w:val="es-ES_tradnl"/>
        </w:rPr>
        <w:t>08</w:t>
      </w:r>
      <w:r>
        <w:rPr>
          <w:rFonts w:cs="Arial"/>
          <w:sz w:val="22"/>
          <w:lang w:val="es-ES_tradnl"/>
        </w:rPr>
        <w:t xml:space="preserve"> Hechas </w:t>
      </w:r>
      <w:r w:rsidR="006A0F2F">
        <w:rPr>
          <w:rFonts w:cs="Arial"/>
          <w:sz w:val="22"/>
          <w:lang w:val="es-ES_tradnl"/>
        </w:rPr>
        <w:t>las enmiendas pertinentes al acta y la minuta en discusión, se aprueban en forma unánime por parte de los señores Directores.</w:t>
      </w:r>
    </w:p>
    <w:p w14:paraId="08545681" w14:textId="2687351B" w:rsidR="002141FE" w:rsidRDefault="002141FE" w:rsidP="006A0F2F">
      <w:pPr>
        <w:spacing w:line="360" w:lineRule="auto"/>
        <w:jc w:val="both"/>
        <w:rPr>
          <w:rFonts w:cs="Arial"/>
          <w:sz w:val="22"/>
          <w:lang w:val="es-ES_tradnl"/>
        </w:rPr>
      </w:pPr>
    </w:p>
    <w:p w14:paraId="72C49F9B" w14:textId="2ACD2CDD" w:rsidR="00D40E46" w:rsidRDefault="00D40E46" w:rsidP="006A0F2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w:t>
      </w:r>
      <w:r w:rsidRPr="00A25DB7">
        <w:rPr>
          <w:rFonts w:cs="Arial"/>
          <w:sz w:val="22"/>
          <w:u w:val="single"/>
          <w:lang w:val="es-ES_tradnl"/>
        </w:rPr>
        <w:t>:</w:t>
      </w:r>
      <w:r>
        <w:rPr>
          <w:rFonts w:cs="Arial"/>
          <w:sz w:val="22"/>
          <w:u w:val="single"/>
          <w:lang w:val="es-ES_tradnl"/>
        </w:rPr>
        <w:t>00</w:t>
      </w:r>
      <w:r>
        <w:rPr>
          <w:rFonts w:cs="Arial"/>
          <w:sz w:val="22"/>
          <w:lang w:val="es-ES_tradnl"/>
        </w:rPr>
        <w:t xml:space="preserve"> Se incorpora a la sesión la licenciada Martha Camacho Murillo, Directora del FOSUVI, quien explica la situación de los casos del proyecto El Edén, </w:t>
      </w:r>
      <w:r w:rsidR="002041E6">
        <w:rPr>
          <w:rFonts w:cs="Arial"/>
          <w:sz w:val="22"/>
          <w:lang w:val="es-ES_tradnl"/>
        </w:rPr>
        <w:t>indicados en los acuerdos N° 4 y N° 5 de la sesión 49-2020, y al respecto destaca que el subsidio incluye el monto proporcional de las obras de infraestructura que fueron realizadas en el proyecto y no así el costo del terreno.</w:t>
      </w:r>
      <w:r w:rsidR="00863372">
        <w:rPr>
          <w:rFonts w:cs="Arial"/>
          <w:sz w:val="22"/>
          <w:lang w:val="es-ES_tradnl"/>
        </w:rPr>
        <w:t xml:space="preserve">  Este razonamiento es secundado por el Lic. González Zumbado.</w:t>
      </w:r>
    </w:p>
    <w:p w14:paraId="5AED9C18" w14:textId="77777777" w:rsidR="007749FC" w:rsidRPr="00D14EAF" w:rsidRDefault="007749FC" w:rsidP="007749FC">
      <w:pPr>
        <w:spacing w:line="360" w:lineRule="auto"/>
        <w:jc w:val="both"/>
        <w:rPr>
          <w:rFonts w:cs="Arial"/>
          <w:b/>
          <w:sz w:val="22"/>
        </w:rPr>
      </w:pPr>
      <w:r w:rsidRPr="00D14EAF">
        <w:rPr>
          <w:rFonts w:cs="Arial"/>
          <w:b/>
          <w:sz w:val="22"/>
        </w:rPr>
        <w:t>************</w:t>
      </w:r>
    </w:p>
    <w:p w14:paraId="688A2E84" w14:textId="77777777" w:rsidR="00FA4CCB" w:rsidRDefault="00FA4CCB" w:rsidP="002D0146">
      <w:pPr>
        <w:spacing w:line="360" w:lineRule="auto"/>
        <w:jc w:val="both"/>
        <w:rPr>
          <w:rFonts w:cs="Arial"/>
          <w:b/>
          <w:sz w:val="22"/>
          <w:szCs w:val="22"/>
          <w:u w:val="single"/>
          <w:lang w:val="es-ES_tradnl"/>
        </w:rPr>
      </w:pPr>
    </w:p>
    <w:p w14:paraId="18276A14" w14:textId="7433330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7333C" w:rsidRPr="00A7333C">
        <w:rPr>
          <w:rFonts w:cs="Arial"/>
          <w:b/>
          <w:bCs/>
          <w:sz w:val="22"/>
          <w:u w:val="single"/>
          <w:lang w:val="es-ES_tradnl"/>
        </w:rPr>
        <w:t>Solicitud de aprobación de diecinueve bonos extraordinarios individuales</w:t>
      </w:r>
    </w:p>
    <w:p w14:paraId="3B1D38DD" w14:textId="41D737AF" w:rsidR="009D03FE" w:rsidRDefault="009D03FE" w:rsidP="009D03FE">
      <w:pPr>
        <w:spacing w:line="360" w:lineRule="auto"/>
        <w:jc w:val="both"/>
        <w:rPr>
          <w:rFonts w:cs="Arial"/>
          <w:sz w:val="22"/>
          <w:szCs w:val="22"/>
        </w:rPr>
      </w:pPr>
    </w:p>
    <w:p w14:paraId="1CAE5095" w14:textId="08C6966F" w:rsidR="00BF0AE8" w:rsidRDefault="005130AA" w:rsidP="00BF0AE8">
      <w:pPr>
        <w:spacing w:line="360" w:lineRule="auto"/>
        <w:jc w:val="both"/>
        <w:rPr>
          <w:rFonts w:cs="Arial"/>
          <w:bCs/>
          <w:sz w:val="22"/>
        </w:rPr>
      </w:pPr>
      <w:r w:rsidRPr="00A25DB7">
        <w:rPr>
          <w:rFonts w:cs="Arial"/>
          <w:sz w:val="22"/>
          <w:u w:val="single"/>
          <w:lang w:val="es-ES_tradnl"/>
        </w:rPr>
        <w:t xml:space="preserve">Minuto </w:t>
      </w:r>
      <w:r w:rsidR="0050118E">
        <w:rPr>
          <w:rFonts w:cs="Arial"/>
          <w:sz w:val="22"/>
          <w:u w:val="single"/>
          <w:lang w:val="es-ES_tradnl"/>
        </w:rPr>
        <w:t>32</w:t>
      </w:r>
      <w:r w:rsidRPr="00A25DB7">
        <w:rPr>
          <w:rFonts w:cs="Arial"/>
          <w:sz w:val="22"/>
          <w:u w:val="single"/>
          <w:lang w:val="es-ES_tradnl"/>
        </w:rPr>
        <w:t>:</w:t>
      </w:r>
      <w:r w:rsidR="0050118E">
        <w:rPr>
          <w:rFonts w:cs="Arial"/>
          <w:sz w:val="22"/>
          <w:u w:val="single"/>
          <w:lang w:val="es-ES_tradnl"/>
        </w:rPr>
        <w:t>13</w:t>
      </w:r>
      <w:r>
        <w:rPr>
          <w:rFonts w:cs="Arial"/>
          <w:sz w:val="22"/>
          <w:lang w:val="es-ES_tradnl"/>
        </w:rPr>
        <w:t xml:space="preserve"> </w:t>
      </w:r>
      <w:r w:rsidR="00BF0AE8">
        <w:rPr>
          <w:rFonts w:cs="Arial"/>
          <w:sz w:val="22"/>
          <w:lang w:val="es-ES_tradnl"/>
        </w:rPr>
        <w:t>Se</w:t>
      </w:r>
      <w:r w:rsidR="00BF0AE8">
        <w:rPr>
          <w:rFonts w:cs="Arial"/>
          <w:sz w:val="22"/>
          <w:szCs w:val="22"/>
        </w:rPr>
        <w:t xml:space="preserve"> retira </w:t>
      </w:r>
      <w:r w:rsidR="00BF0AE8">
        <w:rPr>
          <w:sz w:val="22"/>
          <w:szCs w:val="22"/>
        </w:rPr>
        <w:t xml:space="preserve">temporalmente de la sesión el señor Gerente General, quien se excusa de participar en la discusión y resolución de éste y el siguiente asunto; </w:t>
      </w:r>
      <w:r w:rsidR="00BF0AE8">
        <w:rPr>
          <w:rFonts w:cs="Arial"/>
          <w:bCs/>
          <w:sz w:val="22"/>
          <w:lang w:val="es-ES_tradnl"/>
        </w:rPr>
        <w:t>y</w:t>
      </w:r>
      <w:r w:rsidR="00BF0AE8">
        <w:rPr>
          <w:sz w:val="22"/>
          <w:szCs w:val="22"/>
        </w:rPr>
        <w:t xml:space="preserve"> se procede a conocer el </w:t>
      </w:r>
      <w:r w:rsidR="00BF0AE8">
        <w:rPr>
          <w:rFonts w:cs="Arial"/>
          <w:sz w:val="22"/>
          <w:lang w:val="es-ES_tradnl"/>
        </w:rPr>
        <w:t xml:space="preserve">oficio </w:t>
      </w:r>
      <w:r w:rsidR="00BF0AE8">
        <w:rPr>
          <w:rFonts w:cs="Arial"/>
          <w:bCs/>
          <w:sz w:val="22"/>
        </w:rPr>
        <w:t>GG-ME-0</w:t>
      </w:r>
      <w:r w:rsidR="0050118E">
        <w:rPr>
          <w:rFonts w:cs="Arial"/>
          <w:bCs/>
          <w:sz w:val="22"/>
        </w:rPr>
        <w:t>734</w:t>
      </w:r>
      <w:r w:rsidR="00BF0AE8">
        <w:rPr>
          <w:rFonts w:cs="Arial"/>
          <w:bCs/>
          <w:sz w:val="22"/>
        </w:rPr>
        <w:t xml:space="preserve">-2020 del </w:t>
      </w:r>
      <w:r w:rsidR="0050118E">
        <w:rPr>
          <w:rFonts w:cs="Arial"/>
          <w:bCs/>
          <w:sz w:val="22"/>
        </w:rPr>
        <w:t>02</w:t>
      </w:r>
      <w:r w:rsidR="00BF0AE8">
        <w:rPr>
          <w:rFonts w:cs="Arial"/>
          <w:bCs/>
          <w:sz w:val="22"/>
        </w:rPr>
        <w:t xml:space="preserve"> de ju</w:t>
      </w:r>
      <w:r w:rsidR="0050118E">
        <w:rPr>
          <w:rFonts w:cs="Arial"/>
          <w:bCs/>
          <w:sz w:val="22"/>
        </w:rPr>
        <w:t>l</w:t>
      </w:r>
      <w:r w:rsidR="00BF0AE8">
        <w:rPr>
          <w:rFonts w:cs="Arial"/>
          <w:bCs/>
          <w:sz w:val="22"/>
        </w:rPr>
        <w:t xml:space="preserve">io de 2020, por medio del cual, el asistente de la Gerencia General remite y avala el informe </w:t>
      </w:r>
      <w:r w:rsidR="00BF0AE8">
        <w:rPr>
          <w:rFonts w:cs="Arial"/>
          <w:sz w:val="22"/>
          <w:szCs w:val="22"/>
        </w:rPr>
        <w:t>DF</w:t>
      </w:r>
      <w:r w:rsidR="00BF0AE8" w:rsidRPr="00B35EAF">
        <w:rPr>
          <w:rFonts w:cs="Arial"/>
          <w:sz w:val="22"/>
          <w:szCs w:val="22"/>
        </w:rPr>
        <w:t>-OF-</w:t>
      </w:r>
      <w:r w:rsidR="00BF0AE8">
        <w:rPr>
          <w:rFonts w:cs="Arial"/>
          <w:sz w:val="22"/>
          <w:szCs w:val="22"/>
        </w:rPr>
        <w:t>0</w:t>
      </w:r>
      <w:r w:rsidR="0050118E">
        <w:rPr>
          <w:rFonts w:cs="Arial"/>
          <w:sz w:val="22"/>
          <w:szCs w:val="22"/>
        </w:rPr>
        <w:t>750</w:t>
      </w:r>
      <w:r w:rsidR="00BF0AE8">
        <w:rPr>
          <w:rFonts w:cs="Arial"/>
          <w:sz w:val="22"/>
          <w:szCs w:val="22"/>
        </w:rPr>
        <w:t xml:space="preserve">-2020 de la </w:t>
      </w:r>
      <w:r w:rsidR="00BF0AE8" w:rsidRPr="00B35EAF">
        <w:rPr>
          <w:rFonts w:cs="Arial"/>
          <w:sz w:val="22"/>
          <w:szCs w:val="22"/>
        </w:rPr>
        <w:t>Dirección FOSUVI</w:t>
      </w:r>
      <w:r w:rsidR="00BF0AE8">
        <w:rPr>
          <w:rFonts w:cs="Arial"/>
          <w:bCs/>
          <w:sz w:val="22"/>
        </w:rPr>
        <w:t xml:space="preserve">, que contiene un resumen de los resultados del estudio efectuado a las solicitudes de </w:t>
      </w:r>
      <w:r w:rsidR="00BF0AE8">
        <w:rPr>
          <w:rFonts w:cs="Arial"/>
          <w:bCs/>
          <w:sz w:val="22"/>
          <w:szCs w:val="22"/>
        </w:rPr>
        <w:t>Mutual Cartago de Ahorro y Préstamo</w:t>
      </w:r>
      <w:r w:rsidR="00BF0AE8">
        <w:rPr>
          <w:rFonts w:cs="Arial"/>
          <w:bCs/>
          <w:sz w:val="22"/>
        </w:rPr>
        <w:t>,</w:t>
      </w:r>
      <w:r w:rsidR="00BF0AE8">
        <w:rPr>
          <w:rFonts w:cs="Arial"/>
          <w:bCs/>
          <w:color w:val="000000"/>
          <w:sz w:val="22"/>
          <w:szCs w:val="22"/>
        </w:rPr>
        <w:t xml:space="preserve"> </w:t>
      </w:r>
      <w:r w:rsidR="00BF0AE8">
        <w:rPr>
          <w:rFonts w:cs="Arial"/>
          <w:bCs/>
          <w:sz w:val="22"/>
        </w:rPr>
        <w:t xml:space="preserve">para financiar </w:t>
      </w:r>
      <w:r w:rsidR="0050118E">
        <w:rPr>
          <w:rFonts w:cs="Arial"/>
          <w:bCs/>
          <w:sz w:val="22"/>
        </w:rPr>
        <w:t>diecinueve</w:t>
      </w:r>
      <w:r w:rsidR="00BF0AE8">
        <w:rPr>
          <w:rFonts w:cs="Arial"/>
          <w:bCs/>
          <w:sz w:val="22"/>
        </w:rPr>
        <w:t xml:space="preserve"> operaciones individuales de Bono Familiar de Vivienda, por situación de extrema necesidad,</w:t>
      </w:r>
      <w:r w:rsidR="00BF0AE8" w:rsidRPr="00FD161B">
        <w:rPr>
          <w:rFonts w:cs="Arial"/>
          <w:bCs/>
          <w:sz w:val="22"/>
        </w:rPr>
        <w:t xml:space="preserve"> </w:t>
      </w:r>
      <w:r w:rsidR="00BF0AE8">
        <w:rPr>
          <w:rFonts w:cs="Arial"/>
          <w:bCs/>
          <w:sz w:val="22"/>
        </w:rPr>
        <w:t xml:space="preserve">al amparo del artículo 59 de la Ley del Sistema Financiero Nacional para la Vivienda.  </w:t>
      </w:r>
      <w:r w:rsidR="00BF0AE8">
        <w:rPr>
          <w:rFonts w:cs="Arial"/>
          <w:bCs/>
          <w:sz w:val="22"/>
          <w:szCs w:val="22"/>
        </w:rPr>
        <w:t>Dichos documentos se adjuntan al expediente del acta.</w:t>
      </w:r>
    </w:p>
    <w:p w14:paraId="66562850" w14:textId="77777777" w:rsidR="00BF0AE8" w:rsidRDefault="00BF0AE8" w:rsidP="00BF0AE8">
      <w:pPr>
        <w:spacing w:line="360" w:lineRule="auto"/>
        <w:jc w:val="both"/>
        <w:rPr>
          <w:rFonts w:cs="Arial"/>
          <w:bCs/>
          <w:sz w:val="22"/>
        </w:rPr>
      </w:pPr>
    </w:p>
    <w:p w14:paraId="12556A25" w14:textId="77777777" w:rsidR="00BF0AE8" w:rsidRDefault="00BF0AE8" w:rsidP="00BF0AE8">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1D5C230" w14:textId="1FF6FD1A" w:rsidR="00BF0AE8" w:rsidRDefault="00BF0AE8" w:rsidP="00BF0AE8">
      <w:pPr>
        <w:spacing w:line="360" w:lineRule="auto"/>
        <w:jc w:val="both"/>
        <w:rPr>
          <w:rFonts w:cs="Arial"/>
          <w:bCs/>
          <w:sz w:val="22"/>
          <w:szCs w:val="22"/>
        </w:rPr>
      </w:pPr>
    </w:p>
    <w:p w14:paraId="3CF3604B" w14:textId="42C685D6" w:rsidR="00113CB1" w:rsidRDefault="0050118E" w:rsidP="00BF0AE8">
      <w:pPr>
        <w:spacing w:line="360" w:lineRule="auto"/>
        <w:jc w:val="both"/>
        <w:rPr>
          <w:rFonts w:cs="Arial"/>
          <w:sz w:val="22"/>
          <w:lang w:val="es-ES_tradnl"/>
        </w:rPr>
      </w:pPr>
      <w:r w:rsidRPr="00A21797">
        <w:rPr>
          <w:rFonts w:cs="Arial"/>
          <w:bCs/>
          <w:sz w:val="22"/>
          <w:szCs w:val="22"/>
          <w:u w:val="single"/>
        </w:rPr>
        <w:t xml:space="preserve">Minuto </w:t>
      </w:r>
      <w:r>
        <w:rPr>
          <w:rFonts w:cs="Arial"/>
          <w:bCs/>
          <w:sz w:val="22"/>
          <w:szCs w:val="22"/>
          <w:u w:val="single"/>
        </w:rPr>
        <w:t>37</w:t>
      </w:r>
      <w:r w:rsidRPr="00A21797">
        <w:rPr>
          <w:rFonts w:cs="Arial"/>
          <w:bCs/>
          <w:sz w:val="22"/>
          <w:szCs w:val="22"/>
          <w:u w:val="single"/>
        </w:rPr>
        <w:t>:</w:t>
      </w:r>
      <w:r>
        <w:rPr>
          <w:rFonts w:cs="Arial"/>
          <w:bCs/>
          <w:sz w:val="22"/>
          <w:szCs w:val="22"/>
          <w:u w:val="single"/>
        </w:rPr>
        <w:t>30</w:t>
      </w:r>
      <w:r>
        <w:rPr>
          <w:rFonts w:cs="Arial"/>
          <w:sz w:val="22"/>
          <w:lang w:val="es-ES_tradnl"/>
        </w:rPr>
        <w:t xml:space="preserve"> Atendiendo una consulta del licenciado González Zumbado, sobre la disponibilidad de agua potable en las viviendas que se proponen para los casos de  Jennifer Blandón Castillo y José Leonidas Camacho</w:t>
      </w:r>
      <w:r w:rsidR="0009357C">
        <w:rPr>
          <w:rFonts w:cs="Arial"/>
          <w:sz w:val="22"/>
          <w:lang w:val="es-ES_tradnl"/>
        </w:rPr>
        <w:t xml:space="preserve"> Duartes</w:t>
      </w:r>
      <w:r>
        <w:rPr>
          <w:rFonts w:cs="Arial"/>
          <w:sz w:val="22"/>
          <w:lang w:val="es-ES_tradnl"/>
        </w:rPr>
        <w:t xml:space="preserve">, en el cantón de Upala, la licenciada Camacho Murillo explica </w:t>
      </w:r>
      <w:r w:rsidR="00254762">
        <w:rPr>
          <w:rFonts w:cs="Arial"/>
          <w:sz w:val="22"/>
          <w:lang w:val="es-ES_tradnl"/>
        </w:rPr>
        <w:t xml:space="preserve">que </w:t>
      </w:r>
      <w:r w:rsidR="00113CB1">
        <w:rPr>
          <w:rFonts w:cs="Arial"/>
          <w:sz w:val="22"/>
          <w:lang w:val="es-ES_tradnl"/>
        </w:rPr>
        <w:t xml:space="preserve">para la aprobación de los casos individuales no se exige la </w:t>
      </w:r>
      <w:r w:rsidR="00113CB1">
        <w:rPr>
          <w:rFonts w:cs="Arial"/>
          <w:sz w:val="22"/>
          <w:lang w:val="es-ES_tradnl"/>
        </w:rPr>
        <w:lastRenderedPageBreak/>
        <w:t>aprobación de la disponibilidad de agua, pues ese trámite de aprobación ante el ente competente, se debe realizar una vez que el bono se haya aprobado.</w:t>
      </w:r>
      <w:r w:rsidR="00B44E9F">
        <w:rPr>
          <w:rFonts w:cs="Arial"/>
          <w:sz w:val="22"/>
          <w:lang w:val="es-ES_tradnl"/>
        </w:rPr>
        <w:t xml:space="preserve">  Y en estos casos</w:t>
      </w:r>
      <w:r w:rsidR="00EC3F97">
        <w:rPr>
          <w:rFonts w:cs="Arial"/>
          <w:sz w:val="22"/>
          <w:lang w:val="es-ES_tradnl"/>
        </w:rPr>
        <w:t xml:space="preserve"> particulares</w:t>
      </w:r>
      <w:r w:rsidR="00B44E9F">
        <w:rPr>
          <w:rFonts w:cs="Arial"/>
          <w:sz w:val="22"/>
          <w:lang w:val="es-ES_tradnl"/>
        </w:rPr>
        <w:t>, el avalúo indica que existe disponibilidad de agua.</w:t>
      </w:r>
    </w:p>
    <w:p w14:paraId="447C6349" w14:textId="77777777" w:rsidR="0050118E" w:rsidRDefault="0050118E" w:rsidP="00BF0AE8">
      <w:pPr>
        <w:spacing w:line="360" w:lineRule="auto"/>
        <w:jc w:val="both"/>
        <w:rPr>
          <w:rFonts w:cs="Arial"/>
          <w:bCs/>
          <w:sz w:val="22"/>
          <w:szCs w:val="22"/>
        </w:rPr>
      </w:pPr>
    </w:p>
    <w:p w14:paraId="2235FFAD" w14:textId="04DBE20B" w:rsidR="00BF0AE8" w:rsidRDefault="00BF0AE8" w:rsidP="009D03FE">
      <w:pPr>
        <w:spacing w:line="360" w:lineRule="auto"/>
        <w:jc w:val="both"/>
        <w:rPr>
          <w:rFonts w:cs="Arial"/>
          <w:sz w:val="22"/>
          <w:szCs w:val="22"/>
        </w:rPr>
      </w:pPr>
      <w:r w:rsidRPr="00A21797">
        <w:rPr>
          <w:rFonts w:cs="Arial"/>
          <w:bCs/>
          <w:sz w:val="22"/>
          <w:szCs w:val="22"/>
          <w:u w:val="single"/>
        </w:rPr>
        <w:t xml:space="preserve">Minuto </w:t>
      </w:r>
      <w:r w:rsidR="00EC3F97">
        <w:rPr>
          <w:rFonts w:cs="Arial"/>
          <w:bCs/>
          <w:sz w:val="22"/>
          <w:szCs w:val="22"/>
          <w:u w:val="single"/>
        </w:rPr>
        <w:t>5</w:t>
      </w:r>
      <w:r>
        <w:rPr>
          <w:rFonts w:cs="Arial"/>
          <w:bCs/>
          <w:sz w:val="22"/>
          <w:szCs w:val="22"/>
          <w:u w:val="single"/>
        </w:rPr>
        <w:t>0</w:t>
      </w:r>
      <w:r w:rsidRPr="00A21797">
        <w:rPr>
          <w:rFonts w:cs="Arial"/>
          <w:bCs/>
          <w:sz w:val="22"/>
          <w:szCs w:val="22"/>
          <w:u w:val="single"/>
        </w:rPr>
        <w:t>:</w:t>
      </w:r>
      <w:r w:rsidR="00EC3F97">
        <w:rPr>
          <w:rFonts w:cs="Arial"/>
          <w:bCs/>
          <w:sz w:val="22"/>
          <w:szCs w:val="22"/>
          <w:u w:val="single"/>
        </w:rPr>
        <w:t>28</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según lo recomienda la Administración</w:t>
      </w:r>
      <w:r w:rsidR="00EC3F97">
        <w:rPr>
          <w:rFonts w:cs="Arial"/>
          <w:sz w:val="22"/>
          <w:szCs w:val="22"/>
        </w:rPr>
        <w:t xml:space="preserve">, pero girando instrucciones adicionales </w:t>
      </w:r>
      <w:r w:rsidR="00EC3F97">
        <w:rPr>
          <w:rFonts w:cs="Arial"/>
          <w:sz w:val="22"/>
          <w:lang w:val="es-ES_tradnl"/>
        </w:rPr>
        <w:t xml:space="preserve">a la entidad autorizada, para que a los casos de Jennifer Blandón Castillo y José Leonidas Camacho </w:t>
      </w:r>
      <w:r w:rsidR="0009357C">
        <w:rPr>
          <w:rFonts w:cs="Arial"/>
          <w:sz w:val="22"/>
          <w:lang w:val="es-ES_tradnl"/>
        </w:rPr>
        <w:t>Duartes</w:t>
      </w:r>
      <w:r w:rsidR="00EC3F97">
        <w:rPr>
          <w:rFonts w:cs="Arial"/>
          <w:sz w:val="22"/>
          <w:lang w:val="es-ES_tradnl"/>
        </w:rPr>
        <w:t xml:space="preserve">, se les dé un seguimiento particular para verificar que las viviendas cuentan con disponibilidad de agua potable.  </w:t>
      </w:r>
      <w:r w:rsidR="00EC3F97">
        <w:rPr>
          <w:rFonts w:cs="Arial"/>
          <w:sz w:val="22"/>
          <w:szCs w:val="22"/>
        </w:rPr>
        <w:t xml:space="preserve">Lo anterior, en </w:t>
      </w:r>
      <w:r>
        <w:rPr>
          <w:rFonts w:cs="Arial"/>
          <w:sz w:val="22"/>
          <w:szCs w:val="22"/>
        </w:rPr>
        <w:t xml:space="preserve">los términos que se indican en el </w:t>
      </w:r>
      <w:r>
        <w:rPr>
          <w:rFonts w:cs="Arial"/>
          <w:b/>
          <w:sz w:val="22"/>
          <w:szCs w:val="22"/>
        </w:rPr>
        <w:t>A</w:t>
      </w:r>
      <w:r w:rsidRPr="00ED0EF0">
        <w:rPr>
          <w:rFonts w:cs="Arial"/>
          <w:b/>
          <w:sz w:val="22"/>
          <w:szCs w:val="22"/>
        </w:rPr>
        <w:t>cuerdo</w:t>
      </w:r>
      <w:r>
        <w:rPr>
          <w:rFonts w:cs="Arial"/>
          <w:b/>
          <w:sz w:val="22"/>
          <w:szCs w:val="22"/>
        </w:rPr>
        <w:t xml:space="preserve"> N° 1 </w:t>
      </w:r>
      <w:r>
        <w:rPr>
          <w:rFonts w:cs="Arial"/>
          <w:sz w:val="22"/>
          <w:szCs w:val="22"/>
        </w:rPr>
        <w:t>que se anexa a esta minuta.</w:t>
      </w:r>
    </w:p>
    <w:p w14:paraId="53EC9EDF" w14:textId="77777777" w:rsidR="009D03FE" w:rsidRPr="00D14EAF" w:rsidRDefault="009D03FE" w:rsidP="009D03FE">
      <w:pPr>
        <w:spacing w:line="360" w:lineRule="auto"/>
        <w:jc w:val="both"/>
        <w:rPr>
          <w:rFonts w:cs="Arial"/>
          <w:b/>
          <w:sz w:val="22"/>
        </w:rPr>
      </w:pPr>
      <w:r w:rsidRPr="00D14EAF">
        <w:rPr>
          <w:rFonts w:cs="Arial"/>
          <w:b/>
          <w:sz w:val="22"/>
        </w:rPr>
        <w:t>************</w:t>
      </w:r>
    </w:p>
    <w:p w14:paraId="3797B378" w14:textId="77777777" w:rsidR="00D13B6B" w:rsidRDefault="00D13B6B" w:rsidP="002D0146">
      <w:pPr>
        <w:spacing w:line="360" w:lineRule="auto"/>
        <w:jc w:val="both"/>
        <w:rPr>
          <w:rFonts w:cs="Arial"/>
          <w:b/>
          <w:bCs/>
          <w:sz w:val="22"/>
          <w:szCs w:val="22"/>
          <w:u w:val="single"/>
          <w:lang w:val="es-ES_tradnl"/>
        </w:rPr>
      </w:pPr>
    </w:p>
    <w:p w14:paraId="51CCCFFE" w14:textId="5CB93EC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7333C" w:rsidRPr="00A7333C">
        <w:rPr>
          <w:rFonts w:cs="Arial"/>
          <w:b/>
          <w:bCs/>
          <w:sz w:val="22"/>
          <w:u w:val="single"/>
        </w:rPr>
        <w:t>Solicitud de aprobación de un caso de segundo Bono Familiar de Vivienda</w:t>
      </w:r>
    </w:p>
    <w:p w14:paraId="39543577" w14:textId="77777777" w:rsidR="009D03FE" w:rsidRDefault="009D03FE" w:rsidP="009D03FE">
      <w:pPr>
        <w:spacing w:line="360" w:lineRule="auto"/>
        <w:jc w:val="both"/>
        <w:rPr>
          <w:rFonts w:cs="Arial"/>
          <w:sz w:val="22"/>
          <w:szCs w:val="22"/>
        </w:rPr>
      </w:pPr>
    </w:p>
    <w:p w14:paraId="503EA0C3" w14:textId="7898B623" w:rsidR="00E25651" w:rsidRDefault="00E25651" w:rsidP="00E25651">
      <w:pPr>
        <w:spacing w:line="360" w:lineRule="auto"/>
        <w:jc w:val="both"/>
        <w:rPr>
          <w:sz w:val="22"/>
          <w:szCs w:val="22"/>
        </w:rPr>
      </w:pPr>
      <w:r w:rsidRPr="004B6342">
        <w:rPr>
          <w:rFonts w:cs="Arial"/>
          <w:sz w:val="22"/>
          <w:u w:val="single"/>
          <w:lang w:val="es-ES_tradnl"/>
        </w:rPr>
        <w:t xml:space="preserve">Minuto </w:t>
      </w:r>
      <w:r w:rsidR="00A11E1D" w:rsidRPr="004B6342">
        <w:rPr>
          <w:rFonts w:cs="Arial"/>
          <w:sz w:val="22"/>
          <w:u w:val="single"/>
          <w:lang w:val="es-ES_tradnl"/>
        </w:rPr>
        <w:t>51</w:t>
      </w:r>
      <w:r w:rsidRPr="004B6342">
        <w:rPr>
          <w:rFonts w:cs="Arial"/>
          <w:sz w:val="22"/>
          <w:u w:val="single"/>
          <w:lang w:val="es-ES_tradnl"/>
        </w:rPr>
        <w:t>:</w:t>
      </w:r>
      <w:r w:rsidR="00A11E1D" w:rsidRPr="004B6342">
        <w:rPr>
          <w:rFonts w:cs="Arial"/>
          <w:sz w:val="22"/>
          <w:u w:val="single"/>
          <w:lang w:val="es-ES_tradnl"/>
        </w:rPr>
        <w:t>46</w:t>
      </w:r>
      <w:r>
        <w:rPr>
          <w:rFonts w:cs="Arial"/>
          <w:sz w:val="22"/>
          <w:lang w:val="es-ES_tradnl"/>
        </w:rPr>
        <w:t xml:space="preserve"> Se conoce el oficio </w:t>
      </w:r>
      <w:r>
        <w:rPr>
          <w:sz w:val="22"/>
          <w:szCs w:val="22"/>
        </w:rPr>
        <w:t>GG</w:t>
      </w:r>
      <w:r w:rsidRPr="007E1A0A">
        <w:rPr>
          <w:sz w:val="22"/>
          <w:szCs w:val="22"/>
        </w:rPr>
        <w:t>-ME-</w:t>
      </w:r>
      <w:r>
        <w:rPr>
          <w:sz w:val="22"/>
          <w:szCs w:val="22"/>
        </w:rPr>
        <w:t>0</w:t>
      </w:r>
      <w:r w:rsidR="004B6342">
        <w:rPr>
          <w:sz w:val="22"/>
          <w:szCs w:val="22"/>
        </w:rPr>
        <w:t>733</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Pr>
          <w:sz w:val="22"/>
          <w:szCs w:val="22"/>
        </w:rPr>
        <w:t>0</w:t>
      </w:r>
      <w:r w:rsidR="004B6342">
        <w:rPr>
          <w:sz w:val="22"/>
          <w:szCs w:val="22"/>
        </w:rPr>
        <w:t>2</w:t>
      </w:r>
      <w:r>
        <w:rPr>
          <w:sz w:val="22"/>
          <w:szCs w:val="22"/>
        </w:rPr>
        <w:t xml:space="preserve"> de ju</w:t>
      </w:r>
      <w:r w:rsidR="004B6342">
        <w:rPr>
          <w:sz w:val="22"/>
          <w:szCs w:val="22"/>
        </w:rPr>
        <w:t>l</w:t>
      </w:r>
      <w:r>
        <w:rPr>
          <w:sz w:val="22"/>
          <w:szCs w:val="22"/>
        </w:rPr>
        <w:t xml:space="preserve">io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w:t>
      </w:r>
      <w:r w:rsidR="004B6342">
        <w:rPr>
          <w:rFonts w:cs="Arial"/>
          <w:sz w:val="22"/>
          <w:szCs w:val="22"/>
        </w:rPr>
        <w:t>756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003564">
        <w:rPr>
          <w:rFonts w:cs="Arial"/>
          <w:bCs/>
          <w:sz w:val="22"/>
          <w:lang w:val="es-ES_tradnl"/>
        </w:rPr>
        <w:t>de Ahorro y Préstamo</w:t>
      </w:r>
      <w:r>
        <w:rPr>
          <w:rFonts w:cs="Arial"/>
          <w:sz w:val="22"/>
          <w:szCs w:val="22"/>
          <w:lang w:val="es-ES_tradnl"/>
        </w:rPr>
        <w:t xml:space="preserve">, </w:t>
      </w:r>
      <w:r w:rsidRPr="007E1A0A">
        <w:rPr>
          <w:sz w:val="22"/>
          <w:szCs w:val="22"/>
        </w:rPr>
        <w:t>para tramitar, al amparo del artículo 50 de la Ley del Sistema Financiero Nacional para la Vivienda, un segundo Bono Familiar de Vivienda para construcción en lote propio, a favor de la familia que encabeza</w:t>
      </w:r>
      <w:r>
        <w:rPr>
          <w:sz w:val="22"/>
          <w:szCs w:val="22"/>
        </w:rPr>
        <w:t xml:space="preserve"> el señor </w:t>
      </w:r>
      <w:r w:rsidR="004B6342">
        <w:rPr>
          <w:sz w:val="22"/>
          <w:szCs w:val="22"/>
        </w:rPr>
        <w:t>Miguel Ángel Cascante Ramírez</w:t>
      </w:r>
      <w:r w:rsidR="004B6342" w:rsidRPr="007E1A0A">
        <w:rPr>
          <w:sz w:val="22"/>
          <w:szCs w:val="22"/>
        </w:rPr>
        <w:t xml:space="preserve">, cuya </w:t>
      </w:r>
      <w:r w:rsidR="004B6342">
        <w:rPr>
          <w:sz w:val="22"/>
          <w:szCs w:val="22"/>
        </w:rPr>
        <w:t>propiedad</w:t>
      </w:r>
      <w:r w:rsidR="004B6342" w:rsidRPr="007E1A0A">
        <w:rPr>
          <w:sz w:val="22"/>
          <w:szCs w:val="22"/>
        </w:rPr>
        <w:t xml:space="preserve">, </w:t>
      </w:r>
      <w:r w:rsidR="004B6342" w:rsidRPr="00656083">
        <w:rPr>
          <w:sz w:val="22"/>
          <w:szCs w:val="22"/>
        </w:rPr>
        <w:t xml:space="preserve">localizada en el </w:t>
      </w:r>
      <w:r w:rsidR="004B6342">
        <w:rPr>
          <w:sz w:val="22"/>
          <w:szCs w:val="22"/>
        </w:rPr>
        <w:t xml:space="preserve">distrito Santa Teresita del </w:t>
      </w:r>
      <w:r w:rsidR="004B6342" w:rsidRPr="00656083">
        <w:rPr>
          <w:sz w:val="22"/>
          <w:szCs w:val="22"/>
        </w:rPr>
        <w:t xml:space="preserve">cantón </w:t>
      </w:r>
      <w:r w:rsidR="004B6342">
        <w:rPr>
          <w:sz w:val="22"/>
          <w:szCs w:val="22"/>
        </w:rPr>
        <w:t>de Turrialba, provincia de Cartago</w:t>
      </w:r>
      <w:r w:rsidR="004B6342" w:rsidRPr="00656083">
        <w:rPr>
          <w:sz w:val="22"/>
          <w:szCs w:val="22"/>
        </w:rPr>
        <w:t xml:space="preserve">, </w:t>
      </w:r>
      <w:r w:rsidR="004B6342">
        <w:rPr>
          <w:sz w:val="22"/>
          <w:szCs w:val="22"/>
        </w:rPr>
        <w:t>debe reconstruirse debido a los daños ocasionados por movimientos diferenciales en el terreno, según lo dictaminado por la Comisión Nacional de Prevención de Riesgos y Atención de Emergencias</w:t>
      </w:r>
      <w:r w:rsidR="004B6342" w:rsidRPr="00A32FA1">
        <w:rPr>
          <w:sz w:val="22"/>
          <w:szCs w:val="22"/>
        </w:rPr>
        <w:t>; y además el ingreso familiar mensual es de ¢</w:t>
      </w:r>
      <w:r w:rsidR="004B6342">
        <w:rPr>
          <w:sz w:val="22"/>
          <w:szCs w:val="22"/>
        </w:rPr>
        <w:t>200</w:t>
      </w:r>
      <w:r w:rsidR="004B6342" w:rsidRPr="00A32FA1">
        <w:rPr>
          <w:sz w:val="22"/>
          <w:szCs w:val="22"/>
        </w:rPr>
        <w:t>.</w:t>
      </w:r>
      <w:r w:rsidR="004B6342">
        <w:rPr>
          <w:sz w:val="22"/>
          <w:szCs w:val="22"/>
        </w:rPr>
        <w:t>000</w:t>
      </w:r>
      <w:r w:rsidR="004B6342" w:rsidRPr="00A32FA1">
        <w:rPr>
          <w:sz w:val="22"/>
          <w:szCs w:val="22"/>
        </w:rPr>
        <w:t xml:space="preserve">,00, </w:t>
      </w:r>
      <w:r w:rsidR="004B6342" w:rsidRPr="00A32FA1">
        <w:rPr>
          <w:sz w:val="22"/>
          <w:szCs w:val="22"/>
          <w:lang w:val="es-CR"/>
        </w:rPr>
        <w:t xml:space="preserve">proveniente de </w:t>
      </w:r>
      <w:r w:rsidR="004B6342">
        <w:rPr>
          <w:sz w:val="22"/>
          <w:szCs w:val="22"/>
          <w:lang w:val="es-CR"/>
        </w:rPr>
        <w:t xml:space="preserve">las labores que realiza </w:t>
      </w:r>
      <w:r w:rsidR="004B6342">
        <w:rPr>
          <w:sz w:val="22"/>
          <w:szCs w:val="22"/>
        </w:rPr>
        <w:t>el señor Cascante Ramírez</w:t>
      </w:r>
      <w:r w:rsidR="004B6342">
        <w:rPr>
          <w:sz w:val="22"/>
          <w:szCs w:val="22"/>
          <w:lang w:val="es-CR"/>
        </w:rPr>
        <w:t xml:space="preserve"> como jornalero</w:t>
      </w:r>
      <w:r w:rsidRPr="00A32FA1">
        <w:rPr>
          <w:sz w:val="22"/>
          <w:szCs w:val="22"/>
        </w:rPr>
        <w:t>.</w:t>
      </w:r>
      <w:r>
        <w:rPr>
          <w:sz w:val="22"/>
          <w:szCs w:val="22"/>
          <w:lang w:val="es-CR"/>
        </w:rPr>
        <w:t xml:space="preserve">  Dichos documentos se adjuntan al expediente del acta.</w:t>
      </w:r>
    </w:p>
    <w:p w14:paraId="0DAA306F" w14:textId="77777777" w:rsidR="00E25651" w:rsidRDefault="00E25651" w:rsidP="00E25651">
      <w:pPr>
        <w:spacing w:line="360" w:lineRule="auto"/>
        <w:jc w:val="both"/>
        <w:rPr>
          <w:sz w:val="22"/>
          <w:szCs w:val="22"/>
        </w:rPr>
      </w:pPr>
    </w:p>
    <w:p w14:paraId="5510D2C3" w14:textId="5AEA60AD" w:rsidR="00E25651" w:rsidRDefault="00E25651" w:rsidP="00E25651">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Pr>
          <w:sz w:val="22"/>
          <w:szCs w:val="22"/>
        </w:rPr>
        <w:t>260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6C8BB42C" w14:textId="468BE855" w:rsidR="00A972D6" w:rsidRDefault="00A972D6" w:rsidP="00E25651">
      <w:pPr>
        <w:spacing w:line="360" w:lineRule="auto"/>
        <w:jc w:val="both"/>
        <w:rPr>
          <w:sz w:val="22"/>
          <w:szCs w:val="22"/>
        </w:rPr>
      </w:pPr>
    </w:p>
    <w:p w14:paraId="005CD189" w14:textId="5BA8B3D3" w:rsidR="00A972D6" w:rsidRDefault="00A972D6" w:rsidP="00E25651">
      <w:pPr>
        <w:spacing w:line="360" w:lineRule="auto"/>
        <w:jc w:val="both"/>
        <w:rPr>
          <w:sz w:val="22"/>
          <w:szCs w:val="22"/>
        </w:rPr>
      </w:pPr>
      <w:r>
        <w:rPr>
          <w:sz w:val="22"/>
          <w:szCs w:val="22"/>
        </w:rPr>
        <w:lastRenderedPageBreak/>
        <w:t>Agrega que a raíz de la consulta que se planteó en una sesión anterior sobre este caso, se ha verificado que cuando se tramitó el primer subsidio (1990), tanto el avalúo como el permiso municipal evidenciaron que el terreno era apto, y no fue sino casi 20 año después que se presentó el deslizamiento del terreno, por lo que no se ha</w:t>
      </w:r>
      <w:r w:rsidR="003148EE">
        <w:rPr>
          <w:sz w:val="22"/>
          <w:szCs w:val="22"/>
        </w:rPr>
        <w:t xml:space="preserve">n encontrado responsabilidades en </w:t>
      </w:r>
      <w:r>
        <w:rPr>
          <w:sz w:val="22"/>
          <w:szCs w:val="22"/>
        </w:rPr>
        <w:t>los problemas presentados</w:t>
      </w:r>
      <w:r w:rsidR="003148EE">
        <w:rPr>
          <w:sz w:val="22"/>
          <w:szCs w:val="22"/>
        </w:rPr>
        <w:t xml:space="preserve"> en la vivienda</w:t>
      </w:r>
      <w:r w:rsidR="0020423A">
        <w:rPr>
          <w:sz w:val="22"/>
          <w:szCs w:val="22"/>
        </w:rPr>
        <w:t>.</w:t>
      </w:r>
    </w:p>
    <w:p w14:paraId="5C5012CA" w14:textId="06EDB224" w:rsidR="00E25651" w:rsidRDefault="00E25651" w:rsidP="00E25651">
      <w:pPr>
        <w:spacing w:line="360" w:lineRule="auto"/>
        <w:jc w:val="both"/>
        <w:rPr>
          <w:sz w:val="22"/>
          <w:szCs w:val="22"/>
        </w:rPr>
      </w:pPr>
    </w:p>
    <w:p w14:paraId="17D58225" w14:textId="24B9E75C" w:rsidR="00E25651" w:rsidRPr="005C0FCF" w:rsidRDefault="00E25651" w:rsidP="00E25651">
      <w:pPr>
        <w:spacing w:line="360" w:lineRule="auto"/>
        <w:jc w:val="both"/>
        <w:rPr>
          <w:rFonts w:cs="Arial"/>
          <w:sz w:val="22"/>
          <w:szCs w:val="22"/>
        </w:rPr>
      </w:pPr>
      <w:r w:rsidRPr="00A21797">
        <w:rPr>
          <w:rFonts w:cs="Arial"/>
          <w:bCs/>
          <w:sz w:val="22"/>
          <w:szCs w:val="22"/>
          <w:u w:val="single"/>
        </w:rPr>
        <w:t xml:space="preserve">Minuto </w:t>
      </w:r>
      <w:r w:rsidR="003148EE">
        <w:rPr>
          <w:rFonts w:cs="Arial"/>
          <w:bCs/>
          <w:sz w:val="22"/>
          <w:szCs w:val="22"/>
          <w:u w:val="single"/>
        </w:rPr>
        <w:t>54</w:t>
      </w:r>
      <w:r w:rsidRPr="00A21797">
        <w:rPr>
          <w:rFonts w:cs="Arial"/>
          <w:bCs/>
          <w:sz w:val="22"/>
          <w:szCs w:val="22"/>
          <w:u w:val="single"/>
        </w:rPr>
        <w:t>:</w:t>
      </w:r>
      <w:r w:rsidR="003148EE">
        <w:rPr>
          <w:rFonts w:cs="Arial"/>
          <w:bCs/>
          <w:sz w:val="22"/>
          <w:szCs w:val="22"/>
          <w:u w:val="single"/>
        </w:rPr>
        <w:t>4</w:t>
      </w:r>
      <w:r>
        <w:rPr>
          <w:rFonts w:cs="Arial"/>
          <w:bCs/>
          <w:sz w:val="22"/>
          <w:szCs w:val="22"/>
          <w:u w:val="single"/>
        </w:rPr>
        <w:t>5</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2 </w:t>
      </w:r>
      <w:r>
        <w:rPr>
          <w:rFonts w:cs="Arial"/>
          <w:sz w:val="22"/>
          <w:szCs w:val="22"/>
        </w:rPr>
        <w:t>que se anexa a esta minuta.</w:t>
      </w:r>
    </w:p>
    <w:p w14:paraId="1552CDC6" w14:textId="77777777" w:rsidR="009D03FE" w:rsidRPr="00D14EAF" w:rsidRDefault="009D03FE" w:rsidP="009D03FE">
      <w:pPr>
        <w:spacing w:line="360" w:lineRule="auto"/>
        <w:jc w:val="both"/>
        <w:rPr>
          <w:rFonts w:cs="Arial"/>
          <w:b/>
          <w:sz w:val="22"/>
        </w:rPr>
      </w:pPr>
      <w:r w:rsidRPr="00D14EAF">
        <w:rPr>
          <w:rFonts w:cs="Arial"/>
          <w:b/>
          <w:sz w:val="22"/>
        </w:rPr>
        <w:t>************</w:t>
      </w:r>
    </w:p>
    <w:p w14:paraId="24ACDAA8" w14:textId="77777777" w:rsidR="009D03FE" w:rsidRDefault="009D03FE" w:rsidP="009D03FE">
      <w:pPr>
        <w:spacing w:line="360" w:lineRule="auto"/>
        <w:jc w:val="both"/>
        <w:rPr>
          <w:rFonts w:cs="Arial"/>
          <w:b/>
          <w:bCs/>
          <w:sz w:val="22"/>
          <w:szCs w:val="22"/>
          <w:u w:val="single"/>
          <w:lang w:val="es-ES_tradnl"/>
        </w:rPr>
      </w:pPr>
    </w:p>
    <w:p w14:paraId="164D1B94" w14:textId="72F4EF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A7333C">
        <w:rPr>
          <w:rFonts w:cs="Arial"/>
          <w:bCs/>
          <w:sz w:val="22"/>
          <w:szCs w:val="22"/>
          <w:lang w:val="es-ES_tradnl"/>
        </w:rPr>
        <w:t xml:space="preserve"> </w:t>
      </w:r>
      <w:r w:rsidR="00A7333C" w:rsidRPr="00A7333C">
        <w:rPr>
          <w:rFonts w:cs="Arial"/>
          <w:b/>
          <w:bCs/>
          <w:sz w:val="22"/>
          <w:u w:val="single"/>
        </w:rPr>
        <w:t>Solicitud de aprobación de cuatro bonos extraordinarios individuales</w:t>
      </w:r>
    </w:p>
    <w:p w14:paraId="2727A740" w14:textId="77777777" w:rsidR="009D03FE" w:rsidRDefault="009D03FE" w:rsidP="009D03FE">
      <w:pPr>
        <w:spacing w:line="360" w:lineRule="auto"/>
        <w:jc w:val="both"/>
        <w:rPr>
          <w:rFonts w:cs="Arial"/>
          <w:sz w:val="22"/>
          <w:szCs w:val="22"/>
        </w:rPr>
      </w:pPr>
    </w:p>
    <w:p w14:paraId="67C32E2C" w14:textId="415C995A" w:rsidR="00BF0AE8" w:rsidRDefault="00BF0AE8" w:rsidP="00BF0AE8">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5</w:t>
      </w:r>
      <w:r w:rsidR="0020423A">
        <w:rPr>
          <w:rFonts w:cs="Arial"/>
          <w:sz w:val="22"/>
          <w:u w:val="single"/>
          <w:lang w:val="es-ES_tradnl"/>
        </w:rPr>
        <w:t>5</w:t>
      </w:r>
      <w:r>
        <w:rPr>
          <w:rFonts w:cs="Arial"/>
          <w:sz w:val="22"/>
          <w:u w:val="single"/>
          <w:lang w:val="es-ES_tradnl"/>
        </w:rPr>
        <w:t>:</w:t>
      </w:r>
      <w:r w:rsidR="0020423A">
        <w:rPr>
          <w:rFonts w:cs="Arial"/>
          <w:sz w:val="22"/>
          <w:u w:val="single"/>
          <w:lang w:val="es-ES_tradnl"/>
        </w:rPr>
        <w:t>10</w:t>
      </w:r>
      <w:r>
        <w:rPr>
          <w:rFonts w:cs="Arial"/>
          <w:sz w:val="22"/>
          <w:lang w:val="es-ES_tradnl"/>
        </w:rPr>
        <w:t xml:space="preserve">  S</w:t>
      </w:r>
      <w:r>
        <w:rPr>
          <w:rFonts w:cs="Arial"/>
          <w:bCs/>
          <w:sz w:val="22"/>
          <w:lang w:val="es-ES_tradnl"/>
        </w:rPr>
        <w:t xml:space="preserve">e reincorpora a la sesión el señor Gerente General y se procede a conocer el </w:t>
      </w:r>
      <w:r>
        <w:rPr>
          <w:rFonts w:cs="Arial"/>
          <w:sz w:val="22"/>
          <w:lang w:val="es-ES_tradnl"/>
        </w:rPr>
        <w:t>oficio</w:t>
      </w:r>
      <w:r>
        <w:rPr>
          <w:rFonts w:cs="Arial"/>
          <w:bCs/>
          <w:sz w:val="22"/>
        </w:rPr>
        <w:t xml:space="preserve"> GG-ME-0</w:t>
      </w:r>
      <w:r w:rsidR="003148EE">
        <w:rPr>
          <w:rFonts w:cs="Arial"/>
          <w:bCs/>
          <w:sz w:val="22"/>
        </w:rPr>
        <w:t>732</w:t>
      </w:r>
      <w:r>
        <w:rPr>
          <w:rFonts w:cs="Arial"/>
          <w:bCs/>
          <w:sz w:val="22"/>
        </w:rPr>
        <w:t xml:space="preserve">-2020 del </w:t>
      </w:r>
      <w:r w:rsidR="003148EE">
        <w:rPr>
          <w:rFonts w:cs="Arial"/>
          <w:bCs/>
          <w:sz w:val="22"/>
        </w:rPr>
        <w:t>02</w:t>
      </w:r>
      <w:r>
        <w:rPr>
          <w:rFonts w:cs="Arial"/>
          <w:bCs/>
          <w:sz w:val="22"/>
        </w:rPr>
        <w:t xml:space="preserve"> de ju</w:t>
      </w:r>
      <w:r w:rsidR="003148EE">
        <w:rPr>
          <w:rFonts w:cs="Arial"/>
          <w:bCs/>
          <w:sz w:val="22"/>
        </w:rPr>
        <w:t>l</w:t>
      </w:r>
      <w:r>
        <w:rPr>
          <w:rFonts w:cs="Arial"/>
          <w:bCs/>
          <w:sz w:val="22"/>
        </w:rPr>
        <w:t xml:space="preserve">io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3148EE">
        <w:rPr>
          <w:rFonts w:cs="Arial"/>
          <w:sz w:val="22"/>
          <w:szCs w:val="22"/>
        </w:rPr>
        <w:t>751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C</w:t>
      </w:r>
      <w:r w:rsidR="003148EE">
        <w:rPr>
          <w:rFonts w:cs="Arial"/>
          <w:bCs/>
          <w:sz w:val="22"/>
        </w:rPr>
        <w:t xml:space="preserve">redeccop </w:t>
      </w:r>
      <w:r>
        <w:rPr>
          <w:rFonts w:cs="Arial"/>
          <w:bCs/>
          <w:sz w:val="22"/>
        </w:rPr>
        <w:t>R.L.</w:t>
      </w:r>
      <w:r w:rsidR="003148EE">
        <w:rPr>
          <w:rFonts w:cs="Arial"/>
          <w:bCs/>
          <w:sz w:val="22"/>
        </w:rPr>
        <w:t xml:space="preserve"> y</w:t>
      </w:r>
      <w:r>
        <w:rPr>
          <w:rFonts w:cs="Arial"/>
          <w:bCs/>
          <w:sz w:val="22"/>
        </w:rPr>
        <w:t xml:space="preserve"> Coopealianza R.L., para financiar </w:t>
      </w:r>
      <w:r w:rsidR="003148EE">
        <w:rPr>
          <w:rFonts w:cs="Arial"/>
          <w:bCs/>
          <w:sz w:val="22"/>
        </w:rPr>
        <w:t>cuatro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5CF3F5A" w14:textId="77777777" w:rsidR="00BF0AE8" w:rsidRDefault="00BF0AE8" w:rsidP="00BF0AE8">
      <w:pPr>
        <w:spacing w:line="360" w:lineRule="auto"/>
        <w:jc w:val="both"/>
        <w:rPr>
          <w:rFonts w:cs="Arial"/>
          <w:bCs/>
          <w:sz w:val="22"/>
        </w:rPr>
      </w:pPr>
    </w:p>
    <w:p w14:paraId="3ABE32B7" w14:textId="77777777" w:rsidR="00BF0AE8" w:rsidRDefault="00BF0AE8" w:rsidP="00BF0AE8">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DAC7A36" w14:textId="77777777" w:rsidR="00BF0AE8" w:rsidRDefault="00BF0AE8" w:rsidP="00BF0AE8">
      <w:pPr>
        <w:spacing w:line="360" w:lineRule="auto"/>
        <w:jc w:val="both"/>
        <w:rPr>
          <w:rFonts w:cs="Arial"/>
          <w:bCs/>
          <w:sz w:val="22"/>
          <w:szCs w:val="22"/>
        </w:rPr>
      </w:pPr>
    </w:p>
    <w:p w14:paraId="2D417576" w14:textId="2890D61E" w:rsidR="009D03FE" w:rsidRDefault="00BF0AE8" w:rsidP="00BF0AE8">
      <w:pPr>
        <w:spacing w:line="360" w:lineRule="auto"/>
        <w:jc w:val="both"/>
        <w:rPr>
          <w:rFonts w:cs="Arial"/>
          <w:sz w:val="22"/>
          <w:lang w:val="es-ES_tradnl"/>
        </w:rPr>
      </w:pPr>
      <w:r w:rsidRPr="00A21797">
        <w:rPr>
          <w:rFonts w:cs="Arial"/>
          <w:bCs/>
          <w:sz w:val="22"/>
          <w:szCs w:val="22"/>
          <w:u w:val="single"/>
        </w:rPr>
        <w:t xml:space="preserve">Minuto </w:t>
      </w:r>
      <w:r>
        <w:rPr>
          <w:rFonts w:cs="Arial"/>
          <w:bCs/>
          <w:sz w:val="22"/>
          <w:szCs w:val="22"/>
          <w:u w:val="single"/>
        </w:rPr>
        <w:t>5</w:t>
      </w:r>
      <w:r w:rsidR="003148EE">
        <w:rPr>
          <w:rFonts w:cs="Arial"/>
          <w:bCs/>
          <w:sz w:val="22"/>
          <w:szCs w:val="22"/>
          <w:u w:val="single"/>
        </w:rPr>
        <w:t>6</w:t>
      </w:r>
      <w:r w:rsidRPr="00A21797">
        <w:rPr>
          <w:rFonts w:cs="Arial"/>
          <w:bCs/>
          <w:sz w:val="22"/>
          <w:szCs w:val="22"/>
          <w:u w:val="single"/>
        </w:rPr>
        <w:t>:</w:t>
      </w:r>
      <w:r w:rsidR="003148EE">
        <w:rPr>
          <w:rFonts w:cs="Arial"/>
          <w:bCs/>
          <w:sz w:val="22"/>
          <w:szCs w:val="22"/>
          <w:u w:val="single"/>
        </w:rPr>
        <w:t>47</w:t>
      </w:r>
      <w:r>
        <w:rPr>
          <w:rFonts w:cs="Arial"/>
          <w:sz w:val="22"/>
          <w:lang w:val="es-ES_tradnl"/>
        </w:rPr>
        <w:t xml:space="preserve"> Una vez conocido </w:t>
      </w:r>
      <w:r>
        <w:rPr>
          <w:rFonts w:cs="Arial"/>
          <w:bCs/>
          <w:sz w:val="22"/>
          <w:szCs w:val="22"/>
        </w:rPr>
        <w:t xml:space="preserve">el informe de la Dirección FOSUVI y no habiendo objeciones de los señores Directores ni por parte de los funcionarios presentes, la </w:t>
      </w:r>
      <w:r w:rsidRPr="00691A59">
        <w:rPr>
          <w:rFonts w:cs="Arial"/>
          <w:bCs/>
          <w:sz w:val="22"/>
          <w:szCs w:val="22"/>
        </w:rPr>
        <w:t xml:space="preserve">Junta </w:t>
      </w:r>
      <w:r w:rsidRPr="00691A59">
        <w:rPr>
          <w:rFonts w:cs="Arial"/>
          <w:bCs/>
          <w:sz w:val="22"/>
          <w:szCs w:val="22"/>
        </w:rPr>
        <w:lastRenderedPageBreak/>
        <w:t>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43440775" w14:textId="77777777" w:rsidR="009D03FE" w:rsidRPr="00D14EAF" w:rsidRDefault="009D03FE" w:rsidP="009D03FE">
      <w:pPr>
        <w:spacing w:line="360" w:lineRule="auto"/>
        <w:jc w:val="both"/>
        <w:rPr>
          <w:rFonts w:cs="Arial"/>
          <w:b/>
          <w:sz w:val="22"/>
        </w:rPr>
      </w:pPr>
      <w:r w:rsidRPr="00D14EAF">
        <w:rPr>
          <w:rFonts w:cs="Arial"/>
          <w:b/>
          <w:sz w:val="22"/>
        </w:rPr>
        <w:t>************</w:t>
      </w:r>
    </w:p>
    <w:p w14:paraId="23DEFA4F" w14:textId="77777777" w:rsidR="009D03FE" w:rsidRDefault="009D03FE" w:rsidP="009D03FE">
      <w:pPr>
        <w:spacing w:line="360" w:lineRule="auto"/>
        <w:jc w:val="both"/>
        <w:rPr>
          <w:rFonts w:cs="Arial"/>
          <w:b/>
          <w:sz w:val="22"/>
          <w:szCs w:val="22"/>
          <w:u w:val="single"/>
          <w:lang w:val="es-ES_tradnl"/>
        </w:rPr>
      </w:pPr>
    </w:p>
    <w:p w14:paraId="3C356445" w14:textId="5C5821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7333C" w:rsidRPr="00A7333C">
        <w:rPr>
          <w:rFonts w:cs="Arial"/>
          <w:b/>
          <w:bCs/>
          <w:sz w:val="22"/>
          <w:u w:val="single"/>
        </w:rPr>
        <w:t>Solicitud para sustituir un beneficiario en el proyecto Las Palmas</w:t>
      </w:r>
    </w:p>
    <w:p w14:paraId="67546E0D" w14:textId="77777777" w:rsidR="009D03FE" w:rsidRDefault="009D03FE" w:rsidP="009D03FE">
      <w:pPr>
        <w:spacing w:line="360" w:lineRule="auto"/>
        <w:jc w:val="both"/>
        <w:rPr>
          <w:rFonts w:cs="Arial"/>
          <w:sz w:val="22"/>
          <w:szCs w:val="22"/>
        </w:rPr>
      </w:pPr>
    </w:p>
    <w:p w14:paraId="29CB1F7B" w14:textId="12BE9BB8" w:rsidR="0049213F" w:rsidRDefault="0049213F" w:rsidP="0049213F">
      <w:pPr>
        <w:spacing w:line="360" w:lineRule="auto"/>
        <w:jc w:val="both"/>
        <w:rPr>
          <w:rFonts w:cs="Arial"/>
          <w:sz w:val="22"/>
          <w:szCs w:val="22"/>
        </w:rPr>
      </w:pPr>
      <w:r w:rsidRPr="0039311E">
        <w:rPr>
          <w:rFonts w:cs="Arial"/>
          <w:sz w:val="22"/>
          <w:u w:val="single"/>
          <w:lang w:val="es-ES_tradnl"/>
        </w:rPr>
        <w:t xml:space="preserve">Minuto </w:t>
      </w:r>
      <w:r w:rsidR="003148EE">
        <w:rPr>
          <w:rFonts w:cs="Arial"/>
          <w:sz w:val="22"/>
          <w:u w:val="single"/>
          <w:lang w:val="es-ES_tradnl"/>
        </w:rPr>
        <w:t>57</w:t>
      </w:r>
      <w:r w:rsidRPr="0039311E">
        <w:rPr>
          <w:rFonts w:cs="Arial"/>
          <w:sz w:val="22"/>
          <w:u w:val="single"/>
          <w:lang w:val="es-ES_tradnl"/>
        </w:rPr>
        <w:t>:</w:t>
      </w:r>
      <w:r w:rsidR="003148EE">
        <w:rPr>
          <w:rFonts w:cs="Arial"/>
          <w:sz w:val="22"/>
          <w:u w:val="single"/>
          <w:lang w:val="es-ES_tradnl"/>
        </w:rPr>
        <w:t>12</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w:t>
      </w:r>
      <w:r w:rsidR="003148EE">
        <w:rPr>
          <w:rFonts w:cs="Arial"/>
          <w:bCs/>
          <w:sz w:val="22"/>
          <w:szCs w:val="22"/>
        </w:rPr>
        <w:t>730</w:t>
      </w:r>
      <w:r>
        <w:rPr>
          <w:rFonts w:cs="Arial"/>
          <w:bCs/>
          <w:sz w:val="22"/>
          <w:szCs w:val="22"/>
        </w:rPr>
        <w:t xml:space="preserve">-2020 del </w:t>
      </w:r>
      <w:r w:rsidR="003148EE">
        <w:rPr>
          <w:rFonts w:cs="Arial"/>
          <w:bCs/>
          <w:sz w:val="22"/>
          <w:szCs w:val="22"/>
        </w:rPr>
        <w:t>02</w:t>
      </w:r>
      <w:r>
        <w:rPr>
          <w:rFonts w:cs="Arial"/>
          <w:bCs/>
          <w:sz w:val="22"/>
          <w:szCs w:val="22"/>
        </w:rPr>
        <w:t xml:space="preserve"> de </w:t>
      </w:r>
      <w:r w:rsidR="003148EE">
        <w:rPr>
          <w:rFonts w:cs="Arial"/>
          <w:bCs/>
          <w:sz w:val="22"/>
          <w:szCs w:val="22"/>
        </w:rPr>
        <w:t>julio</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DF-OF-0</w:t>
      </w:r>
      <w:r w:rsidR="003148EE">
        <w:rPr>
          <w:rFonts w:cs="Arial"/>
          <w:color w:val="000000"/>
          <w:sz w:val="22"/>
          <w:szCs w:val="22"/>
        </w:rPr>
        <w:t>741</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sidR="004544AE">
        <w:rPr>
          <w:rFonts w:cs="Arial"/>
          <w:bCs/>
          <w:sz w:val="22"/>
          <w:szCs w:val="22"/>
        </w:rPr>
        <w:t>Coopenae R.L.</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sidR="004544AE">
        <w:rPr>
          <w:rFonts w:cs="Arial"/>
          <w:sz w:val="22"/>
          <w:szCs w:val="22"/>
          <w:lang w:val="es-ES_tradnl"/>
        </w:rPr>
        <w:t>Las Palmas</w:t>
      </w:r>
      <w:r w:rsidR="004544AE" w:rsidRPr="00BB303F">
        <w:rPr>
          <w:rFonts w:cs="Arial"/>
          <w:sz w:val="22"/>
          <w:szCs w:val="22"/>
        </w:rPr>
        <w:t xml:space="preserve">, </w:t>
      </w:r>
      <w:r w:rsidR="004544AE" w:rsidRPr="001A4838">
        <w:rPr>
          <w:rFonts w:cs="Arial"/>
          <w:sz w:val="22"/>
          <w:szCs w:val="22"/>
        </w:rPr>
        <w:t>ubicado en el distrito Fortuna del cantón de Bagaces, provincia de Guanacaste</w:t>
      </w:r>
      <w:r w:rsidR="004544AE">
        <w:rPr>
          <w:rFonts w:cs="Arial"/>
          <w:sz w:val="22"/>
          <w:szCs w:val="22"/>
        </w:rPr>
        <w:t xml:space="preserve">, </w:t>
      </w:r>
      <w:r w:rsidR="004544AE">
        <w:rPr>
          <w:rFonts w:cs="Arial"/>
          <w:sz w:val="22"/>
        </w:rPr>
        <w:t xml:space="preserve">y avalado con </w:t>
      </w:r>
      <w:r w:rsidR="004544AE">
        <w:rPr>
          <w:rFonts w:cs="Arial"/>
          <w:sz w:val="22"/>
          <w:szCs w:val="22"/>
        </w:rPr>
        <w:t>el acuerdo N° 2 de la sesión 101-2019 del 19 de diciembre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08374E4" w14:textId="77777777" w:rsidR="0049213F" w:rsidRDefault="0049213F" w:rsidP="0049213F">
      <w:pPr>
        <w:spacing w:line="360" w:lineRule="auto"/>
        <w:jc w:val="both"/>
        <w:rPr>
          <w:rFonts w:cs="Arial"/>
          <w:sz w:val="22"/>
          <w:szCs w:val="22"/>
        </w:rPr>
      </w:pPr>
    </w:p>
    <w:p w14:paraId="7E284C68" w14:textId="08826CC6" w:rsidR="0049213F" w:rsidRDefault="0049213F" w:rsidP="0049213F">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6B081C1A" w14:textId="77777777" w:rsidR="0049213F" w:rsidRDefault="0049213F" w:rsidP="0049213F">
      <w:pPr>
        <w:spacing w:line="360" w:lineRule="auto"/>
        <w:jc w:val="both"/>
        <w:rPr>
          <w:rFonts w:cs="Arial"/>
          <w:sz w:val="22"/>
          <w:lang w:val="es-ES_tradnl"/>
        </w:rPr>
      </w:pPr>
    </w:p>
    <w:p w14:paraId="312B080F" w14:textId="7593EED4" w:rsidR="0049213F" w:rsidRDefault="0049213F" w:rsidP="0049213F">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3148EE">
        <w:rPr>
          <w:rFonts w:cs="Arial"/>
          <w:sz w:val="22"/>
          <w:u w:val="single"/>
          <w:lang w:val="es-ES_tradnl"/>
        </w:rPr>
        <w:t>61</w:t>
      </w:r>
      <w:r w:rsidRPr="0039311E">
        <w:rPr>
          <w:rFonts w:cs="Arial"/>
          <w:sz w:val="22"/>
          <w:u w:val="single"/>
          <w:lang w:val="es-ES_tradnl"/>
        </w:rPr>
        <w:t>:</w:t>
      </w:r>
      <w:r w:rsidR="003148EE">
        <w:rPr>
          <w:rFonts w:cs="Arial"/>
          <w:sz w:val="22"/>
          <w:u w:val="single"/>
          <w:lang w:val="es-ES_tradnl"/>
        </w:rPr>
        <w:t>45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DF-OF-0520-2020, según consta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005051FF" w14:textId="77777777" w:rsidR="009D03FE" w:rsidRPr="00D14EAF" w:rsidRDefault="009D03FE" w:rsidP="009D03FE">
      <w:pPr>
        <w:spacing w:line="360" w:lineRule="auto"/>
        <w:jc w:val="both"/>
        <w:rPr>
          <w:rFonts w:cs="Arial"/>
          <w:b/>
          <w:sz w:val="22"/>
        </w:rPr>
      </w:pPr>
      <w:r w:rsidRPr="00D14EAF">
        <w:rPr>
          <w:rFonts w:cs="Arial"/>
          <w:b/>
          <w:sz w:val="22"/>
        </w:rPr>
        <w:t>************</w:t>
      </w:r>
    </w:p>
    <w:p w14:paraId="24665CF5" w14:textId="77777777" w:rsidR="009D03FE" w:rsidRDefault="009D03FE" w:rsidP="009D03FE">
      <w:pPr>
        <w:spacing w:line="360" w:lineRule="auto"/>
        <w:jc w:val="both"/>
        <w:rPr>
          <w:rFonts w:cs="Arial"/>
          <w:b/>
          <w:bCs/>
          <w:sz w:val="22"/>
          <w:szCs w:val="22"/>
          <w:u w:val="single"/>
          <w:lang w:val="es-ES_tradnl"/>
        </w:rPr>
      </w:pPr>
    </w:p>
    <w:p w14:paraId="0608FB20" w14:textId="7A6C1DD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7333C" w:rsidRPr="00A7333C">
        <w:rPr>
          <w:rFonts w:cs="Arial"/>
          <w:b/>
          <w:bCs/>
          <w:sz w:val="22"/>
          <w:u w:val="single"/>
        </w:rPr>
        <w:t>Solicitud de reasignación de saldos y ampliación de plazo constructivo y del contrato de administración de recursos del proyecto Los Lirios</w:t>
      </w:r>
    </w:p>
    <w:p w14:paraId="2196AD81" w14:textId="77777777" w:rsidR="009D03FE" w:rsidRDefault="009D03FE" w:rsidP="009D03FE">
      <w:pPr>
        <w:spacing w:line="360" w:lineRule="auto"/>
        <w:jc w:val="both"/>
        <w:rPr>
          <w:rFonts w:cs="Arial"/>
          <w:sz w:val="22"/>
          <w:szCs w:val="22"/>
        </w:rPr>
      </w:pPr>
    </w:p>
    <w:p w14:paraId="1288C1F9" w14:textId="17A72BA9" w:rsidR="00EE5F65" w:rsidRDefault="007A3F16" w:rsidP="007A3F16">
      <w:pPr>
        <w:spacing w:line="360" w:lineRule="auto"/>
        <w:jc w:val="both"/>
        <w:rPr>
          <w:rFonts w:cs="Arial"/>
          <w:sz w:val="22"/>
          <w:szCs w:val="22"/>
        </w:rPr>
      </w:pPr>
      <w:r w:rsidRPr="0039311E">
        <w:rPr>
          <w:rFonts w:cs="Arial"/>
          <w:sz w:val="22"/>
          <w:u w:val="single"/>
          <w:lang w:val="es-ES_tradnl"/>
        </w:rPr>
        <w:t xml:space="preserve">Minuto </w:t>
      </w:r>
      <w:r w:rsidR="003148EE">
        <w:rPr>
          <w:rFonts w:cs="Arial"/>
          <w:sz w:val="22"/>
          <w:u w:val="single"/>
          <w:lang w:val="es-ES_tradnl"/>
        </w:rPr>
        <w:t>62</w:t>
      </w:r>
      <w:r w:rsidRPr="0039311E">
        <w:rPr>
          <w:rFonts w:cs="Arial"/>
          <w:sz w:val="22"/>
          <w:u w:val="single"/>
          <w:lang w:val="es-ES_tradnl"/>
        </w:rPr>
        <w:t>:</w:t>
      </w:r>
      <w:r w:rsidR="003148EE">
        <w:rPr>
          <w:rFonts w:cs="Arial"/>
          <w:sz w:val="22"/>
          <w:u w:val="single"/>
          <w:lang w:val="es-ES_tradnl"/>
        </w:rPr>
        <w:t>40</w:t>
      </w:r>
      <w:r>
        <w:rPr>
          <w:rFonts w:cs="Arial"/>
          <w:sz w:val="22"/>
          <w:lang w:val="es-ES_tradnl"/>
        </w:rPr>
        <w:t xml:space="preserve"> Se conoce el oficio </w:t>
      </w:r>
      <w:r>
        <w:rPr>
          <w:rFonts w:cs="Arial"/>
          <w:color w:val="000000"/>
          <w:sz w:val="22"/>
          <w:szCs w:val="22"/>
        </w:rPr>
        <w:t>GG-ME-0</w:t>
      </w:r>
      <w:r w:rsidR="003148EE">
        <w:rPr>
          <w:rFonts w:cs="Arial"/>
          <w:color w:val="000000"/>
          <w:sz w:val="22"/>
          <w:szCs w:val="22"/>
        </w:rPr>
        <w:t>728</w:t>
      </w:r>
      <w:r>
        <w:rPr>
          <w:rFonts w:cs="Arial"/>
          <w:color w:val="000000"/>
          <w:sz w:val="22"/>
          <w:szCs w:val="22"/>
        </w:rPr>
        <w:t>-20</w:t>
      </w:r>
      <w:r w:rsidR="003148EE">
        <w:rPr>
          <w:rFonts w:cs="Arial"/>
          <w:color w:val="000000"/>
          <w:sz w:val="22"/>
          <w:szCs w:val="22"/>
        </w:rPr>
        <w:t>20</w:t>
      </w:r>
      <w:r>
        <w:rPr>
          <w:rFonts w:cs="Arial"/>
          <w:color w:val="000000"/>
          <w:sz w:val="22"/>
          <w:szCs w:val="22"/>
        </w:rPr>
        <w:t xml:space="preserve"> del </w:t>
      </w:r>
      <w:r w:rsidR="003148EE">
        <w:rPr>
          <w:rFonts w:cs="Arial"/>
          <w:color w:val="000000"/>
          <w:sz w:val="22"/>
          <w:szCs w:val="22"/>
        </w:rPr>
        <w:t>02</w:t>
      </w:r>
      <w:r>
        <w:rPr>
          <w:rFonts w:cs="Arial"/>
          <w:color w:val="000000"/>
          <w:sz w:val="22"/>
          <w:szCs w:val="22"/>
        </w:rPr>
        <w:t xml:space="preserve"> de </w:t>
      </w:r>
      <w:r w:rsidR="003148EE">
        <w:rPr>
          <w:rFonts w:cs="Arial"/>
          <w:color w:val="000000"/>
          <w:sz w:val="22"/>
          <w:szCs w:val="22"/>
        </w:rPr>
        <w:t>julio</w:t>
      </w:r>
      <w:r>
        <w:rPr>
          <w:rFonts w:cs="Arial"/>
          <w:color w:val="000000"/>
          <w:sz w:val="22"/>
          <w:szCs w:val="22"/>
        </w:rPr>
        <w:t xml:space="preserve"> de 20</w:t>
      </w:r>
      <w:r w:rsidR="003148EE">
        <w:rPr>
          <w:rFonts w:cs="Arial"/>
          <w:color w:val="000000"/>
          <w:sz w:val="22"/>
          <w:szCs w:val="22"/>
        </w:rPr>
        <w:t>20</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3148EE">
        <w:rPr>
          <w:rFonts w:cs="Arial"/>
          <w:color w:val="000000"/>
          <w:sz w:val="22"/>
        </w:rPr>
        <w:t>737</w:t>
      </w:r>
      <w:r w:rsidRPr="00082430">
        <w:rPr>
          <w:rFonts w:cs="Arial"/>
          <w:color w:val="000000"/>
          <w:sz w:val="22"/>
        </w:rPr>
        <w:t>-20</w:t>
      </w:r>
      <w:r w:rsidR="003148EE">
        <w:rPr>
          <w:rFonts w:cs="Arial"/>
          <w:color w:val="000000"/>
          <w:sz w:val="22"/>
        </w:rPr>
        <w:t>20</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sidR="00EE5F65">
        <w:rPr>
          <w:rFonts w:cs="Arial"/>
          <w:color w:val="000000"/>
          <w:sz w:val="22"/>
          <w:szCs w:val="22"/>
        </w:rPr>
        <w:t xml:space="preserve"> la Fundación para la Vivienda Rural Costa Rica – Canadá</w:t>
      </w:r>
      <w:r>
        <w:rPr>
          <w:rFonts w:cs="Arial"/>
          <w:color w:val="000000"/>
          <w:sz w:val="22"/>
          <w:szCs w:val="22"/>
        </w:rPr>
        <w:t>, para</w:t>
      </w:r>
      <w:r w:rsidRPr="00911E34">
        <w:rPr>
          <w:rFonts w:cs="Arial"/>
          <w:sz w:val="22"/>
          <w:szCs w:val="22"/>
        </w:rPr>
        <w:t xml:space="preserve"> prorrogar</w:t>
      </w:r>
      <w:r>
        <w:rPr>
          <w:rFonts w:cs="Arial"/>
          <w:sz w:val="22"/>
          <w:szCs w:val="22"/>
        </w:rPr>
        <w:t xml:space="preserve"> la fecha de vencimiento del </w:t>
      </w:r>
      <w:r>
        <w:rPr>
          <w:rFonts w:cs="Arial"/>
          <w:sz w:val="22"/>
          <w:szCs w:val="22"/>
        </w:rPr>
        <w:lastRenderedPageBreak/>
        <w:t xml:space="preserve">contrato de administración de recursos </w:t>
      </w:r>
      <w:r w:rsidR="00EE5F65">
        <w:rPr>
          <w:rFonts w:cs="Arial"/>
          <w:sz w:val="22"/>
          <w:szCs w:val="22"/>
        </w:rPr>
        <w:t xml:space="preserve">y </w:t>
      </w:r>
      <w:r w:rsidR="00EE5F65" w:rsidRPr="00AA6479">
        <w:rPr>
          <w:rFonts w:cs="Arial"/>
          <w:sz w:val="22"/>
          <w:szCs w:val="22"/>
          <w:lang w:val="es-ES_tradnl"/>
        </w:rPr>
        <w:t>financiar</w:t>
      </w:r>
      <w:r w:rsidR="00EE5F65" w:rsidRPr="00AA6479">
        <w:rPr>
          <w:rFonts w:cs="Arial"/>
          <w:sz w:val="22"/>
          <w:szCs w:val="22"/>
        </w:rPr>
        <w:t xml:space="preserve"> actividades adicionales no contempladas originalmente en el proyecto </w:t>
      </w:r>
      <w:r w:rsidR="00EE5F65">
        <w:rPr>
          <w:rFonts w:cs="Arial"/>
          <w:sz w:val="22"/>
          <w:szCs w:val="22"/>
        </w:rPr>
        <w:t>de Bono Colectivo Los Lirios</w:t>
      </w:r>
      <w:r w:rsidR="00AB7A21">
        <w:rPr>
          <w:rFonts w:cs="Arial"/>
          <w:sz w:val="22"/>
          <w:szCs w:val="22"/>
        </w:rPr>
        <w:t xml:space="preserve">, </w:t>
      </w:r>
      <w:r w:rsidR="00AB7A21" w:rsidRPr="00AB7A21">
        <w:rPr>
          <w:rFonts w:cs="Arial"/>
          <w:sz w:val="22"/>
          <w:szCs w:val="22"/>
        </w:rPr>
        <w:t xml:space="preserve">ubicado en el cantón y provincia de Limón, y aprobado con el </w:t>
      </w:r>
      <w:r w:rsidR="00AB7A21" w:rsidRPr="00AB7A21">
        <w:rPr>
          <w:rFonts w:cs="Arial"/>
          <w:sz w:val="22"/>
          <w:szCs w:val="22"/>
          <w:lang w:val="es-ES_tradnl"/>
        </w:rPr>
        <w:t xml:space="preserve">acuerdo N° </w:t>
      </w:r>
      <w:r w:rsidR="00AB7A21">
        <w:rPr>
          <w:rFonts w:cs="Arial"/>
          <w:sz w:val="22"/>
          <w:szCs w:val="22"/>
          <w:lang w:val="es-ES_tradnl"/>
        </w:rPr>
        <w:t>6</w:t>
      </w:r>
      <w:r w:rsidR="00AB7A21" w:rsidRPr="00AB7A21">
        <w:rPr>
          <w:rFonts w:cs="Arial"/>
          <w:sz w:val="22"/>
          <w:szCs w:val="22"/>
        </w:rPr>
        <w:t xml:space="preserve"> de la sesión </w:t>
      </w:r>
      <w:r w:rsidR="00AB7A21">
        <w:rPr>
          <w:rFonts w:cs="Arial"/>
          <w:sz w:val="22"/>
          <w:szCs w:val="22"/>
        </w:rPr>
        <w:t>40</w:t>
      </w:r>
      <w:r w:rsidR="00AB7A21" w:rsidRPr="00AB7A21">
        <w:rPr>
          <w:rFonts w:cs="Arial"/>
          <w:sz w:val="22"/>
          <w:szCs w:val="22"/>
        </w:rPr>
        <w:t>-201</w:t>
      </w:r>
      <w:r w:rsidR="00AB7A21">
        <w:rPr>
          <w:rFonts w:cs="Arial"/>
          <w:sz w:val="22"/>
          <w:szCs w:val="22"/>
        </w:rPr>
        <w:t>9</w:t>
      </w:r>
      <w:r w:rsidR="00AB7A21" w:rsidRPr="00AB7A21">
        <w:rPr>
          <w:rFonts w:cs="Arial"/>
          <w:sz w:val="22"/>
          <w:szCs w:val="22"/>
        </w:rPr>
        <w:t xml:space="preserve"> del </w:t>
      </w:r>
      <w:r w:rsidR="00AB7A21">
        <w:rPr>
          <w:rFonts w:cs="Arial"/>
          <w:sz w:val="22"/>
          <w:szCs w:val="22"/>
        </w:rPr>
        <w:t>27</w:t>
      </w:r>
      <w:r w:rsidR="00AB7A21" w:rsidRPr="00AB7A21">
        <w:rPr>
          <w:rFonts w:cs="Arial"/>
          <w:sz w:val="22"/>
          <w:szCs w:val="22"/>
        </w:rPr>
        <w:t xml:space="preserve"> de </w:t>
      </w:r>
      <w:r w:rsidR="00AB7A21">
        <w:rPr>
          <w:rFonts w:cs="Arial"/>
          <w:sz w:val="22"/>
          <w:szCs w:val="22"/>
        </w:rPr>
        <w:t>mayo</w:t>
      </w:r>
      <w:r w:rsidR="00AB7A21" w:rsidRPr="00AB7A21">
        <w:rPr>
          <w:rFonts w:cs="Arial"/>
          <w:sz w:val="22"/>
          <w:szCs w:val="22"/>
        </w:rPr>
        <w:t xml:space="preserve"> de 201</w:t>
      </w:r>
      <w:r w:rsidR="00AB7A21">
        <w:rPr>
          <w:rFonts w:cs="Arial"/>
          <w:sz w:val="22"/>
          <w:szCs w:val="22"/>
        </w:rPr>
        <w:t>9.</w:t>
      </w:r>
      <w:r w:rsidR="00AB7A21" w:rsidRPr="00AB7A21">
        <w:rPr>
          <w:rFonts w:cs="Arial"/>
          <w:sz w:val="22"/>
          <w:szCs w:val="22"/>
        </w:rPr>
        <w:t xml:space="preserve"> </w:t>
      </w:r>
      <w:r w:rsidR="00AB7A21" w:rsidRPr="00BB4E5E">
        <w:rPr>
          <w:rFonts w:cs="Arial"/>
          <w:sz w:val="22"/>
          <w:szCs w:val="22"/>
        </w:rPr>
        <w:t>Dichos documentos se adjuntan al</w:t>
      </w:r>
      <w:r w:rsidR="00AB7A21">
        <w:rPr>
          <w:rFonts w:cs="Arial"/>
          <w:sz w:val="22"/>
          <w:szCs w:val="22"/>
        </w:rPr>
        <w:t xml:space="preserve"> expediente del </w:t>
      </w:r>
      <w:r w:rsidR="00AB7A21" w:rsidRPr="00BB4E5E">
        <w:rPr>
          <w:rFonts w:cs="Arial"/>
          <w:sz w:val="22"/>
          <w:szCs w:val="22"/>
        </w:rPr>
        <w:t>acta</w:t>
      </w:r>
      <w:r w:rsidR="00AB7A21">
        <w:rPr>
          <w:rFonts w:cs="Arial"/>
          <w:bCs/>
          <w:sz w:val="22"/>
          <w:szCs w:val="22"/>
          <w:lang w:val="es-ES_tradnl"/>
        </w:rPr>
        <w:t>.</w:t>
      </w:r>
    </w:p>
    <w:p w14:paraId="6ABE8D19" w14:textId="77777777" w:rsidR="00EE5F65" w:rsidRDefault="00EE5F65" w:rsidP="007A3F16">
      <w:pPr>
        <w:spacing w:line="360" w:lineRule="auto"/>
        <w:jc w:val="both"/>
        <w:rPr>
          <w:rFonts w:cs="Arial"/>
          <w:sz w:val="22"/>
          <w:szCs w:val="22"/>
        </w:rPr>
      </w:pPr>
    </w:p>
    <w:p w14:paraId="2D7EBC68" w14:textId="2A144684" w:rsidR="007A3F16" w:rsidRDefault="007A3F16" w:rsidP="007A3F16">
      <w:pPr>
        <w:spacing w:line="360" w:lineRule="auto"/>
        <w:jc w:val="both"/>
        <w:rPr>
          <w:rFonts w:cs="Arial"/>
          <w:sz w:val="22"/>
          <w:szCs w:val="22"/>
          <w:lang w:val="es-ES_tradnl"/>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Pr="00BD3192">
        <w:rPr>
          <w:rFonts w:cs="Arial"/>
          <w:sz w:val="22"/>
          <w:szCs w:val="22"/>
        </w:rPr>
        <w:t>hasta</w:t>
      </w:r>
      <w:r w:rsidR="003148EE">
        <w:rPr>
          <w:rFonts w:cs="Arial"/>
          <w:sz w:val="22"/>
          <w:szCs w:val="22"/>
        </w:rPr>
        <w:t xml:space="preserve"> cuatro</w:t>
      </w:r>
      <w:r>
        <w:rPr>
          <w:rFonts w:cs="Arial"/>
          <w:sz w:val="22"/>
          <w:szCs w:val="22"/>
        </w:rPr>
        <w:t xml:space="preserve"> meses </w:t>
      </w:r>
      <w:r w:rsidRPr="00BD3192">
        <w:rPr>
          <w:rFonts w:cs="Arial"/>
          <w:sz w:val="22"/>
          <w:szCs w:val="22"/>
        </w:rPr>
        <w:t xml:space="preserve">para </w:t>
      </w:r>
      <w:r>
        <w:rPr>
          <w:rFonts w:cs="Arial"/>
          <w:sz w:val="22"/>
          <w:szCs w:val="22"/>
        </w:rPr>
        <w:t>la formalización y entrega de las viviendas pendientes, y</w:t>
      </w:r>
      <w:r w:rsidRPr="00BD3192">
        <w:rPr>
          <w:rFonts w:cs="Arial"/>
          <w:sz w:val="22"/>
          <w:szCs w:val="22"/>
        </w:rPr>
        <w:t xml:space="preserve"> </w:t>
      </w:r>
      <w:r>
        <w:rPr>
          <w:rFonts w:cs="Arial"/>
          <w:sz w:val="22"/>
          <w:szCs w:val="22"/>
        </w:rPr>
        <w:t xml:space="preserve">de </w:t>
      </w:r>
      <w:r w:rsidRPr="00BD3192">
        <w:rPr>
          <w:rFonts w:cs="Arial"/>
          <w:sz w:val="22"/>
          <w:szCs w:val="22"/>
        </w:rPr>
        <w:t xml:space="preserve">hasta </w:t>
      </w:r>
      <w:r>
        <w:rPr>
          <w:rFonts w:cs="Arial"/>
          <w:sz w:val="22"/>
          <w:szCs w:val="22"/>
        </w:rPr>
        <w:t xml:space="preserve">seis meses </w:t>
      </w:r>
      <w:r w:rsidRPr="00BD3192">
        <w:rPr>
          <w:rFonts w:cs="Arial"/>
          <w:sz w:val="22"/>
          <w:szCs w:val="22"/>
        </w:rPr>
        <w:t xml:space="preserve">para </w:t>
      </w:r>
      <w:r>
        <w:rPr>
          <w:rFonts w:cs="Arial"/>
          <w:sz w:val="22"/>
          <w:szCs w:val="22"/>
        </w:rPr>
        <w:t>la presentación d</w:t>
      </w:r>
      <w:r w:rsidRPr="00BD3192">
        <w:rPr>
          <w:rFonts w:cs="Arial"/>
          <w:sz w:val="22"/>
          <w:szCs w:val="22"/>
        </w:rPr>
        <w:t xml:space="preserve">el cierre </w:t>
      </w:r>
      <w:r>
        <w:rPr>
          <w:rFonts w:cs="Arial"/>
          <w:sz w:val="22"/>
          <w:szCs w:val="22"/>
        </w:rPr>
        <w:t xml:space="preserve">técnico y </w:t>
      </w:r>
      <w:r w:rsidRPr="00BD3192">
        <w:rPr>
          <w:rFonts w:cs="Arial"/>
          <w:sz w:val="22"/>
          <w:szCs w:val="22"/>
        </w:rPr>
        <w:t>financiero del proyecto</w:t>
      </w:r>
      <w:r w:rsidR="003148EE">
        <w:rPr>
          <w:rFonts w:cs="Arial"/>
          <w:sz w:val="22"/>
          <w:szCs w:val="22"/>
        </w:rPr>
        <w:t>,</w:t>
      </w:r>
      <w:r w:rsidR="003148EE" w:rsidRPr="003148EE">
        <w:rPr>
          <w:rFonts w:cs="Arial"/>
          <w:sz w:val="22"/>
          <w:szCs w:val="22"/>
          <w:lang w:val="es-ES_tradnl"/>
        </w:rPr>
        <w:t xml:space="preserve"> </w:t>
      </w:r>
      <w:r w:rsidR="003148EE">
        <w:rPr>
          <w:rFonts w:cs="Arial"/>
          <w:sz w:val="22"/>
          <w:szCs w:val="22"/>
          <w:lang w:val="es-ES_tradnl"/>
        </w:rPr>
        <w:t xml:space="preserve">y </w:t>
      </w:r>
      <w:r w:rsidR="003148EE" w:rsidRPr="00AA6479">
        <w:rPr>
          <w:rFonts w:cs="Arial"/>
          <w:sz w:val="22"/>
          <w:szCs w:val="22"/>
          <w:lang w:val="es-ES_tradnl"/>
        </w:rPr>
        <w:t xml:space="preserve">además aprobar la reasignación de saldos </w:t>
      </w:r>
      <w:r w:rsidR="003148EE">
        <w:rPr>
          <w:rFonts w:cs="Arial"/>
          <w:sz w:val="22"/>
          <w:szCs w:val="22"/>
          <w:lang w:val="es-ES_tradnl"/>
        </w:rPr>
        <w:t>de actividades no ejecutadas</w:t>
      </w:r>
      <w:r w:rsidR="003148EE" w:rsidRPr="003148EE">
        <w:rPr>
          <w:rFonts w:cs="Arial"/>
          <w:color w:val="000000"/>
          <w:sz w:val="22"/>
          <w:szCs w:val="22"/>
          <w:lang w:val="es-ES_tradnl"/>
        </w:rPr>
        <w:t xml:space="preserve"> </w:t>
      </w:r>
      <w:r w:rsidR="003148EE">
        <w:rPr>
          <w:rFonts w:cs="Arial"/>
          <w:color w:val="000000"/>
          <w:sz w:val="22"/>
          <w:szCs w:val="22"/>
          <w:lang w:val="es-ES_tradnl"/>
        </w:rPr>
        <w:t xml:space="preserve">por un monto total de </w:t>
      </w:r>
      <w:r w:rsidR="003148EE" w:rsidRPr="003148EE">
        <w:rPr>
          <w:rFonts w:cs="Arial"/>
          <w:bCs/>
          <w:sz w:val="22"/>
          <w:szCs w:val="22"/>
          <w:lang w:val="es-ES_tradnl"/>
        </w:rPr>
        <w:t>¢19.404.766,07</w:t>
      </w:r>
      <w:r w:rsidR="003148EE">
        <w:rPr>
          <w:rFonts w:cs="Arial"/>
          <w:sz w:val="22"/>
          <w:szCs w:val="22"/>
          <w:lang w:val="es-ES_tradnl"/>
        </w:rPr>
        <w:t xml:space="preserve">, para financiar la limpieza del área de trabajo finalizado, la colocación de lámparas en el parque, la reparación del salón comunal, la colocación de malla ciclón en el parque y la reposición de juegos infantiles.  </w:t>
      </w:r>
      <w:r>
        <w:rPr>
          <w:rFonts w:cs="Arial"/>
          <w:sz w:val="22"/>
          <w:szCs w:val="22"/>
          <w:lang w:val="es-ES_tradnl"/>
        </w:rPr>
        <w:t>Lo anterior, según lo dictaminado por el Departamento Técnico.</w:t>
      </w:r>
    </w:p>
    <w:p w14:paraId="720EAB0F" w14:textId="77777777" w:rsidR="007A3F16" w:rsidRDefault="007A3F16" w:rsidP="007A3F16">
      <w:pPr>
        <w:spacing w:line="360" w:lineRule="auto"/>
        <w:jc w:val="both"/>
        <w:rPr>
          <w:rFonts w:cs="Arial"/>
          <w:sz w:val="22"/>
          <w:szCs w:val="22"/>
          <w:lang w:val="es-ES_tradnl"/>
        </w:rPr>
      </w:pPr>
    </w:p>
    <w:p w14:paraId="75791B3B" w14:textId="7981556E" w:rsidR="007A3F16" w:rsidRDefault="007A3F16" w:rsidP="007A3F16">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B9095B">
        <w:rPr>
          <w:rFonts w:cs="Arial"/>
          <w:sz w:val="22"/>
          <w:u w:val="single"/>
          <w:lang w:val="es-ES_tradnl"/>
        </w:rPr>
        <w:t>71:28</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w:t>
      </w:r>
      <w:r w:rsidR="00B9095B" w:rsidRPr="00E82670">
        <w:rPr>
          <w:rFonts w:cs="Arial"/>
          <w:sz w:val="22"/>
          <w:szCs w:val="22"/>
          <w:lang w:val="es-ES_tradnl"/>
        </w:rPr>
        <w:t xml:space="preserve">Directiva </w:t>
      </w:r>
      <w:r w:rsidR="00B9095B">
        <w:rPr>
          <w:rFonts w:cs="Arial"/>
          <w:sz w:val="22"/>
          <w:szCs w:val="22"/>
          <w:lang w:val="es-ES_tradnl"/>
        </w:rPr>
        <w:t>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B9095B">
        <w:rPr>
          <w:rFonts w:cs="Arial"/>
          <w:color w:val="000000"/>
          <w:sz w:val="22"/>
          <w:szCs w:val="22"/>
        </w:rPr>
        <w:t>737</w:t>
      </w:r>
      <w:r>
        <w:rPr>
          <w:rFonts w:cs="Arial"/>
          <w:color w:val="000000"/>
          <w:sz w:val="22"/>
          <w:szCs w:val="22"/>
        </w:rPr>
        <w:t>-20</w:t>
      </w:r>
      <w:r w:rsidR="00B9095B">
        <w:rPr>
          <w:rFonts w:cs="Arial"/>
          <w:color w:val="000000"/>
          <w:sz w:val="22"/>
          <w:szCs w:val="22"/>
        </w:rPr>
        <w:t>20</w:t>
      </w:r>
      <w:r>
        <w:rPr>
          <w:rFonts w:cs="Arial"/>
          <w:color w:val="000000"/>
          <w:sz w:val="22"/>
          <w:szCs w:val="22"/>
        </w:rPr>
        <w:t xml:space="preserve"> y según consta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1AD70465" w14:textId="77777777" w:rsidR="009D03FE" w:rsidRPr="00D14EAF" w:rsidRDefault="009D03FE" w:rsidP="009D03FE">
      <w:pPr>
        <w:spacing w:line="360" w:lineRule="auto"/>
        <w:jc w:val="both"/>
        <w:rPr>
          <w:rFonts w:cs="Arial"/>
          <w:b/>
          <w:sz w:val="22"/>
        </w:rPr>
      </w:pPr>
      <w:r w:rsidRPr="00D14EAF">
        <w:rPr>
          <w:rFonts w:cs="Arial"/>
          <w:b/>
          <w:sz w:val="22"/>
        </w:rPr>
        <w:t>************</w:t>
      </w:r>
    </w:p>
    <w:p w14:paraId="45D063A5" w14:textId="77777777" w:rsidR="009D03FE" w:rsidRDefault="009D03FE" w:rsidP="009D03FE">
      <w:pPr>
        <w:spacing w:line="360" w:lineRule="auto"/>
        <w:jc w:val="both"/>
        <w:rPr>
          <w:rFonts w:cs="Arial"/>
          <w:b/>
          <w:bCs/>
          <w:sz w:val="22"/>
          <w:szCs w:val="22"/>
          <w:u w:val="single"/>
          <w:lang w:val="es-ES_tradnl"/>
        </w:rPr>
      </w:pPr>
    </w:p>
    <w:p w14:paraId="668B7952" w14:textId="382D6D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7333C" w:rsidRPr="00A7333C">
        <w:rPr>
          <w:rFonts w:cs="Arial"/>
          <w:b/>
          <w:bCs/>
          <w:sz w:val="22"/>
          <w:u w:val="single"/>
        </w:rPr>
        <w:t>Solicitud de ampliación del plazo del contrato de administración de recursos del proyecto Linda Vista</w:t>
      </w:r>
    </w:p>
    <w:p w14:paraId="0FBA2A77" w14:textId="77777777" w:rsidR="009D03FE" w:rsidRDefault="009D03FE" w:rsidP="009D03FE">
      <w:pPr>
        <w:spacing w:line="360" w:lineRule="auto"/>
        <w:jc w:val="both"/>
        <w:rPr>
          <w:rFonts w:cs="Arial"/>
          <w:sz w:val="22"/>
          <w:szCs w:val="22"/>
        </w:rPr>
      </w:pPr>
    </w:p>
    <w:p w14:paraId="3F42284D" w14:textId="7B77C119" w:rsidR="007A3F16" w:rsidRPr="00BB303F" w:rsidRDefault="007A3F16" w:rsidP="007A3F16">
      <w:pPr>
        <w:spacing w:line="360" w:lineRule="auto"/>
        <w:jc w:val="both"/>
        <w:rPr>
          <w:rFonts w:cs="Arial"/>
          <w:color w:val="000000"/>
          <w:sz w:val="22"/>
          <w:szCs w:val="22"/>
        </w:rPr>
      </w:pPr>
      <w:r w:rsidRPr="0039311E">
        <w:rPr>
          <w:rFonts w:cs="Arial"/>
          <w:sz w:val="22"/>
          <w:u w:val="single"/>
          <w:lang w:val="es-ES_tradnl"/>
        </w:rPr>
        <w:t xml:space="preserve">Minuto </w:t>
      </w:r>
      <w:r w:rsidR="00B9095B">
        <w:rPr>
          <w:rFonts w:cs="Arial"/>
          <w:sz w:val="22"/>
          <w:u w:val="single"/>
          <w:lang w:val="es-ES_tradnl"/>
        </w:rPr>
        <w:t>72</w:t>
      </w:r>
      <w:r w:rsidRPr="0039311E">
        <w:rPr>
          <w:rFonts w:cs="Arial"/>
          <w:sz w:val="22"/>
          <w:u w:val="single"/>
          <w:lang w:val="es-ES_tradnl"/>
        </w:rPr>
        <w:t>:</w:t>
      </w:r>
      <w:r>
        <w:rPr>
          <w:rFonts w:cs="Arial"/>
          <w:sz w:val="22"/>
          <w:u w:val="single"/>
          <w:lang w:val="es-ES_tradnl"/>
        </w:rPr>
        <w:t>3</w:t>
      </w:r>
      <w:r w:rsidR="00B9095B">
        <w:rPr>
          <w:rFonts w:cs="Arial"/>
          <w:sz w:val="22"/>
          <w:u w:val="single"/>
          <w:lang w:val="es-ES_tradnl"/>
        </w:rPr>
        <w:t>8</w:t>
      </w:r>
      <w:r>
        <w:rPr>
          <w:rFonts w:cs="Arial"/>
          <w:sz w:val="22"/>
          <w:lang w:val="es-ES_tradnl"/>
        </w:rPr>
        <w:t xml:space="preserve"> </w:t>
      </w:r>
      <w:r w:rsidR="00B9095B">
        <w:rPr>
          <w:rFonts w:cs="Arial"/>
          <w:sz w:val="22"/>
          <w:lang w:val="es-ES_tradnl"/>
        </w:rPr>
        <w:t>Se</w:t>
      </w:r>
      <w:r w:rsidR="00B9095B">
        <w:rPr>
          <w:rFonts w:cs="Arial"/>
          <w:sz w:val="22"/>
          <w:szCs w:val="22"/>
        </w:rPr>
        <w:t xml:space="preserve"> retira </w:t>
      </w:r>
      <w:r w:rsidR="00B9095B">
        <w:rPr>
          <w:sz w:val="22"/>
          <w:szCs w:val="22"/>
        </w:rPr>
        <w:t xml:space="preserve">temporalmente de la sesión la Directora </w:t>
      </w:r>
      <w:r w:rsidR="00B9095B" w:rsidRPr="00B9095B">
        <w:rPr>
          <w:rFonts w:cs="Arial"/>
          <w:bCs/>
          <w:sz w:val="22"/>
          <w:szCs w:val="22"/>
          <w:lang w:val="es-ES_tradnl"/>
        </w:rPr>
        <w:t>Ulibarri Pernús</w:t>
      </w:r>
      <w:r w:rsidR="00B9095B">
        <w:rPr>
          <w:rFonts w:cs="Arial"/>
          <w:bCs/>
          <w:sz w:val="22"/>
          <w:szCs w:val="22"/>
          <w:lang w:val="es-ES_tradnl"/>
        </w:rPr>
        <w:t xml:space="preserve"> </w:t>
      </w:r>
      <w:r w:rsidR="00B9095B">
        <w:rPr>
          <w:rFonts w:cs="Arial"/>
          <w:bCs/>
          <w:sz w:val="22"/>
          <w:lang w:val="es-ES_tradnl"/>
        </w:rPr>
        <w:t>y</w:t>
      </w:r>
      <w:r w:rsidR="00B9095B">
        <w:rPr>
          <w:sz w:val="22"/>
          <w:szCs w:val="22"/>
        </w:rPr>
        <w:t xml:space="preserve"> se procede a conocer el </w:t>
      </w:r>
      <w:r>
        <w:rPr>
          <w:rFonts w:cs="Arial"/>
          <w:sz w:val="22"/>
          <w:lang w:val="es-ES_tradnl"/>
        </w:rPr>
        <w:t xml:space="preserve">oficio </w:t>
      </w:r>
      <w:r w:rsidRPr="00BB303F">
        <w:rPr>
          <w:rFonts w:cs="Arial"/>
          <w:color w:val="000000"/>
          <w:sz w:val="22"/>
          <w:szCs w:val="22"/>
        </w:rPr>
        <w:t>GG-ME-</w:t>
      </w:r>
      <w:r>
        <w:rPr>
          <w:rFonts w:cs="Arial"/>
          <w:color w:val="000000"/>
          <w:sz w:val="22"/>
          <w:szCs w:val="22"/>
        </w:rPr>
        <w:t>0</w:t>
      </w:r>
      <w:r w:rsidR="00B9095B">
        <w:rPr>
          <w:rFonts w:cs="Arial"/>
          <w:color w:val="000000"/>
          <w:sz w:val="22"/>
          <w:szCs w:val="22"/>
        </w:rPr>
        <w:t>731</w:t>
      </w:r>
      <w:r w:rsidRPr="00BB303F">
        <w:rPr>
          <w:rFonts w:cs="Arial"/>
          <w:color w:val="000000"/>
          <w:sz w:val="22"/>
          <w:szCs w:val="22"/>
        </w:rPr>
        <w:t>-20</w:t>
      </w:r>
      <w:r>
        <w:rPr>
          <w:rFonts w:cs="Arial"/>
          <w:color w:val="000000"/>
          <w:sz w:val="22"/>
          <w:szCs w:val="22"/>
        </w:rPr>
        <w:t>20</w:t>
      </w:r>
      <w:r w:rsidRPr="00BB303F">
        <w:rPr>
          <w:rFonts w:cs="Arial"/>
          <w:color w:val="000000"/>
          <w:sz w:val="22"/>
          <w:szCs w:val="22"/>
        </w:rPr>
        <w:t xml:space="preserve"> del </w:t>
      </w:r>
      <w:r>
        <w:rPr>
          <w:rFonts w:cs="Arial"/>
          <w:color w:val="000000"/>
          <w:sz w:val="22"/>
          <w:szCs w:val="22"/>
        </w:rPr>
        <w:t>0</w:t>
      </w:r>
      <w:r w:rsidR="00B9095B">
        <w:rPr>
          <w:rFonts w:cs="Arial"/>
          <w:color w:val="000000"/>
          <w:sz w:val="22"/>
          <w:szCs w:val="22"/>
        </w:rPr>
        <w:t>2</w:t>
      </w:r>
      <w:r w:rsidRPr="00BB303F">
        <w:rPr>
          <w:rFonts w:cs="Arial"/>
          <w:color w:val="000000"/>
          <w:sz w:val="22"/>
          <w:szCs w:val="22"/>
        </w:rPr>
        <w:t xml:space="preserve"> de </w:t>
      </w:r>
      <w:r w:rsidR="00B9095B">
        <w:rPr>
          <w:rFonts w:cs="Arial"/>
          <w:color w:val="000000"/>
          <w:sz w:val="22"/>
          <w:szCs w:val="22"/>
        </w:rPr>
        <w:t>julio</w:t>
      </w:r>
      <w:r w:rsidRPr="00BB303F">
        <w:rPr>
          <w:rFonts w:cs="Arial"/>
          <w:color w:val="000000"/>
          <w:sz w:val="22"/>
          <w:szCs w:val="22"/>
        </w:rPr>
        <w:t xml:space="preserve"> de 20</w:t>
      </w:r>
      <w:r>
        <w:rPr>
          <w:rFonts w:cs="Arial"/>
          <w:color w:val="000000"/>
          <w:sz w:val="22"/>
          <w:szCs w:val="22"/>
        </w:rPr>
        <w:t>20</w:t>
      </w:r>
      <w:r w:rsidRPr="00BB303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B9095B">
        <w:rPr>
          <w:rFonts w:cs="Arial"/>
          <w:sz w:val="22"/>
          <w:szCs w:val="22"/>
        </w:rPr>
        <w:t>748</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del Grupo Mutual Alajuela – La Vivienda de Ahorro y Préstamo,</w:t>
      </w:r>
      <w:r w:rsidRPr="00BB303F">
        <w:rPr>
          <w:rFonts w:cs="Arial"/>
          <w:sz w:val="22"/>
          <w:szCs w:val="22"/>
        </w:rPr>
        <w:t xml:space="preserve"> p</w:t>
      </w:r>
      <w:r w:rsidRPr="00BB303F">
        <w:rPr>
          <w:rFonts w:cs="Arial"/>
          <w:color w:val="000000"/>
          <w:sz w:val="22"/>
          <w:szCs w:val="22"/>
        </w:rPr>
        <w:t xml:space="preserve">ara prorrogar </w:t>
      </w:r>
      <w:r>
        <w:rPr>
          <w:rFonts w:cs="Arial"/>
          <w:color w:val="000000"/>
          <w:sz w:val="22"/>
          <w:szCs w:val="22"/>
        </w:rPr>
        <w:t xml:space="preserve">el vencimiento del plazo del contrato de administración de recursos del proyecto </w:t>
      </w:r>
      <w:r w:rsidRPr="00BB303F">
        <w:rPr>
          <w:rFonts w:cs="Arial"/>
          <w:color w:val="000000"/>
          <w:sz w:val="22"/>
          <w:szCs w:val="22"/>
        </w:rPr>
        <w:t xml:space="preserve">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w:t>
      </w:r>
      <w:r w:rsidRPr="00BB303F">
        <w:rPr>
          <w:rFonts w:cs="Arial"/>
          <w:color w:val="000000"/>
          <w:sz w:val="22"/>
          <w:szCs w:val="22"/>
        </w:rPr>
        <w:lastRenderedPageBreak/>
        <w:t xml:space="preserve">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6810F5A0" w14:textId="77777777" w:rsidR="007A3F16" w:rsidRPr="00BB303F" w:rsidRDefault="007A3F16" w:rsidP="007A3F16">
      <w:pPr>
        <w:spacing w:line="360" w:lineRule="auto"/>
        <w:jc w:val="both"/>
        <w:rPr>
          <w:rFonts w:cs="Arial"/>
          <w:sz w:val="22"/>
          <w:szCs w:val="22"/>
        </w:rPr>
      </w:pPr>
    </w:p>
    <w:p w14:paraId="6DABEB4A" w14:textId="77777777" w:rsidR="007A3F16" w:rsidRDefault="007A3F16" w:rsidP="007A3F16">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tres meses para la liquidación de las garantías y la entrega del cierre técnico y financiero del citado proyecto</w:t>
      </w:r>
      <w:r w:rsidRPr="00BB303F">
        <w:rPr>
          <w:rFonts w:cs="Arial"/>
          <w:color w:val="000000"/>
          <w:sz w:val="22"/>
          <w:szCs w:val="22"/>
        </w:rPr>
        <w:t>.</w:t>
      </w:r>
    </w:p>
    <w:p w14:paraId="776E72DC" w14:textId="77777777" w:rsidR="007A3F16" w:rsidRDefault="007A3F16" w:rsidP="007A3F16">
      <w:pPr>
        <w:spacing w:line="360" w:lineRule="auto"/>
        <w:jc w:val="both"/>
        <w:rPr>
          <w:rFonts w:cs="Arial"/>
          <w:color w:val="000000"/>
          <w:sz w:val="22"/>
          <w:szCs w:val="22"/>
        </w:rPr>
      </w:pPr>
    </w:p>
    <w:p w14:paraId="45EA212E" w14:textId="2F8DDA82" w:rsidR="007A3F16" w:rsidRPr="00A8352F" w:rsidRDefault="007A3F16" w:rsidP="007A3F16">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7</w:t>
      </w:r>
      <w:r w:rsidR="00B9095B">
        <w:rPr>
          <w:rFonts w:cs="Arial"/>
          <w:color w:val="000000"/>
          <w:sz w:val="22"/>
          <w:szCs w:val="22"/>
          <w:u w:val="single"/>
        </w:rPr>
        <w:t>5</w:t>
      </w:r>
      <w:r w:rsidRPr="00085875">
        <w:rPr>
          <w:rFonts w:cs="Arial"/>
          <w:color w:val="000000"/>
          <w:sz w:val="22"/>
          <w:szCs w:val="22"/>
          <w:u w:val="single"/>
        </w:rPr>
        <w:t>:</w:t>
      </w:r>
      <w:r w:rsidR="00B9095B">
        <w:rPr>
          <w:rFonts w:cs="Arial"/>
          <w:color w:val="000000"/>
          <w:sz w:val="22"/>
          <w:szCs w:val="22"/>
          <w:u w:val="single"/>
        </w:rPr>
        <w:t>35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incluyendo la anterior aclaración de la licenciada Masís Calderón y estableciendo que el nuevo plazo otorgado es improrrogable.  Lo anterior, según se consigna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497AEAB6" w14:textId="77777777" w:rsidR="009D03FE" w:rsidRPr="00D14EAF" w:rsidRDefault="009D03FE" w:rsidP="009D03FE">
      <w:pPr>
        <w:spacing w:line="360" w:lineRule="auto"/>
        <w:jc w:val="both"/>
        <w:rPr>
          <w:rFonts w:cs="Arial"/>
          <w:b/>
          <w:sz w:val="22"/>
        </w:rPr>
      </w:pPr>
      <w:r w:rsidRPr="00D14EAF">
        <w:rPr>
          <w:rFonts w:cs="Arial"/>
          <w:b/>
          <w:sz w:val="22"/>
        </w:rPr>
        <w:t>************</w:t>
      </w:r>
    </w:p>
    <w:p w14:paraId="0B8B154C" w14:textId="77777777" w:rsidR="009D03FE" w:rsidRDefault="009D03FE" w:rsidP="009D03FE">
      <w:pPr>
        <w:spacing w:line="360" w:lineRule="auto"/>
        <w:jc w:val="both"/>
        <w:rPr>
          <w:rFonts w:cs="Arial"/>
          <w:b/>
          <w:bCs/>
          <w:sz w:val="22"/>
          <w:szCs w:val="22"/>
          <w:u w:val="single"/>
          <w:lang w:val="es-ES_tradnl"/>
        </w:rPr>
      </w:pPr>
    </w:p>
    <w:p w14:paraId="71BCBB87" w14:textId="6BFC0E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7333C" w:rsidRPr="00A7333C">
        <w:rPr>
          <w:rFonts w:cs="Arial"/>
          <w:b/>
          <w:bCs/>
          <w:sz w:val="22"/>
          <w:u w:val="single"/>
        </w:rPr>
        <w:t>Reporte de seguimiento sobre la ejecución del plan de acción para lograr la recuperación de las viviendas de los proyectos Ivannia y La Flor</w:t>
      </w:r>
    </w:p>
    <w:p w14:paraId="70732FB6" w14:textId="77777777" w:rsidR="009D03FE" w:rsidRDefault="009D03FE" w:rsidP="009D03FE">
      <w:pPr>
        <w:spacing w:line="360" w:lineRule="auto"/>
        <w:jc w:val="both"/>
        <w:rPr>
          <w:rFonts w:cs="Arial"/>
          <w:sz w:val="22"/>
          <w:szCs w:val="22"/>
        </w:rPr>
      </w:pPr>
    </w:p>
    <w:p w14:paraId="0A50AB1B" w14:textId="7AC9F6AF" w:rsidR="00D264D1" w:rsidRDefault="00D264D1" w:rsidP="00D264D1">
      <w:pPr>
        <w:spacing w:line="360" w:lineRule="auto"/>
        <w:jc w:val="both"/>
        <w:rPr>
          <w:rFonts w:cs="Arial"/>
          <w:sz w:val="22"/>
          <w:lang w:val="es-ES_tradnl"/>
        </w:rPr>
      </w:pPr>
      <w:r w:rsidRPr="0039311E">
        <w:rPr>
          <w:rFonts w:cs="Arial"/>
          <w:sz w:val="22"/>
          <w:u w:val="single"/>
          <w:lang w:val="es-ES_tradnl"/>
        </w:rPr>
        <w:t xml:space="preserve">Minuto </w:t>
      </w:r>
      <w:r w:rsidR="00B9095B">
        <w:rPr>
          <w:rFonts w:cs="Arial"/>
          <w:sz w:val="22"/>
          <w:u w:val="single"/>
          <w:lang w:val="es-ES_tradnl"/>
        </w:rPr>
        <w:t>76</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w:t>
      </w:r>
      <w:r w:rsidR="00B9095B">
        <w:rPr>
          <w:rFonts w:cs="Arial"/>
          <w:sz w:val="22"/>
          <w:lang w:val="es-ES_tradnl"/>
        </w:rPr>
        <w:t xml:space="preserve">reincorpora a la sesión la Directora </w:t>
      </w:r>
      <w:r w:rsidR="00B9095B" w:rsidRPr="00B9095B">
        <w:rPr>
          <w:rFonts w:cs="Arial"/>
          <w:bCs/>
          <w:sz w:val="22"/>
          <w:lang w:val="es-ES_tradnl"/>
        </w:rPr>
        <w:t>Ulibarri Pernús</w:t>
      </w:r>
      <w:r w:rsidR="00B9095B">
        <w:rPr>
          <w:rFonts w:cs="Arial"/>
          <w:bCs/>
          <w:sz w:val="22"/>
          <w:lang w:val="es-ES_tradnl"/>
        </w:rPr>
        <w:t xml:space="preserve"> y se procede a conocer el </w:t>
      </w:r>
      <w:r>
        <w:rPr>
          <w:rFonts w:cs="Arial"/>
          <w:sz w:val="22"/>
          <w:lang w:val="es-ES_tradnl"/>
        </w:rPr>
        <w:t>oficio GG-ME-0</w:t>
      </w:r>
      <w:r w:rsidR="00B9095B">
        <w:rPr>
          <w:rFonts w:cs="Arial"/>
          <w:sz w:val="22"/>
          <w:lang w:val="es-ES_tradnl"/>
        </w:rPr>
        <w:t>729</w:t>
      </w:r>
      <w:r>
        <w:rPr>
          <w:rFonts w:cs="Arial"/>
          <w:sz w:val="22"/>
          <w:lang w:val="es-ES_tradnl"/>
        </w:rPr>
        <w:t xml:space="preserve">-2020 del </w:t>
      </w:r>
      <w:r w:rsidR="00B9095B">
        <w:rPr>
          <w:rFonts w:cs="Arial"/>
          <w:sz w:val="22"/>
          <w:lang w:val="es-ES_tradnl"/>
        </w:rPr>
        <w:t>02</w:t>
      </w:r>
      <w:r>
        <w:rPr>
          <w:rFonts w:cs="Arial"/>
          <w:sz w:val="22"/>
          <w:lang w:val="es-ES_tradnl"/>
        </w:rPr>
        <w:t xml:space="preserve"> de </w:t>
      </w:r>
      <w:r w:rsidR="00B9095B">
        <w:rPr>
          <w:rFonts w:cs="Arial"/>
          <w:sz w:val="22"/>
          <w:lang w:val="es-ES_tradnl"/>
        </w:rPr>
        <w:t>julio</w:t>
      </w:r>
      <w:r>
        <w:rPr>
          <w:rFonts w:cs="Arial"/>
          <w:sz w:val="22"/>
          <w:lang w:val="es-ES_tradnl"/>
        </w:rPr>
        <w:t xml:space="preserve"> de 2020, mediante el cual, atendiendo lo dispuesto en</w:t>
      </w:r>
      <w:r w:rsidR="00B9095B">
        <w:rPr>
          <w:rFonts w:cs="Arial"/>
          <w:sz w:val="22"/>
          <w:lang w:val="es-ES_tradnl"/>
        </w:rPr>
        <w:t xml:space="preserve"> el</w:t>
      </w:r>
      <w:r>
        <w:rPr>
          <w:rFonts w:cs="Arial"/>
          <w:sz w:val="22"/>
          <w:lang w:val="es-ES_tradnl"/>
        </w:rPr>
        <w:t xml:space="preserve"> acuerdo N° 19 de la sesión 38-2020, del 20 de mayo de 2020, la </w:t>
      </w:r>
      <w:r w:rsidRPr="00813B4E">
        <w:rPr>
          <w:rFonts w:cs="Arial"/>
          <w:sz w:val="22"/>
          <w:lang w:val="es-ES_tradnl"/>
        </w:rPr>
        <w:t>Gerencia General</w:t>
      </w:r>
      <w:r>
        <w:rPr>
          <w:rFonts w:cs="Arial"/>
          <w:sz w:val="22"/>
          <w:lang w:val="es-ES_tradnl"/>
        </w:rPr>
        <w:t xml:space="preserve"> remite el memorando DF-OF-0</w:t>
      </w:r>
      <w:r w:rsidR="00B9095B">
        <w:rPr>
          <w:rFonts w:cs="Arial"/>
          <w:sz w:val="22"/>
          <w:lang w:val="es-ES_tradnl"/>
        </w:rPr>
        <w:t>738</w:t>
      </w:r>
      <w:r>
        <w:rPr>
          <w:rFonts w:cs="Arial"/>
          <w:sz w:val="22"/>
          <w:lang w:val="es-ES_tradnl"/>
        </w:rPr>
        <w:t>-2020 de la Dirección FOSUVI, que contiene un informe de avance sobre la ejecución de las acciones para lograr la recuperación de las viviendas de los proyectos Ivannia y La Flor.  Dichos documentos se adjuntan al expediente del acta.</w:t>
      </w:r>
    </w:p>
    <w:p w14:paraId="53C0D61E" w14:textId="77777777" w:rsidR="00D264D1" w:rsidRDefault="00D264D1" w:rsidP="00D264D1">
      <w:pPr>
        <w:spacing w:line="360" w:lineRule="auto"/>
        <w:jc w:val="both"/>
        <w:rPr>
          <w:rFonts w:cs="Arial"/>
          <w:sz w:val="22"/>
          <w:lang w:val="es-ES_tradnl"/>
        </w:rPr>
      </w:pPr>
    </w:p>
    <w:p w14:paraId="50552D07" w14:textId="0D087A20" w:rsidR="0007392A" w:rsidRDefault="00B9095B" w:rsidP="00D264D1">
      <w:pPr>
        <w:spacing w:line="360" w:lineRule="auto"/>
        <w:jc w:val="both"/>
        <w:rPr>
          <w:rFonts w:cs="Arial"/>
          <w:sz w:val="22"/>
          <w:lang w:val="es-ES_tradnl"/>
        </w:rPr>
      </w:pPr>
      <w:r>
        <w:rPr>
          <w:rFonts w:cs="Arial"/>
          <w:sz w:val="22"/>
          <w:lang w:val="es-ES_tradnl"/>
        </w:rPr>
        <w:t>L</w:t>
      </w:r>
      <w:r w:rsidR="00BE25C9">
        <w:rPr>
          <w:rFonts w:cs="Arial"/>
          <w:sz w:val="22"/>
          <w:lang w:val="es-ES_tradnl"/>
        </w:rPr>
        <w:t>uego de introducción al tema por parte del Gerente General, l</w:t>
      </w:r>
      <w:r>
        <w:rPr>
          <w:rFonts w:cs="Arial"/>
          <w:sz w:val="22"/>
          <w:lang w:val="es-ES_tradnl"/>
        </w:rPr>
        <w:t xml:space="preserve">a licenciada Camacho Murillo </w:t>
      </w:r>
      <w:r w:rsidR="00D264D1">
        <w:rPr>
          <w:rFonts w:cs="Arial"/>
          <w:sz w:val="22"/>
          <w:lang w:val="es-ES_tradnl"/>
        </w:rPr>
        <w:t>expone el contenido del citado informe</w:t>
      </w:r>
      <w:r w:rsidR="00BE25C9">
        <w:rPr>
          <w:rFonts w:cs="Arial"/>
          <w:sz w:val="22"/>
          <w:lang w:val="es-ES_tradnl"/>
        </w:rPr>
        <w:t>, refiriéndose inicialmente a</w:t>
      </w:r>
      <w:r w:rsidR="00D264D1">
        <w:rPr>
          <w:rFonts w:cs="Arial"/>
          <w:sz w:val="22"/>
          <w:lang w:val="es-ES_tradnl"/>
        </w:rPr>
        <w:t xml:space="preserve"> los resultados de las reuniones de trabajo efectuadas con el Banco de Costa Rica, destacando </w:t>
      </w:r>
      <w:r w:rsidR="00BE25C9">
        <w:rPr>
          <w:rFonts w:cs="Arial"/>
          <w:sz w:val="22"/>
          <w:lang w:val="es-ES_tradnl"/>
        </w:rPr>
        <w:t xml:space="preserve">la situación de las acciones tendientes a resolver los sistemas de tratamiento de aguas residuales en ambos proyectos, </w:t>
      </w:r>
      <w:r w:rsidR="0007392A">
        <w:rPr>
          <w:rFonts w:cs="Arial"/>
          <w:sz w:val="22"/>
          <w:lang w:val="es-ES_tradnl"/>
        </w:rPr>
        <w:t>así como lo actuado con respecto a la elaboración de planos constructivos, concluyendo, en resumen, lo siguiente:</w:t>
      </w:r>
    </w:p>
    <w:p w14:paraId="07FB68E9" w14:textId="524D6104" w:rsidR="0007392A" w:rsidRPr="0007392A" w:rsidRDefault="0007392A" w:rsidP="0007392A">
      <w:pPr>
        <w:spacing w:line="360" w:lineRule="auto"/>
        <w:jc w:val="both"/>
        <w:rPr>
          <w:rFonts w:cs="Arial"/>
          <w:sz w:val="22"/>
          <w:lang w:val="es-CR"/>
        </w:rPr>
      </w:pPr>
      <w:r>
        <w:rPr>
          <w:rFonts w:cs="Arial"/>
          <w:sz w:val="22"/>
          <w:lang w:val="es-ES_tradnl"/>
        </w:rPr>
        <w:t xml:space="preserve">a) </w:t>
      </w:r>
      <w:r w:rsidRPr="0007392A">
        <w:rPr>
          <w:rFonts w:cs="Arial"/>
          <w:sz w:val="22"/>
        </w:rPr>
        <w:t>Se debe definir el alcance de la PTAR del proyecto La Flor, considerando lo expuesto por el Departamento Técnico.</w:t>
      </w:r>
    </w:p>
    <w:p w14:paraId="02B9DF10" w14:textId="36969A69" w:rsidR="0007392A" w:rsidRPr="0007392A" w:rsidRDefault="0007392A" w:rsidP="0007392A">
      <w:pPr>
        <w:spacing w:line="360" w:lineRule="auto"/>
        <w:jc w:val="both"/>
        <w:rPr>
          <w:rFonts w:cs="Arial"/>
          <w:sz w:val="22"/>
          <w:lang w:val="es-CR"/>
        </w:rPr>
      </w:pPr>
      <w:r>
        <w:rPr>
          <w:rFonts w:cs="Arial"/>
          <w:sz w:val="22"/>
          <w:lang w:val="es-CR"/>
        </w:rPr>
        <w:lastRenderedPageBreak/>
        <w:t xml:space="preserve">b) </w:t>
      </w:r>
      <w:r w:rsidRPr="0007392A">
        <w:rPr>
          <w:rFonts w:cs="Arial"/>
          <w:sz w:val="22"/>
        </w:rPr>
        <w:t>Se está la espera de la remisión de los planos y presupuestos del proyecto La Flor, para su respectivo análisis documental y técnico.</w:t>
      </w:r>
    </w:p>
    <w:p w14:paraId="6A11293F" w14:textId="59AE4863" w:rsidR="0007392A" w:rsidRPr="0007392A" w:rsidRDefault="0007392A" w:rsidP="0007392A">
      <w:pPr>
        <w:spacing w:line="360" w:lineRule="auto"/>
        <w:jc w:val="both"/>
        <w:rPr>
          <w:rFonts w:cs="Arial"/>
          <w:sz w:val="22"/>
          <w:lang w:val="es-CR"/>
        </w:rPr>
      </w:pPr>
      <w:r>
        <w:rPr>
          <w:rFonts w:cs="Arial"/>
          <w:sz w:val="22"/>
          <w:lang w:val="es-CR"/>
        </w:rPr>
        <w:t xml:space="preserve">c) </w:t>
      </w:r>
      <w:r w:rsidRPr="0007392A">
        <w:rPr>
          <w:rFonts w:cs="Arial"/>
          <w:sz w:val="22"/>
        </w:rPr>
        <w:t xml:space="preserve">Se debe proceder con la búsqueda de un nuevo terreno para la ubicación de la PTAR del Proyecto Ivannia, ya que las permutas no son factibles. </w:t>
      </w:r>
    </w:p>
    <w:p w14:paraId="3AD68E82" w14:textId="0938DDD6" w:rsidR="0007392A" w:rsidRPr="0007392A" w:rsidRDefault="0007392A" w:rsidP="0007392A">
      <w:pPr>
        <w:spacing w:line="360" w:lineRule="auto"/>
        <w:jc w:val="both"/>
        <w:rPr>
          <w:rFonts w:cs="Arial"/>
          <w:sz w:val="22"/>
          <w:lang w:val="es-CR"/>
        </w:rPr>
      </w:pPr>
      <w:r>
        <w:rPr>
          <w:rFonts w:cs="Arial"/>
          <w:sz w:val="22"/>
        </w:rPr>
        <w:t xml:space="preserve">d) </w:t>
      </w:r>
      <w:r w:rsidRPr="0007392A">
        <w:rPr>
          <w:rFonts w:cs="Arial"/>
          <w:sz w:val="22"/>
        </w:rPr>
        <w:t>Se deben realizar correcciones a los planos y presupuestos del proyecto Ivannia.</w:t>
      </w:r>
      <w:r>
        <w:rPr>
          <w:rFonts w:cs="Arial"/>
          <w:sz w:val="22"/>
        </w:rPr>
        <w:t xml:space="preserve">  Y sobre este aspecto,</w:t>
      </w:r>
      <w:r w:rsidRPr="0007392A">
        <w:rPr>
          <w:rFonts w:cs="Arial"/>
          <w:sz w:val="22"/>
        </w:rPr>
        <w:t xml:space="preserve"> para efectos del cartel de licitación para la contratación de la construcción, se considerará que será por la totalidad de las viviendas ocupadas por los beneficiarios originales y que así este en el último censo. En caso de requerirse la construcción de viviendas adicionales, se realizará por demanda.</w:t>
      </w:r>
    </w:p>
    <w:p w14:paraId="4B45190A" w14:textId="2D2FBC3E" w:rsidR="0007392A" w:rsidRPr="0007392A" w:rsidRDefault="0007392A" w:rsidP="0007392A">
      <w:pPr>
        <w:spacing w:line="360" w:lineRule="auto"/>
        <w:jc w:val="both"/>
        <w:rPr>
          <w:rFonts w:cs="Arial"/>
          <w:sz w:val="22"/>
          <w:lang w:val="es-CR"/>
        </w:rPr>
      </w:pPr>
      <w:r>
        <w:rPr>
          <w:rFonts w:cs="Arial"/>
          <w:sz w:val="22"/>
          <w:lang w:val="es-CR"/>
        </w:rPr>
        <w:t xml:space="preserve">e) </w:t>
      </w:r>
      <w:r w:rsidRPr="0007392A">
        <w:rPr>
          <w:rFonts w:cs="Arial"/>
          <w:sz w:val="22"/>
        </w:rPr>
        <w:t>Se ha programado una reunión técnica con el fin de revisar los presupuestos de las viviendas, para el jueves 7 de julio de 2020, con los representantes del BCR, TEC, Departamento Técnico y Dirección FOSUVI del BANHVI.</w:t>
      </w:r>
    </w:p>
    <w:p w14:paraId="20BCB14D" w14:textId="77777777" w:rsidR="0007392A" w:rsidRDefault="0007392A" w:rsidP="00D264D1">
      <w:pPr>
        <w:spacing w:line="360" w:lineRule="auto"/>
        <w:jc w:val="both"/>
        <w:rPr>
          <w:rFonts w:cs="Arial"/>
          <w:sz w:val="22"/>
          <w:lang w:val="es-ES_tradnl"/>
        </w:rPr>
      </w:pPr>
    </w:p>
    <w:p w14:paraId="4CDC5370" w14:textId="53FF5AE1" w:rsidR="00D336DE" w:rsidRDefault="0007392A" w:rsidP="00D264D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100</w:t>
      </w:r>
      <w:r w:rsidRPr="00A25DB7">
        <w:rPr>
          <w:rFonts w:cs="Arial"/>
          <w:sz w:val="22"/>
          <w:u w:val="single"/>
          <w:lang w:val="es-ES_tradnl"/>
        </w:rPr>
        <w:t>:</w:t>
      </w:r>
      <w:r>
        <w:rPr>
          <w:rFonts w:cs="Arial"/>
          <w:sz w:val="22"/>
          <w:u w:val="single"/>
          <w:lang w:val="es-ES_tradnl"/>
        </w:rPr>
        <w:t>42</w:t>
      </w:r>
      <w:r>
        <w:rPr>
          <w:rFonts w:cs="Arial"/>
          <w:sz w:val="22"/>
          <w:lang w:val="es-ES_tradnl"/>
        </w:rPr>
        <w:t xml:space="preserve"> Los señores Directores proceden a analizar la información suministrada,</w:t>
      </w:r>
      <w:r w:rsidR="00741FB8">
        <w:rPr>
          <w:rFonts w:cs="Arial"/>
          <w:sz w:val="22"/>
          <w:lang w:val="es-ES_tradnl"/>
        </w:rPr>
        <w:t xml:space="preserve"> haciendo énfasis en el poco avance que se ha dado en la solución de ambos proyectos de vivienda</w:t>
      </w:r>
      <w:r w:rsidR="00D5611E">
        <w:rPr>
          <w:rFonts w:cs="Arial"/>
          <w:sz w:val="22"/>
          <w:lang w:val="es-ES_tradnl"/>
        </w:rPr>
        <w:t xml:space="preserve"> y la necesidad de que el Banco de Costa Rica realice un mayor esfuerzo por asumir sus responsabilidades a la luz del convenio suscrito entre ambas entidades</w:t>
      </w:r>
      <w:r w:rsidR="00D336DE">
        <w:rPr>
          <w:rFonts w:cs="Arial"/>
          <w:sz w:val="22"/>
          <w:lang w:val="es-ES_tradnl"/>
        </w:rPr>
        <w:t>, y el cual se procede a analizar en detalle, para clarificar</w:t>
      </w:r>
      <w:r w:rsidR="00991E19">
        <w:rPr>
          <w:rFonts w:cs="Arial"/>
          <w:sz w:val="22"/>
          <w:lang w:val="es-ES_tradnl"/>
        </w:rPr>
        <w:t>, fundamentalmente,</w:t>
      </w:r>
      <w:r w:rsidR="00D336DE">
        <w:rPr>
          <w:rFonts w:cs="Arial"/>
          <w:sz w:val="22"/>
          <w:lang w:val="es-ES_tradnl"/>
        </w:rPr>
        <w:t xml:space="preserve"> los temas relacionados con </w:t>
      </w:r>
      <w:r w:rsidR="00991E19">
        <w:rPr>
          <w:rFonts w:cs="Arial"/>
          <w:sz w:val="22"/>
          <w:lang w:val="es-ES_tradnl"/>
        </w:rPr>
        <w:t xml:space="preserve">las obligaciones en materia del </w:t>
      </w:r>
      <w:r w:rsidR="00D336DE">
        <w:rPr>
          <w:rFonts w:cs="Arial"/>
          <w:sz w:val="22"/>
          <w:lang w:val="es-ES_tradnl"/>
        </w:rPr>
        <w:t xml:space="preserve">financiamiento </w:t>
      </w:r>
      <w:r w:rsidR="00991E19">
        <w:rPr>
          <w:rFonts w:cs="Arial"/>
          <w:sz w:val="22"/>
          <w:lang w:val="es-ES_tradnl"/>
        </w:rPr>
        <w:t xml:space="preserve">y del desarrollo </w:t>
      </w:r>
      <w:r w:rsidR="00D336DE">
        <w:rPr>
          <w:rFonts w:cs="Arial"/>
          <w:sz w:val="22"/>
          <w:lang w:val="es-ES_tradnl"/>
        </w:rPr>
        <w:t>de las obras</w:t>
      </w:r>
      <w:r w:rsidR="00991E19">
        <w:rPr>
          <w:rFonts w:cs="Arial"/>
          <w:sz w:val="22"/>
          <w:lang w:val="es-ES_tradnl"/>
        </w:rPr>
        <w:t xml:space="preserve">, así como lo relacionado con </w:t>
      </w:r>
      <w:r w:rsidR="00D336DE">
        <w:rPr>
          <w:rFonts w:cs="Arial"/>
          <w:sz w:val="22"/>
          <w:lang w:val="es-ES_tradnl"/>
        </w:rPr>
        <w:t>el establecimiento de responsabilidades</w:t>
      </w:r>
      <w:r w:rsidR="00D5611E">
        <w:rPr>
          <w:rFonts w:cs="Arial"/>
          <w:sz w:val="22"/>
          <w:lang w:val="es-ES_tradnl"/>
        </w:rPr>
        <w:t>.</w:t>
      </w:r>
    </w:p>
    <w:p w14:paraId="49BF3704" w14:textId="77777777" w:rsidR="00D336DE" w:rsidRDefault="00D336DE" w:rsidP="00D264D1">
      <w:pPr>
        <w:spacing w:line="360" w:lineRule="auto"/>
        <w:jc w:val="both"/>
        <w:rPr>
          <w:rFonts w:cs="Arial"/>
          <w:sz w:val="22"/>
          <w:lang w:val="es-ES_tradnl"/>
        </w:rPr>
      </w:pPr>
    </w:p>
    <w:p w14:paraId="062652A2" w14:textId="186BF6FB" w:rsidR="0007392A" w:rsidRDefault="00991E19" w:rsidP="00D264D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167</w:t>
      </w:r>
      <w:r w:rsidRPr="00A25DB7">
        <w:rPr>
          <w:rFonts w:cs="Arial"/>
          <w:sz w:val="22"/>
          <w:u w:val="single"/>
          <w:lang w:val="es-ES_tradnl"/>
        </w:rPr>
        <w:t>:</w:t>
      </w:r>
      <w:r>
        <w:rPr>
          <w:rFonts w:cs="Arial"/>
          <w:sz w:val="22"/>
          <w:u w:val="single"/>
          <w:lang w:val="es-ES_tradnl"/>
        </w:rPr>
        <w:t>50</w:t>
      </w:r>
      <w:r>
        <w:rPr>
          <w:rFonts w:cs="Arial"/>
          <w:sz w:val="22"/>
          <w:lang w:val="es-ES_tradnl"/>
        </w:rPr>
        <w:t xml:space="preserve"> Sobre</w:t>
      </w:r>
      <w:r w:rsidR="00D5611E">
        <w:rPr>
          <w:rFonts w:cs="Arial"/>
          <w:sz w:val="22"/>
          <w:lang w:val="es-ES_tradnl"/>
        </w:rPr>
        <w:t xml:space="preserve"> esto último</w:t>
      </w:r>
      <w:r w:rsidR="00741FB8">
        <w:rPr>
          <w:rFonts w:cs="Arial"/>
          <w:sz w:val="22"/>
          <w:lang w:val="es-ES_tradnl"/>
        </w:rPr>
        <w:t xml:space="preserve">, </w:t>
      </w:r>
      <w:r>
        <w:rPr>
          <w:rFonts w:cs="Arial"/>
          <w:sz w:val="22"/>
          <w:lang w:val="es-ES_tradnl"/>
        </w:rPr>
        <w:t xml:space="preserve">el licenciado González Zumbado aclara, en resumen, que la </w:t>
      </w:r>
      <w:r w:rsidRPr="00991E19">
        <w:rPr>
          <w:rFonts w:cs="Arial"/>
          <w:sz w:val="22"/>
          <w:lang w:val="es-ES_tradnl"/>
        </w:rPr>
        <w:t>Auditoría Interna</w:t>
      </w:r>
      <w:r>
        <w:rPr>
          <w:rFonts w:cs="Arial"/>
          <w:sz w:val="22"/>
          <w:lang w:val="es-ES_tradnl"/>
        </w:rPr>
        <w:t xml:space="preserve"> concluyó los estudios correspondientes y </w:t>
      </w:r>
      <w:r w:rsidR="00220151">
        <w:rPr>
          <w:rFonts w:cs="Arial"/>
          <w:sz w:val="22"/>
          <w:lang w:val="es-ES_tradnl"/>
        </w:rPr>
        <w:t xml:space="preserve">los trasladó, para el trámite correspondiente, a las respectivas instancias.  Además, explica que según el convenio, para establecer las obligaciones en cuanto al financiamiento de las obras a desarrollar, deben efectuarse otros estudios técnicos que no son competencia de la </w:t>
      </w:r>
      <w:r w:rsidR="00220151" w:rsidRPr="00220151">
        <w:rPr>
          <w:rFonts w:cs="Arial"/>
          <w:sz w:val="22"/>
          <w:lang w:val="es-ES_tradnl"/>
        </w:rPr>
        <w:t>Auditoría Interna</w:t>
      </w:r>
      <w:r w:rsidR="00220151">
        <w:rPr>
          <w:rFonts w:cs="Arial"/>
          <w:sz w:val="22"/>
          <w:lang w:val="es-ES_tradnl"/>
        </w:rPr>
        <w:t>.</w:t>
      </w:r>
      <w:r w:rsidR="004668BF">
        <w:rPr>
          <w:rFonts w:cs="Arial"/>
          <w:sz w:val="22"/>
          <w:lang w:val="es-ES_tradnl"/>
        </w:rPr>
        <w:t xml:space="preserve">  En esta misma línea de ideas se pronuncia el señor Gerente General. </w:t>
      </w:r>
    </w:p>
    <w:p w14:paraId="40C621E1" w14:textId="77777777" w:rsidR="0007392A" w:rsidRDefault="0007392A" w:rsidP="00D264D1">
      <w:pPr>
        <w:spacing w:line="360" w:lineRule="auto"/>
        <w:jc w:val="both"/>
        <w:rPr>
          <w:rFonts w:cs="Arial"/>
          <w:sz w:val="22"/>
          <w:lang w:val="es-ES_tradnl"/>
        </w:rPr>
      </w:pPr>
    </w:p>
    <w:p w14:paraId="5B9590AA" w14:textId="486817B8" w:rsidR="00BE25C9" w:rsidRDefault="004668BF" w:rsidP="00D264D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183</w:t>
      </w:r>
      <w:r w:rsidRPr="00A25DB7">
        <w:rPr>
          <w:rFonts w:cs="Arial"/>
          <w:sz w:val="22"/>
          <w:u w:val="single"/>
          <w:lang w:val="es-ES_tradnl"/>
        </w:rPr>
        <w:t>:</w:t>
      </w:r>
      <w:r>
        <w:rPr>
          <w:rFonts w:cs="Arial"/>
          <w:sz w:val="22"/>
          <w:u w:val="single"/>
          <w:lang w:val="es-ES_tradnl"/>
        </w:rPr>
        <w:t>00</w:t>
      </w:r>
      <w:r>
        <w:rPr>
          <w:rFonts w:cs="Arial"/>
          <w:sz w:val="22"/>
          <w:lang w:val="es-ES_tradnl"/>
        </w:rPr>
        <w:t xml:space="preserve"> Se retoma el análisis de las g</w:t>
      </w:r>
      <w:r w:rsidR="005602A6">
        <w:rPr>
          <w:rFonts w:cs="Arial"/>
          <w:sz w:val="22"/>
          <w:lang w:val="es-ES_tradnl"/>
        </w:rPr>
        <w:t xml:space="preserve">estiones para resolver el tratamiento de aguas residuales de ambos proyectos, </w:t>
      </w:r>
      <w:r w:rsidR="004A1540">
        <w:rPr>
          <w:rFonts w:cs="Arial"/>
          <w:sz w:val="22"/>
          <w:lang w:val="es-ES_tradnl"/>
        </w:rPr>
        <w:t>como paso inicial para tramitar el desarrollo de las obras en las viviendas.</w:t>
      </w:r>
    </w:p>
    <w:p w14:paraId="5B6381E4" w14:textId="137AE26B" w:rsidR="00220151" w:rsidRDefault="00220151" w:rsidP="00D264D1">
      <w:pPr>
        <w:spacing w:line="360" w:lineRule="auto"/>
        <w:jc w:val="both"/>
        <w:rPr>
          <w:rFonts w:cs="Arial"/>
          <w:sz w:val="22"/>
          <w:lang w:val="es-ES_tradnl"/>
        </w:rPr>
      </w:pPr>
    </w:p>
    <w:p w14:paraId="034AD873" w14:textId="6F3DC0A3" w:rsidR="002C6AEF" w:rsidRDefault="004A1540" w:rsidP="002C6AE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209</w:t>
      </w:r>
      <w:r w:rsidRPr="00A25DB7">
        <w:rPr>
          <w:rFonts w:cs="Arial"/>
          <w:sz w:val="22"/>
          <w:u w:val="single"/>
          <w:lang w:val="es-ES_tradnl"/>
        </w:rPr>
        <w:t>:</w:t>
      </w:r>
      <w:r>
        <w:rPr>
          <w:rFonts w:cs="Arial"/>
          <w:sz w:val="22"/>
          <w:u w:val="single"/>
          <w:lang w:val="es-ES_tradnl"/>
        </w:rPr>
        <w:t>25</w:t>
      </w:r>
      <w:r>
        <w:rPr>
          <w:rFonts w:cs="Arial"/>
          <w:sz w:val="22"/>
          <w:lang w:val="es-ES_tradnl"/>
        </w:rPr>
        <w:t xml:space="preserve"> De conformidad con el análisis realizado a los documentos presentados por la </w:t>
      </w:r>
      <w:r w:rsidRPr="004A1540">
        <w:rPr>
          <w:rFonts w:cs="Arial"/>
          <w:sz w:val="22"/>
          <w:lang w:val="es-ES_tradnl"/>
        </w:rPr>
        <w:t>Administración</w:t>
      </w:r>
      <w:r>
        <w:rPr>
          <w:rFonts w:cs="Arial"/>
          <w:sz w:val="22"/>
          <w:lang w:val="es-ES_tradnl"/>
        </w:rPr>
        <w:t xml:space="preserve">, los señores Directores concuerdan en la pertinencia de girar </w:t>
      </w:r>
      <w:r>
        <w:rPr>
          <w:rFonts w:cs="Arial"/>
          <w:sz w:val="22"/>
          <w:lang w:val="es-ES_tradnl"/>
        </w:rPr>
        <w:lastRenderedPageBreak/>
        <w:t xml:space="preserve">instrucciones para que se </w:t>
      </w:r>
      <w:r w:rsidR="002C6AEF">
        <w:rPr>
          <w:rFonts w:cs="Arial"/>
          <w:sz w:val="22"/>
          <w:lang w:val="es-ES_tradnl"/>
        </w:rPr>
        <w:t>ejecuten las siguientes acciones: a) se lleve a cabo un</w:t>
      </w:r>
      <w:r>
        <w:rPr>
          <w:rFonts w:cs="Arial"/>
          <w:sz w:val="22"/>
          <w:lang w:val="es-ES_tradnl"/>
        </w:rPr>
        <w:t xml:space="preserve"> estudio </w:t>
      </w:r>
      <w:r w:rsidR="005602A6">
        <w:rPr>
          <w:rFonts w:cs="Arial"/>
          <w:sz w:val="22"/>
          <w:lang w:val="es-ES_tradnl"/>
        </w:rPr>
        <w:t xml:space="preserve">legal sobre </w:t>
      </w:r>
      <w:r w:rsidR="00F84994">
        <w:rPr>
          <w:rFonts w:cs="Arial"/>
          <w:sz w:val="22"/>
          <w:lang w:val="es-ES_tradnl"/>
        </w:rPr>
        <w:t xml:space="preserve">la situación de la planta de tratamiento de aguas residuales en el proyecto La Flor, donde se aborde el tema de las etapas en las que fue desarrollado este proyecto y la eventual cantidad de viviendas </w:t>
      </w:r>
      <w:r w:rsidR="00D20F50">
        <w:rPr>
          <w:rFonts w:cs="Arial"/>
          <w:sz w:val="22"/>
          <w:lang w:val="es-ES_tradnl"/>
        </w:rPr>
        <w:t xml:space="preserve">que debe </w:t>
      </w:r>
      <w:r w:rsidR="00F276DB">
        <w:rPr>
          <w:rFonts w:cs="Arial"/>
          <w:sz w:val="22"/>
          <w:lang w:val="es-ES_tradnl"/>
        </w:rPr>
        <w:t>cubrir</w:t>
      </w:r>
      <w:r w:rsidR="00D20F50">
        <w:rPr>
          <w:rFonts w:cs="Arial"/>
          <w:sz w:val="22"/>
          <w:lang w:val="es-ES_tradnl"/>
        </w:rPr>
        <w:t xml:space="preserve"> esa planta de tratamiento, revisando además la forma </w:t>
      </w:r>
      <w:r w:rsidR="002C6AEF">
        <w:rPr>
          <w:rFonts w:cs="Arial"/>
          <w:sz w:val="22"/>
          <w:lang w:val="es-ES_tradnl"/>
        </w:rPr>
        <w:t xml:space="preserve">jurídicamente viable de ir al </w:t>
      </w:r>
      <w:r w:rsidR="00D20F50">
        <w:rPr>
          <w:rFonts w:cs="Arial"/>
          <w:sz w:val="22"/>
          <w:lang w:val="es-ES_tradnl"/>
        </w:rPr>
        <w:t xml:space="preserve">rescate de las familias </w:t>
      </w:r>
      <w:r w:rsidR="002C6AEF">
        <w:rPr>
          <w:rFonts w:cs="Arial"/>
          <w:sz w:val="22"/>
          <w:lang w:val="es-ES_tradnl"/>
        </w:rPr>
        <w:t xml:space="preserve">y eventualmente hacer la inversión que se requiera; b) en el proyecto Ivannia, determine la ubicación del terreno en el que será ubicada la planta de tratamiento, con base en los análisis técnicos, financieros y legales correspondientes; c) en ambos casos, trabajar paralelamente en el diseño de los proyectos, velando porque el Banco de Costa Rica, según el convenio, realice esas gestiones de forma eficaz y eficiente; </w:t>
      </w:r>
      <w:r w:rsidR="00F276DB">
        <w:rPr>
          <w:rFonts w:cs="Arial"/>
          <w:sz w:val="22"/>
          <w:lang w:val="es-ES_tradnl"/>
        </w:rPr>
        <w:t xml:space="preserve">d) </w:t>
      </w:r>
      <w:r w:rsidR="002C6AEF">
        <w:rPr>
          <w:rFonts w:cs="Arial"/>
          <w:sz w:val="22"/>
          <w:lang w:val="es-ES_tradnl"/>
        </w:rPr>
        <w:t xml:space="preserve">llamar la atención de la </w:t>
      </w:r>
      <w:r w:rsidR="002C6AEF" w:rsidRPr="00F84994">
        <w:rPr>
          <w:rFonts w:cs="Arial"/>
          <w:sz w:val="22"/>
          <w:lang w:val="es-ES_tradnl"/>
        </w:rPr>
        <w:t>Administración</w:t>
      </w:r>
      <w:r w:rsidR="002C6AEF">
        <w:rPr>
          <w:rFonts w:cs="Arial"/>
          <w:sz w:val="22"/>
          <w:lang w:val="es-ES_tradnl"/>
        </w:rPr>
        <w:t xml:space="preserve"> por la poca agilidad con la que se ha avanzado en resolver la problemática de ambos proyectos</w:t>
      </w:r>
      <w:r w:rsidR="00F276DB">
        <w:rPr>
          <w:rFonts w:cs="Arial"/>
          <w:sz w:val="22"/>
          <w:lang w:val="es-ES_tradnl"/>
        </w:rPr>
        <w:t>; y e)</w:t>
      </w:r>
      <w:r w:rsidR="002C6AEF">
        <w:rPr>
          <w:rFonts w:cs="Arial"/>
          <w:sz w:val="22"/>
          <w:lang w:val="es-ES_tradnl"/>
        </w:rPr>
        <w:t xml:space="preserve"> elaborar y presentar a esta </w:t>
      </w:r>
      <w:r w:rsidR="002C6AEF" w:rsidRPr="002C6AEF">
        <w:rPr>
          <w:rFonts w:cs="Arial"/>
          <w:sz w:val="22"/>
          <w:lang w:val="es-ES_tradnl"/>
        </w:rPr>
        <w:t>Junta Directiva</w:t>
      </w:r>
      <w:r w:rsidR="002C6AEF">
        <w:rPr>
          <w:rFonts w:cs="Arial"/>
          <w:sz w:val="22"/>
          <w:lang w:val="es-ES_tradnl"/>
        </w:rPr>
        <w:t>, a más tardar el próximo</w:t>
      </w:r>
      <w:r w:rsidR="00F276DB">
        <w:rPr>
          <w:rFonts w:cs="Arial"/>
          <w:sz w:val="22"/>
          <w:lang w:val="es-ES_tradnl"/>
        </w:rPr>
        <w:t xml:space="preserve"> 20 de julio,</w:t>
      </w:r>
      <w:r w:rsidR="002C6AEF">
        <w:rPr>
          <w:rFonts w:cs="Arial"/>
          <w:sz w:val="22"/>
          <w:lang w:val="es-ES_tradnl"/>
        </w:rPr>
        <w:t xml:space="preserve"> un cronograma definitivo para la ejecución de las obras. </w:t>
      </w:r>
      <w:r w:rsidR="00F276DB">
        <w:rPr>
          <w:rFonts w:cs="Arial"/>
          <w:sz w:val="22"/>
          <w:lang w:val="es-ES_tradnl"/>
        </w:rPr>
        <w:t xml:space="preserve"> Lo anterior, según se consigna en el </w:t>
      </w:r>
      <w:r w:rsidR="00F276DB" w:rsidRPr="00F276DB">
        <w:rPr>
          <w:rFonts w:cs="Arial"/>
          <w:b/>
          <w:bCs/>
          <w:sz w:val="22"/>
          <w:lang w:val="es-ES_tradnl"/>
        </w:rPr>
        <w:t>Acuerdo N° 7</w:t>
      </w:r>
      <w:r w:rsidR="00F276DB">
        <w:rPr>
          <w:rFonts w:cs="Arial"/>
          <w:sz w:val="22"/>
          <w:lang w:val="es-ES_tradnl"/>
        </w:rPr>
        <w:t xml:space="preserve"> que se anexa a esta minuta.</w:t>
      </w:r>
      <w:r w:rsidR="00F62ADF">
        <w:rPr>
          <w:rFonts w:cs="Arial"/>
          <w:sz w:val="22"/>
          <w:lang w:val="es-ES_tradnl"/>
        </w:rPr>
        <w:t xml:space="preserve">  Acto seguido, se retira de la sesión la licenciada Camacho Murillo.</w:t>
      </w:r>
    </w:p>
    <w:p w14:paraId="1096C598" w14:textId="77777777" w:rsidR="009D03FE" w:rsidRPr="00D14EAF" w:rsidRDefault="009D03FE" w:rsidP="009D03FE">
      <w:pPr>
        <w:spacing w:line="360" w:lineRule="auto"/>
        <w:jc w:val="both"/>
        <w:rPr>
          <w:rFonts w:cs="Arial"/>
          <w:b/>
          <w:sz w:val="22"/>
        </w:rPr>
      </w:pPr>
      <w:r w:rsidRPr="00D14EAF">
        <w:rPr>
          <w:rFonts w:cs="Arial"/>
          <w:b/>
          <w:sz w:val="22"/>
        </w:rPr>
        <w:t>************</w:t>
      </w:r>
    </w:p>
    <w:p w14:paraId="032718D0" w14:textId="77777777" w:rsidR="009D03FE" w:rsidRDefault="009D03FE" w:rsidP="009D03FE">
      <w:pPr>
        <w:spacing w:line="360" w:lineRule="auto"/>
        <w:jc w:val="both"/>
        <w:rPr>
          <w:rFonts w:cs="Arial"/>
          <w:b/>
          <w:bCs/>
          <w:sz w:val="22"/>
          <w:szCs w:val="22"/>
          <w:u w:val="single"/>
          <w:lang w:val="es-ES_tradnl"/>
        </w:rPr>
      </w:pPr>
    </w:p>
    <w:p w14:paraId="0DEF86B5" w14:textId="7D7B209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9°</w:t>
      </w:r>
      <w:r w:rsidR="00A7333C" w:rsidRPr="00A7333C">
        <w:rPr>
          <w:rFonts w:cs="Arial"/>
          <w:sz w:val="22"/>
        </w:rPr>
        <w:t xml:space="preserve"> </w:t>
      </w:r>
      <w:r w:rsidR="00A7333C" w:rsidRPr="00A7333C">
        <w:rPr>
          <w:rFonts w:cs="Arial"/>
          <w:b/>
          <w:bCs/>
          <w:sz w:val="22"/>
          <w:u w:val="single"/>
        </w:rPr>
        <w:t>Criterio sobre el proyecto de “Ley para el tratamiento especial de los recursos del Fondo de Desarrollo Social y Asignaciones Familiares (FODESAF) en casos de declaratoria de emergencia nacional por parte del Estado”</w:t>
      </w:r>
      <w:r>
        <w:rPr>
          <w:rFonts w:cs="Arial"/>
          <w:b/>
          <w:sz w:val="22"/>
          <w:szCs w:val="22"/>
          <w:lang w:val="es-ES_tradnl"/>
        </w:rPr>
        <w:t xml:space="preserve"> </w:t>
      </w:r>
    </w:p>
    <w:p w14:paraId="390F8880" w14:textId="77777777" w:rsidR="009D03FE" w:rsidRDefault="009D03FE" w:rsidP="009D03FE">
      <w:pPr>
        <w:spacing w:line="360" w:lineRule="auto"/>
        <w:jc w:val="both"/>
        <w:rPr>
          <w:rFonts w:cs="Arial"/>
          <w:sz w:val="22"/>
          <w:szCs w:val="22"/>
        </w:rPr>
      </w:pPr>
    </w:p>
    <w:p w14:paraId="5CEF1A92" w14:textId="547050B1" w:rsidR="00F62ADF" w:rsidRDefault="00F62ADF" w:rsidP="00F62ADF">
      <w:pPr>
        <w:spacing w:line="360" w:lineRule="auto"/>
        <w:jc w:val="both"/>
        <w:rPr>
          <w:rFonts w:cs="Arial"/>
          <w:sz w:val="22"/>
          <w:szCs w:val="22"/>
        </w:rPr>
      </w:pPr>
      <w:r w:rsidRPr="0039311E">
        <w:rPr>
          <w:rFonts w:cs="Arial"/>
          <w:sz w:val="22"/>
          <w:u w:val="single"/>
          <w:lang w:val="es-ES_tradnl"/>
        </w:rPr>
        <w:t xml:space="preserve">Minuto </w:t>
      </w:r>
      <w:r w:rsidR="00D40BB0">
        <w:rPr>
          <w:rFonts w:cs="Arial"/>
          <w:sz w:val="22"/>
          <w:u w:val="single"/>
          <w:lang w:val="es-ES_tradnl"/>
        </w:rPr>
        <w:t>235</w:t>
      </w:r>
      <w:r w:rsidRPr="0039311E">
        <w:rPr>
          <w:rFonts w:cs="Arial"/>
          <w:sz w:val="22"/>
          <w:u w:val="single"/>
          <w:lang w:val="es-ES_tradnl"/>
        </w:rPr>
        <w:t>:</w:t>
      </w:r>
      <w:r w:rsidR="00D40BB0">
        <w:rPr>
          <w:rFonts w:cs="Arial"/>
          <w:sz w:val="22"/>
          <w:u w:val="single"/>
          <w:lang w:val="es-ES_tradnl"/>
        </w:rPr>
        <w:t>00</w:t>
      </w:r>
      <w:r>
        <w:rPr>
          <w:rFonts w:cs="Arial"/>
          <w:sz w:val="22"/>
          <w:lang w:val="es-ES_tradnl"/>
        </w:rPr>
        <w:t xml:space="preserve"> </w:t>
      </w:r>
      <w:r w:rsidR="00D40BB0">
        <w:rPr>
          <w:rFonts w:cs="Arial"/>
          <w:sz w:val="22"/>
          <w:lang w:val="es-ES_tradnl"/>
        </w:rPr>
        <w:t>Luego de un receso, se</w:t>
      </w:r>
      <w:r>
        <w:rPr>
          <w:rFonts w:cs="Arial"/>
          <w:sz w:val="22"/>
          <w:lang w:val="es-ES_tradnl"/>
        </w:rPr>
        <w:t xml:space="preserve"> conoce el oficio </w:t>
      </w:r>
      <w:r w:rsidRPr="00D574AE">
        <w:rPr>
          <w:rFonts w:cs="Arial"/>
          <w:sz w:val="22"/>
          <w:szCs w:val="22"/>
        </w:rPr>
        <w:t>GG-ME-</w:t>
      </w:r>
      <w:r>
        <w:rPr>
          <w:rFonts w:cs="Arial"/>
          <w:sz w:val="22"/>
          <w:szCs w:val="22"/>
        </w:rPr>
        <w:t>0737-2020</w:t>
      </w:r>
      <w:r w:rsidRPr="00D574AE">
        <w:rPr>
          <w:rFonts w:cs="Arial"/>
          <w:sz w:val="22"/>
          <w:szCs w:val="22"/>
        </w:rPr>
        <w:t xml:space="preserve"> del </w:t>
      </w:r>
      <w:r>
        <w:rPr>
          <w:rFonts w:cs="Arial"/>
          <w:sz w:val="22"/>
          <w:szCs w:val="22"/>
        </w:rPr>
        <w:t>03</w:t>
      </w:r>
      <w:r w:rsidRPr="00D574AE">
        <w:rPr>
          <w:rFonts w:cs="Arial"/>
          <w:sz w:val="22"/>
          <w:szCs w:val="22"/>
        </w:rPr>
        <w:t xml:space="preserve"> de </w:t>
      </w:r>
      <w:r>
        <w:rPr>
          <w:rFonts w:cs="Arial"/>
          <w:sz w:val="22"/>
          <w:szCs w:val="22"/>
        </w:rPr>
        <w:t>julio</w:t>
      </w:r>
      <w:r w:rsidRPr="00D574AE">
        <w:rPr>
          <w:rFonts w:cs="Arial"/>
          <w:sz w:val="22"/>
          <w:szCs w:val="22"/>
        </w:rPr>
        <w:t xml:space="preserve"> de 20</w:t>
      </w:r>
      <w:r>
        <w:rPr>
          <w:rFonts w:cs="Arial"/>
          <w:sz w:val="22"/>
          <w:szCs w:val="22"/>
        </w:rPr>
        <w:t>20</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F62ADF">
        <w:rPr>
          <w:rFonts w:cs="Arial"/>
          <w:sz w:val="22"/>
          <w:szCs w:val="22"/>
          <w:lang w:val="es-CR"/>
        </w:rPr>
        <w:t>denominado “</w:t>
      </w:r>
      <w:r w:rsidR="00D40BB0">
        <w:rPr>
          <w:rFonts w:cs="Arial"/>
          <w:sz w:val="22"/>
          <w:szCs w:val="22"/>
          <w:lang w:val="es-CR"/>
        </w:rPr>
        <w:t>L</w:t>
      </w:r>
      <w:r w:rsidRPr="00F62ADF">
        <w:rPr>
          <w:rFonts w:cs="Arial"/>
          <w:sz w:val="22"/>
          <w:szCs w:val="22"/>
          <w:lang w:val="es-CR"/>
        </w:rPr>
        <w:t>ey para el tratamiento especial de los recursos del</w:t>
      </w:r>
      <w:r w:rsidR="00D40BB0">
        <w:rPr>
          <w:rFonts w:cs="Arial"/>
          <w:sz w:val="22"/>
          <w:szCs w:val="22"/>
          <w:lang w:val="es-CR"/>
        </w:rPr>
        <w:t xml:space="preserve"> F</w:t>
      </w:r>
      <w:r w:rsidRPr="00F62ADF">
        <w:rPr>
          <w:rFonts w:cs="Arial"/>
          <w:sz w:val="22"/>
          <w:szCs w:val="22"/>
          <w:lang w:val="es-CR"/>
        </w:rPr>
        <w:t xml:space="preserve">ondo de </w:t>
      </w:r>
      <w:r w:rsidR="00D40BB0">
        <w:rPr>
          <w:rFonts w:cs="Arial"/>
          <w:sz w:val="22"/>
          <w:szCs w:val="22"/>
          <w:lang w:val="es-CR"/>
        </w:rPr>
        <w:t>D</w:t>
      </w:r>
      <w:r w:rsidRPr="00F62ADF">
        <w:rPr>
          <w:rFonts w:cs="Arial"/>
          <w:sz w:val="22"/>
          <w:szCs w:val="22"/>
          <w:lang w:val="es-CR"/>
        </w:rPr>
        <w:t xml:space="preserve">esarrollo </w:t>
      </w:r>
      <w:r w:rsidR="00D40BB0">
        <w:rPr>
          <w:rFonts w:cs="Arial"/>
          <w:sz w:val="22"/>
          <w:szCs w:val="22"/>
          <w:lang w:val="es-CR"/>
        </w:rPr>
        <w:t>S</w:t>
      </w:r>
      <w:r w:rsidRPr="00F62ADF">
        <w:rPr>
          <w:rFonts w:cs="Arial"/>
          <w:sz w:val="22"/>
          <w:szCs w:val="22"/>
          <w:lang w:val="es-CR"/>
        </w:rPr>
        <w:t xml:space="preserve">ocial </w:t>
      </w:r>
      <w:r w:rsidR="00D40BB0">
        <w:rPr>
          <w:rFonts w:cs="Arial"/>
          <w:sz w:val="22"/>
          <w:szCs w:val="22"/>
          <w:lang w:val="es-CR"/>
        </w:rPr>
        <w:t>y</w:t>
      </w:r>
      <w:r w:rsidRPr="00F62ADF">
        <w:rPr>
          <w:rFonts w:cs="Arial"/>
          <w:sz w:val="22"/>
          <w:szCs w:val="22"/>
          <w:lang w:val="es-CR"/>
        </w:rPr>
        <w:t xml:space="preserve"> </w:t>
      </w:r>
      <w:r w:rsidR="00D40BB0">
        <w:rPr>
          <w:rFonts w:cs="Arial"/>
          <w:sz w:val="22"/>
          <w:szCs w:val="22"/>
          <w:lang w:val="es-CR"/>
        </w:rPr>
        <w:t>A</w:t>
      </w:r>
      <w:r w:rsidRPr="00F62ADF">
        <w:rPr>
          <w:rFonts w:cs="Arial"/>
          <w:sz w:val="22"/>
          <w:szCs w:val="22"/>
          <w:lang w:val="es-CR"/>
        </w:rPr>
        <w:t xml:space="preserve">signaciones </w:t>
      </w:r>
      <w:r w:rsidR="00D40BB0">
        <w:rPr>
          <w:rFonts w:cs="Arial"/>
          <w:sz w:val="22"/>
          <w:szCs w:val="22"/>
          <w:lang w:val="es-CR"/>
        </w:rPr>
        <w:t>F</w:t>
      </w:r>
      <w:r w:rsidRPr="00F62ADF">
        <w:rPr>
          <w:rFonts w:cs="Arial"/>
          <w:sz w:val="22"/>
          <w:szCs w:val="22"/>
          <w:lang w:val="es-CR"/>
        </w:rPr>
        <w:t>amiliares (</w:t>
      </w:r>
      <w:r w:rsidR="00D40BB0">
        <w:rPr>
          <w:rFonts w:cs="Arial"/>
          <w:sz w:val="22"/>
          <w:szCs w:val="22"/>
          <w:lang w:val="es-CR"/>
        </w:rPr>
        <w:t>FODESAF</w:t>
      </w:r>
      <w:r w:rsidRPr="00F62ADF">
        <w:rPr>
          <w:rFonts w:cs="Arial"/>
          <w:sz w:val="22"/>
          <w:szCs w:val="22"/>
          <w:lang w:val="es-CR"/>
        </w:rPr>
        <w:t>) en</w:t>
      </w:r>
      <w:r w:rsidR="00D40BB0">
        <w:rPr>
          <w:rFonts w:cs="Arial"/>
          <w:sz w:val="22"/>
          <w:szCs w:val="22"/>
          <w:lang w:val="es-CR"/>
        </w:rPr>
        <w:t xml:space="preserve"> </w:t>
      </w:r>
      <w:r w:rsidRPr="00F62ADF">
        <w:rPr>
          <w:rFonts w:cs="Arial"/>
          <w:sz w:val="22"/>
          <w:szCs w:val="22"/>
          <w:lang w:val="es-CR"/>
        </w:rPr>
        <w:t>casos de declar</w:t>
      </w:r>
      <w:r w:rsidR="00D40BB0">
        <w:rPr>
          <w:rFonts w:cs="Arial"/>
          <w:sz w:val="22"/>
          <w:szCs w:val="22"/>
          <w:lang w:val="es-CR"/>
        </w:rPr>
        <w:t>at</w:t>
      </w:r>
      <w:r w:rsidRPr="00F62ADF">
        <w:rPr>
          <w:rFonts w:cs="Arial"/>
          <w:sz w:val="22"/>
          <w:szCs w:val="22"/>
          <w:lang w:val="es-CR"/>
        </w:rPr>
        <w:t>oria de emergencia nacional por parte del</w:t>
      </w:r>
      <w:r w:rsidR="00D40BB0">
        <w:rPr>
          <w:rFonts w:cs="Arial"/>
          <w:sz w:val="22"/>
          <w:szCs w:val="22"/>
          <w:lang w:val="es-CR"/>
        </w:rPr>
        <w:t xml:space="preserve"> E</w:t>
      </w:r>
      <w:r w:rsidRPr="00F62ADF">
        <w:rPr>
          <w:rFonts w:cs="Arial"/>
          <w:sz w:val="22"/>
          <w:szCs w:val="22"/>
          <w:lang w:val="es-CR"/>
        </w:rPr>
        <w:t>stado”, expediente legislativo No. 21.913.</w:t>
      </w:r>
      <w:r w:rsidR="00D40BB0" w:rsidRPr="00D40BB0">
        <w:rPr>
          <w:rFonts w:cs="Arial"/>
          <w:sz w:val="22"/>
          <w:szCs w:val="22"/>
        </w:rPr>
        <w:t xml:space="preserve"> </w:t>
      </w:r>
      <w:r w:rsidR="00D40BB0">
        <w:rPr>
          <w:rFonts w:cs="Arial"/>
          <w:sz w:val="22"/>
          <w:szCs w:val="22"/>
        </w:rPr>
        <w:t xml:space="preserve"> </w:t>
      </w:r>
      <w:r w:rsidR="00D40BB0" w:rsidRPr="00D574AE">
        <w:rPr>
          <w:rFonts w:cs="Arial"/>
          <w:sz w:val="22"/>
          <w:szCs w:val="22"/>
        </w:rPr>
        <w:t>Dichos documentos se adjuntan a</w:t>
      </w:r>
      <w:r w:rsidR="00D40BB0">
        <w:rPr>
          <w:rFonts w:cs="Arial"/>
          <w:sz w:val="22"/>
          <w:szCs w:val="22"/>
        </w:rPr>
        <w:t xml:space="preserve">l expediente del </w:t>
      </w:r>
      <w:r w:rsidR="00D40BB0" w:rsidRPr="00D574AE">
        <w:rPr>
          <w:rFonts w:cs="Arial"/>
          <w:sz w:val="22"/>
          <w:szCs w:val="22"/>
        </w:rPr>
        <w:t>acta.</w:t>
      </w:r>
    </w:p>
    <w:p w14:paraId="0720EE31" w14:textId="77777777" w:rsidR="00F62ADF" w:rsidRDefault="00F62ADF" w:rsidP="00F62ADF">
      <w:pPr>
        <w:spacing w:line="360" w:lineRule="auto"/>
        <w:jc w:val="both"/>
        <w:rPr>
          <w:rFonts w:cs="Arial"/>
          <w:sz w:val="22"/>
          <w:szCs w:val="22"/>
        </w:rPr>
      </w:pPr>
    </w:p>
    <w:p w14:paraId="005C867D" w14:textId="648E767D" w:rsidR="00F62ADF" w:rsidRDefault="00D40BB0" w:rsidP="00F62ADF">
      <w:pPr>
        <w:spacing w:line="360" w:lineRule="auto"/>
        <w:jc w:val="both"/>
        <w:rPr>
          <w:rFonts w:cs="Arial"/>
          <w:sz w:val="22"/>
          <w:szCs w:val="22"/>
        </w:rPr>
      </w:pPr>
      <w:r>
        <w:rPr>
          <w:rFonts w:cs="Arial"/>
          <w:sz w:val="22"/>
          <w:szCs w:val="22"/>
        </w:rPr>
        <w:t xml:space="preserve">El Gerente General </w:t>
      </w:r>
      <w:r w:rsidR="00F62ADF">
        <w:rPr>
          <w:rFonts w:cs="Arial"/>
          <w:sz w:val="22"/>
          <w:szCs w:val="22"/>
        </w:rPr>
        <w:t xml:space="preserve">expone el criterio de la </w:t>
      </w:r>
      <w:r w:rsidR="00F62ADF" w:rsidRPr="00BA51DA">
        <w:rPr>
          <w:rFonts w:cs="Arial"/>
          <w:sz w:val="22"/>
          <w:szCs w:val="22"/>
        </w:rPr>
        <w:t>Administración</w:t>
      </w:r>
      <w:r w:rsidR="00F62ADF">
        <w:rPr>
          <w:rFonts w:cs="Arial"/>
          <w:sz w:val="22"/>
          <w:szCs w:val="22"/>
        </w:rPr>
        <w:t xml:space="preserve"> con respecto a los alcances de la referida iniciativa de ley; razonamientos que son analizados y posteriormente avalados por parte de los señores Directores, quienes además concuerdan en la conveniencia de incluir en la respuesta de este Banco a la </w:t>
      </w:r>
      <w:r w:rsidR="00F62ADF">
        <w:rPr>
          <w:rFonts w:cs="Arial"/>
          <w:sz w:val="22"/>
          <w:szCs w:val="22"/>
          <w:lang w:val="es-ES_tradnl"/>
        </w:rPr>
        <w:t xml:space="preserve">Comisión Permanente de Asuntos </w:t>
      </w:r>
      <w:r>
        <w:rPr>
          <w:rFonts w:cs="Arial"/>
          <w:sz w:val="22"/>
          <w:szCs w:val="22"/>
          <w:lang w:val="es-ES_tradnl"/>
        </w:rPr>
        <w:t>Sociales</w:t>
      </w:r>
      <w:r w:rsidR="00F62ADF">
        <w:rPr>
          <w:rFonts w:cs="Arial"/>
          <w:sz w:val="22"/>
          <w:szCs w:val="22"/>
          <w:lang w:val="es-ES_tradnl"/>
        </w:rPr>
        <w:t xml:space="preserve">, </w:t>
      </w:r>
      <w:r w:rsidR="00F62ADF">
        <w:rPr>
          <w:rFonts w:cs="Arial"/>
          <w:sz w:val="22"/>
          <w:szCs w:val="22"/>
        </w:rPr>
        <w:t>los siguientes aspectos:</w:t>
      </w:r>
      <w:r>
        <w:rPr>
          <w:rFonts w:cs="Arial"/>
          <w:sz w:val="22"/>
          <w:szCs w:val="22"/>
        </w:rPr>
        <w:t xml:space="preserve"> a) el proceso plurianual que conlleva la construcción de muchos proyectos de vivienda; b) el </w:t>
      </w:r>
      <w:r w:rsidR="00921E7D">
        <w:rPr>
          <w:rFonts w:cs="Arial"/>
          <w:sz w:val="22"/>
          <w:szCs w:val="22"/>
        </w:rPr>
        <w:t xml:space="preserve">procedimiento que se realiza para </w:t>
      </w:r>
      <w:r>
        <w:rPr>
          <w:rFonts w:cs="Arial"/>
          <w:sz w:val="22"/>
          <w:szCs w:val="22"/>
        </w:rPr>
        <w:t>adjudica</w:t>
      </w:r>
      <w:r w:rsidR="00921E7D">
        <w:rPr>
          <w:rFonts w:cs="Arial"/>
          <w:sz w:val="22"/>
          <w:szCs w:val="22"/>
        </w:rPr>
        <w:t>r</w:t>
      </w:r>
      <w:r>
        <w:rPr>
          <w:rFonts w:cs="Arial"/>
          <w:sz w:val="22"/>
          <w:szCs w:val="22"/>
        </w:rPr>
        <w:t xml:space="preserve"> los recursos del </w:t>
      </w:r>
      <w:r>
        <w:rPr>
          <w:rFonts w:cs="Arial"/>
          <w:sz w:val="22"/>
          <w:szCs w:val="22"/>
        </w:rPr>
        <w:lastRenderedPageBreak/>
        <w:t>FOSUVI por parte de las entidades autorizadas</w:t>
      </w:r>
      <w:r w:rsidR="00921E7D">
        <w:rPr>
          <w:rFonts w:cs="Arial"/>
          <w:sz w:val="22"/>
          <w:szCs w:val="22"/>
        </w:rPr>
        <w:t>, como justificación técnica para que el BANHVI sea excluido de esa iniciativa de ley</w:t>
      </w:r>
      <w:r>
        <w:rPr>
          <w:rFonts w:cs="Arial"/>
          <w:sz w:val="22"/>
          <w:szCs w:val="22"/>
        </w:rPr>
        <w:t xml:space="preserve">; </w:t>
      </w:r>
      <w:r w:rsidR="00921E7D">
        <w:rPr>
          <w:rFonts w:cs="Arial"/>
          <w:sz w:val="22"/>
          <w:szCs w:val="22"/>
        </w:rPr>
        <w:t xml:space="preserve">y </w:t>
      </w:r>
      <w:r w:rsidR="00922836">
        <w:rPr>
          <w:rFonts w:cs="Arial"/>
          <w:sz w:val="22"/>
          <w:szCs w:val="22"/>
        </w:rPr>
        <w:t xml:space="preserve">c) </w:t>
      </w:r>
      <w:r w:rsidR="00921E7D">
        <w:rPr>
          <w:rFonts w:cs="Arial"/>
          <w:sz w:val="22"/>
          <w:szCs w:val="22"/>
        </w:rPr>
        <w:t>la participación activa d</w:t>
      </w:r>
      <w:r w:rsidR="00922836">
        <w:rPr>
          <w:rFonts w:cs="Arial"/>
          <w:sz w:val="22"/>
          <w:szCs w:val="22"/>
        </w:rPr>
        <w:t>el BANHVI, con recursos del FOSUVI, en la solución de problemas de vivienda ocasionados por anteriores situaciones de emergencia</w:t>
      </w:r>
      <w:r w:rsidR="00921E7D">
        <w:rPr>
          <w:rFonts w:cs="Arial"/>
          <w:sz w:val="22"/>
          <w:szCs w:val="22"/>
        </w:rPr>
        <w:t>.</w:t>
      </w:r>
    </w:p>
    <w:p w14:paraId="4DCAB6F0" w14:textId="74D9019B" w:rsidR="00922836" w:rsidRDefault="00922836" w:rsidP="00F62ADF">
      <w:pPr>
        <w:spacing w:line="360" w:lineRule="auto"/>
        <w:jc w:val="both"/>
        <w:rPr>
          <w:rFonts w:cs="Arial"/>
          <w:sz w:val="22"/>
          <w:szCs w:val="22"/>
        </w:rPr>
      </w:pPr>
    </w:p>
    <w:p w14:paraId="0FC5A7DF" w14:textId="437E1C97" w:rsidR="00F62ADF" w:rsidRDefault="00F62ADF" w:rsidP="00F62ADF">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803214">
        <w:rPr>
          <w:rFonts w:cs="Arial"/>
          <w:sz w:val="22"/>
          <w:u w:val="single"/>
          <w:lang w:val="es-ES_tradnl"/>
        </w:rPr>
        <w:t>31</w:t>
      </w:r>
      <w:r w:rsidRPr="00A25DB7">
        <w:rPr>
          <w:rFonts w:cs="Arial"/>
          <w:sz w:val="22"/>
          <w:u w:val="single"/>
          <w:lang w:val="es-ES_tradnl"/>
        </w:rPr>
        <w:t>:</w:t>
      </w:r>
      <w:r>
        <w:rPr>
          <w:rFonts w:cs="Arial"/>
          <w:sz w:val="22"/>
          <w:u w:val="single"/>
          <w:lang w:val="es-ES_tradnl"/>
        </w:rPr>
        <w:t>20</w:t>
      </w:r>
      <w:r w:rsidR="00803214">
        <w:rPr>
          <w:rFonts w:cs="Arial"/>
          <w:sz w:val="22"/>
          <w:u w:val="single"/>
          <w:lang w:val="es-ES_tradnl"/>
        </w:rPr>
        <w:t xml:space="preserve"> (grabación B)</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tomando en consideración las observaciones realizadas en la presente sesión y según lo indicado en el oficio </w:t>
      </w:r>
      <w:r w:rsidRPr="00D574AE">
        <w:rPr>
          <w:rFonts w:cs="Arial"/>
          <w:sz w:val="22"/>
          <w:szCs w:val="22"/>
        </w:rPr>
        <w:t>GG-ME-</w:t>
      </w:r>
      <w:r>
        <w:rPr>
          <w:rFonts w:cs="Arial"/>
          <w:sz w:val="22"/>
          <w:szCs w:val="22"/>
        </w:rPr>
        <w:t>0</w:t>
      </w:r>
      <w:r w:rsidR="006B7F7A">
        <w:rPr>
          <w:rFonts w:cs="Arial"/>
          <w:sz w:val="22"/>
          <w:szCs w:val="22"/>
        </w:rPr>
        <w:t>737</w:t>
      </w:r>
      <w:r>
        <w:rPr>
          <w:rFonts w:cs="Arial"/>
          <w:sz w:val="22"/>
          <w:szCs w:val="22"/>
        </w:rPr>
        <w:t>-2</w:t>
      </w:r>
      <w:r w:rsidRPr="00D574AE">
        <w:rPr>
          <w:rFonts w:cs="Arial"/>
          <w:sz w:val="22"/>
          <w:szCs w:val="22"/>
        </w:rPr>
        <w:t>0</w:t>
      </w:r>
      <w:r>
        <w:rPr>
          <w:rFonts w:cs="Arial"/>
          <w:sz w:val="22"/>
          <w:szCs w:val="22"/>
        </w:rPr>
        <w:t xml:space="preserve">20, comunique a la </w:t>
      </w:r>
      <w:r>
        <w:rPr>
          <w:rFonts w:cs="Arial"/>
          <w:sz w:val="22"/>
          <w:szCs w:val="22"/>
          <w:lang w:val="es-ES_tradnl"/>
        </w:rPr>
        <w:t xml:space="preserve">Comisión Permanente </w:t>
      </w:r>
      <w:r w:rsidR="006B7F7A">
        <w:rPr>
          <w:rFonts w:cs="Arial"/>
          <w:sz w:val="22"/>
          <w:szCs w:val="22"/>
          <w:lang w:val="es-ES_tradnl"/>
        </w:rPr>
        <w:t>de Asuntos Sociales</w:t>
      </w:r>
      <w:r>
        <w:rPr>
          <w:rFonts w:cs="Arial"/>
          <w:sz w:val="22"/>
          <w:szCs w:val="22"/>
          <w:lang w:val="es-ES_tradnl"/>
        </w:rPr>
        <w:t xml:space="preserve"> de la Asamblea Legislativa, el criterio formal de este Banco sobre dicho </w:t>
      </w:r>
      <w:r w:rsidRPr="00D574AE">
        <w:rPr>
          <w:rFonts w:cs="Arial"/>
          <w:sz w:val="22"/>
          <w:szCs w:val="22"/>
        </w:rPr>
        <w:t xml:space="preserve">proyecto de </w:t>
      </w:r>
      <w:r>
        <w:rPr>
          <w:rFonts w:cs="Arial"/>
          <w:sz w:val="22"/>
          <w:szCs w:val="22"/>
        </w:rPr>
        <w:t xml:space="preserve">ley.  Lo anterior, en los términos que se indican en el </w:t>
      </w:r>
      <w:r w:rsidRPr="00542F89">
        <w:rPr>
          <w:rFonts w:cs="Arial"/>
          <w:b/>
          <w:sz w:val="22"/>
          <w:szCs w:val="22"/>
        </w:rPr>
        <w:t xml:space="preserve">Acuerdo N° </w:t>
      </w:r>
      <w:r>
        <w:rPr>
          <w:rFonts w:cs="Arial"/>
          <w:b/>
          <w:sz w:val="22"/>
          <w:szCs w:val="22"/>
        </w:rPr>
        <w:t>8</w:t>
      </w:r>
      <w:r w:rsidRPr="00542F89">
        <w:rPr>
          <w:rFonts w:cs="Arial"/>
          <w:b/>
          <w:sz w:val="22"/>
          <w:szCs w:val="22"/>
        </w:rPr>
        <w:t xml:space="preserve"> </w:t>
      </w:r>
      <w:r>
        <w:rPr>
          <w:rFonts w:cs="Arial"/>
          <w:sz w:val="22"/>
          <w:szCs w:val="22"/>
        </w:rPr>
        <w:t xml:space="preserve">que se anexa a esta minuta. </w:t>
      </w:r>
    </w:p>
    <w:p w14:paraId="37574450" w14:textId="77777777" w:rsidR="009D03FE" w:rsidRPr="00D14EAF" w:rsidRDefault="009D03FE" w:rsidP="009D03FE">
      <w:pPr>
        <w:spacing w:line="360" w:lineRule="auto"/>
        <w:jc w:val="both"/>
        <w:rPr>
          <w:rFonts w:cs="Arial"/>
          <w:b/>
          <w:sz w:val="22"/>
        </w:rPr>
      </w:pPr>
      <w:r w:rsidRPr="00D14EAF">
        <w:rPr>
          <w:rFonts w:cs="Arial"/>
          <w:b/>
          <w:sz w:val="22"/>
        </w:rPr>
        <w:t>************</w:t>
      </w:r>
    </w:p>
    <w:p w14:paraId="29E4849C" w14:textId="77777777" w:rsidR="009D03FE" w:rsidRDefault="009D03FE" w:rsidP="009D03FE">
      <w:pPr>
        <w:spacing w:line="360" w:lineRule="auto"/>
        <w:jc w:val="both"/>
        <w:rPr>
          <w:rFonts w:cs="Arial"/>
          <w:b/>
          <w:bCs/>
          <w:sz w:val="22"/>
          <w:szCs w:val="22"/>
          <w:u w:val="single"/>
          <w:lang w:val="es-ES_tradnl"/>
        </w:rPr>
      </w:pPr>
    </w:p>
    <w:p w14:paraId="3EC01C74" w14:textId="124B51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7333C" w:rsidRPr="00A7333C">
        <w:rPr>
          <w:rFonts w:cs="Arial"/>
          <w:b/>
          <w:bCs/>
          <w:sz w:val="22"/>
          <w:u w:val="single"/>
        </w:rPr>
        <w:t>Borrador de consulta a la Contraloría General de la República, en torno a la naturaleza del FOSUVI</w:t>
      </w:r>
    </w:p>
    <w:p w14:paraId="6B10686D" w14:textId="77777777" w:rsidR="009D03FE" w:rsidRDefault="009D03FE" w:rsidP="009D03FE">
      <w:pPr>
        <w:spacing w:line="360" w:lineRule="auto"/>
        <w:jc w:val="both"/>
        <w:rPr>
          <w:rFonts w:cs="Arial"/>
          <w:sz w:val="22"/>
          <w:szCs w:val="22"/>
        </w:rPr>
      </w:pPr>
    </w:p>
    <w:p w14:paraId="2BC665BC" w14:textId="24628855" w:rsidR="00FC103B" w:rsidRDefault="009D03FE" w:rsidP="00912E19">
      <w:pPr>
        <w:spacing w:line="360" w:lineRule="auto"/>
        <w:jc w:val="both"/>
        <w:rPr>
          <w:rFonts w:cs="Arial"/>
          <w:sz w:val="22"/>
          <w:lang w:val="es-ES_tradnl"/>
        </w:rPr>
      </w:pPr>
      <w:r w:rsidRPr="0039311E">
        <w:rPr>
          <w:rFonts w:cs="Arial"/>
          <w:sz w:val="22"/>
          <w:u w:val="single"/>
          <w:lang w:val="es-ES_tradnl"/>
        </w:rPr>
        <w:t xml:space="preserve">Minuto </w:t>
      </w:r>
      <w:r w:rsidR="00FC103B">
        <w:rPr>
          <w:rFonts w:cs="Arial"/>
          <w:sz w:val="22"/>
          <w:u w:val="single"/>
          <w:lang w:val="es-ES_tradnl"/>
        </w:rPr>
        <w:t>32</w:t>
      </w:r>
      <w:r w:rsidRPr="0039311E">
        <w:rPr>
          <w:rFonts w:cs="Arial"/>
          <w:sz w:val="22"/>
          <w:u w:val="single"/>
          <w:lang w:val="es-ES_tradnl"/>
        </w:rPr>
        <w:t>:</w:t>
      </w:r>
      <w:r w:rsidR="00FC103B">
        <w:rPr>
          <w:rFonts w:cs="Arial"/>
          <w:sz w:val="22"/>
          <w:u w:val="single"/>
          <w:lang w:val="es-ES_tradnl"/>
        </w:rPr>
        <w:t>45</w:t>
      </w:r>
      <w:r w:rsidR="00BA6FAB">
        <w:rPr>
          <w:rFonts w:cs="Arial"/>
          <w:sz w:val="22"/>
          <w:u w:val="single"/>
          <w:lang w:val="es-ES_tradnl"/>
        </w:rPr>
        <w:t xml:space="preserve"> (grabación B)</w:t>
      </w:r>
      <w:r w:rsidR="00BA6FAB">
        <w:rPr>
          <w:rFonts w:cs="Arial"/>
          <w:sz w:val="22"/>
          <w:lang w:val="es-ES_tradnl"/>
        </w:rPr>
        <w:t xml:space="preserve"> </w:t>
      </w:r>
      <w:r>
        <w:rPr>
          <w:rFonts w:cs="Arial"/>
          <w:sz w:val="22"/>
          <w:lang w:val="es-ES_tradnl"/>
        </w:rPr>
        <w:t xml:space="preserve"> </w:t>
      </w:r>
      <w:r w:rsidR="00FC103B">
        <w:rPr>
          <w:rFonts w:cs="Arial"/>
          <w:sz w:val="22"/>
          <w:lang w:val="es-ES_tradnl"/>
        </w:rPr>
        <w:t xml:space="preserve">De conformidad con lo dispuesto en el acuerdo N° 2 de la sesión 48-2020 del 25 de junio de 2020, se procede a conocer un borrador de la consulta que sería planteada a la Contraloría General de la República, sobre la viabilidad legal de utilizar los recursos que reciba el FOSUVI del FODESAF, según lo establece el artículo 51 la Ley 7052, para financiar bonos de vivienda a familias cuyos ingresos no excedan el equivalente a </w:t>
      </w:r>
      <w:r w:rsidR="00FC103B" w:rsidRPr="00753902">
        <w:rPr>
          <w:rFonts w:cs="Arial"/>
          <w:sz w:val="22"/>
          <w:lang w:val="es-CR"/>
        </w:rPr>
        <w:t>seis salario</w:t>
      </w:r>
      <w:r w:rsidR="00FC103B">
        <w:rPr>
          <w:rFonts w:cs="Arial"/>
          <w:sz w:val="22"/>
          <w:lang w:val="es-CR"/>
        </w:rPr>
        <w:t>s</w:t>
      </w:r>
      <w:r w:rsidR="00FC103B" w:rsidRPr="00753902">
        <w:rPr>
          <w:rFonts w:cs="Arial"/>
          <w:sz w:val="22"/>
          <w:lang w:val="es-CR"/>
        </w:rPr>
        <w:t xml:space="preserve"> mínimo</w:t>
      </w:r>
      <w:r w:rsidR="00FC103B">
        <w:rPr>
          <w:rFonts w:cs="Arial"/>
          <w:sz w:val="22"/>
          <w:lang w:val="es-CR"/>
        </w:rPr>
        <w:t>s</w:t>
      </w:r>
      <w:r w:rsidR="00FC103B" w:rsidRPr="00753902">
        <w:rPr>
          <w:rFonts w:cs="Arial"/>
          <w:sz w:val="22"/>
          <w:lang w:val="es-CR"/>
        </w:rPr>
        <w:t xml:space="preserve"> de una persona obrera no especializada de la industria de la construcción</w:t>
      </w:r>
      <w:r w:rsidR="00FC103B">
        <w:rPr>
          <w:rFonts w:cs="Arial"/>
          <w:sz w:val="22"/>
          <w:lang w:val="es-CR"/>
        </w:rPr>
        <w:t>.</w:t>
      </w:r>
    </w:p>
    <w:p w14:paraId="23E9A894" w14:textId="55F4F59B" w:rsidR="00FC103B" w:rsidRDefault="00FC103B" w:rsidP="00912E19">
      <w:pPr>
        <w:spacing w:line="360" w:lineRule="auto"/>
        <w:jc w:val="both"/>
        <w:rPr>
          <w:rFonts w:cs="Arial"/>
          <w:sz w:val="22"/>
          <w:lang w:val="es-ES_tradnl"/>
        </w:rPr>
      </w:pPr>
    </w:p>
    <w:p w14:paraId="4A663CCB" w14:textId="7B50B354" w:rsidR="009D03FE" w:rsidRDefault="00FC103B" w:rsidP="009D03FE">
      <w:pPr>
        <w:spacing w:line="360" w:lineRule="auto"/>
        <w:jc w:val="both"/>
        <w:rPr>
          <w:rFonts w:cs="Arial"/>
          <w:sz w:val="22"/>
          <w:lang w:val="es-ES_tradnl"/>
        </w:rPr>
      </w:pPr>
      <w:r>
        <w:rPr>
          <w:rFonts w:cs="Arial"/>
          <w:sz w:val="22"/>
          <w:lang w:val="es-ES_tradnl"/>
        </w:rPr>
        <w:t>El señor Gerente General toma nota de las sugerencias y observaciones</w:t>
      </w:r>
      <w:r w:rsidR="00912E19">
        <w:rPr>
          <w:rFonts w:cs="Arial"/>
          <w:sz w:val="22"/>
          <w:lang w:val="es-ES_tradnl"/>
        </w:rPr>
        <w:t>, de fondo y de forma,</w:t>
      </w:r>
      <w:r>
        <w:rPr>
          <w:rFonts w:cs="Arial"/>
          <w:sz w:val="22"/>
          <w:lang w:val="es-ES_tradnl"/>
        </w:rPr>
        <w:t xml:space="preserve"> que al respecto formulan los señores Directores. </w:t>
      </w:r>
    </w:p>
    <w:p w14:paraId="4F371BB3" w14:textId="77777777" w:rsidR="009D03FE" w:rsidRDefault="009D03FE" w:rsidP="009D03FE">
      <w:pPr>
        <w:spacing w:line="360" w:lineRule="auto"/>
        <w:jc w:val="both"/>
        <w:rPr>
          <w:rFonts w:cs="Arial"/>
          <w:sz w:val="22"/>
          <w:lang w:val="es-ES_tradnl"/>
        </w:rPr>
      </w:pPr>
    </w:p>
    <w:p w14:paraId="2BDE0EE8" w14:textId="51FD4E0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C103B">
        <w:rPr>
          <w:rFonts w:cs="Arial"/>
          <w:sz w:val="22"/>
          <w:u w:val="single"/>
          <w:lang w:val="es-ES_tradnl"/>
        </w:rPr>
        <w:t>52</w:t>
      </w:r>
      <w:r w:rsidRPr="00A25DB7">
        <w:rPr>
          <w:rFonts w:cs="Arial"/>
          <w:sz w:val="22"/>
          <w:u w:val="single"/>
          <w:lang w:val="es-ES_tradnl"/>
        </w:rPr>
        <w:t>:</w:t>
      </w:r>
      <w:r w:rsidR="00FC103B">
        <w:rPr>
          <w:rFonts w:cs="Arial"/>
          <w:sz w:val="22"/>
          <w:u w:val="single"/>
          <w:lang w:val="es-ES_tradnl"/>
        </w:rPr>
        <w:t>45</w:t>
      </w:r>
      <w:r w:rsidR="00BA6FAB">
        <w:rPr>
          <w:rFonts w:cs="Arial"/>
          <w:sz w:val="22"/>
          <w:u w:val="single"/>
          <w:lang w:val="es-ES_tradnl"/>
        </w:rPr>
        <w:t xml:space="preserve"> (grabación B)</w:t>
      </w:r>
      <w:r w:rsidR="00BA6FAB">
        <w:rPr>
          <w:rFonts w:cs="Arial"/>
          <w:sz w:val="22"/>
          <w:lang w:val="es-ES_tradnl"/>
        </w:rPr>
        <w:t xml:space="preserve"> </w:t>
      </w:r>
      <w:r>
        <w:rPr>
          <w:rFonts w:cs="Arial"/>
          <w:sz w:val="22"/>
          <w:lang w:val="es-ES_tradnl"/>
        </w:rPr>
        <w:t xml:space="preserve"> </w:t>
      </w:r>
      <w:r w:rsidR="00FC103B">
        <w:rPr>
          <w:rFonts w:cs="Arial"/>
          <w:sz w:val="22"/>
          <w:lang w:val="es-ES_tradnl"/>
        </w:rPr>
        <w:t xml:space="preserve">La </w:t>
      </w:r>
      <w:r w:rsidR="00FC103B" w:rsidRPr="00FC103B">
        <w:rPr>
          <w:rFonts w:cs="Arial"/>
          <w:sz w:val="22"/>
          <w:lang w:val="es-ES_tradnl"/>
        </w:rPr>
        <w:t>Junta Directiva</w:t>
      </w:r>
      <w:r w:rsidR="00FC103B">
        <w:rPr>
          <w:rFonts w:cs="Arial"/>
          <w:sz w:val="22"/>
          <w:lang w:val="es-ES_tradnl"/>
        </w:rPr>
        <w:t xml:space="preserve"> resuelve girar instrucciones a la </w:t>
      </w:r>
      <w:r w:rsidR="00FC103B" w:rsidRPr="00FC103B">
        <w:rPr>
          <w:rFonts w:cs="Arial"/>
          <w:sz w:val="22"/>
          <w:lang w:val="es-ES_tradnl"/>
        </w:rPr>
        <w:t>Administración</w:t>
      </w:r>
      <w:r w:rsidR="00180964">
        <w:rPr>
          <w:rFonts w:cs="Arial"/>
          <w:sz w:val="22"/>
          <w:lang w:val="es-ES_tradnl"/>
        </w:rPr>
        <w:t>,</w:t>
      </w:r>
      <w:r w:rsidR="00FC103B">
        <w:rPr>
          <w:rFonts w:cs="Arial"/>
          <w:sz w:val="22"/>
          <w:lang w:val="es-ES_tradnl"/>
        </w:rPr>
        <w:t xml:space="preserve"> para que realice la consulta </w:t>
      </w:r>
      <w:r w:rsidR="00180964">
        <w:rPr>
          <w:rFonts w:cs="Arial"/>
          <w:sz w:val="22"/>
          <w:lang w:val="es-ES_tradnl"/>
        </w:rPr>
        <w:t xml:space="preserve">en los términos propuestos en el documento entregado y con los ajustes de firma planteados en esta sesión. Lo anterior, según se consigna en el </w:t>
      </w:r>
      <w:r w:rsidR="009B06B3" w:rsidRPr="009B06B3">
        <w:rPr>
          <w:rFonts w:cs="Arial"/>
          <w:b/>
          <w:bCs/>
          <w:sz w:val="22"/>
          <w:lang w:val="es-ES_tradnl"/>
        </w:rPr>
        <w:t xml:space="preserve">Acuerdo N° </w:t>
      </w:r>
      <w:r w:rsidR="009B06B3">
        <w:rPr>
          <w:rFonts w:cs="Arial"/>
          <w:b/>
          <w:bCs/>
          <w:sz w:val="22"/>
          <w:lang w:val="es-ES_tradnl"/>
        </w:rPr>
        <w:t>9</w:t>
      </w:r>
      <w:r w:rsidR="00180964">
        <w:rPr>
          <w:rFonts w:cs="Arial"/>
          <w:b/>
          <w:bCs/>
          <w:sz w:val="22"/>
          <w:lang w:val="es-ES_tradnl"/>
        </w:rPr>
        <w:t xml:space="preserve"> </w:t>
      </w:r>
      <w:r w:rsidR="00180964" w:rsidRPr="00180964">
        <w:rPr>
          <w:rFonts w:cs="Arial"/>
          <w:sz w:val="22"/>
          <w:lang w:val="es-ES_tradnl"/>
        </w:rPr>
        <w:t>que se anexa a esta minuta.</w:t>
      </w:r>
    </w:p>
    <w:p w14:paraId="00EE96FA" w14:textId="77777777" w:rsidR="009D03FE" w:rsidRPr="00D14EAF" w:rsidRDefault="009D03FE" w:rsidP="009D03FE">
      <w:pPr>
        <w:spacing w:line="360" w:lineRule="auto"/>
        <w:jc w:val="both"/>
        <w:rPr>
          <w:rFonts w:cs="Arial"/>
          <w:b/>
          <w:sz w:val="22"/>
        </w:rPr>
      </w:pPr>
      <w:r w:rsidRPr="00D14EAF">
        <w:rPr>
          <w:rFonts w:cs="Arial"/>
          <w:b/>
          <w:sz w:val="22"/>
        </w:rPr>
        <w:t>************</w:t>
      </w:r>
    </w:p>
    <w:p w14:paraId="5C22AD3D" w14:textId="77777777" w:rsidR="009D03FE" w:rsidRDefault="009D03FE" w:rsidP="009D03FE">
      <w:pPr>
        <w:spacing w:line="360" w:lineRule="auto"/>
        <w:jc w:val="both"/>
        <w:rPr>
          <w:rFonts w:cs="Arial"/>
          <w:b/>
          <w:bCs/>
          <w:sz w:val="22"/>
          <w:szCs w:val="22"/>
          <w:u w:val="single"/>
          <w:lang w:val="es-ES_tradnl"/>
        </w:rPr>
      </w:pPr>
    </w:p>
    <w:p w14:paraId="395CF4BF" w14:textId="7BF592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11° </w:t>
      </w:r>
      <w:r w:rsidR="00A7333C" w:rsidRPr="00A7333C">
        <w:rPr>
          <w:rFonts w:cs="Arial"/>
          <w:b/>
          <w:bCs/>
          <w:sz w:val="22"/>
          <w:u w:val="single"/>
        </w:rPr>
        <w:t xml:space="preserve">Comunicado de prensa con respecto al informe de la </w:t>
      </w:r>
      <w:r w:rsidR="00A7333C" w:rsidRPr="00A7333C">
        <w:rPr>
          <w:rFonts w:cs="Arial"/>
          <w:b/>
          <w:bCs/>
          <w:sz w:val="22"/>
          <w:u w:val="single"/>
          <w:lang w:val="es-ES_tradnl"/>
        </w:rPr>
        <w:t>Contraloría General de la República, sobre la administración y disposición de bienes realizables en el BANHVI</w:t>
      </w:r>
    </w:p>
    <w:p w14:paraId="3E2624CB" w14:textId="77777777" w:rsidR="009D03FE" w:rsidRDefault="009D03FE" w:rsidP="009D03FE">
      <w:pPr>
        <w:spacing w:line="360" w:lineRule="auto"/>
        <w:jc w:val="both"/>
        <w:rPr>
          <w:rFonts w:cs="Arial"/>
          <w:sz w:val="22"/>
          <w:szCs w:val="22"/>
        </w:rPr>
      </w:pPr>
    </w:p>
    <w:p w14:paraId="3915882F" w14:textId="659D33D4" w:rsidR="00682F24" w:rsidRDefault="009D03FE" w:rsidP="00912E19">
      <w:pPr>
        <w:spacing w:line="360" w:lineRule="auto"/>
        <w:jc w:val="both"/>
        <w:rPr>
          <w:rFonts w:cs="Arial"/>
          <w:sz w:val="22"/>
          <w:lang w:val="es-ES_tradnl"/>
        </w:rPr>
      </w:pPr>
      <w:r w:rsidRPr="0039311E">
        <w:rPr>
          <w:rFonts w:cs="Arial"/>
          <w:sz w:val="22"/>
          <w:u w:val="single"/>
          <w:lang w:val="es-ES_tradnl"/>
        </w:rPr>
        <w:t xml:space="preserve">Minuto </w:t>
      </w:r>
      <w:r w:rsidR="00180964">
        <w:rPr>
          <w:rFonts w:cs="Arial"/>
          <w:sz w:val="22"/>
          <w:u w:val="single"/>
          <w:lang w:val="es-ES_tradnl"/>
        </w:rPr>
        <w:t>54</w:t>
      </w:r>
      <w:r w:rsidRPr="0039311E">
        <w:rPr>
          <w:rFonts w:cs="Arial"/>
          <w:sz w:val="22"/>
          <w:u w:val="single"/>
          <w:lang w:val="es-ES_tradnl"/>
        </w:rPr>
        <w:t>:</w:t>
      </w:r>
      <w:r w:rsidR="00180964">
        <w:rPr>
          <w:rFonts w:cs="Arial"/>
          <w:sz w:val="22"/>
          <w:u w:val="single"/>
          <w:lang w:val="es-ES_tradnl"/>
        </w:rPr>
        <w:t>10</w:t>
      </w:r>
      <w:r w:rsidR="00BA6FAB">
        <w:rPr>
          <w:rFonts w:cs="Arial"/>
          <w:sz w:val="22"/>
          <w:u w:val="single"/>
          <w:lang w:val="es-ES_tradnl"/>
        </w:rPr>
        <w:t xml:space="preserve"> (grabación B)</w:t>
      </w:r>
      <w:r w:rsidR="00BA6FAB">
        <w:rPr>
          <w:rFonts w:cs="Arial"/>
          <w:sz w:val="22"/>
          <w:lang w:val="es-ES_tradnl"/>
        </w:rPr>
        <w:t xml:space="preserve"> </w:t>
      </w:r>
      <w:r>
        <w:rPr>
          <w:rFonts w:cs="Arial"/>
          <w:sz w:val="22"/>
          <w:lang w:val="es-ES_tradnl"/>
        </w:rPr>
        <w:t xml:space="preserve"> </w:t>
      </w:r>
      <w:r w:rsidR="00682F24">
        <w:rPr>
          <w:rFonts w:cs="Arial"/>
          <w:sz w:val="22"/>
          <w:lang w:val="es-ES_tradnl"/>
        </w:rPr>
        <w:t xml:space="preserve">La </w:t>
      </w:r>
      <w:r w:rsidR="00682F24" w:rsidRPr="00682F24">
        <w:rPr>
          <w:rFonts w:cs="Arial"/>
          <w:sz w:val="22"/>
          <w:lang w:val="es-ES_tradnl"/>
        </w:rPr>
        <w:t>Junta Directiva</w:t>
      </w:r>
      <w:r>
        <w:rPr>
          <w:rFonts w:cs="Arial"/>
          <w:sz w:val="22"/>
          <w:lang w:val="es-ES_tradnl"/>
        </w:rPr>
        <w:t xml:space="preserve"> </w:t>
      </w:r>
      <w:r w:rsidR="00682F24">
        <w:rPr>
          <w:rFonts w:cs="Arial"/>
          <w:sz w:val="22"/>
          <w:lang w:val="es-ES_tradnl"/>
        </w:rPr>
        <w:t xml:space="preserve">conoce y </w:t>
      </w:r>
      <w:r w:rsidR="00180964">
        <w:rPr>
          <w:rFonts w:cs="Arial"/>
          <w:sz w:val="22"/>
          <w:lang w:val="es-ES_tradnl"/>
        </w:rPr>
        <w:t>toma nota de una información del Gerente General, en cuanto a que el Banco estar</w:t>
      </w:r>
      <w:r w:rsidR="00682F24">
        <w:rPr>
          <w:rFonts w:cs="Arial"/>
          <w:sz w:val="22"/>
          <w:lang w:val="es-ES_tradnl"/>
        </w:rPr>
        <w:t>á formulando un comunicado de prensa para exponer su posición, con respecto al informe de la Contraloría General de la República, sobre la administración y disposición de los bienes realizables del BANHVI.</w:t>
      </w:r>
    </w:p>
    <w:p w14:paraId="787CBF7A" w14:textId="77777777" w:rsidR="009D03FE" w:rsidRPr="00D14EAF" w:rsidRDefault="009D03FE" w:rsidP="009D03FE">
      <w:pPr>
        <w:spacing w:line="360" w:lineRule="auto"/>
        <w:jc w:val="both"/>
        <w:rPr>
          <w:rFonts w:cs="Arial"/>
          <w:b/>
          <w:sz w:val="22"/>
        </w:rPr>
      </w:pPr>
      <w:r w:rsidRPr="00D14EAF">
        <w:rPr>
          <w:rFonts w:cs="Arial"/>
          <w:b/>
          <w:sz w:val="22"/>
        </w:rPr>
        <w:t>************</w:t>
      </w:r>
    </w:p>
    <w:p w14:paraId="64CAB603" w14:textId="77777777" w:rsidR="009D03FE" w:rsidRDefault="009D03FE" w:rsidP="009D03FE">
      <w:pPr>
        <w:spacing w:line="360" w:lineRule="auto"/>
        <w:jc w:val="both"/>
        <w:rPr>
          <w:rFonts w:cs="Arial"/>
          <w:b/>
          <w:bCs/>
          <w:sz w:val="22"/>
          <w:szCs w:val="22"/>
          <w:u w:val="single"/>
          <w:lang w:val="es-ES_tradnl"/>
        </w:rPr>
      </w:pPr>
    </w:p>
    <w:p w14:paraId="4FB57352" w14:textId="43C54C9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7333C" w:rsidRPr="00A7333C">
        <w:rPr>
          <w:rFonts w:cs="Arial"/>
          <w:b/>
          <w:bCs/>
          <w:sz w:val="22"/>
          <w:u w:val="single"/>
        </w:rPr>
        <w:t xml:space="preserve">Oficio de beneficiarios del proyecto Malinche, solicitando </w:t>
      </w:r>
      <w:r w:rsidR="00A7333C" w:rsidRPr="00A7333C">
        <w:rPr>
          <w:rFonts w:cs="Arial"/>
          <w:b/>
          <w:bCs/>
          <w:sz w:val="22"/>
          <w:u w:val="single"/>
          <w:lang w:val="es-CR"/>
        </w:rPr>
        <w:t>ayuda porque no tienen la posibilidad de aportar los gastos de formalización de sus operaciones</w:t>
      </w:r>
    </w:p>
    <w:p w14:paraId="7F15EFA5" w14:textId="77777777" w:rsidR="009D03FE" w:rsidRDefault="009D03FE" w:rsidP="009D03FE">
      <w:pPr>
        <w:spacing w:line="360" w:lineRule="auto"/>
        <w:jc w:val="both"/>
        <w:rPr>
          <w:rFonts w:cs="Arial"/>
          <w:sz w:val="22"/>
          <w:szCs w:val="22"/>
        </w:rPr>
      </w:pPr>
    </w:p>
    <w:p w14:paraId="07978B80" w14:textId="2A6A0DE9"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912E19">
        <w:rPr>
          <w:rFonts w:cs="Arial"/>
          <w:sz w:val="22"/>
          <w:u w:val="single"/>
          <w:lang w:val="es-ES_tradnl"/>
        </w:rPr>
        <w:t>59</w:t>
      </w:r>
      <w:r w:rsidRPr="0039311E">
        <w:rPr>
          <w:rFonts w:cs="Arial"/>
          <w:sz w:val="22"/>
          <w:u w:val="single"/>
          <w:lang w:val="es-ES_tradnl"/>
        </w:rPr>
        <w:t>:</w:t>
      </w:r>
      <w:r w:rsidR="00912E19">
        <w:rPr>
          <w:rFonts w:cs="Arial"/>
          <w:sz w:val="22"/>
          <w:u w:val="single"/>
          <w:lang w:val="es-ES_tradnl"/>
        </w:rPr>
        <w:t>30</w:t>
      </w:r>
      <w:r w:rsidR="00BA6FAB">
        <w:rPr>
          <w:rFonts w:cs="Arial"/>
          <w:sz w:val="22"/>
          <w:u w:val="single"/>
          <w:lang w:val="es-ES_tradnl"/>
        </w:rPr>
        <w:t xml:space="preserve"> (grabación B)</w:t>
      </w:r>
      <w:r w:rsidR="00BA6FAB">
        <w:rPr>
          <w:rFonts w:cs="Arial"/>
          <w:sz w:val="22"/>
          <w:lang w:val="es-ES_tradnl"/>
        </w:rPr>
        <w:t xml:space="preserve"> </w:t>
      </w:r>
      <w:r>
        <w:rPr>
          <w:rFonts w:cs="Arial"/>
          <w:sz w:val="22"/>
          <w:lang w:val="es-ES_tradnl"/>
        </w:rPr>
        <w:t xml:space="preserve"> Se conoce oficio </w:t>
      </w:r>
      <w:r w:rsidR="00912E19">
        <w:rPr>
          <w:rFonts w:cs="Arial"/>
          <w:sz w:val="22"/>
          <w:lang w:val="es-ES_tradnl"/>
        </w:rPr>
        <w:t xml:space="preserve">del 20 de junio de 2020, mediante el cual, un grupo de beneficiarios del proyecto de vivienda Malinche, </w:t>
      </w:r>
      <w:r w:rsidR="00912E19">
        <w:rPr>
          <w:rFonts w:cs="Arial"/>
          <w:sz w:val="22"/>
          <w:lang w:val="es-CR"/>
        </w:rPr>
        <w:t>en Santa Cruz de Guanacaste, solicita la colaboración de este Banco con respecto a las limitaciones económicas que tienen</w:t>
      </w:r>
      <w:r w:rsidR="008F6931">
        <w:rPr>
          <w:rFonts w:cs="Arial"/>
          <w:sz w:val="22"/>
          <w:lang w:val="es-CR"/>
        </w:rPr>
        <w:t>,</w:t>
      </w:r>
      <w:r w:rsidR="00912E19">
        <w:rPr>
          <w:rFonts w:cs="Arial"/>
          <w:sz w:val="22"/>
          <w:lang w:val="es-CR"/>
        </w:rPr>
        <w:t xml:space="preserve"> para aportarle a Grupo Mutual Alajuela – La Vivienda, el monto que les está exigiendo </w:t>
      </w:r>
      <w:r w:rsidR="00912E19" w:rsidRPr="00912E19">
        <w:rPr>
          <w:rFonts w:cs="Arial"/>
          <w:sz w:val="22"/>
          <w:lang w:val="es-CR"/>
        </w:rPr>
        <w:t xml:space="preserve">para </w:t>
      </w:r>
      <w:r w:rsidR="00912E19">
        <w:rPr>
          <w:rFonts w:cs="Arial"/>
          <w:sz w:val="22"/>
          <w:lang w:val="es-CR"/>
        </w:rPr>
        <w:t xml:space="preserve">cubrir </w:t>
      </w:r>
      <w:r w:rsidR="00912E19" w:rsidRPr="00912E19">
        <w:rPr>
          <w:rFonts w:cs="Arial"/>
          <w:sz w:val="22"/>
          <w:lang w:val="es-CR"/>
        </w:rPr>
        <w:t>los gastos de formalización</w:t>
      </w:r>
      <w:r w:rsidR="00912E19">
        <w:rPr>
          <w:rFonts w:cs="Arial"/>
          <w:sz w:val="22"/>
          <w:lang w:val="es-CR"/>
        </w:rPr>
        <w:t xml:space="preserve"> de sus operaciones.</w:t>
      </w:r>
    </w:p>
    <w:p w14:paraId="1F604D6A" w14:textId="72D034CE" w:rsidR="00912E19" w:rsidRDefault="00912E19" w:rsidP="009D03FE">
      <w:pPr>
        <w:spacing w:line="360" w:lineRule="auto"/>
        <w:jc w:val="both"/>
        <w:rPr>
          <w:rFonts w:cs="Arial"/>
          <w:sz w:val="22"/>
          <w:lang w:val="es-CR"/>
        </w:rPr>
      </w:pPr>
    </w:p>
    <w:p w14:paraId="3886AF8F" w14:textId="346B6059" w:rsidR="00912E19" w:rsidRDefault="00912E19" w:rsidP="009D03FE">
      <w:pPr>
        <w:spacing w:line="360" w:lineRule="auto"/>
        <w:jc w:val="both"/>
        <w:rPr>
          <w:rFonts w:cs="Arial"/>
          <w:sz w:val="22"/>
          <w:lang w:val="es-ES_tradnl"/>
        </w:rPr>
      </w:pPr>
      <w:r>
        <w:rPr>
          <w:rFonts w:cs="Arial"/>
          <w:sz w:val="22"/>
          <w:lang w:val="es-CR"/>
        </w:rPr>
        <w:t xml:space="preserve">Sobre el particular, la </w:t>
      </w:r>
      <w:r w:rsidRPr="00912E19">
        <w:rPr>
          <w:rFonts w:cs="Arial"/>
          <w:sz w:val="22"/>
          <w:lang w:val="es-ES_tradnl"/>
        </w:rPr>
        <w:t>Junta Directiva</w:t>
      </w:r>
      <w:r>
        <w:rPr>
          <w:rFonts w:cs="Arial"/>
          <w:sz w:val="22"/>
          <w:lang w:val="es-ES_tradnl"/>
        </w:rPr>
        <w:t xml:space="preserve"> toma el </w:t>
      </w:r>
      <w:r w:rsidRPr="008F6931">
        <w:rPr>
          <w:rFonts w:cs="Arial"/>
          <w:b/>
          <w:bCs/>
          <w:sz w:val="22"/>
          <w:lang w:val="es-ES_tradnl"/>
        </w:rPr>
        <w:t>Acuerdo N° 10</w:t>
      </w:r>
      <w:r>
        <w:rPr>
          <w:rFonts w:cs="Arial"/>
          <w:sz w:val="22"/>
          <w:lang w:val="es-ES_tradnl"/>
        </w:rPr>
        <w:t xml:space="preserve"> que se anexa a esta minuta.</w:t>
      </w:r>
    </w:p>
    <w:p w14:paraId="452BF028" w14:textId="77777777" w:rsidR="009D03FE" w:rsidRPr="00D14EAF" w:rsidRDefault="009D03FE" w:rsidP="009D03FE">
      <w:pPr>
        <w:spacing w:line="360" w:lineRule="auto"/>
        <w:jc w:val="both"/>
        <w:rPr>
          <w:rFonts w:cs="Arial"/>
          <w:b/>
          <w:sz w:val="22"/>
        </w:rPr>
      </w:pPr>
      <w:r w:rsidRPr="00D14EAF">
        <w:rPr>
          <w:rFonts w:cs="Arial"/>
          <w:b/>
          <w:sz w:val="22"/>
        </w:rPr>
        <w:t>************</w:t>
      </w:r>
    </w:p>
    <w:p w14:paraId="41A917F5" w14:textId="77777777" w:rsidR="009D03FE" w:rsidRDefault="009D03FE" w:rsidP="009D03FE">
      <w:pPr>
        <w:spacing w:line="360" w:lineRule="auto"/>
        <w:jc w:val="both"/>
        <w:rPr>
          <w:rFonts w:cs="Arial"/>
          <w:b/>
          <w:bCs/>
          <w:sz w:val="22"/>
          <w:szCs w:val="22"/>
          <w:u w:val="single"/>
          <w:lang w:val="es-ES_tradnl"/>
        </w:rPr>
      </w:pPr>
    </w:p>
    <w:p w14:paraId="0F08DB49" w14:textId="70F5BB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A7333C" w:rsidRPr="00A7333C">
        <w:rPr>
          <w:rFonts w:cs="Arial"/>
          <w:b/>
          <w:bCs/>
          <w:sz w:val="22"/>
          <w:u w:val="single"/>
          <w:lang w:val="es-CR"/>
        </w:rPr>
        <w:t xml:space="preserve">Copia de oficio enviado por la </w:t>
      </w:r>
      <w:r w:rsidR="00A7333C" w:rsidRPr="00A7333C">
        <w:rPr>
          <w:rFonts w:cs="Arial"/>
          <w:b/>
          <w:bCs/>
          <w:sz w:val="22"/>
          <w:u w:val="single"/>
          <w:lang w:val="es-ES_tradnl"/>
        </w:rPr>
        <w:t xml:space="preserve">Gerencia General a la Procuraduría General de la República, remitiendo la </w:t>
      </w:r>
      <w:r w:rsidR="00A7333C" w:rsidRPr="00A7333C">
        <w:rPr>
          <w:rFonts w:cs="Arial"/>
          <w:b/>
          <w:bCs/>
          <w:sz w:val="22"/>
          <w:u w:val="single"/>
          <w:lang w:val="es-CR"/>
        </w:rPr>
        <w:t>posición del BANHVI en torno a la consulta presentada por el Ministerio de Trabajo y Seguridad Social</w:t>
      </w:r>
    </w:p>
    <w:p w14:paraId="61D14BB8" w14:textId="77777777" w:rsidR="009D03FE" w:rsidRDefault="009D03FE" w:rsidP="009D03FE">
      <w:pPr>
        <w:spacing w:line="360" w:lineRule="auto"/>
        <w:jc w:val="both"/>
        <w:rPr>
          <w:rFonts w:cs="Arial"/>
          <w:sz w:val="22"/>
          <w:szCs w:val="22"/>
        </w:rPr>
      </w:pPr>
    </w:p>
    <w:p w14:paraId="3552C7A2" w14:textId="59123E4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C46AB">
        <w:rPr>
          <w:rFonts w:cs="Arial"/>
          <w:sz w:val="22"/>
          <w:u w:val="single"/>
          <w:lang w:val="es-ES_tradnl"/>
        </w:rPr>
        <w:t>60</w:t>
      </w:r>
      <w:r w:rsidRPr="0039311E">
        <w:rPr>
          <w:rFonts w:cs="Arial"/>
          <w:sz w:val="22"/>
          <w:u w:val="single"/>
          <w:lang w:val="es-ES_tradnl"/>
        </w:rPr>
        <w:t>:</w:t>
      </w:r>
      <w:r w:rsidR="002C46AB">
        <w:rPr>
          <w:rFonts w:cs="Arial"/>
          <w:sz w:val="22"/>
          <w:u w:val="single"/>
          <w:lang w:val="es-ES_tradnl"/>
        </w:rPr>
        <w:t>02</w:t>
      </w:r>
      <w:r w:rsidR="00BA6FAB">
        <w:rPr>
          <w:rFonts w:cs="Arial"/>
          <w:sz w:val="22"/>
          <w:u w:val="single"/>
          <w:lang w:val="es-ES_tradnl"/>
        </w:rPr>
        <w:t xml:space="preserve"> (grabación B)</w:t>
      </w:r>
      <w:r w:rsidR="00BA6FAB">
        <w:rPr>
          <w:rFonts w:cs="Arial"/>
          <w:sz w:val="22"/>
          <w:lang w:val="es-ES_tradnl"/>
        </w:rPr>
        <w:t xml:space="preserve"> </w:t>
      </w:r>
      <w:r>
        <w:rPr>
          <w:rFonts w:cs="Arial"/>
          <w:sz w:val="22"/>
          <w:lang w:val="es-ES_tradnl"/>
        </w:rPr>
        <w:t xml:space="preserve"> Se conoce </w:t>
      </w:r>
      <w:r w:rsidR="002C46AB">
        <w:rPr>
          <w:rFonts w:cs="Arial"/>
          <w:sz w:val="22"/>
          <w:lang w:val="es-ES_tradnl"/>
        </w:rPr>
        <w:t xml:space="preserve">copia del </w:t>
      </w:r>
      <w:r>
        <w:rPr>
          <w:rFonts w:cs="Arial"/>
          <w:sz w:val="22"/>
          <w:lang w:val="es-ES_tradnl"/>
        </w:rPr>
        <w:t xml:space="preserve">oficio </w:t>
      </w:r>
      <w:r w:rsidR="002C46AB">
        <w:rPr>
          <w:rFonts w:cs="Arial"/>
          <w:sz w:val="22"/>
          <w:lang w:val="es-ES_tradnl"/>
        </w:rPr>
        <w:t xml:space="preserve">GG-OF-0710-2020 del 30 de junio de 2020, mediante el cual, la </w:t>
      </w:r>
      <w:r w:rsidR="002C46AB" w:rsidRPr="002C46AB">
        <w:rPr>
          <w:rFonts w:cs="Arial"/>
          <w:sz w:val="22"/>
          <w:lang w:val="es-ES_tradnl"/>
        </w:rPr>
        <w:t>Gerencia General</w:t>
      </w:r>
      <w:r w:rsidR="002C46AB">
        <w:rPr>
          <w:rFonts w:cs="Arial"/>
          <w:sz w:val="22"/>
          <w:lang w:val="es-ES_tradnl"/>
        </w:rPr>
        <w:t xml:space="preserve"> remite a la </w:t>
      </w:r>
      <w:r w:rsidR="002C46AB" w:rsidRPr="002C46AB">
        <w:rPr>
          <w:rFonts w:cs="Arial"/>
          <w:sz w:val="22"/>
          <w:lang w:val="es-ES_tradnl"/>
        </w:rPr>
        <w:t>Procuraduría General de la República</w:t>
      </w:r>
      <w:r w:rsidR="002C46AB">
        <w:rPr>
          <w:rFonts w:cs="Arial"/>
          <w:sz w:val="22"/>
          <w:lang w:val="es-ES_tradnl"/>
        </w:rPr>
        <w:t>, el criterio del BANHVI respecto a la consulta planteada por el Ministerio de Trabajo y Seguridad Social, sobre la administración de los recursos del FOSUVI provenientes del FODESAF.</w:t>
      </w:r>
    </w:p>
    <w:p w14:paraId="2BEB883A" w14:textId="1424AD71" w:rsidR="002C46AB" w:rsidRDefault="002C46AB" w:rsidP="009D03FE">
      <w:pPr>
        <w:spacing w:line="360" w:lineRule="auto"/>
        <w:jc w:val="both"/>
        <w:rPr>
          <w:rFonts w:cs="Arial"/>
          <w:sz w:val="22"/>
          <w:lang w:val="es-ES_tradnl"/>
        </w:rPr>
      </w:pPr>
    </w:p>
    <w:p w14:paraId="75D43FB5" w14:textId="73D0EDB4" w:rsidR="009D03FE" w:rsidRDefault="002C46AB" w:rsidP="009D03FE">
      <w:pPr>
        <w:spacing w:line="360" w:lineRule="auto"/>
        <w:jc w:val="both"/>
        <w:rPr>
          <w:rFonts w:cs="Arial"/>
          <w:sz w:val="22"/>
          <w:lang w:val="es-ES_tradnl"/>
        </w:rPr>
      </w:pPr>
      <w:r>
        <w:rPr>
          <w:rFonts w:cs="Arial"/>
          <w:sz w:val="22"/>
          <w:lang w:val="es-ES_tradnl"/>
        </w:rPr>
        <w:t xml:space="preserve">Al respecto, la </w:t>
      </w:r>
      <w:r w:rsidRPr="002C46AB">
        <w:rPr>
          <w:rFonts w:cs="Arial"/>
          <w:sz w:val="22"/>
          <w:lang w:val="es-ES_tradnl"/>
        </w:rPr>
        <w:t>Junta Directiva</w:t>
      </w:r>
      <w:r>
        <w:rPr>
          <w:rFonts w:cs="Arial"/>
          <w:sz w:val="22"/>
          <w:lang w:val="es-ES_tradnl"/>
        </w:rPr>
        <w:t xml:space="preserve"> da por conocida dicha nota.</w:t>
      </w:r>
    </w:p>
    <w:p w14:paraId="6A9CF22C" w14:textId="77777777" w:rsidR="009D03FE" w:rsidRPr="00D14EAF" w:rsidRDefault="009D03FE" w:rsidP="009D03FE">
      <w:pPr>
        <w:spacing w:line="360" w:lineRule="auto"/>
        <w:jc w:val="both"/>
        <w:rPr>
          <w:rFonts w:cs="Arial"/>
          <w:b/>
          <w:sz w:val="22"/>
        </w:rPr>
      </w:pPr>
      <w:r w:rsidRPr="00D14EAF">
        <w:rPr>
          <w:rFonts w:cs="Arial"/>
          <w:b/>
          <w:sz w:val="22"/>
        </w:rPr>
        <w:t>************</w:t>
      </w:r>
    </w:p>
    <w:p w14:paraId="22035FB9" w14:textId="77777777" w:rsidR="009D03FE" w:rsidRDefault="009D03FE" w:rsidP="009D03FE">
      <w:pPr>
        <w:spacing w:line="360" w:lineRule="auto"/>
        <w:jc w:val="both"/>
        <w:rPr>
          <w:rFonts w:cs="Arial"/>
          <w:b/>
          <w:bCs/>
          <w:sz w:val="22"/>
          <w:szCs w:val="22"/>
          <w:u w:val="single"/>
          <w:lang w:val="es-ES_tradnl"/>
        </w:rPr>
      </w:pPr>
    </w:p>
    <w:p w14:paraId="767BF899" w14:textId="54FA56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14° </w:t>
      </w:r>
      <w:r w:rsidR="00A7333C" w:rsidRPr="00A7333C">
        <w:rPr>
          <w:rFonts w:cs="Arial"/>
          <w:b/>
          <w:bCs/>
          <w:sz w:val="22"/>
          <w:u w:val="single"/>
          <w:lang w:val="es-CR"/>
        </w:rPr>
        <w:t>Oficio de la Fundación Promotora de Vivienda (FUPROVI), comunicando el nombramiento del nuevo Director Ejecutivo</w:t>
      </w:r>
    </w:p>
    <w:p w14:paraId="0CFCEEDC" w14:textId="77777777" w:rsidR="009D03FE" w:rsidRDefault="009D03FE" w:rsidP="009D03FE">
      <w:pPr>
        <w:spacing w:line="360" w:lineRule="auto"/>
        <w:jc w:val="both"/>
        <w:rPr>
          <w:rFonts w:cs="Arial"/>
          <w:sz w:val="22"/>
          <w:szCs w:val="22"/>
        </w:rPr>
      </w:pPr>
    </w:p>
    <w:p w14:paraId="58586D8B" w14:textId="6726B18E" w:rsidR="002C46AB"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C46AB">
        <w:rPr>
          <w:rFonts w:cs="Arial"/>
          <w:sz w:val="22"/>
          <w:u w:val="single"/>
          <w:lang w:val="es-ES_tradnl"/>
        </w:rPr>
        <w:t>60</w:t>
      </w:r>
      <w:r w:rsidRPr="0039311E">
        <w:rPr>
          <w:rFonts w:cs="Arial"/>
          <w:sz w:val="22"/>
          <w:u w:val="single"/>
          <w:lang w:val="es-ES_tradnl"/>
        </w:rPr>
        <w:t>:</w:t>
      </w:r>
      <w:r w:rsidR="002C46AB">
        <w:rPr>
          <w:rFonts w:cs="Arial"/>
          <w:sz w:val="22"/>
          <w:u w:val="single"/>
          <w:lang w:val="es-ES_tradnl"/>
        </w:rPr>
        <w:t>07</w:t>
      </w:r>
      <w:r w:rsidR="00BA6FAB">
        <w:rPr>
          <w:rFonts w:cs="Arial"/>
          <w:sz w:val="22"/>
          <w:u w:val="single"/>
          <w:lang w:val="es-ES_tradnl"/>
        </w:rPr>
        <w:t xml:space="preserve"> (grabación B)</w:t>
      </w:r>
      <w:r w:rsidR="00BA6FAB">
        <w:rPr>
          <w:rFonts w:cs="Arial"/>
          <w:sz w:val="22"/>
          <w:lang w:val="es-ES_tradnl"/>
        </w:rPr>
        <w:t xml:space="preserve"> </w:t>
      </w:r>
      <w:r>
        <w:rPr>
          <w:rFonts w:cs="Arial"/>
          <w:sz w:val="22"/>
          <w:lang w:val="es-ES_tradnl"/>
        </w:rPr>
        <w:t xml:space="preserve"> Se conoce el oficio </w:t>
      </w:r>
      <w:r w:rsidR="002C46AB">
        <w:rPr>
          <w:rFonts w:cs="Arial"/>
          <w:sz w:val="22"/>
          <w:lang w:val="es-ES_tradnl"/>
        </w:rPr>
        <w:t xml:space="preserve">JA-008-2020 del 02 de julio de 2020, mediante el cual, el señor Olman Rojas Rojas, Presidente de la Junta Administrativa de la Fundación Promotora de Vivienda (FUPROVI) comunica </w:t>
      </w:r>
      <w:r w:rsidR="002C46AB" w:rsidRPr="002C46AB">
        <w:rPr>
          <w:rFonts w:cs="Arial"/>
          <w:sz w:val="22"/>
          <w:lang w:val="es-CR"/>
        </w:rPr>
        <w:t>la designación del señor Ignacio Jim</w:t>
      </w:r>
      <w:r w:rsidR="00B40313">
        <w:rPr>
          <w:rFonts w:cs="Arial"/>
          <w:sz w:val="22"/>
          <w:lang w:val="es-CR"/>
        </w:rPr>
        <w:t>é</w:t>
      </w:r>
      <w:r w:rsidR="002C46AB" w:rsidRPr="002C46AB">
        <w:rPr>
          <w:rFonts w:cs="Arial"/>
          <w:sz w:val="22"/>
          <w:lang w:val="es-CR"/>
        </w:rPr>
        <w:t>nez Madrigal como nuevo Director Ejecutivo</w:t>
      </w:r>
      <w:r w:rsidR="002C46AB">
        <w:rPr>
          <w:rFonts w:cs="Arial"/>
          <w:sz w:val="22"/>
          <w:lang w:val="es-CR"/>
        </w:rPr>
        <w:t xml:space="preserve"> de esa organización.</w:t>
      </w:r>
    </w:p>
    <w:p w14:paraId="228B9F08" w14:textId="77777777" w:rsidR="009D03FE" w:rsidRPr="00D14EAF" w:rsidRDefault="009D03FE" w:rsidP="009D03FE">
      <w:pPr>
        <w:spacing w:line="360" w:lineRule="auto"/>
        <w:jc w:val="both"/>
        <w:rPr>
          <w:rFonts w:cs="Arial"/>
          <w:b/>
          <w:sz w:val="22"/>
        </w:rPr>
      </w:pPr>
      <w:r w:rsidRPr="00D14EAF">
        <w:rPr>
          <w:rFonts w:cs="Arial"/>
          <w:b/>
          <w:sz w:val="22"/>
        </w:rPr>
        <w:t>************</w:t>
      </w:r>
    </w:p>
    <w:p w14:paraId="6160AAE1" w14:textId="77777777" w:rsidR="009D03FE" w:rsidRDefault="009D03FE" w:rsidP="009D03FE">
      <w:pPr>
        <w:spacing w:line="360" w:lineRule="auto"/>
        <w:jc w:val="both"/>
        <w:rPr>
          <w:rFonts w:cs="Arial"/>
          <w:b/>
          <w:bCs/>
          <w:sz w:val="22"/>
          <w:szCs w:val="22"/>
          <w:u w:val="single"/>
          <w:lang w:val="es-ES_tradnl"/>
        </w:rPr>
      </w:pPr>
    </w:p>
    <w:p w14:paraId="548863B0" w14:textId="7F9CBE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A7333C" w:rsidRPr="00A7333C">
        <w:rPr>
          <w:rFonts w:cs="Arial"/>
          <w:b/>
          <w:bCs/>
          <w:sz w:val="22"/>
          <w:u w:val="single"/>
        </w:rPr>
        <w:t>Tema confidencial de la Junta Directiva</w:t>
      </w:r>
    </w:p>
    <w:p w14:paraId="0F652AA3" w14:textId="77777777" w:rsidR="009D03FE" w:rsidRDefault="009D03FE" w:rsidP="009D03FE">
      <w:pPr>
        <w:spacing w:line="360" w:lineRule="auto"/>
        <w:jc w:val="both"/>
        <w:rPr>
          <w:rFonts w:cs="Arial"/>
          <w:sz w:val="22"/>
          <w:szCs w:val="22"/>
        </w:rPr>
      </w:pPr>
    </w:p>
    <w:p w14:paraId="5A661A3A" w14:textId="47DDD89C" w:rsidR="002C46AB" w:rsidRDefault="002C46AB" w:rsidP="002C46AB">
      <w:pPr>
        <w:spacing w:line="360" w:lineRule="auto"/>
        <w:jc w:val="both"/>
        <w:rPr>
          <w:rFonts w:cs="Arial"/>
          <w:sz w:val="22"/>
          <w:szCs w:val="22"/>
        </w:rPr>
      </w:pPr>
      <w:r w:rsidRPr="0039311E">
        <w:rPr>
          <w:rFonts w:cs="Arial"/>
          <w:sz w:val="22"/>
          <w:u w:val="single"/>
          <w:lang w:val="es-ES_tradnl"/>
        </w:rPr>
        <w:t xml:space="preserve">Minuto </w:t>
      </w:r>
      <w:r w:rsidR="00550EEA">
        <w:rPr>
          <w:rFonts w:cs="Arial"/>
          <w:sz w:val="22"/>
          <w:u w:val="single"/>
          <w:lang w:val="es-ES_tradnl"/>
        </w:rPr>
        <w:t>60</w:t>
      </w:r>
      <w:r w:rsidRPr="0039311E">
        <w:rPr>
          <w:rFonts w:cs="Arial"/>
          <w:sz w:val="22"/>
          <w:u w:val="single"/>
          <w:lang w:val="es-ES_tradnl"/>
        </w:rPr>
        <w:t>:</w:t>
      </w:r>
      <w:r w:rsidR="00550EEA">
        <w:rPr>
          <w:rFonts w:cs="Arial"/>
          <w:sz w:val="22"/>
          <w:u w:val="single"/>
          <w:lang w:val="es-ES_tradnl"/>
        </w:rPr>
        <w:t>43</w:t>
      </w:r>
      <w:r>
        <w:rPr>
          <w:rFonts w:cs="Arial"/>
          <w:sz w:val="22"/>
          <w:u w:val="single"/>
          <w:lang w:val="es-ES_tradnl"/>
        </w:rPr>
        <w:t xml:space="preserve"> </w:t>
      </w:r>
      <w:r w:rsidRPr="00FC6611">
        <w:rPr>
          <w:rFonts w:cs="Arial"/>
          <w:sz w:val="22"/>
          <w:u w:val="single"/>
        </w:rPr>
        <w:t>(grabación B)</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presentes y el Gerente General; y por lo tanto se retiran de la sesión los funcionarios</w:t>
      </w:r>
      <w:r>
        <w:rPr>
          <w:rFonts w:cs="Arial"/>
          <w:sz w:val="22"/>
        </w:rPr>
        <w:t xml:space="preserve"> </w:t>
      </w:r>
      <w:r w:rsidR="00550EEA">
        <w:rPr>
          <w:rFonts w:cs="Arial"/>
          <w:sz w:val="22"/>
        </w:rPr>
        <w:t>González Zumbado</w:t>
      </w:r>
      <w:r>
        <w:rPr>
          <w:rFonts w:cs="Arial"/>
          <w:sz w:val="22"/>
        </w:rPr>
        <w:t>, Mora Villalobos y López Pacheco,</w:t>
      </w:r>
      <w:r>
        <w:rPr>
          <w:sz w:val="22"/>
          <w:szCs w:val="22"/>
        </w:rPr>
        <w:t xml:space="preserve"> suspendiéndose por consiguiente la grabación de la sesión.</w:t>
      </w:r>
    </w:p>
    <w:p w14:paraId="1E7A55F3" w14:textId="1C87F97C" w:rsidR="002C46AB" w:rsidRDefault="002C46AB" w:rsidP="009D03FE">
      <w:pPr>
        <w:spacing w:line="360" w:lineRule="auto"/>
        <w:jc w:val="both"/>
        <w:rPr>
          <w:rFonts w:cs="Arial"/>
          <w:sz w:val="22"/>
          <w:szCs w:val="22"/>
        </w:rPr>
      </w:pPr>
    </w:p>
    <w:p w14:paraId="54DF92D6" w14:textId="45B6685E" w:rsidR="00550EEA" w:rsidRDefault="00550EEA" w:rsidP="00550EEA">
      <w:pPr>
        <w:spacing w:line="360" w:lineRule="auto"/>
        <w:jc w:val="both"/>
        <w:rPr>
          <w:rFonts w:cs="Arial"/>
          <w:sz w:val="22"/>
          <w:szCs w:val="22"/>
          <w:lang w:val="es-CR"/>
        </w:rPr>
      </w:pPr>
      <w:r>
        <w:rPr>
          <w:rFonts w:cs="Arial"/>
          <w:sz w:val="22"/>
          <w:szCs w:val="22"/>
        </w:rPr>
        <w:t xml:space="preserve">De conformidad con el análisis que se ha venido llevando a cabo en sesiones anteriores, sobre </w:t>
      </w:r>
      <w:r>
        <w:rPr>
          <w:rFonts w:cs="Arial"/>
          <w:sz w:val="22"/>
          <w:szCs w:val="22"/>
          <w:lang w:val="es-ES_tradnl"/>
        </w:rPr>
        <w:t xml:space="preserve">los procesos de selección y nombramiento de los subgerentes del Banco, </w:t>
      </w:r>
      <w:r>
        <w:rPr>
          <w:rFonts w:cs="Arial"/>
          <w:sz w:val="22"/>
          <w:szCs w:val="22"/>
        </w:rPr>
        <w:t xml:space="preserve">y según las valoraciones que se realizan a la luz de los documentos presentados por la </w:t>
      </w:r>
      <w:r w:rsidRPr="00550EEA">
        <w:rPr>
          <w:rFonts w:cs="Arial"/>
          <w:sz w:val="22"/>
          <w:szCs w:val="22"/>
          <w:lang w:val="es-ES_tradnl"/>
        </w:rPr>
        <w:t>Gerencia General</w:t>
      </w:r>
      <w:r>
        <w:rPr>
          <w:rFonts w:cs="Arial"/>
          <w:sz w:val="22"/>
          <w:szCs w:val="22"/>
          <w:lang w:val="es-ES_tradnl"/>
        </w:rPr>
        <w:t>, la mayoría de los señores Directores resuelve aprobar la reforma propuesta a</w:t>
      </w:r>
      <w:r>
        <w:rPr>
          <w:rFonts w:cs="Arial"/>
          <w:sz w:val="22"/>
          <w:szCs w:val="22"/>
        </w:rPr>
        <w:t xml:space="preserve"> la estructura salarial de los subgerentes y, complementariamente, </w:t>
      </w:r>
      <w:r w:rsidRPr="00FE0884">
        <w:rPr>
          <w:rFonts w:cs="Arial"/>
          <w:sz w:val="22"/>
          <w:szCs w:val="22"/>
          <w:lang w:val="es-CR"/>
        </w:rPr>
        <w:t xml:space="preserve"> </w:t>
      </w:r>
      <w:r>
        <w:rPr>
          <w:rFonts w:cs="Arial"/>
          <w:sz w:val="22"/>
          <w:szCs w:val="22"/>
          <w:lang w:val="es-CR"/>
        </w:rPr>
        <w:t>aprobar</w:t>
      </w:r>
      <w:r>
        <w:rPr>
          <w:rFonts w:cs="Arial"/>
          <w:sz w:val="22"/>
          <w:szCs w:val="22"/>
        </w:rPr>
        <w:t xml:space="preserve"> los perfiles y el procedimiento para la escogencia y el nombramiento por idoneidad, para ambos puestos.  Lo anterior, según se consigna en el </w:t>
      </w:r>
      <w:r w:rsidRPr="00550EEA">
        <w:rPr>
          <w:rFonts w:cs="Arial"/>
          <w:b/>
          <w:bCs/>
          <w:sz w:val="22"/>
          <w:szCs w:val="22"/>
        </w:rPr>
        <w:t>Acuerdo N° 11</w:t>
      </w:r>
      <w:r>
        <w:rPr>
          <w:rFonts w:cs="Arial"/>
          <w:sz w:val="22"/>
          <w:szCs w:val="22"/>
        </w:rPr>
        <w:t xml:space="preserve"> que se anexa a esta minuta.</w:t>
      </w:r>
    </w:p>
    <w:p w14:paraId="277AC398" w14:textId="2010ED7E" w:rsidR="00550EEA" w:rsidRDefault="00550EEA" w:rsidP="009D03FE">
      <w:pPr>
        <w:spacing w:line="360" w:lineRule="auto"/>
        <w:jc w:val="both"/>
        <w:rPr>
          <w:rFonts w:cs="Arial"/>
          <w:sz w:val="22"/>
          <w:szCs w:val="22"/>
          <w:lang w:val="es-ES_tradnl"/>
        </w:rPr>
      </w:pPr>
    </w:p>
    <w:p w14:paraId="2DCB8B1D" w14:textId="4D7384AF" w:rsidR="00550EEA" w:rsidRDefault="00550EEA" w:rsidP="009D03FE">
      <w:pPr>
        <w:spacing w:line="360" w:lineRule="auto"/>
        <w:jc w:val="both"/>
        <w:rPr>
          <w:rFonts w:cs="Arial"/>
          <w:sz w:val="22"/>
          <w:szCs w:val="22"/>
          <w:lang w:val="es-ES_tradnl"/>
        </w:rPr>
      </w:pPr>
      <w:r>
        <w:rPr>
          <w:rFonts w:cs="Arial"/>
          <w:sz w:val="22"/>
          <w:szCs w:val="22"/>
          <w:lang w:val="es-ES_tradnl"/>
        </w:rPr>
        <w:t>Se partan de esta decisión, particularmente en lo referido a reformar la estructura salarial, el Director Carranza González y la Directora Presidenta, quienes justifican su voto negativo con los siguientes argumentos:</w:t>
      </w:r>
    </w:p>
    <w:p w14:paraId="17A44331" w14:textId="245F196D" w:rsidR="00F53DC5" w:rsidRPr="00F938FD" w:rsidRDefault="00F53DC5" w:rsidP="00F53DC5">
      <w:pPr>
        <w:spacing w:line="360" w:lineRule="auto"/>
        <w:jc w:val="both"/>
        <w:rPr>
          <w:rFonts w:cs="Arial"/>
          <w:sz w:val="22"/>
          <w:lang w:val="es-CR"/>
        </w:rPr>
      </w:pPr>
      <w:r>
        <w:rPr>
          <w:rFonts w:cs="Arial"/>
          <w:sz w:val="22"/>
          <w:lang w:val="es-CR"/>
        </w:rPr>
        <w:t xml:space="preserve">Director Carranza González: </w:t>
      </w:r>
      <w:r w:rsidRPr="00F938FD">
        <w:rPr>
          <w:rFonts w:cs="Arial"/>
          <w:sz w:val="22"/>
          <w:lang w:val="es-CR"/>
        </w:rPr>
        <w:t xml:space="preserve">" Entiendo que la responsabilidad que las plazas de la subgerencia tienen en la institución es alta y por ende la remuneración de estos puestos deben ser competitiva y acorde a dicha responsabilidad y las cargas laborales que conlleva el puesto. Sin embargo, el momento en el que se da esta discusión coincide con una de las crisis más fuertes que ha vivido el país por los efectos de la pandemia del Covid-19. Como funcionario público es mi deber entender la situación nacional y por respeto a las muchas </w:t>
      </w:r>
      <w:r w:rsidRPr="00F938FD">
        <w:rPr>
          <w:rFonts w:cs="Arial"/>
          <w:sz w:val="22"/>
          <w:lang w:val="es-CR"/>
        </w:rPr>
        <w:lastRenderedPageBreak/>
        <w:t>personas que han perdido su trabajo o sus fuentes de ingreso, considero totalmente inoportuno aprobar un aumento de salario a cualquier plaza de funcionarios públicos en este momento, más aún las plazas de una alta gerencia."</w:t>
      </w:r>
    </w:p>
    <w:p w14:paraId="1FBE6F11" w14:textId="691BF93E" w:rsidR="008A5E9F" w:rsidRDefault="001D02A0" w:rsidP="008A5E9F">
      <w:pPr>
        <w:spacing w:line="360" w:lineRule="auto"/>
        <w:jc w:val="both"/>
        <w:rPr>
          <w:rFonts w:cs="Arial"/>
          <w:sz w:val="22"/>
          <w:lang w:val="es-CR"/>
        </w:rPr>
      </w:pPr>
      <w:r>
        <w:rPr>
          <w:rFonts w:cs="Arial"/>
          <w:sz w:val="22"/>
          <w:lang w:val="es-CR"/>
        </w:rPr>
        <w:t>Directora Presidenta</w:t>
      </w:r>
      <w:r w:rsidR="008A5E9F">
        <w:rPr>
          <w:rFonts w:cs="Arial"/>
          <w:sz w:val="22"/>
          <w:lang w:val="es-CR"/>
        </w:rPr>
        <w:t>:</w:t>
      </w:r>
      <w:r w:rsidR="008A5E9F" w:rsidRPr="008A5E9F">
        <w:rPr>
          <w:rFonts w:cs="Arial"/>
          <w:sz w:val="22"/>
          <w:lang w:val="es-CR"/>
        </w:rPr>
        <w:t xml:space="preserve"> </w:t>
      </w:r>
      <w:r w:rsidR="008A5E9F">
        <w:rPr>
          <w:rFonts w:cs="Arial"/>
          <w:sz w:val="22"/>
          <w:lang w:val="es-CR"/>
        </w:rPr>
        <w:t>“</w:t>
      </w:r>
      <w:r>
        <w:rPr>
          <w:rFonts w:cs="Arial"/>
          <w:sz w:val="22"/>
          <w:lang w:val="es-CR"/>
        </w:rPr>
        <w:t>N</w:t>
      </w:r>
      <w:r w:rsidR="008A5E9F" w:rsidRPr="008A5E9F">
        <w:rPr>
          <w:rFonts w:cs="Arial"/>
          <w:sz w:val="22"/>
          <w:lang w:val="es-CR"/>
        </w:rPr>
        <w:t>o se considera un momento adecuado para cambiar el modelo de salario de los puestos de subgerentes, por estar el país en una situación de emergencia derivada del COVID</w:t>
      </w:r>
      <w:r w:rsidR="008A5E9F">
        <w:rPr>
          <w:rFonts w:cs="Arial"/>
          <w:sz w:val="22"/>
          <w:lang w:val="es-CR"/>
        </w:rPr>
        <w:t>-</w:t>
      </w:r>
      <w:r w:rsidR="008A5E9F" w:rsidRPr="008A5E9F">
        <w:rPr>
          <w:rFonts w:cs="Arial"/>
          <w:sz w:val="22"/>
          <w:lang w:val="es-CR"/>
        </w:rPr>
        <w:t>19, en la cual la situación económica es difícil para las finanzas públicas y las familias costarricenses</w:t>
      </w:r>
      <w:r w:rsidR="008A5E9F">
        <w:rPr>
          <w:rFonts w:cs="Arial"/>
          <w:sz w:val="22"/>
          <w:lang w:val="es-CR"/>
        </w:rPr>
        <w:t>.</w:t>
      </w:r>
      <w:r w:rsidR="008A5E9F" w:rsidRPr="008A5E9F">
        <w:rPr>
          <w:rFonts w:cs="Arial"/>
          <w:sz w:val="22"/>
          <w:lang w:val="es-CR"/>
        </w:rPr>
        <w:t>”</w:t>
      </w:r>
    </w:p>
    <w:p w14:paraId="71359B9C" w14:textId="653F8B91" w:rsidR="006B715B" w:rsidRDefault="006B715B" w:rsidP="008A5E9F">
      <w:pPr>
        <w:spacing w:line="360" w:lineRule="auto"/>
        <w:jc w:val="both"/>
        <w:rPr>
          <w:rFonts w:cs="Arial"/>
          <w:sz w:val="22"/>
          <w:lang w:val="es-CR"/>
        </w:rPr>
      </w:pPr>
    </w:p>
    <w:p w14:paraId="1B2AA0DA" w14:textId="58316208" w:rsidR="006B715B" w:rsidRDefault="006B715B" w:rsidP="008A5E9F">
      <w:pPr>
        <w:spacing w:line="360" w:lineRule="auto"/>
        <w:jc w:val="both"/>
        <w:rPr>
          <w:rFonts w:cs="Arial"/>
          <w:sz w:val="22"/>
          <w:lang w:val="es-CR"/>
        </w:rPr>
      </w:pPr>
      <w:r>
        <w:rPr>
          <w:rFonts w:cs="Arial"/>
          <w:sz w:val="22"/>
          <w:lang w:val="es-CR"/>
        </w:rPr>
        <w:t>Por su parte, el Director Alvarado Herrera justifica voto favor</w:t>
      </w:r>
      <w:r w:rsidR="00534E43">
        <w:rPr>
          <w:rFonts w:cs="Arial"/>
          <w:sz w:val="22"/>
          <w:lang w:val="es-CR"/>
        </w:rPr>
        <w:t>a</w:t>
      </w:r>
      <w:r w:rsidR="00D20AA0">
        <w:rPr>
          <w:rFonts w:cs="Arial"/>
          <w:sz w:val="22"/>
          <w:lang w:val="es-CR"/>
        </w:rPr>
        <w:t>b</w:t>
      </w:r>
      <w:r w:rsidR="00534E43">
        <w:rPr>
          <w:rFonts w:cs="Arial"/>
          <w:sz w:val="22"/>
          <w:lang w:val="es-CR"/>
        </w:rPr>
        <w:t>le</w:t>
      </w:r>
      <w:r>
        <w:rPr>
          <w:rFonts w:cs="Arial"/>
          <w:sz w:val="22"/>
          <w:lang w:val="es-CR"/>
        </w:rPr>
        <w:t>, señalando lo siguiente:</w:t>
      </w:r>
    </w:p>
    <w:p w14:paraId="770E96D7" w14:textId="6321071A" w:rsidR="006B715B" w:rsidRPr="008A5E9F" w:rsidRDefault="006B715B" w:rsidP="008A5E9F">
      <w:pPr>
        <w:spacing w:line="360" w:lineRule="auto"/>
        <w:jc w:val="both"/>
        <w:rPr>
          <w:rFonts w:cs="Arial"/>
          <w:sz w:val="22"/>
          <w:lang w:val="es-CR"/>
        </w:rPr>
      </w:pPr>
      <w:r>
        <w:rPr>
          <w:rFonts w:cs="Arial"/>
          <w:sz w:val="22"/>
          <w:lang w:val="es-CR"/>
        </w:rPr>
        <w:t>“</w:t>
      </w:r>
      <w:r w:rsidRPr="006B715B">
        <w:rPr>
          <w:rFonts w:cs="Arial"/>
          <w:sz w:val="22"/>
          <w:lang w:val="es-CR"/>
        </w:rPr>
        <w:t>Acojo la recomendación de la Gerencia General de reformar la estructura salarial en el caso de los subgerentes, al establecerse un salario único que consta del salario base más la prohibición, eliminándose cualquier pago de incentivos. Se unifica así a todo el cuerpo gerencial, al haberse establecido para el Gerente General desde el año 2001, con lo cual se uniforma la estructura salarial de toda la alta gerencia del BANHVI. El monto estimado corresponde al 65% del salario del Gerente General, según la buena práctica administrativa, actualizado por acuerdo de Junta Directiva en junio del año pasado.</w:t>
      </w:r>
      <w:r w:rsidR="00534E43">
        <w:rPr>
          <w:rFonts w:cs="Arial"/>
          <w:sz w:val="22"/>
          <w:lang w:val="es-CR"/>
        </w:rPr>
        <w:t xml:space="preserve">  </w:t>
      </w:r>
      <w:r w:rsidRPr="006B715B">
        <w:rPr>
          <w:rFonts w:cs="Arial"/>
          <w:sz w:val="22"/>
          <w:lang w:val="es-CR"/>
        </w:rPr>
        <w:t xml:space="preserve">Lo anterior permite </w:t>
      </w:r>
      <w:r w:rsidR="00876A4E">
        <w:rPr>
          <w:rFonts w:cs="Arial"/>
          <w:sz w:val="22"/>
          <w:lang w:val="es-CR"/>
        </w:rPr>
        <w:t xml:space="preserve">cumplir </w:t>
      </w:r>
      <w:r w:rsidRPr="006B715B">
        <w:rPr>
          <w:rFonts w:cs="Arial"/>
          <w:sz w:val="22"/>
          <w:lang w:val="es-CR"/>
        </w:rPr>
        <w:t>la Ley de Fortalecimiento de las Finanzas Públicas</w:t>
      </w:r>
      <w:r w:rsidR="00876A4E">
        <w:rPr>
          <w:rFonts w:cs="Arial"/>
          <w:sz w:val="22"/>
          <w:lang w:val="es-CR"/>
        </w:rPr>
        <w:t xml:space="preserve"> y </w:t>
      </w:r>
      <w:r w:rsidRPr="006B715B">
        <w:rPr>
          <w:rFonts w:cs="Arial"/>
          <w:sz w:val="22"/>
          <w:lang w:val="es-CR"/>
        </w:rPr>
        <w:t>mantener la competitividad salarial que requiere el más alto nivel administrativo de la Institución.</w:t>
      </w:r>
      <w:r>
        <w:rPr>
          <w:rFonts w:cs="Arial"/>
          <w:sz w:val="22"/>
          <w:lang w:val="es-CR"/>
        </w:rPr>
        <w:t>”</w:t>
      </w:r>
    </w:p>
    <w:p w14:paraId="3E469E07"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0707021" w14:textId="77777777" w:rsidR="00E97960" w:rsidRDefault="00E97960" w:rsidP="00E97960">
      <w:pPr>
        <w:spacing w:line="360" w:lineRule="auto"/>
        <w:jc w:val="both"/>
        <w:rPr>
          <w:rFonts w:cs="Arial"/>
          <w:sz w:val="22"/>
          <w:szCs w:val="22"/>
        </w:rPr>
      </w:pPr>
    </w:p>
    <w:p w14:paraId="748A5E14" w14:textId="2F76B5A4" w:rsidR="00FA4CCB" w:rsidRPr="00AB2826" w:rsidRDefault="00FA4CCB" w:rsidP="002D0146">
      <w:pPr>
        <w:pStyle w:val="Textoindependiente"/>
        <w:ind w:right="0"/>
        <w:rPr>
          <w:rFonts w:cs="Arial"/>
          <w:szCs w:val="22"/>
        </w:rPr>
      </w:pPr>
      <w:r w:rsidRPr="00AB2826">
        <w:rPr>
          <w:rFonts w:cs="Arial"/>
          <w:szCs w:val="22"/>
        </w:rPr>
        <w:t xml:space="preserve">Siendo las </w:t>
      </w:r>
      <w:r w:rsidR="001D02A0">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1D02A0">
        <w:rPr>
          <w:rFonts w:cs="Arial"/>
          <w:szCs w:val="22"/>
        </w:rPr>
        <w:t>treinta</w:t>
      </w:r>
      <w:r w:rsidR="00EC7E01">
        <w:rPr>
          <w:rFonts w:cs="Arial"/>
          <w:szCs w:val="22"/>
        </w:rPr>
        <w:t xml:space="preserve"> minutos</w:t>
      </w:r>
      <w:r w:rsidRPr="00AB2826">
        <w:rPr>
          <w:rFonts w:cs="Arial"/>
          <w:szCs w:val="22"/>
        </w:rPr>
        <w:t>, se levanta la sesión.</w:t>
      </w:r>
    </w:p>
    <w:p w14:paraId="7B481907" w14:textId="77777777" w:rsidR="006321F4" w:rsidRPr="00D14EAF" w:rsidRDefault="006321F4" w:rsidP="002D0146">
      <w:pPr>
        <w:spacing w:line="360" w:lineRule="auto"/>
        <w:jc w:val="both"/>
        <w:rPr>
          <w:rFonts w:cs="Arial"/>
          <w:b/>
          <w:sz w:val="22"/>
        </w:rPr>
      </w:pPr>
      <w:r w:rsidRPr="00D14EAF">
        <w:rPr>
          <w:rFonts w:cs="Arial"/>
          <w:b/>
          <w:sz w:val="22"/>
        </w:rPr>
        <w:t>************</w:t>
      </w:r>
    </w:p>
    <w:p w14:paraId="17F51F5A" w14:textId="77777777" w:rsidR="002B71CC" w:rsidRDefault="002B71CC">
      <w:pPr>
        <w:rPr>
          <w:rFonts w:cs="Arial"/>
          <w:sz w:val="22"/>
          <w:szCs w:val="22"/>
        </w:rPr>
      </w:pPr>
      <w:r>
        <w:rPr>
          <w:rFonts w:cs="Arial"/>
          <w:sz w:val="22"/>
          <w:szCs w:val="22"/>
        </w:rPr>
        <w:br w:type="page"/>
      </w:r>
    </w:p>
    <w:p w14:paraId="31C07246" w14:textId="77777777" w:rsidR="00FA4CCB" w:rsidRDefault="00FA4CCB" w:rsidP="00AB2826">
      <w:pPr>
        <w:spacing w:line="360" w:lineRule="auto"/>
        <w:jc w:val="both"/>
        <w:rPr>
          <w:rFonts w:cs="Arial"/>
          <w:sz w:val="22"/>
          <w:szCs w:val="22"/>
        </w:rPr>
      </w:pPr>
    </w:p>
    <w:p w14:paraId="3EECB235" w14:textId="77777777" w:rsidR="002B71CC" w:rsidRDefault="002B71CC" w:rsidP="00AB2826">
      <w:pPr>
        <w:spacing w:line="360" w:lineRule="auto"/>
        <w:jc w:val="both"/>
        <w:rPr>
          <w:rFonts w:cs="Arial"/>
          <w:sz w:val="22"/>
          <w:szCs w:val="22"/>
        </w:rPr>
      </w:pPr>
    </w:p>
    <w:p w14:paraId="197D7FBC" w14:textId="77777777" w:rsidR="002B71CC" w:rsidRDefault="002B71CC" w:rsidP="002B71CC">
      <w:pPr>
        <w:pStyle w:val="Ttulo"/>
        <w:ind w:right="51"/>
        <w:rPr>
          <w:rFonts w:cs="Arial"/>
        </w:rPr>
      </w:pPr>
      <w:r>
        <w:rPr>
          <w:rFonts w:cs="Arial"/>
        </w:rPr>
        <w:t>BANCO HIPOTECARIO DE LA VIVIENDA</w:t>
      </w:r>
    </w:p>
    <w:p w14:paraId="7E9A190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8BEF130" w14:textId="77777777" w:rsidR="002B71CC" w:rsidRDefault="002B71CC" w:rsidP="002B71CC">
      <w:pPr>
        <w:spacing w:line="360" w:lineRule="auto"/>
        <w:ind w:right="51"/>
        <w:jc w:val="center"/>
        <w:rPr>
          <w:rFonts w:cs="Arial"/>
          <w:b/>
          <w:sz w:val="22"/>
          <w:u w:val="single"/>
        </w:rPr>
      </w:pPr>
    </w:p>
    <w:p w14:paraId="5037C1F0" w14:textId="18C9706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66F1B">
        <w:rPr>
          <w:rFonts w:cs="Arial"/>
          <w:b/>
          <w:sz w:val="22"/>
          <w:u w:val="single"/>
        </w:rPr>
        <w:t>O</w:t>
      </w:r>
      <w:r>
        <w:rPr>
          <w:rFonts w:cs="Arial"/>
          <w:b/>
          <w:sz w:val="22"/>
          <w:u w:val="single"/>
        </w:rPr>
        <w:t xml:space="preserve">RDINARIA N° </w:t>
      </w:r>
      <w:r w:rsidR="00C66F1B">
        <w:rPr>
          <w:rFonts w:cs="Arial"/>
          <w:b/>
          <w:sz w:val="22"/>
          <w:u w:val="single"/>
        </w:rPr>
        <w:t>51</w:t>
      </w:r>
      <w:r>
        <w:rPr>
          <w:rFonts w:cs="Arial"/>
          <w:b/>
          <w:sz w:val="22"/>
          <w:u w:val="single"/>
        </w:rPr>
        <w:t>-20</w:t>
      </w:r>
      <w:r w:rsidR="00E97960">
        <w:rPr>
          <w:rFonts w:cs="Arial"/>
          <w:b/>
          <w:sz w:val="22"/>
          <w:u w:val="single"/>
        </w:rPr>
        <w:t>20</w:t>
      </w:r>
    </w:p>
    <w:p w14:paraId="0617E5A3" w14:textId="71B8B57B" w:rsidR="002B71CC" w:rsidRDefault="002B71CC" w:rsidP="002B71CC">
      <w:pPr>
        <w:spacing w:line="360" w:lineRule="auto"/>
        <w:ind w:right="51"/>
        <w:jc w:val="center"/>
        <w:rPr>
          <w:rFonts w:cs="Arial"/>
          <w:b/>
          <w:sz w:val="22"/>
          <w:u w:val="single"/>
        </w:rPr>
      </w:pPr>
      <w:r>
        <w:rPr>
          <w:rFonts w:cs="Arial"/>
          <w:b/>
          <w:sz w:val="22"/>
          <w:u w:val="single"/>
        </w:rPr>
        <w:t xml:space="preserve">DEL </w:t>
      </w:r>
      <w:r w:rsidR="00C66F1B">
        <w:rPr>
          <w:rFonts w:cs="Arial"/>
          <w:b/>
          <w:sz w:val="22"/>
          <w:u w:val="single"/>
        </w:rPr>
        <w:t>06</w:t>
      </w:r>
      <w:r>
        <w:rPr>
          <w:rFonts w:cs="Arial"/>
          <w:b/>
          <w:sz w:val="22"/>
          <w:u w:val="single"/>
        </w:rPr>
        <w:t xml:space="preserve"> DE </w:t>
      </w:r>
      <w:r w:rsidR="00C66F1B">
        <w:rPr>
          <w:rFonts w:cs="Arial"/>
          <w:b/>
          <w:sz w:val="22"/>
          <w:u w:val="single"/>
        </w:rPr>
        <w:t>JULIO</w:t>
      </w:r>
      <w:r>
        <w:rPr>
          <w:rFonts w:cs="Arial"/>
          <w:b/>
          <w:sz w:val="22"/>
          <w:u w:val="single"/>
        </w:rPr>
        <w:t xml:space="preserve"> DE 20</w:t>
      </w:r>
      <w:r w:rsidR="00E97960">
        <w:rPr>
          <w:rFonts w:cs="Arial"/>
          <w:b/>
          <w:sz w:val="22"/>
          <w:u w:val="single"/>
        </w:rPr>
        <w:t>20</w:t>
      </w:r>
    </w:p>
    <w:p w14:paraId="5DD162B3" w14:textId="77777777" w:rsidR="002B71CC" w:rsidRDefault="002B71CC" w:rsidP="00AB2826">
      <w:pPr>
        <w:spacing w:line="360" w:lineRule="auto"/>
        <w:jc w:val="both"/>
        <w:rPr>
          <w:rFonts w:cs="Arial"/>
          <w:sz w:val="22"/>
          <w:szCs w:val="22"/>
        </w:rPr>
      </w:pPr>
    </w:p>
    <w:p w14:paraId="44C4479E" w14:textId="77777777" w:rsidR="002B71CC" w:rsidRDefault="002B71CC" w:rsidP="00AB2826">
      <w:pPr>
        <w:spacing w:line="360" w:lineRule="auto"/>
        <w:jc w:val="both"/>
        <w:rPr>
          <w:rFonts w:cs="Arial"/>
          <w:sz w:val="22"/>
          <w:szCs w:val="22"/>
        </w:rPr>
      </w:pPr>
    </w:p>
    <w:p w14:paraId="445F362F" w14:textId="77777777" w:rsidR="00FB3BE3" w:rsidRPr="00AB2826" w:rsidRDefault="00FB3BE3" w:rsidP="00FB3BE3">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13AE6F23" w14:textId="77777777" w:rsidR="00FB3BE3" w:rsidRDefault="00FB3BE3" w:rsidP="00FB3BE3">
      <w:pPr>
        <w:spacing w:line="360" w:lineRule="auto"/>
        <w:jc w:val="both"/>
        <w:rPr>
          <w:rFonts w:cs="Arial"/>
          <w:b/>
          <w:bCs/>
          <w:sz w:val="22"/>
          <w:szCs w:val="22"/>
        </w:rPr>
      </w:pPr>
      <w:r>
        <w:rPr>
          <w:rFonts w:cs="Arial"/>
          <w:b/>
          <w:bCs/>
          <w:sz w:val="22"/>
          <w:szCs w:val="22"/>
        </w:rPr>
        <w:t>Considerando:</w:t>
      </w:r>
    </w:p>
    <w:p w14:paraId="25EA3ED3" w14:textId="676EA920" w:rsidR="00FB3BE3" w:rsidRDefault="00FB3BE3" w:rsidP="00FB3BE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GG-ME-0734-2020, del 02 de julio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0750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diecinueve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Rosa Isabel Sunsin Martínez, Santos Jacoba González Gutiérrez, Jennifer Blandón Castillo, Maykol José Rosales López, Franklin Lobo Pérez, Diana Lisseth Martínez Ruiz, Ana Isabel Marín López, Odir Quesada Vega, Alejandra Virginia Salazar Boza, Danny Alexander González Rodesno, Janis Elitza Foster Tucker, José Leonidas Camacho Duartes, Dania Magaly Conejo Segura, Maria de los Angeles Calderón Calderón, Dionisia Francisca Espinoza Gutiérrez, Daniela Estrella Chaves Espinoza, Viviana Vallejos Rodríguez, María Jackeline Mena Fernández y Jeannette Astúa C</w:t>
      </w:r>
      <w:r w:rsidR="00916843">
        <w:rPr>
          <w:rFonts w:cs="Arial"/>
          <w:bCs/>
          <w:sz w:val="22"/>
        </w:rPr>
        <w:t>á</w:t>
      </w:r>
      <w:r>
        <w:rPr>
          <w:rFonts w:cs="Arial"/>
          <w:bCs/>
          <w:sz w:val="22"/>
        </w:rPr>
        <w:t xml:space="preserve">rdenas. </w:t>
      </w:r>
    </w:p>
    <w:p w14:paraId="2678E578" w14:textId="77777777" w:rsidR="00FB3BE3" w:rsidRDefault="00FB3BE3" w:rsidP="00FB3BE3">
      <w:pPr>
        <w:spacing w:line="360" w:lineRule="auto"/>
        <w:jc w:val="both"/>
        <w:rPr>
          <w:rFonts w:cs="Arial"/>
          <w:bCs/>
          <w:sz w:val="22"/>
        </w:rPr>
      </w:pPr>
    </w:p>
    <w:p w14:paraId="0707E4A5" w14:textId="77777777" w:rsidR="00FB3BE3" w:rsidRDefault="00FB3BE3" w:rsidP="00FB3BE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54DB3C52" w14:textId="77777777" w:rsidR="00FB3BE3" w:rsidRDefault="00FB3BE3" w:rsidP="00FB3BE3">
      <w:pPr>
        <w:spacing w:line="360" w:lineRule="auto"/>
        <w:jc w:val="both"/>
        <w:rPr>
          <w:rFonts w:cs="Arial"/>
          <w:bCs/>
          <w:sz w:val="22"/>
          <w:szCs w:val="22"/>
        </w:rPr>
      </w:pPr>
    </w:p>
    <w:p w14:paraId="79A60055" w14:textId="77777777" w:rsidR="00FB3BE3" w:rsidRDefault="00FB3BE3" w:rsidP="00FB3BE3">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0750</w:t>
      </w:r>
      <w:r w:rsidRPr="00B35EAF">
        <w:rPr>
          <w:rFonts w:cs="Arial"/>
          <w:sz w:val="22"/>
          <w:szCs w:val="22"/>
        </w:rPr>
        <w:t>-20</w:t>
      </w:r>
      <w:r>
        <w:rPr>
          <w:rFonts w:cs="Arial"/>
          <w:sz w:val="22"/>
          <w:szCs w:val="22"/>
        </w:rPr>
        <w:t>20</w:t>
      </w:r>
      <w:r>
        <w:rPr>
          <w:rFonts w:cs="Arial"/>
          <w:bCs/>
          <w:sz w:val="22"/>
          <w:szCs w:val="22"/>
        </w:rPr>
        <w:t>.</w:t>
      </w:r>
    </w:p>
    <w:p w14:paraId="7067C851" w14:textId="77777777" w:rsidR="00FB3BE3" w:rsidRPr="00F80BE0" w:rsidRDefault="00FB3BE3" w:rsidP="00FB3BE3">
      <w:pPr>
        <w:spacing w:line="360" w:lineRule="auto"/>
        <w:jc w:val="both"/>
        <w:rPr>
          <w:rFonts w:cs="Arial"/>
          <w:bCs/>
          <w:sz w:val="16"/>
          <w:szCs w:val="16"/>
          <w:lang w:val="es-ES_tradnl"/>
        </w:rPr>
      </w:pPr>
    </w:p>
    <w:p w14:paraId="587CCCFA" w14:textId="77777777" w:rsidR="00FB3BE3" w:rsidRDefault="00FB3BE3" w:rsidP="00FB3BE3">
      <w:pPr>
        <w:spacing w:line="360" w:lineRule="auto"/>
        <w:jc w:val="both"/>
        <w:rPr>
          <w:rFonts w:cs="Arial"/>
          <w:b/>
          <w:bCs/>
          <w:sz w:val="22"/>
          <w:szCs w:val="22"/>
        </w:rPr>
      </w:pPr>
      <w:r>
        <w:rPr>
          <w:rFonts w:cs="Arial"/>
          <w:b/>
          <w:bCs/>
          <w:sz w:val="22"/>
          <w:szCs w:val="22"/>
        </w:rPr>
        <w:t>Por tanto, se acuerda:</w:t>
      </w:r>
    </w:p>
    <w:p w14:paraId="46D06EE8" w14:textId="77777777" w:rsidR="00FB3BE3" w:rsidRDefault="00FB3BE3" w:rsidP="00FB3BE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0750</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453B9D30" w14:textId="77777777" w:rsidR="00FB3BE3" w:rsidRDefault="00FB3BE3" w:rsidP="00FB3BE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B3BE3" w:rsidRPr="008143C3" w14:paraId="6B5FC8FB" w14:textId="77777777" w:rsidTr="003148E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A0B4A" w14:textId="77777777" w:rsidR="00FB3BE3" w:rsidRPr="008143C3" w:rsidRDefault="00FB3BE3" w:rsidP="003148E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FB3BE3" w:rsidRPr="008143C3" w14:paraId="6BFDC79E" w14:textId="77777777" w:rsidTr="003148E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4AE40BD"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BF680BB"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AB55940"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2DEBDB"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EBDF0EB"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07D068B3"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14D6248"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0C05A64"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58A04C" w14:textId="77777777" w:rsidR="00FB3BE3" w:rsidRPr="008143C3" w:rsidRDefault="00FB3BE3" w:rsidP="003148E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90A41BA"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988464D" w14:textId="77777777" w:rsidR="00FB3BE3" w:rsidRPr="008143C3" w:rsidRDefault="00FB3BE3" w:rsidP="003148E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FB3BE3" w:rsidRPr="006D5FE0" w14:paraId="7EDBDC8E"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1DFFBD4" w14:textId="77777777" w:rsidR="00FB3BE3" w:rsidRPr="006308C1"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Sunsin Martínez Rosa Isabel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CC9836"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7-0327-0483</w:t>
            </w:r>
          </w:p>
        </w:tc>
        <w:tc>
          <w:tcPr>
            <w:tcW w:w="709" w:type="dxa"/>
            <w:tcBorders>
              <w:top w:val="single" w:sz="4" w:space="0" w:color="auto"/>
              <w:left w:val="nil"/>
              <w:bottom w:val="single" w:sz="4" w:space="0" w:color="auto"/>
              <w:right w:val="single" w:sz="4" w:space="0" w:color="auto"/>
            </w:tcBorders>
            <w:shd w:val="clear" w:color="auto" w:fill="auto"/>
            <w:vAlign w:val="center"/>
          </w:tcPr>
          <w:p w14:paraId="2BF7F8D5"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7-172291</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1CA1A"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Pococí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32405"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09AA70"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4.150.000,00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DC3D44" w14:textId="77777777"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27247B" w14:textId="77777777"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FAF672A"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157FFD" w14:textId="77777777" w:rsidR="00FB3BE3" w:rsidRPr="006D5FE0"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14.311.550,00</w:t>
            </w:r>
          </w:p>
        </w:tc>
      </w:tr>
      <w:tr w:rsidR="00FB3BE3" w:rsidRPr="006D5FE0" w14:paraId="2FA77E0E"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A93702"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González Gutiérrez Santos Jacoba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B038A5" w14:textId="0B4D6A4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A44379">
              <w:rPr>
                <w:rFonts w:ascii="Arial Narrow" w:hAnsi="Arial Narrow" w:cs="Arial"/>
                <w:sz w:val="16"/>
                <w:szCs w:val="16"/>
                <w:lang w:val="es-CR" w:eastAsia="es-CR"/>
              </w:rPr>
              <w:t>-</w:t>
            </w:r>
            <w:r>
              <w:rPr>
                <w:rFonts w:ascii="Arial Narrow" w:hAnsi="Arial Narrow" w:cs="Arial"/>
                <w:sz w:val="16"/>
                <w:szCs w:val="16"/>
                <w:lang w:val="es-CR" w:eastAsia="es-CR"/>
              </w:rPr>
              <w:t>827617</w:t>
            </w:r>
          </w:p>
        </w:tc>
        <w:tc>
          <w:tcPr>
            <w:tcW w:w="709" w:type="dxa"/>
            <w:tcBorders>
              <w:top w:val="single" w:sz="4" w:space="0" w:color="auto"/>
              <w:left w:val="nil"/>
              <w:bottom w:val="single" w:sz="4" w:space="0" w:color="auto"/>
              <w:right w:val="single" w:sz="4" w:space="0" w:color="auto"/>
            </w:tcBorders>
            <w:shd w:val="clear" w:color="auto" w:fill="auto"/>
            <w:vAlign w:val="center"/>
          </w:tcPr>
          <w:p w14:paraId="0C79E185"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2-524780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CD5B0C"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AA9E2"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42ABA"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7.730.000,00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A80380"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9B2ED9"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156.240,00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26123A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A1C24B"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17.833.560,00</w:t>
            </w:r>
          </w:p>
        </w:tc>
      </w:tr>
      <w:tr w:rsidR="00FB3BE3" w:rsidRPr="006D5FE0" w14:paraId="5ADBDEF1"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79BAB83"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Blandón Castillo Jennifer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0FA4EB"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1-1245-0380</w:t>
            </w:r>
          </w:p>
        </w:tc>
        <w:tc>
          <w:tcPr>
            <w:tcW w:w="709" w:type="dxa"/>
            <w:tcBorders>
              <w:top w:val="single" w:sz="4" w:space="0" w:color="auto"/>
              <w:left w:val="nil"/>
              <w:bottom w:val="single" w:sz="4" w:space="0" w:color="auto"/>
              <w:right w:val="single" w:sz="4" w:space="0" w:color="auto"/>
            </w:tcBorders>
            <w:shd w:val="clear" w:color="auto" w:fill="auto"/>
            <w:vAlign w:val="center"/>
          </w:tcPr>
          <w:p w14:paraId="0536AD8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2-552877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DABEBF0"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70C22"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E96C2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E74BBF"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751929D"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F725BAA"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335F4C"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14.661.550,00</w:t>
            </w:r>
          </w:p>
        </w:tc>
      </w:tr>
      <w:tr w:rsidR="00FB3BE3" w:rsidRPr="006D5FE0" w14:paraId="4C6A0764"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004B8F7"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Rosales López Maykol José</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38A76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5-0365-0725</w:t>
            </w:r>
          </w:p>
        </w:tc>
        <w:tc>
          <w:tcPr>
            <w:tcW w:w="709" w:type="dxa"/>
            <w:tcBorders>
              <w:top w:val="single" w:sz="4" w:space="0" w:color="auto"/>
              <w:left w:val="nil"/>
              <w:bottom w:val="single" w:sz="4" w:space="0" w:color="auto"/>
              <w:right w:val="single" w:sz="4" w:space="0" w:color="auto"/>
            </w:tcBorders>
            <w:shd w:val="clear" w:color="auto" w:fill="auto"/>
            <w:vAlign w:val="center"/>
          </w:tcPr>
          <w:p w14:paraId="687B2C2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2-502469</w:t>
            </w:r>
          </w:p>
        </w:tc>
        <w:tc>
          <w:tcPr>
            <w:tcW w:w="851" w:type="dxa"/>
            <w:tcBorders>
              <w:top w:val="single" w:sz="4" w:space="0" w:color="auto"/>
              <w:left w:val="nil"/>
              <w:bottom w:val="single" w:sz="4" w:space="0" w:color="auto"/>
              <w:right w:val="single" w:sz="4" w:space="0" w:color="auto"/>
            </w:tcBorders>
            <w:shd w:val="clear" w:color="auto" w:fill="auto"/>
            <w:vAlign w:val="center"/>
          </w:tcPr>
          <w:p w14:paraId="5859B92C"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21A122"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2F482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EFDFDB"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6B8663"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50.792,00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F0F55C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507.920,00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5AE759"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16.196.128,00</w:t>
            </w:r>
          </w:p>
        </w:tc>
      </w:tr>
      <w:tr w:rsidR="00FB3BE3" w:rsidRPr="006D5FE0" w14:paraId="768D1D03"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AA5ACD" w14:textId="15FF4538"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Lobo P</w:t>
            </w:r>
            <w:r w:rsidR="00916843">
              <w:rPr>
                <w:rFonts w:ascii="Arial Narrow" w:hAnsi="Arial Narrow" w:cs="Arial"/>
                <w:sz w:val="16"/>
                <w:szCs w:val="16"/>
                <w:lang w:val="es-CR" w:eastAsia="es-CR"/>
              </w:rPr>
              <w:t>é</w:t>
            </w:r>
            <w:r>
              <w:rPr>
                <w:rFonts w:ascii="Arial Narrow" w:hAnsi="Arial Narrow" w:cs="Arial"/>
                <w:sz w:val="16"/>
                <w:szCs w:val="16"/>
                <w:lang w:val="es-CR" w:eastAsia="es-CR"/>
              </w:rPr>
              <w:t xml:space="preserve">rez Franklin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6A2B4A"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2-0673-0229</w:t>
            </w:r>
          </w:p>
        </w:tc>
        <w:tc>
          <w:tcPr>
            <w:tcW w:w="709" w:type="dxa"/>
            <w:tcBorders>
              <w:top w:val="single" w:sz="4" w:space="0" w:color="auto"/>
              <w:left w:val="nil"/>
              <w:bottom w:val="single" w:sz="4" w:space="0" w:color="auto"/>
              <w:right w:val="single" w:sz="4" w:space="0" w:color="auto"/>
            </w:tcBorders>
            <w:shd w:val="clear" w:color="auto" w:fill="auto"/>
            <w:vAlign w:val="center"/>
          </w:tcPr>
          <w:p w14:paraId="480B6DEE"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2-502470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851834"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E6D71"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946EB"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E26810"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6BEEB42"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152.376,00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553F45A"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507.920,00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D2156F"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16.094.544,00</w:t>
            </w:r>
          </w:p>
        </w:tc>
      </w:tr>
      <w:tr w:rsidR="00FB3BE3" w:rsidRPr="006D5FE0" w14:paraId="12B065CA"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9EE631"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Martínez Ruiz Diana Lisseth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F1A111"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9-0129-0719</w:t>
            </w:r>
          </w:p>
        </w:tc>
        <w:tc>
          <w:tcPr>
            <w:tcW w:w="709" w:type="dxa"/>
            <w:tcBorders>
              <w:top w:val="single" w:sz="4" w:space="0" w:color="auto"/>
              <w:left w:val="nil"/>
              <w:bottom w:val="single" w:sz="4" w:space="0" w:color="auto"/>
              <w:right w:val="single" w:sz="4" w:space="0" w:color="auto"/>
            </w:tcBorders>
            <w:shd w:val="clear" w:color="auto" w:fill="auto"/>
            <w:vAlign w:val="center"/>
          </w:tcPr>
          <w:p w14:paraId="60BCFD0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2-572873</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35540"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2A471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5810B"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642E01"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45C03F"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CECE93C"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C6D0C"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16.661.550,00</w:t>
            </w:r>
          </w:p>
        </w:tc>
      </w:tr>
      <w:tr w:rsidR="00FB3BE3" w:rsidRPr="006D5FE0" w14:paraId="71691638"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43DB6C0"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Marín López Ana Isabel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98985A" w14:textId="341CFD05"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D10663">
              <w:rPr>
                <w:rFonts w:ascii="Arial Narrow" w:hAnsi="Arial Narrow" w:cs="Arial"/>
                <w:sz w:val="16"/>
                <w:szCs w:val="16"/>
                <w:lang w:val="es-CR" w:eastAsia="es-CR"/>
              </w:rPr>
              <w:t>-</w:t>
            </w:r>
            <w:r>
              <w:rPr>
                <w:rFonts w:ascii="Arial Narrow" w:hAnsi="Arial Narrow" w:cs="Arial"/>
                <w:sz w:val="16"/>
                <w:szCs w:val="16"/>
                <w:lang w:val="es-CR" w:eastAsia="es-CR"/>
              </w:rPr>
              <w:t>807112</w:t>
            </w:r>
          </w:p>
        </w:tc>
        <w:tc>
          <w:tcPr>
            <w:tcW w:w="709" w:type="dxa"/>
            <w:tcBorders>
              <w:top w:val="single" w:sz="4" w:space="0" w:color="auto"/>
              <w:left w:val="nil"/>
              <w:bottom w:val="single" w:sz="4" w:space="0" w:color="auto"/>
              <w:right w:val="single" w:sz="4" w:space="0" w:color="auto"/>
            </w:tcBorders>
            <w:shd w:val="clear" w:color="auto" w:fill="auto"/>
            <w:vAlign w:val="center"/>
          </w:tcPr>
          <w:p w14:paraId="5F197BCD"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5-215466</w:t>
            </w:r>
          </w:p>
        </w:tc>
        <w:tc>
          <w:tcPr>
            <w:tcW w:w="851" w:type="dxa"/>
            <w:tcBorders>
              <w:top w:val="single" w:sz="4" w:space="0" w:color="auto"/>
              <w:left w:val="nil"/>
              <w:bottom w:val="single" w:sz="4" w:space="0" w:color="auto"/>
              <w:right w:val="single" w:sz="4" w:space="0" w:color="auto"/>
            </w:tcBorders>
            <w:shd w:val="clear" w:color="auto" w:fill="auto"/>
            <w:vAlign w:val="center"/>
          </w:tcPr>
          <w:p w14:paraId="6FAF4FC5"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432C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CB9A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1B592C" w14:textId="77777777" w:rsidR="00FB3BE3" w:rsidRDefault="00FB3BE3" w:rsidP="003148EE">
            <w:pPr>
              <w:ind w:left="-70"/>
              <w:jc w:val="center"/>
              <w:rPr>
                <w:rFonts w:ascii="Arial Narrow" w:hAnsi="Arial Narrow" w:cs="Arial"/>
                <w:sz w:val="16"/>
                <w:szCs w:val="16"/>
                <w:lang w:val="es-CR" w:eastAsia="es-CR"/>
              </w:rPr>
            </w:pPr>
            <w:r w:rsidRPr="00F344EC">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991F"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356ED3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D729BC"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16.161.550,00</w:t>
            </w:r>
          </w:p>
        </w:tc>
      </w:tr>
      <w:tr w:rsidR="00FB3BE3" w:rsidRPr="006D5FE0" w14:paraId="16A81C54"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786452C"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Quesada Vega Odir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18994E"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5-0301-0827</w:t>
            </w:r>
          </w:p>
        </w:tc>
        <w:tc>
          <w:tcPr>
            <w:tcW w:w="709" w:type="dxa"/>
            <w:tcBorders>
              <w:top w:val="single" w:sz="4" w:space="0" w:color="auto"/>
              <w:left w:val="nil"/>
              <w:bottom w:val="single" w:sz="4" w:space="0" w:color="auto"/>
              <w:right w:val="single" w:sz="4" w:space="0" w:color="auto"/>
            </w:tcBorders>
            <w:shd w:val="clear" w:color="auto" w:fill="auto"/>
            <w:vAlign w:val="center"/>
          </w:tcPr>
          <w:p w14:paraId="3BBE038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5-233720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9A22BF"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339E8D"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664A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606E48"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736D31"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030AAA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0F5E7A"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18.591.720,00</w:t>
            </w:r>
          </w:p>
        </w:tc>
      </w:tr>
      <w:tr w:rsidR="00FB3BE3" w:rsidRPr="006D5FE0" w14:paraId="2D131892"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538A39"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Salazar Boza Alejandra Virginia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A800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5-0333-0990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C3E65C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2-548042</w:t>
            </w:r>
          </w:p>
        </w:tc>
        <w:tc>
          <w:tcPr>
            <w:tcW w:w="851" w:type="dxa"/>
            <w:tcBorders>
              <w:top w:val="single" w:sz="4" w:space="0" w:color="auto"/>
              <w:left w:val="nil"/>
              <w:bottom w:val="single" w:sz="4" w:space="0" w:color="auto"/>
              <w:right w:val="single" w:sz="4" w:space="0" w:color="auto"/>
            </w:tcBorders>
            <w:shd w:val="clear" w:color="auto" w:fill="auto"/>
            <w:vAlign w:val="center"/>
          </w:tcPr>
          <w:p w14:paraId="20D39050"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Upala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5411B2"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7C231"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3.850.000,00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219444"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41AC9B"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28756C0"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18020A"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15.795.550,00</w:t>
            </w:r>
          </w:p>
        </w:tc>
      </w:tr>
      <w:tr w:rsidR="00FB3BE3" w:rsidRPr="006D5FE0" w14:paraId="15BA1275"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A251D6"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González Rodesno Danny Alexander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2A4C70" w14:textId="57238846"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155806</w:t>
            </w:r>
            <w:r w:rsidR="00D10663">
              <w:rPr>
                <w:rFonts w:ascii="Arial Narrow" w:hAnsi="Arial Narrow" w:cs="Arial"/>
                <w:sz w:val="16"/>
                <w:szCs w:val="16"/>
                <w:lang w:val="es-CR" w:eastAsia="es-CR"/>
              </w:rPr>
              <w:t>-</w:t>
            </w:r>
            <w:r>
              <w:rPr>
                <w:rFonts w:ascii="Arial Narrow" w:hAnsi="Arial Narrow" w:cs="Arial"/>
                <w:sz w:val="16"/>
                <w:szCs w:val="16"/>
                <w:lang w:val="es-CR" w:eastAsia="es-CR"/>
              </w:rPr>
              <w:t>981634</w:t>
            </w:r>
          </w:p>
        </w:tc>
        <w:tc>
          <w:tcPr>
            <w:tcW w:w="709" w:type="dxa"/>
            <w:tcBorders>
              <w:top w:val="single" w:sz="4" w:space="0" w:color="auto"/>
              <w:left w:val="nil"/>
              <w:bottom w:val="single" w:sz="4" w:space="0" w:color="auto"/>
              <w:right w:val="single" w:sz="4" w:space="0" w:color="auto"/>
            </w:tcBorders>
            <w:shd w:val="clear" w:color="auto" w:fill="auto"/>
            <w:vAlign w:val="center"/>
          </w:tcPr>
          <w:p w14:paraId="37C372C1"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7-173258</w:t>
            </w:r>
          </w:p>
        </w:tc>
        <w:tc>
          <w:tcPr>
            <w:tcW w:w="851" w:type="dxa"/>
            <w:tcBorders>
              <w:top w:val="single" w:sz="4" w:space="0" w:color="auto"/>
              <w:left w:val="nil"/>
              <w:bottom w:val="single" w:sz="4" w:space="0" w:color="auto"/>
              <w:right w:val="single" w:sz="4" w:space="0" w:color="auto"/>
            </w:tcBorders>
            <w:shd w:val="clear" w:color="auto" w:fill="auto"/>
            <w:vAlign w:val="center"/>
          </w:tcPr>
          <w:p w14:paraId="6016189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99DA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E24991"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2D0C19"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3625C6"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140.850,00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C53FF2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70A6C0"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15.117.650,00</w:t>
            </w:r>
          </w:p>
        </w:tc>
      </w:tr>
      <w:tr w:rsidR="00FB3BE3" w:rsidRPr="006D5FE0" w14:paraId="5273E07B"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62CBFA"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Foster Tucker Janis Elitza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37F582"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7-0150-0736</w:t>
            </w:r>
          </w:p>
        </w:tc>
        <w:tc>
          <w:tcPr>
            <w:tcW w:w="709" w:type="dxa"/>
            <w:tcBorders>
              <w:top w:val="single" w:sz="4" w:space="0" w:color="auto"/>
              <w:left w:val="nil"/>
              <w:bottom w:val="single" w:sz="4" w:space="0" w:color="auto"/>
              <w:right w:val="single" w:sz="4" w:space="0" w:color="auto"/>
            </w:tcBorders>
            <w:shd w:val="clear" w:color="auto" w:fill="auto"/>
            <w:vAlign w:val="center"/>
          </w:tcPr>
          <w:p w14:paraId="30D26534"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7-172292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8141BA"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33B24"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C07AE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375A1D"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88E9EA"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156.240,00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782BEFA"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E55829"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16.537.560,00</w:t>
            </w:r>
          </w:p>
        </w:tc>
      </w:tr>
      <w:tr w:rsidR="00FB3BE3" w:rsidRPr="006D5FE0" w14:paraId="19AE88B7"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77A261"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Camacho Duartes José Leonidas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9D38F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5-0254-0527</w:t>
            </w:r>
          </w:p>
        </w:tc>
        <w:tc>
          <w:tcPr>
            <w:tcW w:w="709" w:type="dxa"/>
            <w:tcBorders>
              <w:top w:val="single" w:sz="4" w:space="0" w:color="auto"/>
              <w:left w:val="nil"/>
              <w:bottom w:val="single" w:sz="4" w:space="0" w:color="auto"/>
              <w:right w:val="single" w:sz="4" w:space="0" w:color="auto"/>
            </w:tcBorders>
            <w:shd w:val="clear" w:color="auto" w:fill="auto"/>
            <w:vAlign w:val="center"/>
          </w:tcPr>
          <w:p w14:paraId="649EE10C"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2-552876</w:t>
            </w:r>
          </w:p>
        </w:tc>
        <w:tc>
          <w:tcPr>
            <w:tcW w:w="851" w:type="dxa"/>
            <w:tcBorders>
              <w:top w:val="single" w:sz="4" w:space="0" w:color="auto"/>
              <w:left w:val="nil"/>
              <w:bottom w:val="single" w:sz="4" w:space="0" w:color="auto"/>
              <w:right w:val="single" w:sz="4" w:space="0" w:color="auto"/>
            </w:tcBorders>
            <w:shd w:val="clear" w:color="auto" w:fill="auto"/>
            <w:vAlign w:val="center"/>
          </w:tcPr>
          <w:p w14:paraId="3E2C859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0DE8D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A6B0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D8CD1A"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4124F4"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140.850,00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7337B8F"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17EB65"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14.567.650,00</w:t>
            </w:r>
          </w:p>
        </w:tc>
      </w:tr>
      <w:tr w:rsidR="00FB3BE3" w:rsidRPr="006D5FE0" w14:paraId="31CA4BF1"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7BF943E"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Conejo Segura Dania Magaly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A6FE7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5-0399-0991</w:t>
            </w:r>
          </w:p>
        </w:tc>
        <w:tc>
          <w:tcPr>
            <w:tcW w:w="709" w:type="dxa"/>
            <w:tcBorders>
              <w:top w:val="single" w:sz="4" w:space="0" w:color="auto"/>
              <w:left w:val="nil"/>
              <w:bottom w:val="single" w:sz="4" w:space="0" w:color="auto"/>
              <w:right w:val="single" w:sz="4" w:space="0" w:color="auto"/>
            </w:tcBorders>
            <w:shd w:val="clear" w:color="auto" w:fill="auto"/>
            <w:vAlign w:val="center"/>
          </w:tcPr>
          <w:p w14:paraId="007D034F"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2-583685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6F4ACB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92B91C"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D410D5"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9694EC"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DBD788"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145.950,00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3E8664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486.500,00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A8A4E3"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15.079.550,00</w:t>
            </w:r>
          </w:p>
        </w:tc>
      </w:tr>
      <w:tr w:rsidR="00FB3BE3" w:rsidRPr="006D5FE0" w14:paraId="52740A39"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D02E39" w14:textId="49F62804"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Calderón Calderón Mar</w:t>
            </w:r>
            <w:r w:rsidR="00916843">
              <w:rPr>
                <w:rFonts w:ascii="Arial Narrow" w:hAnsi="Arial Narrow" w:cs="Arial"/>
                <w:sz w:val="16"/>
                <w:szCs w:val="16"/>
                <w:lang w:val="es-CR" w:eastAsia="es-CR"/>
              </w:rPr>
              <w:t>í</w:t>
            </w:r>
            <w:r>
              <w:rPr>
                <w:rFonts w:ascii="Arial Narrow" w:hAnsi="Arial Narrow" w:cs="Arial"/>
                <w:sz w:val="16"/>
                <w:szCs w:val="16"/>
                <w:lang w:val="es-CR" w:eastAsia="es-CR"/>
              </w:rPr>
              <w:t xml:space="preserve">a de los </w:t>
            </w:r>
            <w:r w:rsidR="00916843">
              <w:rPr>
                <w:rFonts w:ascii="Arial Narrow" w:hAnsi="Arial Narrow" w:cs="Arial"/>
                <w:sz w:val="16"/>
                <w:szCs w:val="16"/>
                <w:lang w:val="es-CR" w:eastAsia="es-CR"/>
              </w:rPr>
              <w:t>Á</w:t>
            </w:r>
            <w:r>
              <w:rPr>
                <w:rFonts w:ascii="Arial Narrow" w:hAnsi="Arial Narrow" w:cs="Arial"/>
                <w:sz w:val="16"/>
                <w:szCs w:val="16"/>
                <w:lang w:val="es-CR" w:eastAsia="es-CR"/>
              </w:rPr>
              <w:t xml:space="preserve">ngeles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8A1A1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3-0381-0609</w:t>
            </w:r>
          </w:p>
        </w:tc>
        <w:tc>
          <w:tcPr>
            <w:tcW w:w="709" w:type="dxa"/>
            <w:tcBorders>
              <w:top w:val="single" w:sz="4" w:space="0" w:color="auto"/>
              <w:left w:val="nil"/>
              <w:bottom w:val="single" w:sz="4" w:space="0" w:color="auto"/>
              <w:right w:val="single" w:sz="4" w:space="0" w:color="auto"/>
            </w:tcBorders>
            <w:shd w:val="clear" w:color="auto" w:fill="auto"/>
            <w:vAlign w:val="center"/>
          </w:tcPr>
          <w:p w14:paraId="3E17FF4F"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3-228884</w:t>
            </w:r>
          </w:p>
        </w:tc>
        <w:tc>
          <w:tcPr>
            <w:tcW w:w="851" w:type="dxa"/>
            <w:tcBorders>
              <w:top w:val="single" w:sz="4" w:space="0" w:color="auto"/>
              <w:left w:val="nil"/>
              <w:bottom w:val="single" w:sz="4" w:space="0" w:color="auto"/>
              <w:right w:val="single" w:sz="4" w:space="0" w:color="auto"/>
            </w:tcBorders>
            <w:shd w:val="clear" w:color="auto" w:fill="auto"/>
            <w:vAlign w:val="center"/>
          </w:tcPr>
          <w:p w14:paraId="39AA4574"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Oreamuno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73F1E"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7D42C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E77C72C"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14.052.221,14</w:t>
            </w:r>
          </w:p>
        </w:tc>
        <w:tc>
          <w:tcPr>
            <w:tcW w:w="851" w:type="dxa"/>
            <w:tcBorders>
              <w:top w:val="single" w:sz="4" w:space="0" w:color="auto"/>
              <w:left w:val="nil"/>
              <w:bottom w:val="single" w:sz="4" w:space="0" w:color="auto"/>
              <w:right w:val="single" w:sz="4" w:space="0" w:color="auto"/>
            </w:tcBorders>
            <w:shd w:val="clear" w:color="auto" w:fill="auto"/>
            <w:vAlign w:val="center"/>
          </w:tcPr>
          <w:p w14:paraId="0420DEFF"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14.692,57</w:t>
            </w:r>
          </w:p>
        </w:tc>
        <w:tc>
          <w:tcPr>
            <w:tcW w:w="837" w:type="dxa"/>
            <w:tcBorders>
              <w:top w:val="single" w:sz="4" w:space="0" w:color="auto"/>
              <w:left w:val="nil"/>
              <w:bottom w:val="single" w:sz="4" w:space="0" w:color="auto"/>
              <w:right w:val="single" w:sz="4" w:space="0" w:color="auto"/>
            </w:tcBorders>
            <w:shd w:val="clear" w:color="auto" w:fill="auto"/>
            <w:vAlign w:val="center"/>
          </w:tcPr>
          <w:p w14:paraId="7C17816C"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146.925,74</w:t>
            </w:r>
          </w:p>
        </w:tc>
        <w:tc>
          <w:tcPr>
            <w:tcW w:w="992" w:type="dxa"/>
            <w:tcBorders>
              <w:top w:val="single" w:sz="4" w:space="0" w:color="auto"/>
              <w:left w:val="nil"/>
              <w:bottom w:val="single" w:sz="4" w:space="0" w:color="auto"/>
              <w:right w:val="single" w:sz="4" w:space="0" w:color="auto"/>
            </w:tcBorders>
            <w:shd w:val="clear" w:color="auto" w:fill="auto"/>
            <w:vAlign w:val="center"/>
          </w:tcPr>
          <w:p w14:paraId="2CCD138E"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14.184.454,31</w:t>
            </w:r>
          </w:p>
        </w:tc>
      </w:tr>
      <w:tr w:rsidR="00FB3BE3" w:rsidRPr="006D5FE0" w14:paraId="3FFDB1E0"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8B90C2A"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Espinoza Gutiérrez Dionisia Francisca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1490D4" w14:textId="2A4301DC"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960E35">
              <w:rPr>
                <w:rFonts w:ascii="Arial Narrow" w:hAnsi="Arial Narrow" w:cs="Arial"/>
                <w:sz w:val="16"/>
                <w:szCs w:val="16"/>
                <w:lang w:val="es-CR" w:eastAsia="es-CR"/>
              </w:rPr>
              <w:t>-</w:t>
            </w:r>
            <w:r>
              <w:rPr>
                <w:rFonts w:ascii="Arial Narrow" w:hAnsi="Arial Narrow" w:cs="Arial"/>
                <w:sz w:val="16"/>
                <w:szCs w:val="16"/>
                <w:lang w:val="es-CR" w:eastAsia="es-CR"/>
              </w:rPr>
              <w:t>947912</w:t>
            </w:r>
          </w:p>
        </w:tc>
        <w:tc>
          <w:tcPr>
            <w:tcW w:w="709" w:type="dxa"/>
            <w:tcBorders>
              <w:top w:val="single" w:sz="4" w:space="0" w:color="auto"/>
              <w:left w:val="nil"/>
              <w:bottom w:val="single" w:sz="4" w:space="0" w:color="auto"/>
              <w:right w:val="single" w:sz="4" w:space="0" w:color="auto"/>
            </w:tcBorders>
            <w:shd w:val="clear" w:color="auto" w:fill="auto"/>
            <w:vAlign w:val="center"/>
          </w:tcPr>
          <w:p w14:paraId="7605129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2-570935</w:t>
            </w:r>
          </w:p>
        </w:tc>
        <w:tc>
          <w:tcPr>
            <w:tcW w:w="851" w:type="dxa"/>
            <w:tcBorders>
              <w:top w:val="single" w:sz="4" w:space="0" w:color="auto"/>
              <w:left w:val="nil"/>
              <w:bottom w:val="single" w:sz="4" w:space="0" w:color="auto"/>
              <w:right w:val="single" w:sz="4" w:space="0" w:color="auto"/>
            </w:tcBorders>
            <w:shd w:val="clear" w:color="auto" w:fill="auto"/>
            <w:vAlign w:val="center"/>
          </w:tcPr>
          <w:p w14:paraId="3BA73B8B"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413BF"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964E7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4D2165"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11.115.000,00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D06E454"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260.400,00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C722CAE"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28D199"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17.875.400,00</w:t>
            </w:r>
          </w:p>
        </w:tc>
      </w:tr>
      <w:tr w:rsidR="00FB3BE3" w:rsidRPr="006D5FE0" w14:paraId="2CC9EA7E"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9DA94F" w14:textId="67AB1F79"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Chaves Espinoza Daniela Es</w:t>
            </w:r>
            <w:r w:rsidR="00960E35">
              <w:rPr>
                <w:rFonts w:ascii="Arial Narrow" w:hAnsi="Arial Narrow" w:cs="Arial"/>
                <w:sz w:val="16"/>
                <w:szCs w:val="16"/>
                <w:lang w:val="es-CR" w:eastAsia="es-CR"/>
              </w:rPr>
              <w:t>t</w:t>
            </w:r>
            <w:r>
              <w:rPr>
                <w:rFonts w:ascii="Arial Narrow" w:hAnsi="Arial Narrow" w:cs="Arial"/>
                <w:sz w:val="16"/>
                <w:szCs w:val="16"/>
                <w:lang w:val="es-CR" w:eastAsia="es-CR"/>
              </w:rPr>
              <w:t xml:space="preserve">rella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74E16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1-1677-0451</w:t>
            </w:r>
          </w:p>
        </w:tc>
        <w:tc>
          <w:tcPr>
            <w:tcW w:w="709" w:type="dxa"/>
            <w:tcBorders>
              <w:top w:val="single" w:sz="4" w:space="0" w:color="auto"/>
              <w:left w:val="nil"/>
              <w:bottom w:val="single" w:sz="4" w:space="0" w:color="auto"/>
              <w:right w:val="single" w:sz="4" w:space="0" w:color="auto"/>
            </w:tcBorders>
            <w:shd w:val="clear" w:color="auto" w:fill="auto"/>
            <w:vAlign w:val="center"/>
          </w:tcPr>
          <w:p w14:paraId="1FF77AD2"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2-548040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2F8B6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3C25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347DE"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3.950.000,00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28D554"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78CF4DF"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9AE46F"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3A2C80"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14.111.550,00</w:t>
            </w:r>
          </w:p>
        </w:tc>
      </w:tr>
      <w:tr w:rsidR="00FB3BE3" w:rsidRPr="006D5FE0" w14:paraId="29AF4F64"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359BE5"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lastRenderedPageBreak/>
              <w:t>Vallejos Rodríguez Viviana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AA7BE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1-1279-0421</w:t>
            </w:r>
          </w:p>
        </w:tc>
        <w:tc>
          <w:tcPr>
            <w:tcW w:w="709" w:type="dxa"/>
            <w:tcBorders>
              <w:top w:val="single" w:sz="4" w:space="0" w:color="auto"/>
              <w:left w:val="nil"/>
              <w:bottom w:val="single" w:sz="4" w:space="0" w:color="auto"/>
              <w:right w:val="single" w:sz="4" w:space="0" w:color="auto"/>
            </w:tcBorders>
            <w:shd w:val="clear" w:color="auto" w:fill="auto"/>
            <w:vAlign w:val="center"/>
          </w:tcPr>
          <w:p w14:paraId="3F60335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7-173259</w:t>
            </w:r>
          </w:p>
        </w:tc>
        <w:tc>
          <w:tcPr>
            <w:tcW w:w="851" w:type="dxa"/>
            <w:tcBorders>
              <w:top w:val="single" w:sz="4" w:space="0" w:color="auto"/>
              <w:left w:val="nil"/>
              <w:bottom w:val="single" w:sz="4" w:space="0" w:color="auto"/>
              <w:right w:val="single" w:sz="4" w:space="0" w:color="auto"/>
            </w:tcBorders>
            <w:shd w:val="clear" w:color="auto" w:fill="auto"/>
            <w:vAlign w:val="center"/>
          </w:tcPr>
          <w:p w14:paraId="689E9C7F"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692B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96995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85A746"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6F0E42"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482CE0C"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27748E"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17.041.720,00</w:t>
            </w:r>
          </w:p>
        </w:tc>
      </w:tr>
      <w:tr w:rsidR="00FB3BE3" w:rsidRPr="006D5FE0" w14:paraId="0686A24E" w14:textId="77777777" w:rsidTr="00960E3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858712"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Mena Fernández María Jackeline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9B8BEA"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7-0213-0315</w:t>
            </w:r>
          </w:p>
        </w:tc>
        <w:tc>
          <w:tcPr>
            <w:tcW w:w="709" w:type="dxa"/>
            <w:tcBorders>
              <w:top w:val="single" w:sz="4" w:space="0" w:color="auto"/>
              <w:left w:val="nil"/>
              <w:bottom w:val="single" w:sz="4" w:space="0" w:color="auto"/>
              <w:right w:val="single" w:sz="4" w:space="0" w:color="auto"/>
            </w:tcBorders>
            <w:shd w:val="clear" w:color="auto" w:fill="auto"/>
            <w:vAlign w:val="center"/>
          </w:tcPr>
          <w:p w14:paraId="205369B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7-173256</w:t>
            </w:r>
          </w:p>
        </w:tc>
        <w:tc>
          <w:tcPr>
            <w:tcW w:w="851" w:type="dxa"/>
            <w:tcBorders>
              <w:top w:val="single" w:sz="4" w:space="0" w:color="auto"/>
              <w:left w:val="nil"/>
              <w:bottom w:val="single" w:sz="4" w:space="0" w:color="auto"/>
              <w:right w:val="single" w:sz="4" w:space="0" w:color="auto"/>
            </w:tcBorders>
            <w:shd w:val="clear" w:color="auto" w:fill="auto"/>
            <w:vAlign w:val="center"/>
          </w:tcPr>
          <w:p w14:paraId="3B0ABBC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20979"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23470"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25920"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601C917"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D8C2E22"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D2795C"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15.211.550,00</w:t>
            </w:r>
          </w:p>
        </w:tc>
      </w:tr>
      <w:tr w:rsidR="00FB3BE3" w:rsidRPr="006D5FE0" w14:paraId="0FC90194" w14:textId="77777777" w:rsidTr="003148E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60D42AE" w14:textId="77777777" w:rsidR="00FB3BE3"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Astúa Cárdenas Jeannette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C3FDD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1-1123-0450</w:t>
            </w:r>
          </w:p>
        </w:tc>
        <w:tc>
          <w:tcPr>
            <w:tcW w:w="709" w:type="dxa"/>
            <w:tcBorders>
              <w:top w:val="single" w:sz="4" w:space="0" w:color="auto"/>
              <w:left w:val="nil"/>
              <w:bottom w:val="single" w:sz="4" w:space="0" w:color="auto"/>
              <w:right w:val="single" w:sz="4" w:space="0" w:color="auto"/>
            </w:tcBorders>
            <w:shd w:val="clear" w:color="auto" w:fill="auto"/>
            <w:vAlign w:val="center"/>
          </w:tcPr>
          <w:p w14:paraId="7AED8827"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1-697855</w:t>
            </w:r>
          </w:p>
        </w:tc>
        <w:tc>
          <w:tcPr>
            <w:tcW w:w="851" w:type="dxa"/>
            <w:tcBorders>
              <w:top w:val="single" w:sz="4" w:space="0" w:color="auto"/>
              <w:left w:val="nil"/>
              <w:bottom w:val="single" w:sz="4" w:space="0" w:color="auto"/>
              <w:right w:val="single" w:sz="4" w:space="0" w:color="auto"/>
            </w:tcBorders>
            <w:shd w:val="clear" w:color="auto" w:fill="auto"/>
            <w:vAlign w:val="center"/>
          </w:tcPr>
          <w:p w14:paraId="058D2DCB"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226E5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F8574" w14:textId="77777777" w:rsidR="00FB3BE3" w:rsidRDefault="00FB3BE3" w:rsidP="003148E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DF6D10"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9.743.971,34</w:t>
            </w:r>
          </w:p>
        </w:tc>
        <w:tc>
          <w:tcPr>
            <w:tcW w:w="851" w:type="dxa"/>
            <w:tcBorders>
              <w:top w:val="single" w:sz="4" w:space="0" w:color="auto"/>
              <w:left w:val="nil"/>
              <w:bottom w:val="single" w:sz="4" w:space="0" w:color="auto"/>
              <w:right w:val="single" w:sz="4" w:space="0" w:color="auto"/>
            </w:tcBorders>
            <w:shd w:val="clear" w:color="auto" w:fill="auto"/>
            <w:vAlign w:val="center"/>
          </w:tcPr>
          <w:p w14:paraId="3867C1F3"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43.376,25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7F885786"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433.762,50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929E20"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15.134.357,59</w:t>
            </w:r>
          </w:p>
        </w:tc>
      </w:tr>
      <w:tr w:rsidR="00FB3BE3" w:rsidRPr="00F67547" w14:paraId="09CB122A" w14:textId="77777777" w:rsidTr="003148EE">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D4E36FA" w14:textId="77777777" w:rsidR="00FB3BE3" w:rsidRPr="00F67547" w:rsidRDefault="00FB3BE3" w:rsidP="003148E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C9FCEBE" w14:textId="77777777" w:rsidR="00FB3BE3" w:rsidRPr="00F67547" w:rsidRDefault="00FB3BE3" w:rsidP="003148EE">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E847F24" w14:textId="77777777" w:rsidR="00FB3BE3" w:rsidRDefault="00FB3BE3" w:rsidP="00FB3BE3">
      <w:pPr>
        <w:spacing w:line="360" w:lineRule="auto"/>
        <w:jc w:val="both"/>
        <w:rPr>
          <w:rFonts w:cs="Arial"/>
          <w:sz w:val="22"/>
          <w:szCs w:val="22"/>
        </w:rPr>
      </w:pPr>
    </w:p>
    <w:p w14:paraId="4C0E7686" w14:textId="77777777" w:rsidR="00FB3BE3" w:rsidRPr="00FD161B" w:rsidRDefault="00FB3BE3" w:rsidP="00FB3BE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1E5C27A" w14:textId="77777777" w:rsidR="00FB3BE3" w:rsidRPr="00FD161B" w:rsidRDefault="00FB3BE3" w:rsidP="00FB3BE3">
      <w:pPr>
        <w:spacing w:line="360" w:lineRule="auto"/>
        <w:jc w:val="both"/>
        <w:rPr>
          <w:rFonts w:cs="Arial"/>
          <w:bCs/>
          <w:sz w:val="22"/>
          <w:szCs w:val="22"/>
        </w:rPr>
      </w:pPr>
    </w:p>
    <w:p w14:paraId="4662AD51" w14:textId="77777777" w:rsidR="00FB3BE3" w:rsidRPr="00FD161B" w:rsidRDefault="00FB3BE3" w:rsidP="00FB3BE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29FE4F3" w14:textId="77777777" w:rsidR="00FB3BE3" w:rsidRPr="00FD161B" w:rsidRDefault="00FB3BE3" w:rsidP="00FB3BE3">
      <w:pPr>
        <w:spacing w:line="360" w:lineRule="auto"/>
        <w:jc w:val="both"/>
        <w:rPr>
          <w:rFonts w:cs="Arial"/>
          <w:bCs/>
          <w:sz w:val="22"/>
          <w:szCs w:val="22"/>
        </w:rPr>
      </w:pPr>
    </w:p>
    <w:p w14:paraId="5B1F2707" w14:textId="77777777" w:rsidR="00FB3BE3" w:rsidRPr="00FD161B" w:rsidRDefault="00FB3BE3" w:rsidP="00FB3BE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5290ED5" w14:textId="77777777" w:rsidR="00FB3BE3" w:rsidRPr="00FD161B" w:rsidRDefault="00FB3BE3" w:rsidP="00FB3BE3">
      <w:pPr>
        <w:spacing w:line="360" w:lineRule="auto"/>
        <w:jc w:val="both"/>
        <w:rPr>
          <w:rFonts w:cs="Arial"/>
          <w:bCs/>
          <w:sz w:val="22"/>
          <w:szCs w:val="22"/>
        </w:rPr>
      </w:pPr>
    </w:p>
    <w:p w14:paraId="232AF2AC" w14:textId="77777777" w:rsidR="00FB3BE3" w:rsidRDefault="00FB3BE3" w:rsidP="00FB3BE3">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1AC7C89" w14:textId="1BD8FF68" w:rsidR="00FB3BE3" w:rsidRDefault="00FB3BE3" w:rsidP="00FB3BE3">
      <w:pPr>
        <w:spacing w:line="360" w:lineRule="auto"/>
        <w:jc w:val="both"/>
        <w:rPr>
          <w:rFonts w:cs="Arial"/>
          <w:bCs/>
          <w:sz w:val="22"/>
          <w:szCs w:val="22"/>
        </w:rPr>
      </w:pPr>
    </w:p>
    <w:p w14:paraId="6ECAFF49" w14:textId="443ADCB8" w:rsidR="00E36CAB" w:rsidRDefault="0009357C" w:rsidP="00FB3BE3">
      <w:pPr>
        <w:spacing w:line="360" w:lineRule="auto"/>
        <w:jc w:val="both"/>
        <w:rPr>
          <w:rFonts w:cs="Arial"/>
          <w:bCs/>
          <w:sz w:val="22"/>
          <w:szCs w:val="22"/>
        </w:rPr>
      </w:pPr>
      <w:r w:rsidRPr="0009357C">
        <w:rPr>
          <w:rFonts w:cs="Arial"/>
          <w:b/>
          <w:sz w:val="22"/>
          <w:szCs w:val="22"/>
        </w:rPr>
        <w:t>6)</w:t>
      </w:r>
      <w:r>
        <w:rPr>
          <w:rFonts w:cs="Arial"/>
          <w:bCs/>
          <w:sz w:val="22"/>
          <w:szCs w:val="22"/>
        </w:rPr>
        <w:t xml:space="preserve"> </w:t>
      </w:r>
      <w:r w:rsidR="00E36CAB">
        <w:rPr>
          <w:rFonts w:cs="Arial"/>
          <w:bCs/>
          <w:sz w:val="22"/>
          <w:szCs w:val="22"/>
        </w:rPr>
        <w:t xml:space="preserve">Con respecto al caso de la señora María de los Ángeles Calderón Calderón, </w:t>
      </w:r>
      <w:r w:rsidR="00AA59B2">
        <w:rPr>
          <w:rFonts w:cs="Arial"/>
          <w:bCs/>
          <w:sz w:val="22"/>
          <w:szCs w:val="22"/>
        </w:rPr>
        <w:t xml:space="preserve">se autoriza la </w:t>
      </w:r>
      <w:r w:rsidR="00E36CAB">
        <w:rPr>
          <w:rFonts w:cs="Arial"/>
          <w:bCs/>
          <w:sz w:val="22"/>
          <w:szCs w:val="22"/>
        </w:rPr>
        <w:t>sustitución de la anterior beneficiaria, Yadira Camacho González, cédula N° 5-0177-0333 y se ingresa en el proyecto otorgando la solución de vivienda a la señora Calderón Calderón, producto de la sustitución</w:t>
      </w:r>
      <w:r>
        <w:rPr>
          <w:rFonts w:cs="Arial"/>
          <w:bCs/>
          <w:sz w:val="22"/>
          <w:szCs w:val="22"/>
        </w:rPr>
        <w:t>.  Consecuentemente, se</w:t>
      </w:r>
      <w:r w:rsidR="00E36CAB">
        <w:rPr>
          <w:rFonts w:cs="Arial"/>
          <w:bCs/>
          <w:sz w:val="22"/>
          <w:szCs w:val="22"/>
        </w:rPr>
        <w:t xml:space="preserve"> autoriza la anulación del caso 1000014089 a favor de la señora Yadira Camacho González, el cual se encuentra en estado “Emitido”.  La Dirección FOSUVI hará la retención de ¢6.642.220,41 correspondiente a la parte proporcional del financiamiento del proyecto Vista Hermosa.</w:t>
      </w:r>
    </w:p>
    <w:p w14:paraId="1CAFD6ED" w14:textId="20D4FC78" w:rsidR="00E36CAB" w:rsidRDefault="00E36CAB" w:rsidP="00FB3BE3">
      <w:pPr>
        <w:spacing w:line="360" w:lineRule="auto"/>
        <w:jc w:val="both"/>
        <w:rPr>
          <w:rFonts w:cs="Arial"/>
          <w:bCs/>
          <w:sz w:val="22"/>
          <w:szCs w:val="22"/>
        </w:rPr>
      </w:pPr>
    </w:p>
    <w:p w14:paraId="11327BA0" w14:textId="77661572" w:rsidR="00FB3BE3" w:rsidRDefault="0009357C" w:rsidP="00FB3BE3">
      <w:pPr>
        <w:spacing w:line="360" w:lineRule="auto"/>
        <w:jc w:val="both"/>
        <w:rPr>
          <w:rFonts w:cs="Arial"/>
          <w:sz w:val="22"/>
          <w:szCs w:val="22"/>
        </w:rPr>
      </w:pPr>
      <w:r>
        <w:rPr>
          <w:rFonts w:cs="Arial"/>
          <w:b/>
          <w:sz w:val="22"/>
          <w:szCs w:val="22"/>
        </w:rPr>
        <w:t>7</w:t>
      </w:r>
      <w:r w:rsidR="00FB3BE3" w:rsidRPr="00642CF0">
        <w:rPr>
          <w:rFonts w:cs="Arial"/>
          <w:b/>
          <w:sz w:val="22"/>
          <w:szCs w:val="22"/>
        </w:rPr>
        <w:t>)</w:t>
      </w:r>
      <w:r w:rsidR="00FB3BE3">
        <w:rPr>
          <w:rFonts w:cs="Arial"/>
          <w:bCs/>
          <w:sz w:val="22"/>
          <w:szCs w:val="22"/>
        </w:rPr>
        <w:t xml:space="preserve"> </w:t>
      </w:r>
      <w:r>
        <w:rPr>
          <w:rFonts w:cs="Arial"/>
          <w:bCs/>
          <w:sz w:val="22"/>
          <w:szCs w:val="22"/>
        </w:rPr>
        <w:t xml:space="preserve">La entidad autorizada deberá darle </w:t>
      </w:r>
      <w:r>
        <w:rPr>
          <w:rFonts w:cs="Arial"/>
          <w:sz w:val="22"/>
          <w:lang w:val="es-ES_tradnl"/>
        </w:rPr>
        <w:t>un seguimiento particular a</w:t>
      </w:r>
      <w:r w:rsidR="00FB3BE3">
        <w:rPr>
          <w:rFonts w:cs="Arial"/>
          <w:bCs/>
          <w:sz w:val="22"/>
          <w:szCs w:val="22"/>
        </w:rPr>
        <w:t xml:space="preserve"> los casos de los señores José Leonidas Camacho Duartes y Jennifer Blandón Castillo, </w:t>
      </w:r>
      <w:r>
        <w:rPr>
          <w:rFonts w:cs="Arial"/>
          <w:sz w:val="22"/>
          <w:lang w:val="es-ES_tradnl"/>
        </w:rPr>
        <w:t>para verificar que las viviendas cuentan con disponibilidad de agua potable.</w:t>
      </w:r>
    </w:p>
    <w:p w14:paraId="58BD5329" w14:textId="77777777" w:rsidR="00FB3BE3" w:rsidRPr="00AB2826" w:rsidRDefault="00FB3BE3" w:rsidP="00FB3BE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2C21E9" w14:textId="77777777" w:rsidR="00FB3BE3" w:rsidRPr="00D14EAF" w:rsidRDefault="00FB3BE3" w:rsidP="00FB3BE3">
      <w:pPr>
        <w:spacing w:line="360" w:lineRule="auto"/>
        <w:jc w:val="both"/>
        <w:rPr>
          <w:rFonts w:cs="Arial"/>
          <w:b/>
          <w:sz w:val="22"/>
        </w:rPr>
      </w:pPr>
      <w:r w:rsidRPr="00D14EAF">
        <w:rPr>
          <w:rFonts w:cs="Arial"/>
          <w:b/>
          <w:sz w:val="22"/>
        </w:rPr>
        <w:t>************</w:t>
      </w:r>
    </w:p>
    <w:p w14:paraId="16170FE8" w14:textId="0DCA043C" w:rsidR="00FB3BE3" w:rsidRDefault="00FB3BE3" w:rsidP="002B71CC">
      <w:pPr>
        <w:spacing w:line="360" w:lineRule="auto"/>
        <w:jc w:val="both"/>
        <w:rPr>
          <w:rFonts w:cs="Arial"/>
          <w:bCs/>
          <w:sz w:val="22"/>
          <w:szCs w:val="22"/>
        </w:rPr>
      </w:pPr>
    </w:p>
    <w:p w14:paraId="12C618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AE8E011" w14:textId="77777777" w:rsidR="001C61B5" w:rsidRDefault="00B6435D" w:rsidP="00B6435D">
      <w:pPr>
        <w:spacing w:line="360" w:lineRule="auto"/>
        <w:jc w:val="both"/>
        <w:rPr>
          <w:sz w:val="22"/>
          <w:szCs w:val="22"/>
          <w:lang w:val="es-CR"/>
        </w:rPr>
      </w:pPr>
      <w:r w:rsidRPr="007E1A0A">
        <w:rPr>
          <w:b/>
          <w:bCs/>
          <w:sz w:val="22"/>
          <w:szCs w:val="22"/>
        </w:rPr>
        <w:t>Considerando:</w:t>
      </w:r>
      <w:r w:rsidRPr="007E1A0A">
        <w:rPr>
          <w:b/>
          <w:bCs/>
          <w:sz w:val="22"/>
          <w:szCs w:val="22"/>
        </w:rPr>
        <w:cr/>
        <w:t>Primero:</w:t>
      </w:r>
      <w:r w:rsidRPr="007E1A0A">
        <w:rPr>
          <w:sz w:val="22"/>
          <w:szCs w:val="22"/>
        </w:rPr>
        <w:t xml:space="preserve"> Que </w:t>
      </w:r>
      <w:r w:rsidR="001C61B5">
        <w:rPr>
          <w:sz w:val="22"/>
          <w:szCs w:val="22"/>
        </w:rPr>
        <w:t xml:space="preserve">la Mutual Cartago </w:t>
      </w:r>
      <w:r w:rsidR="001C61B5" w:rsidRPr="001C61B5">
        <w:rPr>
          <w:rFonts w:cs="Arial"/>
          <w:sz w:val="22"/>
          <w:szCs w:val="22"/>
          <w:lang w:val="es-ES_tradnl"/>
        </w:rPr>
        <w:t>de Ahorro y Préstamo</w:t>
      </w:r>
      <w:r w:rsidR="001C61B5">
        <w:rPr>
          <w:rFonts w:cs="Arial"/>
          <w:sz w:val="22"/>
          <w:szCs w:val="22"/>
          <w:lang w:val="es-ES_tradnl"/>
        </w:rPr>
        <w:t>,</w:t>
      </w:r>
      <w:r>
        <w:rPr>
          <w:sz w:val="22"/>
          <w:szCs w:val="22"/>
        </w:rPr>
        <w:t xml:space="preserve">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Pr>
          <w:sz w:val="22"/>
          <w:szCs w:val="22"/>
        </w:rPr>
        <w:t>construcción en lote propio</w:t>
      </w:r>
      <w:r w:rsidRPr="007E1A0A">
        <w:rPr>
          <w:sz w:val="22"/>
          <w:szCs w:val="22"/>
        </w:rPr>
        <w:t xml:space="preserve">, a favor de la familia que encabeza </w:t>
      </w:r>
      <w:r w:rsidR="001C61B5">
        <w:rPr>
          <w:sz w:val="22"/>
          <w:szCs w:val="22"/>
        </w:rPr>
        <w:t>el señor Miguel Ángel Cascante Ramírez</w:t>
      </w:r>
      <w:r w:rsidR="001C61B5" w:rsidRPr="007E1A0A">
        <w:rPr>
          <w:sz w:val="22"/>
          <w:szCs w:val="22"/>
        </w:rPr>
        <w:t xml:space="preserve">, cuya </w:t>
      </w:r>
      <w:r w:rsidR="001C61B5">
        <w:rPr>
          <w:sz w:val="22"/>
          <w:szCs w:val="22"/>
        </w:rPr>
        <w:t>propiedad</w:t>
      </w:r>
      <w:r w:rsidR="001C61B5" w:rsidRPr="007E1A0A">
        <w:rPr>
          <w:sz w:val="22"/>
          <w:szCs w:val="22"/>
        </w:rPr>
        <w:t xml:space="preserve">, </w:t>
      </w:r>
      <w:r w:rsidR="001C61B5" w:rsidRPr="00656083">
        <w:rPr>
          <w:sz w:val="22"/>
          <w:szCs w:val="22"/>
        </w:rPr>
        <w:t xml:space="preserve">localizada en el </w:t>
      </w:r>
      <w:r w:rsidR="001C61B5">
        <w:rPr>
          <w:sz w:val="22"/>
          <w:szCs w:val="22"/>
        </w:rPr>
        <w:t xml:space="preserve">distrito Santa Teresita del </w:t>
      </w:r>
      <w:r w:rsidR="001C61B5" w:rsidRPr="00656083">
        <w:rPr>
          <w:sz w:val="22"/>
          <w:szCs w:val="22"/>
        </w:rPr>
        <w:t xml:space="preserve">cantón </w:t>
      </w:r>
      <w:r w:rsidR="001C61B5">
        <w:rPr>
          <w:sz w:val="22"/>
          <w:szCs w:val="22"/>
        </w:rPr>
        <w:t>de Turrialba, provincia de Cartago</w:t>
      </w:r>
      <w:r w:rsidR="001C61B5" w:rsidRPr="00656083">
        <w:rPr>
          <w:sz w:val="22"/>
          <w:szCs w:val="22"/>
        </w:rPr>
        <w:t xml:space="preserve">, </w:t>
      </w:r>
      <w:r w:rsidR="001C61B5">
        <w:rPr>
          <w:sz w:val="22"/>
          <w:szCs w:val="22"/>
        </w:rPr>
        <w:t>debe reconstruirse debido a los daños ocasionados por movimientos diferenciales en el terreno, según lo dictaminado por la Comisión Nacional de Prevención de Riesgos y Atención de Emergencias</w:t>
      </w:r>
      <w:r w:rsidR="001C61B5" w:rsidRPr="00A32FA1">
        <w:rPr>
          <w:sz w:val="22"/>
          <w:szCs w:val="22"/>
        </w:rPr>
        <w:t>; y además el ingreso familiar mensual es de ¢</w:t>
      </w:r>
      <w:r w:rsidR="001C61B5">
        <w:rPr>
          <w:sz w:val="22"/>
          <w:szCs w:val="22"/>
        </w:rPr>
        <w:t>200</w:t>
      </w:r>
      <w:r w:rsidR="001C61B5" w:rsidRPr="00A32FA1">
        <w:rPr>
          <w:sz w:val="22"/>
          <w:szCs w:val="22"/>
        </w:rPr>
        <w:t>.</w:t>
      </w:r>
      <w:r w:rsidR="001C61B5">
        <w:rPr>
          <w:sz w:val="22"/>
          <w:szCs w:val="22"/>
        </w:rPr>
        <w:t>000</w:t>
      </w:r>
      <w:r w:rsidR="001C61B5" w:rsidRPr="00A32FA1">
        <w:rPr>
          <w:sz w:val="22"/>
          <w:szCs w:val="22"/>
        </w:rPr>
        <w:t xml:space="preserve">,00, </w:t>
      </w:r>
      <w:r w:rsidR="001C61B5" w:rsidRPr="00A32FA1">
        <w:rPr>
          <w:sz w:val="22"/>
          <w:szCs w:val="22"/>
          <w:lang w:val="es-CR"/>
        </w:rPr>
        <w:t xml:space="preserve">proveniente de </w:t>
      </w:r>
      <w:r w:rsidR="001C61B5">
        <w:rPr>
          <w:sz w:val="22"/>
          <w:szCs w:val="22"/>
          <w:lang w:val="es-CR"/>
        </w:rPr>
        <w:t xml:space="preserve">las labores que realiza </w:t>
      </w:r>
      <w:r w:rsidR="001C61B5">
        <w:rPr>
          <w:sz w:val="22"/>
          <w:szCs w:val="22"/>
        </w:rPr>
        <w:t>el señor Cascante Ramírez</w:t>
      </w:r>
      <w:r w:rsidR="001C61B5">
        <w:rPr>
          <w:sz w:val="22"/>
          <w:szCs w:val="22"/>
          <w:lang w:val="es-CR"/>
        </w:rPr>
        <w:t xml:space="preserve"> como jornalero.</w:t>
      </w:r>
    </w:p>
    <w:p w14:paraId="213ED5C7" w14:textId="77777777" w:rsidR="001C61B5" w:rsidRPr="007C0FA2" w:rsidRDefault="001C61B5" w:rsidP="00B6435D">
      <w:pPr>
        <w:spacing w:line="360" w:lineRule="auto"/>
        <w:jc w:val="both"/>
        <w:rPr>
          <w:sz w:val="22"/>
          <w:szCs w:val="22"/>
        </w:rPr>
      </w:pPr>
    </w:p>
    <w:p w14:paraId="5A6D3005" w14:textId="2E1087FE" w:rsidR="00B6435D" w:rsidRPr="007E1A0A" w:rsidRDefault="00B6435D" w:rsidP="00B6435D">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w:t>
      </w:r>
      <w:r w:rsidR="00661973">
        <w:rPr>
          <w:rFonts w:cs="Arial"/>
          <w:sz w:val="22"/>
          <w:szCs w:val="22"/>
        </w:rPr>
        <w:t>756</w:t>
      </w:r>
      <w:r w:rsidRPr="00B35EAF">
        <w:rPr>
          <w:rFonts w:cs="Arial"/>
          <w:sz w:val="22"/>
          <w:szCs w:val="22"/>
        </w:rPr>
        <w:t>-20</w:t>
      </w:r>
      <w:r>
        <w:rPr>
          <w:rFonts w:cs="Arial"/>
          <w:sz w:val="22"/>
          <w:szCs w:val="22"/>
        </w:rPr>
        <w:t xml:space="preserve">20 </w:t>
      </w:r>
      <w:r w:rsidRPr="007E1A0A">
        <w:rPr>
          <w:sz w:val="22"/>
          <w:szCs w:val="22"/>
        </w:rPr>
        <w:t xml:space="preserve">del </w:t>
      </w:r>
      <w:r w:rsidR="00661973">
        <w:rPr>
          <w:sz w:val="22"/>
          <w:szCs w:val="22"/>
        </w:rPr>
        <w:t>02</w:t>
      </w:r>
      <w:r>
        <w:rPr>
          <w:sz w:val="22"/>
          <w:szCs w:val="22"/>
        </w:rPr>
        <w:t xml:space="preserve"> de </w:t>
      </w:r>
      <w:r w:rsidR="00661973">
        <w:rPr>
          <w:sz w:val="22"/>
          <w:szCs w:val="22"/>
        </w:rPr>
        <w:t>julio</w:t>
      </w:r>
      <w:r w:rsidRPr="007E1A0A">
        <w:rPr>
          <w:sz w:val="22"/>
          <w:szCs w:val="22"/>
        </w:rPr>
        <w:t xml:space="preserve"> de 20</w:t>
      </w:r>
      <w:r>
        <w:rPr>
          <w:sz w:val="22"/>
          <w:szCs w:val="22"/>
        </w:rPr>
        <w:t>20</w:t>
      </w:r>
      <w:r w:rsidRPr="007E1A0A">
        <w:rPr>
          <w:sz w:val="22"/>
          <w:szCs w:val="22"/>
        </w:rPr>
        <w:t xml:space="preserve"> –el cual es avalado por </w:t>
      </w:r>
      <w:r w:rsidR="00661973">
        <w:rPr>
          <w:sz w:val="22"/>
          <w:szCs w:val="22"/>
        </w:rPr>
        <w:t xml:space="preserve">el asistente de </w:t>
      </w:r>
      <w:r w:rsidRPr="007E1A0A">
        <w:rPr>
          <w:sz w:val="22"/>
          <w:szCs w:val="22"/>
        </w:rPr>
        <w:t xml:space="preserve">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w:t>
      </w:r>
      <w:r w:rsidR="00661973">
        <w:rPr>
          <w:sz w:val="22"/>
          <w:szCs w:val="22"/>
        </w:rPr>
        <w:t>733</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sidR="0078672A">
        <w:rPr>
          <w:sz w:val="22"/>
          <w:szCs w:val="22"/>
        </w:rPr>
        <w:t>260</w:t>
      </w:r>
      <w:r w:rsidRPr="00706942">
        <w:rPr>
          <w:sz w:val="22"/>
          <w:szCs w:val="22"/>
        </w:rPr>
        <w:t>.000,00</w:t>
      </w:r>
      <w:r w:rsidRPr="007E1A0A">
        <w:rPr>
          <w:sz w:val="22"/>
          <w:szCs w:val="22"/>
        </w:rPr>
        <w:t xml:space="preserve"> y bajo las condiciones establecidas en el referido informe de esa Dirección.</w:t>
      </w:r>
    </w:p>
    <w:p w14:paraId="29D81918" w14:textId="77777777" w:rsidR="00B6435D" w:rsidRPr="007E1A0A" w:rsidRDefault="00B6435D" w:rsidP="00B6435D">
      <w:pPr>
        <w:spacing w:line="360" w:lineRule="auto"/>
        <w:jc w:val="both"/>
        <w:rPr>
          <w:sz w:val="22"/>
          <w:szCs w:val="22"/>
        </w:rPr>
      </w:pPr>
    </w:p>
    <w:p w14:paraId="6247690F" w14:textId="77777777" w:rsidR="00B6435D" w:rsidRPr="00451995" w:rsidRDefault="00B6435D" w:rsidP="00B6435D">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t xml:space="preserve">segundo </w:t>
      </w:r>
      <w:r w:rsidRPr="00451995">
        <w:rPr>
          <w:rFonts w:cs="Arial"/>
          <w:bCs/>
          <w:color w:val="000000"/>
          <w:sz w:val="22"/>
          <w:szCs w:val="22"/>
        </w:rPr>
        <w:t>Bono Familiar de Vivienda, en los mismos términos planteados en el informe de la Dirección FOSUVI.</w:t>
      </w:r>
    </w:p>
    <w:p w14:paraId="68965F41" w14:textId="77777777" w:rsidR="00B6435D" w:rsidRPr="007E1A0A" w:rsidRDefault="00B6435D" w:rsidP="00B6435D">
      <w:pPr>
        <w:spacing w:line="360" w:lineRule="auto"/>
        <w:jc w:val="both"/>
        <w:rPr>
          <w:sz w:val="22"/>
          <w:szCs w:val="22"/>
        </w:rPr>
      </w:pPr>
    </w:p>
    <w:p w14:paraId="6BD135A6" w14:textId="25C8E468" w:rsidR="00B6435D" w:rsidRPr="007E1A0A" w:rsidRDefault="00B6435D" w:rsidP="00B6435D">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Pr>
          <w:sz w:val="22"/>
          <w:szCs w:val="22"/>
        </w:rPr>
        <w:t>construcción de vivienda en lote propio</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sidR="0078672A">
        <w:rPr>
          <w:b/>
          <w:sz w:val="22"/>
          <w:szCs w:val="22"/>
        </w:rPr>
        <w:t>260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sidR="0078672A">
        <w:rPr>
          <w:sz w:val="22"/>
          <w:szCs w:val="22"/>
        </w:rPr>
        <w:t>dos</w:t>
      </w:r>
      <w:r>
        <w:rPr>
          <w:sz w:val="22"/>
          <w:szCs w:val="22"/>
        </w:rPr>
        <w:t xml:space="preserve">cientos sesenta mil </w:t>
      </w:r>
      <w:r w:rsidRPr="007E1A0A">
        <w:rPr>
          <w:sz w:val="22"/>
          <w:szCs w:val="22"/>
        </w:rPr>
        <w:t>colones) a favor de la f</w:t>
      </w:r>
      <w:r>
        <w:rPr>
          <w:sz w:val="22"/>
          <w:szCs w:val="22"/>
        </w:rPr>
        <w:t>a</w:t>
      </w:r>
      <w:r w:rsidRPr="007E1A0A">
        <w:rPr>
          <w:sz w:val="22"/>
          <w:szCs w:val="22"/>
        </w:rPr>
        <w:t>milia que encabeza</w:t>
      </w:r>
      <w:r>
        <w:rPr>
          <w:sz w:val="22"/>
          <w:szCs w:val="22"/>
        </w:rPr>
        <w:t xml:space="preserve"> </w:t>
      </w:r>
      <w:r w:rsidR="0078672A">
        <w:rPr>
          <w:sz w:val="22"/>
          <w:szCs w:val="22"/>
        </w:rPr>
        <w:t xml:space="preserve">el señor Miguel Ángel Cascante Ramírez, </w:t>
      </w:r>
      <w:r w:rsidRPr="007E1A0A">
        <w:rPr>
          <w:sz w:val="22"/>
          <w:szCs w:val="22"/>
        </w:rPr>
        <w:t xml:space="preserve">cédula número </w:t>
      </w:r>
      <w:r w:rsidR="0078672A">
        <w:rPr>
          <w:sz w:val="22"/>
          <w:szCs w:val="22"/>
        </w:rPr>
        <w:t>3</w:t>
      </w:r>
      <w:r>
        <w:rPr>
          <w:sz w:val="22"/>
          <w:szCs w:val="22"/>
        </w:rPr>
        <w:t>-0</w:t>
      </w:r>
      <w:r w:rsidR="0078672A">
        <w:rPr>
          <w:sz w:val="22"/>
          <w:szCs w:val="22"/>
        </w:rPr>
        <w:t>209</w:t>
      </w:r>
      <w:r>
        <w:rPr>
          <w:sz w:val="22"/>
          <w:szCs w:val="22"/>
        </w:rPr>
        <w:t>-0</w:t>
      </w:r>
      <w:r w:rsidR="0078672A">
        <w:rPr>
          <w:sz w:val="22"/>
          <w:szCs w:val="22"/>
        </w:rPr>
        <w:t>417</w:t>
      </w:r>
      <w:r>
        <w:rPr>
          <w:sz w:val="22"/>
          <w:szCs w:val="22"/>
        </w:rPr>
        <w:t xml:space="preserve">, actuando </w:t>
      </w:r>
      <w:r w:rsidR="0078672A">
        <w:rPr>
          <w:sz w:val="22"/>
          <w:szCs w:val="22"/>
        </w:rPr>
        <w:t xml:space="preserve">Mutual Cartago </w:t>
      </w:r>
      <w:r w:rsidR="0078672A" w:rsidRPr="0078672A">
        <w:rPr>
          <w:rFonts w:cs="Arial"/>
          <w:sz w:val="22"/>
          <w:szCs w:val="22"/>
          <w:lang w:val="es-ES_tradnl"/>
        </w:rPr>
        <w:t>de Ahorro y Préstamo</w:t>
      </w:r>
      <w:r>
        <w:rPr>
          <w:sz w:val="22"/>
          <w:szCs w:val="22"/>
        </w:rPr>
        <w:t xml:space="preserve"> como</w:t>
      </w:r>
      <w:r w:rsidRPr="007E1A0A">
        <w:rPr>
          <w:sz w:val="22"/>
          <w:szCs w:val="22"/>
        </w:rPr>
        <w:t xml:space="preserve"> entidad autorizada.</w:t>
      </w:r>
    </w:p>
    <w:p w14:paraId="540416DE" w14:textId="77777777" w:rsidR="00B6435D" w:rsidRPr="007E1A0A" w:rsidRDefault="00B6435D" w:rsidP="00B6435D">
      <w:pPr>
        <w:spacing w:line="360" w:lineRule="auto"/>
        <w:jc w:val="both"/>
        <w:rPr>
          <w:sz w:val="22"/>
          <w:szCs w:val="22"/>
        </w:rPr>
      </w:pPr>
    </w:p>
    <w:p w14:paraId="3BEE1C57" w14:textId="39D09CE3" w:rsidR="00B6435D" w:rsidRPr="007E1A0A" w:rsidRDefault="00B6435D" w:rsidP="00B6435D">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¢1</w:t>
      </w:r>
      <w:r w:rsidR="0078672A">
        <w:rPr>
          <w:sz w:val="22"/>
          <w:szCs w:val="22"/>
        </w:rPr>
        <w:t>20</w:t>
      </w:r>
      <w:r>
        <w:rPr>
          <w:sz w:val="22"/>
          <w:szCs w:val="22"/>
        </w:rPr>
        <w:t>.</w:t>
      </w:r>
      <w:r w:rsidR="0078672A">
        <w:rPr>
          <w:sz w:val="22"/>
          <w:szCs w:val="22"/>
        </w:rPr>
        <w:t>000</w:t>
      </w:r>
      <w:r>
        <w:rPr>
          <w:sz w:val="22"/>
          <w:szCs w:val="22"/>
        </w:rPr>
        <w:t>,</w:t>
      </w:r>
      <w:r w:rsidR="0078672A">
        <w:rPr>
          <w:sz w:val="22"/>
          <w:szCs w:val="22"/>
        </w:rPr>
        <w:t>00</w:t>
      </w:r>
      <w:r w:rsidRPr="007E1A0A">
        <w:rPr>
          <w:sz w:val="22"/>
          <w:szCs w:val="22"/>
        </w:rPr>
        <w:t xml:space="preserve"> permitirá </w:t>
      </w:r>
      <w:r>
        <w:rPr>
          <w:sz w:val="22"/>
          <w:szCs w:val="22"/>
        </w:rPr>
        <w:t xml:space="preserve">construir una vivienda </w:t>
      </w:r>
      <w:r w:rsidRPr="007E1A0A">
        <w:rPr>
          <w:sz w:val="22"/>
          <w:szCs w:val="22"/>
        </w:rPr>
        <w:t xml:space="preserve">con un área de </w:t>
      </w:r>
      <w:r>
        <w:rPr>
          <w:sz w:val="22"/>
          <w:szCs w:val="22"/>
        </w:rPr>
        <w:t>42</w:t>
      </w:r>
      <w:r w:rsidRPr="007E1A0A">
        <w:rPr>
          <w:sz w:val="22"/>
          <w:szCs w:val="22"/>
        </w:rPr>
        <w:t>,</w:t>
      </w:r>
      <w:r>
        <w:rPr>
          <w:sz w:val="22"/>
          <w:szCs w:val="22"/>
        </w:rPr>
        <w:t>0</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Pr>
          <w:sz w:val="22"/>
          <w:szCs w:val="22"/>
        </w:rPr>
        <w:t>7</w:t>
      </w:r>
      <w:r w:rsidRPr="007E1A0A">
        <w:rPr>
          <w:sz w:val="22"/>
          <w:szCs w:val="22"/>
        </w:rPr>
        <w:t>.</w:t>
      </w:r>
      <w:r w:rsidR="0078672A">
        <w:rPr>
          <w:sz w:val="22"/>
          <w:szCs w:val="22"/>
        </w:rPr>
        <w:t>260</w:t>
      </w:r>
      <w:r w:rsidRPr="007E1A0A">
        <w:rPr>
          <w:sz w:val="22"/>
          <w:szCs w:val="22"/>
        </w:rPr>
        <w:t>.</w:t>
      </w:r>
      <w:r w:rsidR="0078672A">
        <w:rPr>
          <w:sz w:val="22"/>
          <w:szCs w:val="22"/>
        </w:rPr>
        <w:t>000</w:t>
      </w:r>
      <w:r w:rsidRPr="007E1A0A">
        <w:rPr>
          <w:sz w:val="22"/>
          <w:szCs w:val="22"/>
        </w:rPr>
        <w:t>,</w:t>
      </w:r>
      <w:r w:rsidR="0078672A">
        <w:rPr>
          <w:sz w:val="22"/>
          <w:szCs w:val="22"/>
        </w:rPr>
        <w:t>00</w:t>
      </w:r>
      <w:r w:rsidRPr="007E1A0A">
        <w:rPr>
          <w:sz w:val="22"/>
          <w:szCs w:val="22"/>
        </w:rPr>
        <w:t xml:space="preserve">), en el lote con folio real </w:t>
      </w:r>
      <w:r w:rsidRPr="00B65104">
        <w:rPr>
          <w:sz w:val="22"/>
          <w:szCs w:val="22"/>
        </w:rPr>
        <w:t>#</w:t>
      </w:r>
      <w:r w:rsidR="0078672A">
        <w:rPr>
          <w:sz w:val="22"/>
          <w:szCs w:val="22"/>
        </w:rPr>
        <w:t>3</w:t>
      </w:r>
      <w:r w:rsidRPr="00B65104">
        <w:rPr>
          <w:sz w:val="22"/>
          <w:szCs w:val="22"/>
        </w:rPr>
        <w:t>-</w:t>
      </w:r>
      <w:r w:rsidR="0078672A">
        <w:rPr>
          <w:sz w:val="22"/>
          <w:szCs w:val="22"/>
        </w:rPr>
        <w:t>117674</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r w:rsidR="0078672A">
        <w:rPr>
          <w:sz w:val="22"/>
          <w:szCs w:val="22"/>
        </w:rPr>
        <w:t>Santa Teresita</w:t>
      </w:r>
      <w:r>
        <w:rPr>
          <w:sz w:val="22"/>
          <w:szCs w:val="22"/>
        </w:rPr>
        <w:t xml:space="preserve"> del </w:t>
      </w:r>
      <w:r w:rsidRPr="00656083">
        <w:rPr>
          <w:sz w:val="22"/>
          <w:szCs w:val="22"/>
        </w:rPr>
        <w:t xml:space="preserve">cantón </w:t>
      </w:r>
      <w:r>
        <w:rPr>
          <w:sz w:val="22"/>
          <w:szCs w:val="22"/>
        </w:rPr>
        <w:t xml:space="preserve">de </w:t>
      </w:r>
      <w:r w:rsidR="0078672A">
        <w:rPr>
          <w:sz w:val="22"/>
          <w:szCs w:val="22"/>
        </w:rPr>
        <w:t>Turrialba</w:t>
      </w:r>
      <w:r>
        <w:rPr>
          <w:sz w:val="22"/>
          <w:szCs w:val="22"/>
        </w:rPr>
        <w:t xml:space="preserve">, provincia de </w:t>
      </w:r>
      <w:r w:rsidR="0078672A">
        <w:rPr>
          <w:sz w:val="22"/>
          <w:szCs w:val="22"/>
        </w:rPr>
        <w:t>Cartago</w:t>
      </w:r>
      <w:r w:rsidRPr="007E1A0A">
        <w:rPr>
          <w:sz w:val="22"/>
          <w:szCs w:val="22"/>
        </w:rPr>
        <w:t>; y cubrir los gastos de formalización por la suma de ¢</w:t>
      </w:r>
      <w:r w:rsidR="0078672A">
        <w:rPr>
          <w:sz w:val="22"/>
          <w:szCs w:val="22"/>
        </w:rPr>
        <w:t>120</w:t>
      </w:r>
      <w:r w:rsidRPr="007E1A0A">
        <w:rPr>
          <w:sz w:val="22"/>
          <w:szCs w:val="22"/>
        </w:rPr>
        <w:t>.</w:t>
      </w:r>
      <w:r w:rsidR="0078672A">
        <w:rPr>
          <w:sz w:val="22"/>
          <w:szCs w:val="22"/>
        </w:rPr>
        <w:t>000</w:t>
      </w:r>
      <w:r>
        <w:rPr>
          <w:sz w:val="22"/>
          <w:szCs w:val="22"/>
        </w:rPr>
        <w:t>,</w:t>
      </w:r>
      <w:r w:rsidR="0078672A">
        <w:rPr>
          <w:sz w:val="22"/>
          <w:szCs w:val="22"/>
        </w:rPr>
        <w:t>0</w:t>
      </w:r>
      <w:r>
        <w:rPr>
          <w:sz w:val="22"/>
          <w:szCs w:val="22"/>
        </w:rPr>
        <w:t>0.</w:t>
      </w:r>
    </w:p>
    <w:p w14:paraId="38C1F957" w14:textId="77777777" w:rsidR="00B6435D" w:rsidRPr="007E1A0A" w:rsidRDefault="00B6435D" w:rsidP="00B6435D">
      <w:pPr>
        <w:spacing w:line="360" w:lineRule="auto"/>
        <w:jc w:val="both"/>
        <w:rPr>
          <w:sz w:val="22"/>
          <w:szCs w:val="22"/>
        </w:rPr>
      </w:pPr>
    </w:p>
    <w:p w14:paraId="0487603E" w14:textId="77777777" w:rsidR="00B6435D" w:rsidRDefault="00B6435D" w:rsidP="00B6435D">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5883D1A3" w14:textId="77777777" w:rsidR="00B6435D" w:rsidRDefault="00B6435D" w:rsidP="00B6435D">
      <w:pPr>
        <w:spacing w:line="360" w:lineRule="auto"/>
        <w:jc w:val="both"/>
        <w:rPr>
          <w:rFonts w:cs="Arial"/>
          <w:color w:val="000000"/>
          <w:sz w:val="22"/>
          <w:szCs w:val="22"/>
        </w:rPr>
      </w:pPr>
    </w:p>
    <w:p w14:paraId="540E2D02" w14:textId="77777777" w:rsidR="00B6435D" w:rsidRDefault="00B6435D" w:rsidP="00B6435D">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3EE19AEA" w14:textId="77777777" w:rsidR="00B6435D" w:rsidRDefault="00B6435D" w:rsidP="00B6435D">
      <w:pPr>
        <w:spacing w:line="360" w:lineRule="auto"/>
        <w:jc w:val="both"/>
        <w:rPr>
          <w:sz w:val="22"/>
          <w:szCs w:val="22"/>
        </w:rPr>
      </w:pPr>
    </w:p>
    <w:p w14:paraId="205EA43A" w14:textId="7ACD38F9" w:rsidR="002B71CC" w:rsidRDefault="00B6435D" w:rsidP="002B71CC">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3573FA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316B04" w14:textId="77777777" w:rsidR="002B71CC" w:rsidRPr="00D14EAF" w:rsidRDefault="002B71CC" w:rsidP="002B71CC">
      <w:pPr>
        <w:spacing w:line="360" w:lineRule="auto"/>
        <w:jc w:val="both"/>
        <w:rPr>
          <w:rFonts w:cs="Arial"/>
          <w:b/>
          <w:sz w:val="22"/>
        </w:rPr>
      </w:pPr>
      <w:r w:rsidRPr="00D14EAF">
        <w:rPr>
          <w:rFonts w:cs="Arial"/>
          <w:b/>
          <w:sz w:val="22"/>
        </w:rPr>
        <w:t>************</w:t>
      </w:r>
    </w:p>
    <w:p w14:paraId="5DAE933E" w14:textId="77777777" w:rsidR="00FB3BE3" w:rsidRDefault="00FB3BE3" w:rsidP="00FB3BE3">
      <w:pPr>
        <w:spacing w:line="360" w:lineRule="auto"/>
        <w:jc w:val="both"/>
        <w:rPr>
          <w:rFonts w:cs="Arial"/>
          <w:sz w:val="22"/>
          <w:lang w:val="es-ES_tradnl"/>
        </w:rPr>
      </w:pPr>
    </w:p>
    <w:p w14:paraId="0D53A6F1" w14:textId="77777777" w:rsidR="00FB3BE3" w:rsidRPr="00AB2826" w:rsidRDefault="00FB3BE3" w:rsidP="00FB3BE3">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D3810DD" w14:textId="77777777" w:rsidR="00FB3BE3" w:rsidRDefault="00FB3BE3" w:rsidP="00FB3BE3">
      <w:pPr>
        <w:spacing w:line="360" w:lineRule="auto"/>
        <w:jc w:val="both"/>
        <w:rPr>
          <w:rFonts w:cs="Arial"/>
          <w:b/>
          <w:bCs/>
          <w:sz w:val="22"/>
          <w:szCs w:val="22"/>
        </w:rPr>
      </w:pPr>
      <w:r>
        <w:rPr>
          <w:rFonts w:cs="Arial"/>
          <w:b/>
          <w:bCs/>
          <w:sz w:val="22"/>
          <w:szCs w:val="22"/>
        </w:rPr>
        <w:t>Considerando:</w:t>
      </w:r>
    </w:p>
    <w:p w14:paraId="4AEBD9A8" w14:textId="77777777" w:rsidR="00FB3BE3" w:rsidRDefault="00FB3BE3" w:rsidP="00FB3BE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GG-ME-0732-2020 del 02 de julio de 2020, la Gerencia General remite y avala el informe </w:t>
      </w:r>
      <w:r>
        <w:rPr>
          <w:rFonts w:cs="Arial"/>
          <w:sz w:val="22"/>
          <w:szCs w:val="22"/>
        </w:rPr>
        <w:t>DF</w:t>
      </w:r>
      <w:r w:rsidRPr="00B35EAF">
        <w:rPr>
          <w:rFonts w:cs="Arial"/>
          <w:sz w:val="22"/>
          <w:szCs w:val="22"/>
        </w:rPr>
        <w:t>-OF-</w:t>
      </w:r>
      <w:r>
        <w:rPr>
          <w:rFonts w:cs="Arial"/>
          <w:sz w:val="22"/>
          <w:szCs w:val="22"/>
        </w:rPr>
        <w:t>0751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Credecoop R.L. y Coopealianza R.L., para financiar cuatro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Estefanni Fabiola Brenes Calvo, Karen Mayela Mora Vargas, Alina María Campos Víquez y Esteban Gerardo Fonseca Madrigal. </w:t>
      </w:r>
    </w:p>
    <w:p w14:paraId="5509E709" w14:textId="77777777" w:rsidR="00FB3BE3" w:rsidRDefault="00FB3BE3" w:rsidP="00FB3BE3">
      <w:pPr>
        <w:spacing w:line="360" w:lineRule="auto"/>
        <w:jc w:val="both"/>
        <w:rPr>
          <w:rFonts w:cs="Arial"/>
          <w:bCs/>
          <w:sz w:val="22"/>
        </w:rPr>
      </w:pPr>
    </w:p>
    <w:p w14:paraId="77F11869" w14:textId="77777777" w:rsidR="00FB3BE3" w:rsidRDefault="00FB3BE3" w:rsidP="00FB3BE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w:t>
      </w:r>
      <w:r>
        <w:rPr>
          <w:rFonts w:cs="Arial"/>
          <w:bCs/>
          <w:sz w:val="22"/>
          <w:szCs w:val="22"/>
        </w:rPr>
        <w:lastRenderedPageBreak/>
        <w:t>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74273AB" w14:textId="77777777" w:rsidR="00FB3BE3" w:rsidRPr="009344DA" w:rsidRDefault="00FB3BE3" w:rsidP="00FB3BE3">
      <w:pPr>
        <w:spacing w:line="360" w:lineRule="auto"/>
        <w:jc w:val="both"/>
        <w:rPr>
          <w:rFonts w:cs="Arial"/>
          <w:bCs/>
          <w:sz w:val="22"/>
          <w:szCs w:val="22"/>
        </w:rPr>
      </w:pPr>
    </w:p>
    <w:p w14:paraId="4B5C6D51" w14:textId="3599EA18" w:rsidR="00FB3BE3" w:rsidRPr="009344DA" w:rsidRDefault="00FB3BE3" w:rsidP="00FB3BE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sidR="00AA59B2">
        <w:rPr>
          <w:rFonts w:cs="Arial"/>
          <w:sz w:val="22"/>
          <w:szCs w:val="22"/>
        </w:rPr>
        <w:t>751</w:t>
      </w:r>
      <w:r w:rsidRPr="009344DA">
        <w:rPr>
          <w:rFonts w:cs="Arial"/>
          <w:sz w:val="22"/>
          <w:szCs w:val="22"/>
        </w:rPr>
        <w:t>-2020</w:t>
      </w:r>
      <w:r w:rsidRPr="009344DA">
        <w:rPr>
          <w:rFonts w:cs="Arial"/>
          <w:bCs/>
          <w:sz w:val="22"/>
          <w:szCs w:val="22"/>
        </w:rPr>
        <w:t>.</w:t>
      </w:r>
    </w:p>
    <w:p w14:paraId="33DAA28E" w14:textId="77777777" w:rsidR="00FB3BE3" w:rsidRPr="009344DA" w:rsidRDefault="00FB3BE3" w:rsidP="00FB3BE3">
      <w:pPr>
        <w:spacing w:line="360" w:lineRule="auto"/>
        <w:jc w:val="both"/>
        <w:rPr>
          <w:rFonts w:cs="Arial"/>
          <w:bCs/>
          <w:sz w:val="22"/>
          <w:szCs w:val="22"/>
          <w:lang w:val="es-ES_tradnl"/>
        </w:rPr>
      </w:pPr>
    </w:p>
    <w:p w14:paraId="659AEB2A" w14:textId="77777777" w:rsidR="00FB3BE3" w:rsidRDefault="00FB3BE3" w:rsidP="00FB3BE3">
      <w:pPr>
        <w:spacing w:line="360" w:lineRule="auto"/>
        <w:jc w:val="both"/>
        <w:rPr>
          <w:rFonts w:cs="Arial"/>
          <w:b/>
          <w:bCs/>
          <w:sz w:val="22"/>
          <w:szCs w:val="22"/>
        </w:rPr>
      </w:pPr>
      <w:r>
        <w:rPr>
          <w:rFonts w:cs="Arial"/>
          <w:b/>
          <w:bCs/>
          <w:sz w:val="22"/>
          <w:szCs w:val="22"/>
        </w:rPr>
        <w:t>Por tanto, se acuerda:</w:t>
      </w:r>
    </w:p>
    <w:p w14:paraId="033C9256" w14:textId="3F09F8A1" w:rsidR="00FB3BE3" w:rsidRDefault="00FB3BE3" w:rsidP="00FB3BE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E473B2">
        <w:rPr>
          <w:rFonts w:cs="Arial"/>
          <w:bCs/>
          <w:sz w:val="22"/>
          <w:szCs w:val="22"/>
        </w:rPr>
        <w:t>cuatro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0751-2020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45C6AC2F" w14:textId="77777777" w:rsidR="00FB3BE3" w:rsidRDefault="00FB3BE3" w:rsidP="00FB3BE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B3BE3" w:rsidRPr="0008063E" w14:paraId="2CCDF59E" w14:textId="77777777" w:rsidTr="003148E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C850BA" w14:textId="77777777" w:rsidR="00FB3BE3" w:rsidRPr="0008063E" w:rsidRDefault="00FB3BE3" w:rsidP="003148E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B3BE3" w:rsidRPr="00142DB9" w14:paraId="6966070E" w14:textId="77777777" w:rsidTr="003148E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4548696"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9BC20AD"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13E742C"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3FBA856"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8759187" w14:textId="77777777" w:rsidR="00FB3BE3"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15CE148" w14:textId="77777777" w:rsidR="00FB3BE3"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33B3696"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1A9F181"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FA2E571" w14:textId="77777777" w:rsidR="00FB3BE3" w:rsidRPr="00142DB9" w:rsidRDefault="00FB3BE3" w:rsidP="003148E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748D207"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FAE364D"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B3BE3" w:rsidRPr="006308C1" w14:paraId="0A939C79" w14:textId="77777777" w:rsidTr="003148E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29912F" w14:textId="77777777" w:rsidR="00FB3BE3" w:rsidRPr="006308C1"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Campos Víquez Alina María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B37D88"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6-0383-0213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3BE3B2DB"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5-231564</w:t>
            </w:r>
          </w:p>
        </w:tc>
        <w:tc>
          <w:tcPr>
            <w:tcW w:w="851" w:type="dxa"/>
            <w:tcBorders>
              <w:top w:val="single" w:sz="4" w:space="0" w:color="auto"/>
              <w:left w:val="nil"/>
              <w:bottom w:val="single" w:sz="4" w:space="0" w:color="auto"/>
              <w:right w:val="single" w:sz="4" w:space="0" w:color="auto"/>
            </w:tcBorders>
            <w:shd w:val="clear" w:color="auto" w:fill="auto"/>
            <w:vAlign w:val="center"/>
          </w:tcPr>
          <w:p w14:paraId="29515D7E"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C6DC3"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8B9428"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EBF6C7E"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9.547.500,00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0B1ECD2" w14:textId="77777777" w:rsidR="00FB3BE3"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31.554,30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D72654" w14:textId="77777777" w:rsidR="00FB3BE3"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315.543,01</w:t>
            </w:r>
          </w:p>
        </w:tc>
        <w:tc>
          <w:tcPr>
            <w:tcW w:w="992" w:type="dxa"/>
            <w:tcBorders>
              <w:top w:val="single" w:sz="4" w:space="0" w:color="auto"/>
              <w:left w:val="nil"/>
              <w:bottom w:val="single" w:sz="4" w:space="0" w:color="auto"/>
              <w:right w:val="single" w:sz="4" w:space="0" w:color="auto"/>
            </w:tcBorders>
            <w:shd w:val="clear" w:color="auto" w:fill="auto"/>
            <w:vAlign w:val="center"/>
          </w:tcPr>
          <w:p w14:paraId="5CE64FE3" w14:textId="77777777" w:rsidR="00FB3BE3"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9.831.488,71</w:t>
            </w:r>
          </w:p>
        </w:tc>
      </w:tr>
      <w:tr w:rsidR="00FB3BE3" w:rsidRPr="006308C1" w14:paraId="6AB4520B" w14:textId="77777777" w:rsidTr="003148E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E67BBD" w14:textId="77777777" w:rsidR="00FB3BE3" w:rsidRPr="006308C1"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Fonseca Madrigal Esteban Gerardo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25DAD3"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1-1188-0235</w:t>
            </w:r>
          </w:p>
        </w:tc>
        <w:tc>
          <w:tcPr>
            <w:tcW w:w="709" w:type="dxa"/>
            <w:tcBorders>
              <w:top w:val="single" w:sz="4" w:space="0" w:color="auto"/>
              <w:left w:val="nil"/>
              <w:bottom w:val="single" w:sz="4" w:space="0" w:color="auto"/>
              <w:right w:val="single" w:sz="4" w:space="0" w:color="auto"/>
            </w:tcBorders>
            <w:shd w:val="clear" w:color="auto" w:fill="auto"/>
            <w:vAlign w:val="center"/>
          </w:tcPr>
          <w:p w14:paraId="2B48B056"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6-860681</w:t>
            </w:r>
          </w:p>
        </w:tc>
        <w:tc>
          <w:tcPr>
            <w:tcW w:w="851" w:type="dxa"/>
            <w:tcBorders>
              <w:top w:val="single" w:sz="4" w:space="0" w:color="auto"/>
              <w:left w:val="nil"/>
              <w:bottom w:val="single" w:sz="4" w:space="0" w:color="auto"/>
              <w:right w:val="single" w:sz="4" w:space="0" w:color="auto"/>
            </w:tcBorders>
            <w:shd w:val="clear" w:color="auto" w:fill="auto"/>
            <w:vAlign w:val="center"/>
          </w:tcPr>
          <w:p w14:paraId="1EA1AB5C"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Golfito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37B347"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56FE0"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1701D059" w14:textId="77777777"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A2B65B" w14:textId="77777777"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40.152.44</w:t>
            </w:r>
          </w:p>
        </w:tc>
        <w:tc>
          <w:tcPr>
            <w:tcW w:w="837" w:type="dxa"/>
            <w:tcBorders>
              <w:top w:val="single" w:sz="4" w:space="0" w:color="auto"/>
              <w:left w:val="nil"/>
              <w:bottom w:val="single" w:sz="4" w:space="0" w:color="auto"/>
              <w:right w:val="single" w:sz="4" w:space="0" w:color="auto"/>
            </w:tcBorders>
            <w:shd w:val="clear" w:color="auto" w:fill="auto"/>
            <w:vAlign w:val="center"/>
          </w:tcPr>
          <w:p w14:paraId="6C3A9A98"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401.524,43</w:t>
            </w:r>
          </w:p>
        </w:tc>
        <w:tc>
          <w:tcPr>
            <w:tcW w:w="992" w:type="dxa"/>
            <w:tcBorders>
              <w:top w:val="single" w:sz="4" w:space="0" w:color="auto"/>
              <w:left w:val="nil"/>
              <w:bottom w:val="single" w:sz="4" w:space="0" w:color="auto"/>
              <w:right w:val="single" w:sz="4" w:space="0" w:color="auto"/>
            </w:tcBorders>
            <w:shd w:val="clear" w:color="auto" w:fill="auto"/>
            <w:vAlign w:val="center"/>
          </w:tcPr>
          <w:p w14:paraId="1F49BBBF" w14:textId="77777777" w:rsidR="00FB3BE3" w:rsidRPr="006308C1"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10.861.371,99</w:t>
            </w:r>
          </w:p>
        </w:tc>
      </w:tr>
      <w:tr w:rsidR="00FB3BE3" w:rsidRPr="0008063E" w14:paraId="3248C4C7" w14:textId="77777777" w:rsidTr="003148E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C7106" w14:textId="77777777" w:rsidR="00FB3BE3" w:rsidRPr="0008063E" w:rsidRDefault="00FB3BE3" w:rsidP="003148E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Credecoop R.L. </w:t>
            </w:r>
          </w:p>
        </w:tc>
      </w:tr>
      <w:tr w:rsidR="00FB3BE3" w:rsidRPr="00142DB9" w14:paraId="566DB92F" w14:textId="77777777" w:rsidTr="003148E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CB1D8B7"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DD3B6D4"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E19AE64"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A442831"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3C6AF00" w14:textId="77777777" w:rsidR="00FB3BE3"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8346C9D" w14:textId="77777777" w:rsidR="00FB3BE3"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E37A62A"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7EE7F02"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38B6357" w14:textId="77777777" w:rsidR="00FB3BE3" w:rsidRPr="00142DB9" w:rsidRDefault="00FB3BE3" w:rsidP="003148E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56EE4DC"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A4EA71D"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B3BE3" w:rsidRPr="006308C1" w14:paraId="3DAAC5FC" w14:textId="77777777" w:rsidTr="003148E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661C03" w14:textId="77777777" w:rsidR="00FB3BE3" w:rsidRPr="006308C1"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Mora Vargas Karen Mayela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4D740F"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1-1206-0123</w:t>
            </w:r>
          </w:p>
        </w:tc>
        <w:tc>
          <w:tcPr>
            <w:tcW w:w="709" w:type="dxa"/>
            <w:tcBorders>
              <w:top w:val="single" w:sz="4" w:space="0" w:color="auto"/>
              <w:left w:val="nil"/>
              <w:bottom w:val="single" w:sz="4" w:space="0" w:color="auto"/>
              <w:right w:val="single" w:sz="4" w:space="0" w:color="auto"/>
            </w:tcBorders>
            <w:shd w:val="clear" w:color="auto" w:fill="auto"/>
            <w:vAlign w:val="center"/>
          </w:tcPr>
          <w:p w14:paraId="186A3C8B"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1-354730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A152D9"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Pérez Zeledón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F42B11"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51C05"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B0B46C" w14:textId="77777777"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066D73" w14:textId="77777777"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44.067,74</w:t>
            </w:r>
          </w:p>
        </w:tc>
        <w:tc>
          <w:tcPr>
            <w:tcW w:w="837" w:type="dxa"/>
            <w:tcBorders>
              <w:top w:val="single" w:sz="4" w:space="0" w:color="auto"/>
              <w:left w:val="nil"/>
              <w:bottom w:val="single" w:sz="4" w:space="0" w:color="auto"/>
              <w:right w:val="single" w:sz="4" w:space="0" w:color="auto"/>
            </w:tcBorders>
            <w:shd w:val="clear" w:color="auto" w:fill="auto"/>
            <w:vAlign w:val="center"/>
          </w:tcPr>
          <w:p w14:paraId="60A1A2ED"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440.677,36</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4493F" w14:textId="77777777" w:rsidR="00FB3BE3" w:rsidRPr="006308C1"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14.384.609,62</w:t>
            </w:r>
          </w:p>
        </w:tc>
      </w:tr>
      <w:tr w:rsidR="00FB3BE3" w:rsidRPr="0008063E" w14:paraId="7A523220" w14:textId="77777777" w:rsidTr="003148E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350E" w14:textId="77777777" w:rsidR="00FB3BE3" w:rsidRPr="0008063E" w:rsidRDefault="00FB3BE3" w:rsidP="003148E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FB3BE3" w:rsidRPr="00142DB9" w14:paraId="7A94370A" w14:textId="77777777" w:rsidTr="003148E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E59DFE0"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8EE5DBC"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B8EA21C"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9EDB11C"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EB06E11" w14:textId="77777777" w:rsidR="00FB3BE3"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17B556C" w14:textId="77777777" w:rsidR="00FB3BE3"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388E282"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56659A3" w14:textId="77777777" w:rsidR="00FB3BE3" w:rsidRPr="00142DB9" w:rsidRDefault="00FB3BE3" w:rsidP="003148E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28995D5" w14:textId="77777777" w:rsidR="00FB3BE3" w:rsidRPr="00142DB9" w:rsidRDefault="00FB3BE3" w:rsidP="003148E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346017E"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FB414F1" w14:textId="77777777" w:rsidR="00FB3BE3" w:rsidRPr="00142DB9" w:rsidRDefault="00FB3BE3" w:rsidP="003148E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B3BE3" w:rsidRPr="006308C1" w14:paraId="0803688F" w14:textId="77777777" w:rsidTr="003148E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3108481" w14:textId="77777777" w:rsidR="00FB3BE3" w:rsidRPr="006308C1" w:rsidRDefault="00FB3BE3" w:rsidP="003148EE">
            <w:pPr>
              <w:rPr>
                <w:rFonts w:ascii="Arial Narrow" w:hAnsi="Arial Narrow" w:cs="Arial"/>
                <w:sz w:val="16"/>
                <w:szCs w:val="16"/>
                <w:lang w:val="es-CR" w:eastAsia="es-CR"/>
              </w:rPr>
            </w:pPr>
            <w:r>
              <w:rPr>
                <w:rFonts w:ascii="Arial Narrow" w:hAnsi="Arial Narrow" w:cs="Arial"/>
                <w:sz w:val="16"/>
                <w:szCs w:val="16"/>
                <w:lang w:val="es-CR" w:eastAsia="es-CR"/>
              </w:rPr>
              <w:t xml:space="preserve">Brenes Calvo Estefani Fabiola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B804BB"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7-0261-0963</w:t>
            </w:r>
          </w:p>
        </w:tc>
        <w:tc>
          <w:tcPr>
            <w:tcW w:w="709" w:type="dxa"/>
            <w:tcBorders>
              <w:top w:val="single" w:sz="4" w:space="0" w:color="auto"/>
              <w:left w:val="nil"/>
              <w:bottom w:val="single" w:sz="4" w:space="0" w:color="auto"/>
              <w:right w:val="single" w:sz="4" w:space="0" w:color="auto"/>
            </w:tcBorders>
            <w:shd w:val="clear" w:color="auto" w:fill="auto"/>
            <w:vAlign w:val="center"/>
          </w:tcPr>
          <w:p w14:paraId="6D9A58CA"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7-166568</w:t>
            </w:r>
          </w:p>
        </w:tc>
        <w:tc>
          <w:tcPr>
            <w:tcW w:w="851" w:type="dxa"/>
            <w:tcBorders>
              <w:top w:val="single" w:sz="4" w:space="0" w:color="auto"/>
              <w:left w:val="nil"/>
              <w:bottom w:val="single" w:sz="4" w:space="0" w:color="auto"/>
              <w:right w:val="single" w:sz="4" w:space="0" w:color="auto"/>
            </w:tcBorders>
            <w:shd w:val="clear" w:color="auto" w:fill="auto"/>
            <w:vAlign w:val="center"/>
          </w:tcPr>
          <w:p w14:paraId="554D3BF0"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13816"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D16BED"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2.384.000,00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2624F6" w14:textId="77777777"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10.149.005,54</w:t>
            </w:r>
          </w:p>
        </w:tc>
        <w:tc>
          <w:tcPr>
            <w:tcW w:w="851" w:type="dxa"/>
            <w:tcBorders>
              <w:top w:val="single" w:sz="4" w:space="0" w:color="auto"/>
              <w:left w:val="nil"/>
              <w:bottom w:val="single" w:sz="4" w:space="0" w:color="auto"/>
              <w:right w:val="single" w:sz="4" w:space="0" w:color="auto"/>
            </w:tcBorders>
            <w:shd w:val="clear" w:color="auto" w:fill="auto"/>
            <w:vAlign w:val="center"/>
          </w:tcPr>
          <w:p w14:paraId="5764BE3E" w14:textId="251E539B" w:rsidR="00FB3BE3" w:rsidRPr="006308C1" w:rsidRDefault="00FB3BE3" w:rsidP="003148E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204.</w:t>
            </w:r>
            <w:r w:rsidR="00386FAE">
              <w:rPr>
                <w:rFonts w:ascii="Arial Narrow" w:hAnsi="Arial Narrow" w:cs="Arial"/>
                <w:sz w:val="16"/>
                <w:szCs w:val="16"/>
                <w:lang w:val="es-CR" w:eastAsia="es-CR"/>
              </w:rPr>
              <w:t>1</w:t>
            </w:r>
            <w:r>
              <w:rPr>
                <w:rFonts w:ascii="Arial Narrow" w:hAnsi="Arial Narrow" w:cs="Arial"/>
                <w:sz w:val="16"/>
                <w:szCs w:val="16"/>
                <w:lang w:val="es-CR" w:eastAsia="es-CR"/>
              </w:rPr>
              <w:t>80,57</w:t>
            </w:r>
          </w:p>
        </w:tc>
        <w:tc>
          <w:tcPr>
            <w:tcW w:w="837" w:type="dxa"/>
            <w:tcBorders>
              <w:top w:val="single" w:sz="4" w:space="0" w:color="auto"/>
              <w:left w:val="nil"/>
              <w:bottom w:val="single" w:sz="4" w:space="0" w:color="auto"/>
              <w:right w:val="single" w:sz="4" w:space="0" w:color="auto"/>
            </w:tcBorders>
            <w:shd w:val="clear" w:color="auto" w:fill="auto"/>
            <w:vAlign w:val="center"/>
          </w:tcPr>
          <w:p w14:paraId="4EE3384C" w14:textId="77777777" w:rsidR="00FB3BE3" w:rsidRPr="006308C1" w:rsidRDefault="00FB3BE3" w:rsidP="003148EE">
            <w:pPr>
              <w:jc w:val="center"/>
              <w:rPr>
                <w:rFonts w:ascii="Arial Narrow" w:hAnsi="Arial Narrow" w:cs="Arial"/>
                <w:sz w:val="16"/>
                <w:szCs w:val="16"/>
                <w:lang w:val="es-CR" w:eastAsia="es-CR"/>
              </w:rPr>
            </w:pPr>
            <w:r>
              <w:rPr>
                <w:rFonts w:ascii="Arial Narrow" w:hAnsi="Arial Narrow" w:cs="Arial"/>
                <w:sz w:val="16"/>
                <w:szCs w:val="16"/>
                <w:lang w:val="es-CR" w:eastAsia="es-CR"/>
              </w:rPr>
              <w:t>408.361,13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F3AB66" w14:textId="77777777" w:rsidR="00FB3BE3" w:rsidRPr="006308C1" w:rsidRDefault="00FB3BE3" w:rsidP="003148E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12.737.186,11</w:t>
            </w:r>
          </w:p>
        </w:tc>
      </w:tr>
      <w:tr w:rsidR="00FB3BE3" w:rsidRPr="00F67547" w14:paraId="011EA857" w14:textId="77777777" w:rsidTr="003148EE">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05CEFD36" w14:textId="77777777" w:rsidR="00FB3BE3" w:rsidRDefault="00FB3BE3" w:rsidP="003148E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p w14:paraId="70D4AA20" w14:textId="77777777" w:rsidR="00FB3BE3" w:rsidRPr="00F67547" w:rsidRDefault="00FB3BE3" w:rsidP="003148EE">
            <w:pPr>
              <w:jc w:val="both"/>
              <w:rPr>
                <w:rFonts w:ascii="Arial Narrow" w:hAnsi="Arial Narrow" w:cs="Arial"/>
                <w:sz w:val="16"/>
                <w:szCs w:val="16"/>
                <w:lang w:val="es-CR"/>
              </w:rPr>
            </w:pPr>
            <w:r>
              <w:rPr>
                <w:rFonts w:ascii="Arial Narrow" w:hAnsi="Arial Narrow" w:cs="Arial"/>
                <w:sz w:val="16"/>
                <w:szCs w:val="16"/>
                <w:lang w:val="es-CR"/>
              </w:rPr>
              <w:t>CLP: Construcción de vivienda en lote propio</w:t>
            </w:r>
          </w:p>
        </w:tc>
        <w:tc>
          <w:tcPr>
            <w:tcW w:w="4664" w:type="dxa"/>
            <w:gridSpan w:val="5"/>
            <w:tcBorders>
              <w:top w:val="nil"/>
              <w:left w:val="single" w:sz="4" w:space="0" w:color="auto"/>
              <w:bottom w:val="single" w:sz="4" w:space="0" w:color="auto"/>
              <w:right w:val="single" w:sz="4" w:space="0" w:color="auto"/>
            </w:tcBorders>
            <w:shd w:val="clear" w:color="000000" w:fill="FFFFFF"/>
          </w:tcPr>
          <w:p w14:paraId="298F7F98" w14:textId="77777777" w:rsidR="00FB3BE3" w:rsidRPr="00F67547" w:rsidRDefault="00FB3BE3" w:rsidP="003148EE">
            <w:pPr>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02CB4FA" w14:textId="77777777" w:rsidR="00FB3BE3" w:rsidRDefault="00FB3BE3" w:rsidP="00FB3BE3">
      <w:pPr>
        <w:spacing w:line="360" w:lineRule="auto"/>
        <w:jc w:val="both"/>
        <w:rPr>
          <w:rFonts w:cs="Arial"/>
          <w:sz w:val="22"/>
          <w:szCs w:val="22"/>
        </w:rPr>
      </w:pPr>
    </w:p>
    <w:p w14:paraId="1E27841C" w14:textId="77777777" w:rsidR="00FB3BE3" w:rsidRPr="00FD161B" w:rsidRDefault="00FB3BE3" w:rsidP="00FB3BE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D03E85E" w14:textId="77777777" w:rsidR="00FB3BE3" w:rsidRPr="00FD161B" w:rsidRDefault="00FB3BE3" w:rsidP="00FB3BE3">
      <w:pPr>
        <w:spacing w:line="360" w:lineRule="auto"/>
        <w:jc w:val="both"/>
        <w:rPr>
          <w:rFonts w:cs="Arial"/>
          <w:bCs/>
          <w:sz w:val="22"/>
          <w:szCs w:val="22"/>
        </w:rPr>
      </w:pPr>
    </w:p>
    <w:p w14:paraId="49F65D90" w14:textId="77777777" w:rsidR="00FB3BE3" w:rsidRPr="00FD161B" w:rsidRDefault="00FB3BE3" w:rsidP="00FB3BE3">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B7045D7" w14:textId="77777777" w:rsidR="00FB3BE3" w:rsidRPr="00FD161B" w:rsidRDefault="00FB3BE3" w:rsidP="00FB3BE3">
      <w:pPr>
        <w:spacing w:line="360" w:lineRule="auto"/>
        <w:jc w:val="both"/>
        <w:rPr>
          <w:rFonts w:cs="Arial"/>
          <w:bCs/>
          <w:sz w:val="22"/>
          <w:szCs w:val="22"/>
        </w:rPr>
      </w:pPr>
    </w:p>
    <w:p w14:paraId="6D340B7D" w14:textId="77777777" w:rsidR="00FB3BE3" w:rsidRPr="00FD161B" w:rsidRDefault="00FB3BE3" w:rsidP="00FB3BE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0A9B812" w14:textId="77777777" w:rsidR="00FB3BE3" w:rsidRPr="00FD161B" w:rsidRDefault="00FB3BE3" w:rsidP="00FB3BE3">
      <w:pPr>
        <w:spacing w:line="360" w:lineRule="auto"/>
        <w:jc w:val="both"/>
        <w:rPr>
          <w:rFonts w:cs="Arial"/>
          <w:bCs/>
          <w:sz w:val="22"/>
          <w:szCs w:val="22"/>
        </w:rPr>
      </w:pPr>
    </w:p>
    <w:p w14:paraId="0A072F2F" w14:textId="77777777" w:rsidR="00FB3BE3" w:rsidRDefault="00FB3BE3" w:rsidP="00FB3BE3">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0A9CABB" w14:textId="77777777" w:rsidR="00FB3BE3" w:rsidRPr="00AB2826" w:rsidRDefault="00FB3BE3" w:rsidP="00FB3BE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EE516E" w14:textId="1CD3572B" w:rsidR="00FB3BE3" w:rsidRDefault="00FB3BE3" w:rsidP="00FB3BE3">
      <w:pPr>
        <w:spacing w:line="360" w:lineRule="auto"/>
        <w:jc w:val="both"/>
        <w:rPr>
          <w:rFonts w:cs="Arial"/>
          <w:sz w:val="22"/>
          <w:lang w:val="es-ES_tradnl"/>
        </w:rPr>
      </w:pPr>
      <w:r w:rsidRPr="00D14EAF">
        <w:rPr>
          <w:rFonts w:cs="Arial"/>
          <w:b/>
          <w:sz w:val="22"/>
        </w:rPr>
        <w:t>************</w:t>
      </w:r>
    </w:p>
    <w:p w14:paraId="4ED7569E" w14:textId="77777777" w:rsidR="002B71CC" w:rsidRDefault="002B71CC" w:rsidP="002B71CC">
      <w:pPr>
        <w:spacing w:line="360" w:lineRule="auto"/>
        <w:jc w:val="both"/>
        <w:rPr>
          <w:rFonts w:cs="Arial"/>
          <w:sz w:val="22"/>
          <w:lang w:val="es-ES_tradnl"/>
        </w:rPr>
      </w:pPr>
    </w:p>
    <w:p w14:paraId="3622D8F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674F2C4" w14:textId="032CCD70" w:rsidR="004544AE" w:rsidRDefault="004544AE" w:rsidP="004544AE">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2 de la sesión 101-2019 del 19 de diciembre de 2019, esta </w:t>
      </w:r>
      <w:r w:rsidRPr="00FD0B7A">
        <w:rPr>
          <w:rFonts w:cs="Arial"/>
          <w:sz w:val="22"/>
          <w:szCs w:val="22"/>
        </w:rPr>
        <w:t>Junta Directiva</w:t>
      </w:r>
      <w:r>
        <w:rPr>
          <w:rFonts w:cs="Arial"/>
          <w:sz w:val="22"/>
          <w:szCs w:val="22"/>
        </w:rPr>
        <w:t xml:space="preserve"> otorgó a Coopenae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 compra de 191 lotes con servicios y la construcción de igual número de viviendas, en el proyecto habitacional Las Palmas, ubicado en el distrito Fortuna del cantón de Bagaces, provincia de Guanacaste</w:t>
      </w:r>
      <w:r>
        <w:rPr>
          <w:rFonts w:cs="Arial"/>
          <w:sz w:val="22"/>
          <w:szCs w:val="22"/>
        </w:rPr>
        <w:t>.</w:t>
      </w:r>
    </w:p>
    <w:p w14:paraId="6E4DB663" w14:textId="5F923E9D" w:rsidR="004544AE" w:rsidRPr="00BB303F" w:rsidRDefault="004544AE" w:rsidP="004544AE">
      <w:pPr>
        <w:spacing w:line="360" w:lineRule="auto"/>
        <w:jc w:val="both"/>
        <w:rPr>
          <w:rFonts w:cs="Arial"/>
          <w:sz w:val="22"/>
          <w:szCs w:val="22"/>
        </w:rPr>
      </w:pPr>
    </w:p>
    <w:p w14:paraId="5A6CE655" w14:textId="4331B391" w:rsidR="004544AE" w:rsidRPr="00BB303F" w:rsidRDefault="004544AE" w:rsidP="004544AE">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w:t>
      </w:r>
      <w:r w:rsidR="00977876">
        <w:rPr>
          <w:rFonts w:cs="Arial"/>
          <w:sz w:val="22"/>
          <w:szCs w:val="22"/>
        </w:rPr>
        <w:t>0102</w:t>
      </w:r>
      <w:r>
        <w:rPr>
          <w:rFonts w:cs="Arial"/>
          <w:sz w:val="22"/>
          <w:szCs w:val="22"/>
        </w:rPr>
        <w:t xml:space="preserve">-2020, </w:t>
      </w:r>
      <w:r w:rsidR="00977876">
        <w:rPr>
          <w:rFonts w:cs="Arial"/>
          <w:sz w:val="22"/>
          <w:szCs w:val="22"/>
        </w:rPr>
        <w:t>Coopenae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sidR="00977876">
        <w:rPr>
          <w:rFonts w:cs="Arial"/>
          <w:sz w:val="22"/>
          <w:szCs w:val="22"/>
        </w:rPr>
        <w:t xml:space="preserve"> la renuncia al proyecto </w:t>
      </w:r>
      <w:r w:rsidRPr="00BB303F">
        <w:rPr>
          <w:rFonts w:cs="Arial"/>
          <w:sz w:val="22"/>
          <w:szCs w:val="22"/>
        </w:rPr>
        <w:t xml:space="preserve">por parte del </w:t>
      </w:r>
      <w:r w:rsidRPr="00BB303F">
        <w:rPr>
          <w:rFonts w:cs="Arial"/>
          <w:color w:val="000000"/>
          <w:sz w:val="22"/>
          <w:szCs w:val="22"/>
        </w:rPr>
        <w:t>beneficiario original.</w:t>
      </w:r>
    </w:p>
    <w:p w14:paraId="1ECD30A2" w14:textId="77777777" w:rsidR="004544AE" w:rsidRPr="00BB303F" w:rsidRDefault="004544AE" w:rsidP="004544AE">
      <w:pPr>
        <w:spacing w:line="360" w:lineRule="auto"/>
        <w:jc w:val="both"/>
        <w:rPr>
          <w:rFonts w:cs="Arial"/>
          <w:sz w:val="22"/>
          <w:szCs w:val="22"/>
        </w:rPr>
      </w:pPr>
    </w:p>
    <w:p w14:paraId="40CF83F4" w14:textId="610113A2" w:rsidR="004544AE" w:rsidRPr="00BB303F" w:rsidRDefault="004544AE" w:rsidP="004544AE">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977876">
        <w:rPr>
          <w:rFonts w:cs="Arial"/>
          <w:sz w:val="22"/>
          <w:szCs w:val="22"/>
        </w:rPr>
        <w:t>741</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0</w:t>
      </w:r>
      <w:r w:rsidR="00977876">
        <w:rPr>
          <w:rFonts w:cs="Arial"/>
          <w:sz w:val="22"/>
          <w:szCs w:val="22"/>
        </w:rPr>
        <w:t>1</w:t>
      </w:r>
      <w:r>
        <w:rPr>
          <w:rFonts w:cs="Arial"/>
          <w:sz w:val="22"/>
          <w:szCs w:val="22"/>
        </w:rPr>
        <w:t xml:space="preserve"> de </w:t>
      </w:r>
      <w:r w:rsidR="00977876">
        <w:rPr>
          <w:rFonts w:cs="Arial"/>
          <w:sz w:val="22"/>
          <w:szCs w:val="22"/>
        </w:rPr>
        <w:t>julio</w:t>
      </w:r>
      <w:r>
        <w:rPr>
          <w:rFonts w:cs="Arial"/>
          <w:sz w:val="22"/>
          <w:szCs w:val="22"/>
        </w:rPr>
        <w:t xml:space="preserve"> </w:t>
      </w:r>
      <w:r w:rsidRPr="00BB303F">
        <w:rPr>
          <w:rFonts w:cs="Arial"/>
          <w:sz w:val="22"/>
          <w:szCs w:val="22"/>
        </w:rPr>
        <w:t>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0</w:t>
      </w:r>
      <w:r w:rsidR="00977876">
        <w:rPr>
          <w:rFonts w:cs="Arial"/>
          <w:sz w:val="22"/>
          <w:szCs w:val="22"/>
        </w:rPr>
        <w:t>730</w:t>
      </w:r>
      <w:r w:rsidRPr="00BB303F">
        <w:rPr>
          <w:rFonts w:cs="Arial"/>
          <w:sz w:val="22"/>
          <w:szCs w:val="22"/>
        </w:rPr>
        <w:t>-20</w:t>
      </w:r>
      <w:r>
        <w:rPr>
          <w:rFonts w:cs="Arial"/>
          <w:sz w:val="22"/>
          <w:szCs w:val="22"/>
        </w:rPr>
        <w:t>20</w:t>
      </w:r>
      <w:r w:rsidRPr="00BB303F">
        <w:rPr>
          <w:rFonts w:cs="Arial"/>
          <w:sz w:val="22"/>
          <w:szCs w:val="22"/>
        </w:rPr>
        <w:t>, de</w:t>
      </w:r>
      <w:r w:rsidR="00977876">
        <w:rPr>
          <w:rFonts w:cs="Arial"/>
          <w:sz w:val="22"/>
          <w:szCs w:val="22"/>
        </w:rPr>
        <w:t>l 02 de julio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7405FDF5" w14:textId="77777777" w:rsidR="004544AE" w:rsidRDefault="004544AE" w:rsidP="004544AE">
      <w:pPr>
        <w:spacing w:line="360" w:lineRule="auto"/>
        <w:jc w:val="both"/>
        <w:rPr>
          <w:rFonts w:cs="Arial"/>
          <w:sz w:val="22"/>
          <w:szCs w:val="22"/>
        </w:rPr>
      </w:pPr>
    </w:p>
    <w:p w14:paraId="24EC8370" w14:textId="565508DF" w:rsidR="004544AE" w:rsidRPr="00707F21" w:rsidRDefault="004544AE" w:rsidP="004544AE">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977876">
        <w:rPr>
          <w:rFonts w:cs="Arial"/>
          <w:bCs/>
          <w:sz w:val="22"/>
          <w:szCs w:val="22"/>
        </w:rPr>
        <w:t>741</w:t>
      </w:r>
      <w:r w:rsidRPr="00707F21">
        <w:rPr>
          <w:rFonts w:cs="Arial"/>
          <w:bCs/>
          <w:sz w:val="22"/>
          <w:szCs w:val="22"/>
        </w:rPr>
        <w:t>-20</w:t>
      </w:r>
      <w:r w:rsidR="00977876">
        <w:rPr>
          <w:rFonts w:cs="Arial"/>
          <w:bCs/>
          <w:sz w:val="22"/>
          <w:szCs w:val="22"/>
        </w:rPr>
        <w:t>20</w:t>
      </w:r>
      <w:r w:rsidRPr="00707F21">
        <w:rPr>
          <w:rFonts w:cs="Arial"/>
          <w:sz w:val="22"/>
          <w:szCs w:val="22"/>
        </w:rPr>
        <w:t>.</w:t>
      </w:r>
    </w:p>
    <w:p w14:paraId="207B14AA" w14:textId="77777777" w:rsidR="004544AE" w:rsidRDefault="004544AE" w:rsidP="004544AE">
      <w:pPr>
        <w:spacing w:line="360" w:lineRule="auto"/>
        <w:jc w:val="both"/>
        <w:rPr>
          <w:rFonts w:cs="Arial"/>
          <w:sz w:val="22"/>
          <w:szCs w:val="22"/>
        </w:rPr>
      </w:pPr>
    </w:p>
    <w:p w14:paraId="2CD48158" w14:textId="77777777" w:rsidR="004544AE" w:rsidRPr="00BB303F" w:rsidRDefault="004544AE" w:rsidP="004544AE">
      <w:pPr>
        <w:spacing w:line="360" w:lineRule="auto"/>
        <w:jc w:val="both"/>
        <w:rPr>
          <w:rFonts w:cs="Arial"/>
          <w:b/>
          <w:bCs/>
          <w:sz w:val="22"/>
          <w:szCs w:val="22"/>
        </w:rPr>
      </w:pPr>
      <w:r w:rsidRPr="00BB303F">
        <w:rPr>
          <w:rFonts w:cs="Arial"/>
          <w:b/>
          <w:bCs/>
          <w:sz w:val="22"/>
          <w:szCs w:val="22"/>
        </w:rPr>
        <w:t>Por tanto, se acuerda:</w:t>
      </w:r>
    </w:p>
    <w:p w14:paraId="1D70228C" w14:textId="4014728F" w:rsidR="002B71CC" w:rsidRDefault="004544AE"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w:t>
      </w:r>
      <w:r w:rsidR="00977876">
        <w:rPr>
          <w:rFonts w:cs="Arial"/>
          <w:sz w:val="22"/>
          <w:szCs w:val="22"/>
        </w:rPr>
        <w:t>Melissa Joseph Vallejos Jarquín</w:t>
      </w:r>
      <w:r>
        <w:rPr>
          <w:rFonts w:cs="Arial"/>
          <w:sz w:val="22"/>
          <w:szCs w:val="22"/>
        </w:rPr>
        <w:t xml:space="preserve">, </w:t>
      </w:r>
      <w:r w:rsidRPr="0062363E">
        <w:rPr>
          <w:rFonts w:cs="Arial"/>
          <w:sz w:val="22"/>
          <w:szCs w:val="22"/>
        </w:rPr>
        <w:t xml:space="preserve">cédula N° </w:t>
      </w:r>
      <w:r w:rsidR="00977876">
        <w:rPr>
          <w:rFonts w:cs="Arial"/>
          <w:sz w:val="22"/>
          <w:szCs w:val="22"/>
        </w:rPr>
        <w:t>2</w:t>
      </w:r>
      <w:r w:rsidRPr="0062363E">
        <w:rPr>
          <w:rFonts w:cs="Arial"/>
          <w:sz w:val="22"/>
          <w:szCs w:val="22"/>
        </w:rPr>
        <w:t>-</w:t>
      </w:r>
      <w:r>
        <w:rPr>
          <w:rFonts w:cs="Arial"/>
          <w:sz w:val="22"/>
          <w:szCs w:val="22"/>
        </w:rPr>
        <w:t>0</w:t>
      </w:r>
      <w:r w:rsidR="00977876">
        <w:rPr>
          <w:rFonts w:cs="Arial"/>
          <w:sz w:val="22"/>
          <w:szCs w:val="22"/>
        </w:rPr>
        <w:t>671</w:t>
      </w:r>
      <w:r w:rsidRPr="0062363E">
        <w:rPr>
          <w:rFonts w:cs="Arial"/>
          <w:sz w:val="22"/>
          <w:szCs w:val="22"/>
        </w:rPr>
        <w:t>-0</w:t>
      </w:r>
      <w:r w:rsidR="00977876">
        <w:rPr>
          <w:rFonts w:cs="Arial"/>
          <w:sz w:val="22"/>
          <w:szCs w:val="22"/>
        </w:rPr>
        <w:t>303</w:t>
      </w:r>
      <w:r>
        <w:rPr>
          <w:rFonts w:cs="Arial"/>
          <w:sz w:val="22"/>
          <w:szCs w:val="22"/>
        </w:rPr>
        <w:t>,</w:t>
      </w:r>
      <w:r w:rsidRPr="0062363E">
        <w:rPr>
          <w:rFonts w:cs="Arial"/>
          <w:sz w:val="22"/>
          <w:szCs w:val="22"/>
        </w:rPr>
        <w:t xml:space="preserve"> como beneficiari</w:t>
      </w:r>
      <w:r w:rsidR="00977876">
        <w:rPr>
          <w:rFonts w:cs="Arial"/>
          <w:sz w:val="22"/>
          <w:szCs w:val="22"/>
        </w:rPr>
        <w:t>a</w:t>
      </w:r>
      <w:r w:rsidRPr="0062363E">
        <w:rPr>
          <w:rFonts w:cs="Arial"/>
          <w:sz w:val="22"/>
          <w:szCs w:val="22"/>
        </w:rPr>
        <w:t xml:space="preserve"> del proyecto habitacional </w:t>
      </w:r>
      <w:r>
        <w:rPr>
          <w:rFonts w:cs="Arial"/>
          <w:sz w:val="22"/>
          <w:szCs w:val="22"/>
        </w:rPr>
        <w:t>La</w:t>
      </w:r>
      <w:r w:rsidR="00977876">
        <w:rPr>
          <w:rFonts w:cs="Arial"/>
          <w:sz w:val="22"/>
          <w:szCs w:val="22"/>
        </w:rPr>
        <w:t>s Palmas</w:t>
      </w:r>
      <w:r>
        <w:rPr>
          <w:rFonts w:cs="Arial"/>
          <w:sz w:val="22"/>
          <w:szCs w:val="22"/>
        </w:rPr>
        <w:t xml:space="preserve">, </w:t>
      </w:r>
      <w:r w:rsidRPr="0062363E">
        <w:rPr>
          <w:rFonts w:cs="Arial"/>
          <w:sz w:val="22"/>
          <w:szCs w:val="22"/>
        </w:rPr>
        <w:t>e incluir como beneficiari</w:t>
      </w:r>
      <w:r w:rsidR="00977876">
        <w:rPr>
          <w:rFonts w:cs="Arial"/>
          <w:sz w:val="22"/>
          <w:szCs w:val="22"/>
        </w:rPr>
        <w:t>o</w:t>
      </w:r>
      <w:r>
        <w:rPr>
          <w:rFonts w:cs="Arial"/>
          <w:sz w:val="22"/>
          <w:szCs w:val="22"/>
        </w:rPr>
        <w:t xml:space="preserve">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977876">
        <w:rPr>
          <w:rFonts w:cs="Arial"/>
          <w:sz w:val="22"/>
          <w:szCs w:val="22"/>
        </w:rPr>
        <w:t>el señor José Jaikel Huertas Oses</w:t>
      </w:r>
      <w:r w:rsidRPr="0062363E">
        <w:rPr>
          <w:rFonts w:cs="Arial"/>
          <w:sz w:val="22"/>
          <w:szCs w:val="22"/>
        </w:rPr>
        <w:t xml:space="preserve">, </w:t>
      </w:r>
      <w:r>
        <w:rPr>
          <w:rFonts w:cs="Arial"/>
          <w:sz w:val="22"/>
          <w:szCs w:val="22"/>
        </w:rPr>
        <w:t>con cédula N° 5-038</w:t>
      </w:r>
      <w:r w:rsidR="00977876">
        <w:rPr>
          <w:rFonts w:cs="Arial"/>
          <w:sz w:val="22"/>
          <w:szCs w:val="22"/>
        </w:rPr>
        <w:t>3</w:t>
      </w:r>
      <w:r>
        <w:rPr>
          <w:rFonts w:cs="Arial"/>
          <w:sz w:val="22"/>
          <w:szCs w:val="22"/>
        </w:rPr>
        <w:t>-0</w:t>
      </w:r>
      <w:r w:rsidR="00977876">
        <w:rPr>
          <w:rFonts w:cs="Arial"/>
          <w:sz w:val="22"/>
          <w:szCs w:val="22"/>
        </w:rPr>
        <w:t>603</w:t>
      </w:r>
      <w:r>
        <w:rPr>
          <w:rFonts w:cs="Arial"/>
          <w:sz w:val="22"/>
          <w:szCs w:val="22"/>
        </w:rPr>
        <w:t>.</w:t>
      </w:r>
    </w:p>
    <w:p w14:paraId="71EA16D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7C43D3" w14:textId="77777777" w:rsidR="002B71CC" w:rsidRPr="00D14EAF" w:rsidRDefault="002B71CC" w:rsidP="002B71CC">
      <w:pPr>
        <w:spacing w:line="360" w:lineRule="auto"/>
        <w:jc w:val="both"/>
        <w:rPr>
          <w:rFonts w:cs="Arial"/>
          <w:b/>
          <w:sz w:val="22"/>
        </w:rPr>
      </w:pPr>
      <w:r w:rsidRPr="00D14EAF">
        <w:rPr>
          <w:rFonts w:cs="Arial"/>
          <w:b/>
          <w:sz w:val="22"/>
        </w:rPr>
        <w:t>************</w:t>
      </w:r>
    </w:p>
    <w:p w14:paraId="4CF95C9E" w14:textId="77777777" w:rsidR="002B71CC" w:rsidRDefault="002B71CC" w:rsidP="002B71CC">
      <w:pPr>
        <w:spacing w:line="360" w:lineRule="auto"/>
        <w:jc w:val="both"/>
        <w:rPr>
          <w:rFonts w:cs="Arial"/>
          <w:sz w:val="22"/>
          <w:lang w:val="es-ES_tradnl"/>
        </w:rPr>
      </w:pPr>
    </w:p>
    <w:p w14:paraId="1562EC7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5631D41" w14:textId="77777777" w:rsidR="007A3F16" w:rsidRPr="002F0FBB" w:rsidRDefault="007A3F16" w:rsidP="007A3F16">
      <w:pPr>
        <w:spacing w:line="360" w:lineRule="auto"/>
        <w:ind w:right="51"/>
        <w:jc w:val="both"/>
        <w:rPr>
          <w:rFonts w:cs="Arial"/>
          <w:b/>
          <w:sz w:val="22"/>
          <w:szCs w:val="22"/>
        </w:rPr>
      </w:pPr>
      <w:r w:rsidRPr="002F0FBB">
        <w:rPr>
          <w:rFonts w:cs="Arial"/>
          <w:b/>
          <w:sz w:val="22"/>
          <w:szCs w:val="22"/>
        </w:rPr>
        <w:t>Considerando:</w:t>
      </w:r>
    </w:p>
    <w:p w14:paraId="31BF1F2F" w14:textId="024ECD66" w:rsidR="00EE5F65" w:rsidRDefault="007A3F16" w:rsidP="00EE5F65">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EE5F65">
        <w:rPr>
          <w:rFonts w:cs="Arial"/>
          <w:sz w:val="22"/>
          <w:szCs w:val="22"/>
        </w:rPr>
        <w:t>728</w:t>
      </w:r>
      <w:r w:rsidRPr="00EA7ADB">
        <w:rPr>
          <w:rFonts w:cs="Arial"/>
          <w:sz w:val="22"/>
          <w:szCs w:val="22"/>
        </w:rPr>
        <w:t>-20</w:t>
      </w:r>
      <w:r>
        <w:rPr>
          <w:rFonts w:cs="Arial"/>
          <w:sz w:val="22"/>
          <w:szCs w:val="22"/>
        </w:rPr>
        <w:t>20</w:t>
      </w:r>
      <w:r w:rsidRPr="00EA7ADB">
        <w:rPr>
          <w:rFonts w:cs="Arial"/>
          <w:sz w:val="22"/>
          <w:szCs w:val="22"/>
        </w:rPr>
        <w:t xml:space="preserve"> del </w:t>
      </w:r>
      <w:r w:rsidR="00EE5F65">
        <w:rPr>
          <w:rFonts w:cs="Arial"/>
          <w:sz w:val="22"/>
          <w:szCs w:val="22"/>
        </w:rPr>
        <w:t>02</w:t>
      </w:r>
      <w:r w:rsidRPr="00EA7ADB">
        <w:rPr>
          <w:rFonts w:cs="Arial"/>
          <w:sz w:val="22"/>
          <w:szCs w:val="22"/>
        </w:rPr>
        <w:t xml:space="preserve"> de </w:t>
      </w:r>
      <w:r w:rsidR="00EE5F65">
        <w:rPr>
          <w:rFonts w:cs="Arial"/>
          <w:sz w:val="22"/>
          <w:szCs w:val="22"/>
        </w:rPr>
        <w:t>julio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sidR="00EE5F65">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EE5F65">
        <w:rPr>
          <w:rFonts w:cs="Arial"/>
          <w:color w:val="000000"/>
          <w:sz w:val="22"/>
          <w:szCs w:val="22"/>
        </w:rPr>
        <w:t>737</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sidR="00EE5F65">
        <w:rPr>
          <w:rFonts w:cs="Arial"/>
          <w:color w:val="000000"/>
          <w:sz w:val="22"/>
          <w:szCs w:val="22"/>
        </w:rPr>
        <w:t xml:space="preserve"> la Fundación para la Vivienda Rural Costa Rica – Canadá,</w:t>
      </w:r>
      <w:r w:rsidRPr="002F0FBB">
        <w:rPr>
          <w:rFonts w:cs="Arial"/>
          <w:color w:val="000000"/>
          <w:sz w:val="22"/>
          <w:szCs w:val="22"/>
        </w:rPr>
        <w:t xml:space="preserve"> </w:t>
      </w:r>
      <w:r w:rsidRPr="002E30F1">
        <w:rPr>
          <w:rFonts w:cs="Arial"/>
          <w:sz w:val="22"/>
          <w:szCs w:val="22"/>
          <w:lang w:val="es-ES_tradnl"/>
        </w:rPr>
        <w:t xml:space="preserve">para </w:t>
      </w:r>
      <w:r w:rsidR="00EE5F65" w:rsidRPr="00AA6479">
        <w:rPr>
          <w:rFonts w:cs="Arial"/>
          <w:sz w:val="22"/>
          <w:szCs w:val="22"/>
        </w:rPr>
        <w:t xml:space="preserve">para </w:t>
      </w:r>
      <w:r w:rsidR="00EE5F65" w:rsidRPr="00AA6479">
        <w:rPr>
          <w:rFonts w:cs="Arial"/>
          <w:color w:val="000000"/>
          <w:sz w:val="22"/>
          <w:szCs w:val="22"/>
        </w:rPr>
        <w:t>prorrogar</w:t>
      </w:r>
      <w:r w:rsidR="00EE5F65" w:rsidRPr="00AA6479">
        <w:rPr>
          <w:rFonts w:cs="Arial"/>
          <w:sz w:val="22"/>
          <w:szCs w:val="22"/>
        </w:rPr>
        <w:t xml:space="preserve"> el plazo</w:t>
      </w:r>
      <w:r w:rsidR="00EE5F65" w:rsidRPr="00AA6479">
        <w:rPr>
          <w:rFonts w:cs="Arial"/>
          <w:sz w:val="22"/>
          <w:szCs w:val="22"/>
          <w:lang w:val="es-ES_tradnl"/>
        </w:rPr>
        <w:t xml:space="preserve"> de liquidación y financiar</w:t>
      </w:r>
      <w:r w:rsidR="00EE5F65" w:rsidRPr="00AA6479">
        <w:rPr>
          <w:rFonts w:cs="Arial"/>
          <w:sz w:val="22"/>
          <w:szCs w:val="22"/>
        </w:rPr>
        <w:t xml:space="preserve"> actividades adicionales no contempladas originalmente en el proyecto </w:t>
      </w:r>
      <w:r w:rsidR="00EE5F65">
        <w:rPr>
          <w:rFonts w:cs="Arial"/>
          <w:sz w:val="22"/>
          <w:szCs w:val="22"/>
        </w:rPr>
        <w:t xml:space="preserve">de Bono Colectivo Los Lirios, </w:t>
      </w:r>
      <w:r w:rsidR="00AB7A21" w:rsidRPr="00AB7A21">
        <w:rPr>
          <w:rFonts w:cs="Arial"/>
          <w:sz w:val="22"/>
          <w:szCs w:val="22"/>
        </w:rPr>
        <w:t xml:space="preserve">ubicado en el cantón y provincia de Limón, y aprobado con el </w:t>
      </w:r>
      <w:r w:rsidR="00AB7A21" w:rsidRPr="00AB7A21">
        <w:rPr>
          <w:rFonts w:cs="Arial"/>
          <w:sz w:val="22"/>
          <w:szCs w:val="22"/>
          <w:lang w:val="es-ES_tradnl"/>
        </w:rPr>
        <w:t xml:space="preserve">acuerdo N° </w:t>
      </w:r>
      <w:r w:rsidR="00AB7A21">
        <w:rPr>
          <w:rFonts w:cs="Arial"/>
          <w:sz w:val="22"/>
          <w:szCs w:val="22"/>
          <w:lang w:val="es-ES_tradnl"/>
        </w:rPr>
        <w:t>6</w:t>
      </w:r>
      <w:r w:rsidR="00AB7A21" w:rsidRPr="00AB7A21">
        <w:rPr>
          <w:rFonts w:cs="Arial"/>
          <w:sz w:val="22"/>
          <w:szCs w:val="22"/>
        </w:rPr>
        <w:t xml:space="preserve"> de la sesión </w:t>
      </w:r>
      <w:r w:rsidR="00AB7A21">
        <w:rPr>
          <w:rFonts w:cs="Arial"/>
          <w:sz w:val="22"/>
          <w:szCs w:val="22"/>
        </w:rPr>
        <w:t>40</w:t>
      </w:r>
      <w:r w:rsidR="00AB7A21" w:rsidRPr="00AB7A21">
        <w:rPr>
          <w:rFonts w:cs="Arial"/>
          <w:sz w:val="22"/>
          <w:szCs w:val="22"/>
        </w:rPr>
        <w:t>-201</w:t>
      </w:r>
      <w:r w:rsidR="00AB7A21">
        <w:rPr>
          <w:rFonts w:cs="Arial"/>
          <w:sz w:val="22"/>
          <w:szCs w:val="22"/>
        </w:rPr>
        <w:t>9</w:t>
      </w:r>
      <w:r w:rsidR="00AB7A21" w:rsidRPr="00AB7A21">
        <w:rPr>
          <w:rFonts w:cs="Arial"/>
          <w:sz w:val="22"/>
          <w:szCs w:val="22"/>
        </w:rPr>
        <w:t xml:space="preserve"> del </w:t>
      </w:r>
      <w:r w:rsidR="00AB7A21">
        <w:rPr>
          <w:rFonts w:cs="Arial"/>
          <w:sz w:val="22"/>
          <w:szCs w:val="22"/>
        </w:rPr>
        <w:t>27</w:t>
      </w:r>
      <w:r w:rsidR="00AB7A21" w:rsidRPr="00AB7A21">
        <w:rPr>
          <w:rFonts w:cs="Arial"/>
          <w:sz w:val="22"/>
          <w:szCs w:val="22"/>
        </w:rPr>
        <w:t xml:space="preserve"> de </w:t>
      </w:r>
      <w:r w:rsidR="00AB7A21">
        <w:rPr>
          <w:rFonts w:cs="Arial"/>
          <w:sz w:val="22"/>
          <w:szCs w:val="22"/>
        </w:rPr>
        <w:t>mayo</w:t>
      </w:r>
      <w:r w:rsidR="00AB7A21" w:rsidRPr="00AB7A21">
        <w:rPr>
          <w:rFonts w:cs="Arial"/>
          <w:sz w:val="22"/>
          <w:szCs w:val="22"/>
        </w:rPr>
        <w:t xml:space="preserve"> de 201</w:t>
      </w:r>
      <w:r w:rsidR="00AB7A21">
        <w:rPr>
          <w:rFonts w:cs="Arial"/>
          <w:sz w:val="22"/>
          <w:szCs w:val="22"/>
        </w:rPr>
        <w:t>9.</w:t>
      </w:r>
    </w:p>
    <w:p w14:paraId="3DF00E92" w14:textId="77777777" w:rsidR="00EE5F65" w:rsidRDefault="00EE5F65" w:rsidP="00EE5F65">
      <w:pPr>
        <w:spacing w:line="360" w:lineRule="auto"/>
        <w:jc w:val="both"/>
        <w:rPr>
          <w:rFonts w:cs="Arial"/>
          <w:sz w:val="22"/>
          <w:szCs w:val="22"/>
        </w:rPr>
      </w:pPr>
    </w:p>
    <w:p w14:paraId="34AD65FB" w14:textId="16FCACB1" w:rsidR="00F81477" w:rsidRDefault="007A3F16" w:rsidP="007A3F16">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prorrogar</w:t>
      </w:r>
      <w:r w:rsidR="00F81477">
        <w:rPr>
          <w:rFonts w:cs="Arial"/>
          <w:sz w:val="22"/>
          <w:szCs w:val="22"/>
          <w:lang w:val="es-ES_tradnl"/>
        </w:rPr>
        <w:t xml:space="preserve"> cuatro meses el </w:t>
      </w:r>
      <w:r w:rsidRPr="00AA6479">
        <w:rPr>
          <w:rFonts w:cs="Arial"/>
          <w:color w:val="000000"/>
          <w:sz w:val="22"/>
          <w:szCs w:val="22"/>
        </w:rPr>
        <w:t>plazo para la entrega del cierre técnico y financiero del citado proyecto habitacional,</w:t>
      </w:r>
      <w:r w:rsidRPr="00AA6479">
        <w:rPr>
          <w:rFonts w:cs="Arial"/>
          <w:sz w:val="22"/>
          <w:szCs w:val="22"/>
          <w:lang w:val="es-ES_tradnl"/>
        </w:rPr>
        <w:t xml:space="preserve"> </w:t>
      </w:r>
      <w:r>
        <w:rPr>
          <w:rFonts w:cs="Arial"/>
          <w:sz w:val="22"/>
          <w:szCs w:val="22"/>
          <w:lang w:val="es-ES_tradnl"/>
        </w:rPr>
        <w:t xml:space="preserve">y </w:t>
      </w:r>
      <w:r w:rsidRPr="00AA6479">
        <w:rPr>
          <w:rFonts w:cs="Arial"/>
          <w:sz w:val="22"/>
          <w:szCs w:val="22"/>
          <w:lang w:val="es-ES_tradnl"/>
        </w:rPr>
        <w:t xml:space="preserve">además aprobar la reasignación de saldos </w:t>
      </w:r>
      <w:r w:rsidR="00F81477">
        <w:rPr>
          <w:rFonts w:cs="Arial"/>
          <w:sz w:val="22"/>
          <w:szCs w:val="22"/>
          <w:lang w:val="es-ES_tradnl"/>
        </w:rPr>
        <w:t xml:space="preserve">de actividades no ejecutadas, para </w:t>
      </w:r>
      <w:r w:rsidR="00257519">
        <w:rPr>
          <w:rFonts w:cs="Arial"/>
          <w:sz w:val="22"/>
          <w:szCs w:val="22"/>
          <w:lang w:val="es-ES_tradnl"/>
        </w:rPr>
        <w:t xml:space="preserve">financiar </w:t>
      </w:r>
      <w:r w:rsidR="00F81477">
        <w:rPr>
          <w:rFonts w:cs="Arial"/>
          <w:sz w:val="22"/>
          <w:szCs w:val="22"/>
          <w:lang w:val="es-ES_tradnl"/>
        </w:rPr>
        <w:t>la limpieza del área de trabajo finalizado, la colocación de lámparas en el parque, la reparación del salón comunal, la colocación de malla ciclón en el parque</w:t>
      </w:r>
      <w:r w:rsidR="00257519">
        <w:rPr>
          <w:rFonts w:cs="Arial"/>
          <w:sz w:val="22"/>
          <w:szCs w:val="22"/>
          <w:lang w:val="es-ES_tradnl"/>
        </w:rPr>
        <w:t xml:space="preserve"> y</w:t>
      </w:r>
      <w:r w:rsidR="00F81477">
        <w:rPr>
          <w:rFonts w:cs="Arial"/>
          <w:sz w:val="22"/>
          <w:szCs w:val="22"/>
          <w:lang w:val="es-ES_tradnl"/>
        </w:rPr>
        <w:t xml:space="preserve"> la reposición de juegos infantiles</w:t>
      </w:r>
      <w:r w:rsidR="00257519">
        <w:rPr>
          <w:rFonts w:cs="Arial"/>
          <w:sz w:val="22"/>
          <w:szCs w:val="22"/>
          <w:lang w:val="es-ES_tradnl"/>
        </w:rPr>
        <w:t>.</w:t>
      </w:r>
    </w:p>
    <w:p w14:paraId="357D1772" w14:textId="77777777" w:rsidR="00F81477" w:rsidRDefault="00F81477" w:rsidP="007A3F16">
      <w:pPr>
        <w:spacing w:line="360" w:lineRule="auto"/>
        <w:jc w:val="both"/>
        <w:rPr>
          <w:rFonts w:cs="Arial"/>
          <w:sz w:val="22"/>
          <w:szCs w:val="22"/>
          <w:lang w:val="es-ES_tradnl"/>
        </w:rPr>
      </w:pPr>
    </w:p>
    <w:p w14:paraId="5FE7FA54" w14:textId="77777777" w:rsidR="007A3F16" w:rsidRPr="00AA6479" w:rsidRDefault="007A3F16" w:rsidP="007A3F16">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el tanto –según se ha documentado– las actividades a financiar son necesarias para garantizar la seguridad del proyecto de vivienda, y además se ha verificado la razonabilidad de los costos propuestos por la entidad autorizada.</w:t>
      </w:r>
    </w:p>
    <w:p w14:paraId="31A81599" w14:textId="77777777" w:rsidR="007A3F16" w:rsidRDefault="007A3F16" w:rsidP="007A3F16">
      <w:pPr>
        <w:spacing w:line="360" w:lineRule="auto"/>
        <w:jc w:val="both"/>
        <w:rPr>
          <w:rFonts w:cs="Arial"/>
          <w:sz w:val="22"/>
          <w:szCs w:val="22"/>
          <w:lang w:val="es-ES_tradnl"/>
        </w:rPr>
      </w:pPr>
    </w:p>
    <w:p w14:paraId="18515791" w14:textId="77777777" w:rsidR="007A3F16" w:rsidRPr="002F0FBB" w:rsidRDefault="007A3F16" w:rsidP="007A3F16">
      <w:pPr>
        <w:spacing w:line="360" w:lineRule="auto"/>
        <w:jc w:val="both"/>
        <w:rPr>
          <w:rFonts w:cs="Arial"/>
          <w:b/>
          <w:sz w:val="22"/>
          <w:szCs w:val="22"/>
        </w:rPr>
      </w:pPr>
      <w:r w:rsidRPr="002F0FBB">
        <w:rPr>
          <w:rFonts w:cs="Arial"/>
          <w:b/>
          <w:sz w:val="22"/>
          <w:szCs w:val="22"/>
        </w:rPr>
        <w:t>Por tanto, se acuerda:</w:t>
      </w:r>
    </w:p>
    <w:p w14:paraId="5119BF71" w14:textId="32BFA791" w:rsidR="00257519" w:rsidRDefault="007A3F16" w:rsidP="007A3F16">
      <w:pPr>
        <w:autoSpaceDE w:val="0"/>
        <w:autoSpaceDN w:val="0"/>
        <w:adjustRightInd w:val="0"/>
        <w:spacing w:line="360" w:lineRule="auto"/>
        <w:jc w:val="both"/>
        <w:rPr>
          <w:rFonts w:cs="Arial"/>
          <w:sz w:val="22"/>
          <w:szCs w:val="22"/>
          <w:lang w:val="es-ES_tradnl"/>
        </w:rPr>
      </w:pPr>
      <w:r w:rsidRPr="00AA6479">
        <w:rPr>
          <w:rFonts w:cs="Arial"/>
          <w:b/>
          <w:sz w:val="22"/>
          <w:szCs w:val="22"/>
          <w:lang w:val="es-ES_tradnl"/>
        </w:rPr>
        <w:t>A)</w:t>
      </w:r>
      <w:r w:rsidRPr="00AA6479">
        <w:rPr>
          <w:rFonts w:cs="Arial"/>
          <w:sz w:val="22"/>
          <w:szCs w:val="22"/>
          <w:lang w:val="es-ES_tradnl"/>
        </w:rPr>
        <w:t xml:space="preserve"> Autorizar a la </w:t>
      </w:r>
      <w:r w:rsidR="00257519">
        <w:rPr>
          <w:rFonts w:cs="Arial"/>
          <w:sz w:val="22"/>
          <w:szCs w:val="22"/>
          <w:lang w:val="es-ES_tradnl"/>
        </w:rPr>
        <w:t xml:space="preserve">Fundación para la Vivienda Rural Costa Rica – Canadá, para el proyecto de Bono Colectivo Los Lirios, </w:t>
      </w:r>
      <w:r w:rsidR="00257519">
        <w:rPr>
          <w:rFonts w:cs="Arial"/>
          <w:color w:val="000000"/>
          <w:sz w:val="22"/>
          <w:szCs w:val="22"/>
          <w:lang w:val="es-ES_tradnl"/>
        </w:rPr>
        <w:t xml:space="preserve">la reasignación de saldos de partidas presupuestarias, por un monto total de </w:t>
      </w:r>
      <w:r w:rsidR="00257519" w:rsidRPr="00AA6479">
        <w:rPr>
          <w:rFonts w:cs="Arial"/>
          <w:b/>
          <w:sz w:val="22"/>
          <w:szCs w:val="22"/>
          <w:lang w:val="es-ES_tradnl"/>
        </w:rPr>
        <w:t>¢</w:t>
      </w:r>
      <w:r w:rsidR="00257519">
        <w:rPr>
          <w:rFonts w:cs="Arial"/>
          <w:b/>
          <w:sz w:val="22"/>
          <w:szCs w:val="22"/>
          <w:lang w:val="es-ES_tradnl"/>
        </w:rPr>
        <w:t>19</w:t>
      </w:r>
      <w:r w:rsidR="00257519" w:rsidRPr="00AA6479">
        <w:rPr>
          <w:rFonts w:cs="Arial"/>
          <w:b/>
          <w:sz w:val="22"/>
          <w:szCs w:val="22"/>
          <w:lang w:val="es-ES_tradnl"/>
        </w:rPr>
        <w:t>.</w:t>
      </w:r>
      <w:r w:rsidR="00257519">
        <w:rPr>
          <w:rFonts w:cs="Arial"/>
          <w:b/>
          <w:sz w:val="22"/>
          <w:szCs w:val="22"/>
          <w:lang w:val="es-ES_tradnl"/>
        </w:rPr>
        <w:t>404</w:t>
      </w:r>
      <w:r w:rsidR="00257519" w:rsidRPr="00AA6479">
        <w:rPr>
          <w:rFonts w:cs="Arial"/>
          <w:b/>
          <w:sz w:val="22"/>
          <w:szCs w:val="22"/>
          <w:lang w:val="es-ES_tradnl"/>
        </w:rPr>
        <w:t>.</w:t>
      </w:r>
      <w:r w:rsidR="00257519">
        <w:rPr>
          <w:rFonts w:cs="Arial"/>
          <w:b/>
          <w:sz w:val="22"/>
          <w:szCs w:val="22"/>
          <w:lang w:val="es-ES_tradnl"/>
        </w:rPr>
        <w:t>766</w:t>
      </w:r>
      <w:r w:rsidR="00257519" w:rsidRPr="00AA6479">
        <w:rPr>
          <w:rFonts w:cs="Arial"/>
          <w:b/>
          <w:sz w:val="22"/>
          <w:szCs w:val="22"/>
          <w:lang w:val="es-ES_tradnl"/>
        </w:rPr>
        <w:t>,</w:t>
      </w:r>
      <w:r w:rsidR="00257519">
        <w:rPr>
          <w:rFonts w:cs="Arial"/>
          <w:b/>
          <w:sz w:val="22"/>
          <w:szCs w:val="22"/>
          <w:lang w:val="es-ES_tradnl"/>
        </w:rPr>
        <w:t>07</w:t>
      </w:r>
      <w:r w:rsidR="00257519" w:rsidRPr="00AA6479">
        <w:rPr>
          <w:rFonts w:cs="Arial"/>
          <w:sz w:val="22"/>
          <w:szCs w:val="22"/>
          <w:lang w:val="es-ES_tradnl"/>
        </w:rPr>
        <w:t xml:space="preserve"> (</w:t>
      </w:r>
      <w:r w:rsidR="00257519">
        <w:rPr>
          <w:rFonts w:cs="Arial"/>
          <w:sz w:val="22"/>
          <w:szCs w:val="22"/>
          <w:lang w:val="es-ES_tradnl"/>
        </w:rPr>
        <w:t>diecinueve</w:t>
      </w:r>
      <w:r w:rsidR="00257519" w:rsidRPr="00AA6479">
        <w:rPr>
          <w:rFonts w:cs="Arial"/>
          <w:sz w:val="22"/>
          <w:szCs w:val="22"/>
          <w:lang w:val="es-ES_tradnl"/>
        </w:rPr>
        <w:t xml:space="preserve"> millones </w:t>
      </w:r>
      <w:r w:rsidR="00257519">
        <w:rPr>
          <w:rFonts w:cs="Arial"/>
          <w:sz w:val="22"/>
          <w:szCs w:val="22"/>
          <w:lang w:val="es-ES_tradnl"/>
        </w:rPr>
        <w:t>cuatro</w:t>
      </w:r>
      <w:r w:rsidR="00257519" w:rsidRPr="00AA6479">
        <w:rPr>
          <w:rFonts w:cs="Arial"/>
          <w:sz w:val="22"/>
          <w:szCs w:val="22"/>
          <w:lang w:val="es-ES_tradnl"/>
        </w:rPr>
        <w:t>ciento</w:t>
      </w:r>
      <w:r w:rsidR="00257519">
        <w:rPr>
          <w:rFonts w:cs="Arial"/>
          <w:sz w:val="22"/>
          <w:szCs w:val="22"/>
          <w:lang w:val="es-ES_tradnl"/>
        </w:rPr>
        <w:t>s cuatro</w:t>
      </w:r>
      <w:r w:rsidR="00257519" w:rsidRPr="00AA6479">
        <w:rPr>
          <w:rFonts w:cs="Arial"/>
          <w:sz w:val="22"/>
          <w:szCs w:val="22"/>
          <w:lang w:val="es-ES_tradnl"/>
        </w:rPr>
        <w:t xml:space="preserve"> mil </w:t>
      </w:r>
      <w:r w:rsidR="00257519">
        <w:rPr>
          <w:rFonts w:cs="Arial"/>
          <w:sz w:val="22"/>
          <w:szCs w:val="22"/>
          <w:lang w:val="es-ES_tradnl"/>
        </w:rPr>
        <w:t>sete</w:t>
      </w:r>
      <w:r w:rsidR="00257519" w:rsidRPr="00AA6479">
        <w:rPr>
          <w:rFonts w:cs="Arial"/>
          <w:sz w:val="22"/>
          <w:szCs w:val="22"/>
          <w:lang w:val="es-ES_tradnl"/>
        </w:rPr>
        <w:t xml:space="preserve">cientos </w:t>
      </w:r>
      <w:r w:rsidR="00257519">
        <w:rPr>
          <w:rFonts w:cs="Arial"/>
          <w:sz w:val="22"/>
          <w:szCs w:val="22"/>
          <w:lang w:val="es-ES_tradnl"/>
        </w:rPr>
        <w:t>sesenta y seis</w:t>
      </w:r>
      <w:r w:rsidR="00257519" w:rsidRPr="00AA6479">
        <w:rPr>
          <w:rFonts w:cs="Arial"/>
          <w:sz w:val="22"/>
          <w:szCs w:val="22"/>
          <w:lang w:val="es-ES_tradnl"/>
        </w:rPr>
        <w:t xml:space="preserve"> colones con </w:t>
      </w:r>
      <w:r w:rsidR="00257519">
        <w:rPr>
          <w:rFonts w:cs="Arial"/>
          <w:sz w:val="22"/>
          <w:szCs w:val="22"/>
          <w:lang w:val="es-ES_tradnl"/>
        </w:rPr>
        <w:t>07</w:t>
      </w:r>
      <w:r w:rsidR="00257519" w:rsidRPr="00AA6479">
        <w:rPr>
          <w:rFonts w:cs="Arial"/>
          <w:sz w:val="22"/>
          <w:szCs w:val="22"/>
          <w:lang w:val="es-ES_tradnl"/>
        </w:rPr>
        <w:t>/100),</w:t>
      </w:r>
      <w:r w:rsidR="00257519">
        <w:rPr>
          <w:rFonts w:cs="Arial"/>
          <w:sz w:val="22"/>
          <w:szCs w:val="22"/>
          <w:lang w:val="es-ES_tradnl"/>
        </w:rPr>
        <w:t xml:space="preserve"> para la ejecución de obras adicionales no contempladas originalmente, </w:t>
      </w:r>
      <w:r w:rsidR="00FC3B82">
        <w:rPr>
          <w:rFonts w:cs="Arial"/>
          <w:sz w:val="22"/>
          <w:szCs w:val="22"/>
          <w:lang w:val="es-ES_tradnl"/>
        </w:rPr>
        <w:t xml:space="preserve">de conformidad con el </w:t>
      </w:r>
      <w:r w:rsidR="00257519">
        <w:rPr>
          <w:rFonts w:cs="Arial"/>
          <w:sz w:val="22"/>
          <w:szCs w:val="22"/>
          <w:lang w:val="es-ES_tradnl"/>
        </w:rPr>
        <w:t xml:space="preserve">detalle que se </w:t>
      </w:r>
      <w:r w:rsidR="00FC3B82">
        <w:rPr>
          <w:rFonts w:cs="Arial"/>
          <w:sz w:val="22"/>
          <w:szCs w:val="22"/>
          <w:lang w:val="es-ES_tradnl"/>
        </w:rPr>
        <w:t>expone</w:t>
      </w:r>
      <w:r w:rsidR="00257519">
        <w:rPr>
          <w:rFonts w:cs="Arial"/>
          <w:sz w:val="22"/>
          <w:szCs w:val="22"/>
          <w:lang w:val="es-ES_tradnl"/>
        </w:rPr>
        <w:t xml:space="preserve"> en el informe DF-OF-0737-2020 de la Dirección FOSUVI.</w:t>
      </w:r>
    </w:p>
    <w:p w14:paraId="56676205" w14:textId="57284423" w:rsidR="00257519" w:rsidRDefault="00257519" w:rsidP="007A3F16">
      <w:pPr>
        <w:autoSpaceDE w:val="0"/>
        <w:autoSpaceDN w:val="0"/>
        <w:adjustRightInd w:val="0"/>
        <w:spacing w:line="360" w:lineRule="auto"/>
        <w:jc w:val="both"/>
        <w:rPr>
          <w:rFonts w:cs="Arial"/>
          <w:sz w:val="22"/>
          <w:szCs w:val="22"/>
          <w:lang w:val="es-ES_tradnl"/>
        </w:rPr>
      </w:pPr>
    </w:p>
    <w:p w14:paraId="155A07CF" w14:textId="77777777" w:rsidR="00FC3B82" w:rsidRDefault="00257519" w:rsidP="00257519">
      <w:pPr>
        <w:autoSpaceDE w:val="0"/>
        <w:autoSpaceDN w:val="0"/>
        <w:adjustRightInd w:val="0"/>
        <w:spacing w:line="360" w:lineRule="auto"/>
        <w:jc w:val="both"/>
        <w:rPr>
          <w:rFonts w:cs="Arial"/>
          <w:sz w:val="22"/>
          <w:szCs w:val="22"/>
        </w:rPr>
      </w:pPr>
      <w:r>
        <w:rPr>
          <w:rFonts w:cs="Arial"/>
          <w:b/>
          <w:sz w:val="22"/>
          <w:szCs w:val="22"/>
        </w:rPr>
        <w:t>B</w:t>
      </w:r>
      <w:r w:rsidRPr="00AA6479">
        <w:rPr>
          <w:rFonts w:cs="Arial"/>
          <w:b/>
          <w:sz w:val="22"/>
          <w:szCs w:val="22"/>
        </w:rPr>
        <w:t>)</w:t>
      </w:r>
      <w:r w:rsidRPr="00AA6479">
        <w:rPr>
          <w:rFonts w:cs="Arial"/>
          <w:sz w:val="22"/>
          <w:szCs w:val="22"/>
        </w:rPr>
        <w:t xml:space="preserve"> Aprobar para el proyecto </w:t>
      </w:r>
      <w:r>
        <w:rPr>
          <w:rFonts w:cs="Arial"/>
          <w:sz w:val="22"/>
          <w:szCs w:val="22"/>
        </w:rPr>
        <w:t>Los Lirios</w:t>
      </w:r>
      <w:r w:rsidRPr="00AA6479">
        <w:rPr>
          <w:rFonts w:cs="Arial"/>
          <w:sz w:val="22"/>
          <w:szCs w:val="22"/>
        </w:rPr>
        <w:t xml:space="preserve">, una prórroga </w:t>
      </w:r>
      <w:r>
        <w:rPr>
          <w:rFonts w:cs="Arial"/>
          <w:sz w:val="22"/>
          <w:szCs w:val="22"/>
        </w:rPr>
        <w:t xml:space="preserve">de cuatro meses al contrato de construcción y administración de recursos, a partir de la firma del nuevo contrato de administración de recursos </w:t>
      </w:r>
      <w:r w:rsidR="00FC3B82">
        <w:rPr>
          <w:rFonts w:cs="Arial"/>
          <w:sz w:val="22"/>
          <w:szCs w:val="22"/>
        </w:rPr>
        <w:t>entre</w:t>
      </w:r>
      <w:r>
        <w:rPr>
          <w:rFonts w:cs="Arial"/>
          <w:sz w:val="22"/>
          <w:szCs w:val="22"/>
        </w:rPr>
        <w:t xml:space="preserve"> la entidad autorizada y el BANHVI, según </w:t>
      </w:r>
      <w:r w:rsidR="00FC3B82">
        <w:rPr>
          <w:rFonts w:cs="Arial"/>
          <w:sz w:val="22"/>
          <w:szCs w:val="22"/>
        </w:rPr>
        <w:t>los siguientes términos:</w:t>
      </w:r>
    </w:p>
    <w:p w14:paraId="6B21D64B" w14:textId="7C6E359F" w:rsidR="00FC3B82" w:rsidRPr="00265A6F" w:rsidRDefault="00FC3B82" w:rsidP="00265A6F">
      <w:pPr>
        <w:pStyle w:val="Prrafodelista"/>
        <w:numPr>
          <w:ilvl w:val="0"/>
          <w:numId w:val="21"/>
        </w:numPr>
        <w:autoSpaceDE w:val="0"/>
        <w:autoSpaceDN w:val="0"/>
        <w:adjustRightInd w:val="0"/>
        <w:spacing w:line="360" w:lineRule="auto"/>
        <w:ind w:left="426" w:hanging="284"/>
        <w:jc w:val="both"/>
        <w:rPr>
          <w:rFonts w:cs="Arial"/>
          <w:sz w:val="22"/>
          <w:szCs w:val="22"/>
        </w:rPr>
      </w:pPr>
      <w:r w:rsidRPr="00265A6F">
        <w:rPr>
          <w:rFonts w:cs="Arial"/>
          <w:sz w:val="22"/>
          <w:szCs w:val="22"/>
        </w:rPr>
        <w:t>Un mes para la ejecución de las obras</w:t>
      </w:r>
      <w:r w:rsidR="00221AAC" w:rsidRPr="00265A6F">
        <w:rPr>
          <w:rFonts w:cs="Arial"/>
          <w:sz w:val="22"/>
          <w:szCs w:val="22"/>
        </w:rPr>
        <w:t>.</w:t>
      </w:r>
    </w:p>
    <w:p w14:paraId="68FD5774" w14:textId="25BE7F27" w:rsidR="00265A6F" w:rsidRPr="00EE2CC8" w:rsidRDefault="00FC3B82" w:rsidP="0050118E">
      <w:pPr>
        <w:pStyle w:val="Prrafodelista"/>
        <w:numPr>
          <w:ilvl w:val="0"/>
          <w:numId w:val="21"/>
        </w:numPr>
        <w:autoSpaceDE w:val="0"/>
        <w:autoSpaceDN w:val="0"/>
        <w:adjustRightInd w:val="0"/>
        <w:spacing w:line="360" w:lineRule="auto"/>
        <w:ind w:left="426" w:hanging="284"/>
        <w:jc w:val="both"/>
        <w:rPr>
          <w:rFonts w:cs="Arial"/>
          <w:color w:val="000000"/>
          <w:sz w:val="22"/>
          <w:szCs w:val="22"/>
        </w:rPr>
      </w:pPr>
      <w:r w:rsidRPr="00EE2CC8">
        <w:rPr>
          <w:rFonts w:cs="Arial"/>
          <w:sz w:val="22"/>
          <w:szCs w:val="22"/>
        </w:rPr>
        <w:t xml:space="preserve">Cuatro meses, </w:t>
      </w:r>
      <w:r w:rsidR="000839F8" w:rsidRPr="00EE2CC8">
        <w:rPr>
          <w:rFonts w:cs="Arial"/>
          <w:sz w:val="22"/>
          <w:szCs w:val="22"/>
        </w:rPr>
        <w:t xml:space="preserve">incluido el mes anterior, para la recepción de las obras y la entrega </w:t>
      </w:r>
      <w:r w:rsidR="000839F8" w:rsidRPr="00EE2CC8">
        <w:rPr>
          <w:rFonts w:cs="Arial"/>
          <w:color w:val="000000"/>
          <w:sz w:val="22"/>
          <w:szCs w:val="22"/>
        </w:rPr>
        <w:t>del cierre técnico y financiero del proyecto.</w:t>
      </w:r>
      <w:r w:rsidR="00EE2CC8" w:rsidRPr="00EE2CC8">
        <w:rPr>
          <w:rFonts w:cs="Arial"/>
          <w:color w:val="000000"/>
          <w:sz w:val="22"/>
          <w:szCs w:val="22"/>
        </w:rPr>
        <w:t xml:space="preserve">  </w:t>
      </w:r>
      <w:r w:rsidR="00265A6F" w:rsidRPr="00EE2CC8">
        <w:rPr>
          <w:rFonts w:cs="Arial"/>
          <w:sz w:val="22"/>
          <w:szCs w:val="22"/>
        </w:rPr>
        <w:t xml:space="preserve">El plazo para la entrega </w:t>
      </w:r>
      <w:r w:rsidR="00265A6F" w:rsidRPr="00EE2CC8">
        <w:rPr>
          <w:rFonts w:cs="Arial"/>
          <w:color w:val="000000"/>
          <w:sz w:val="22"/>
          <w:szCs w:val="22"/>
        </w:rPr>
        <w:t>del cierre técnico y financiero del proyecto, es únicamente entre el BANHVI y la entidad autorizada.</w:t>
      </w:r>
    </w:p>
    <w:p w14:paraId="2C08665E" w14:textId="5A10E092" w:rsidR="000839F8" w:rsidRDefault="000839F8" w:rsidP="00257519">
      <w:pPr>
        <w:autoSpaceDE w:val="0"/>
        <w:autoSpaceDN w:val="0"/>
        <w:adjustRightInd w:val="0"/>
        <w:spacing w:line="360" w:lineRule="auto"/>
        <w:jc w:val="both"/>
        <w:rPr>
          <w:rFonts w:cs="Arial"/>
          <w:sz w:val="22"/>
          <w:szCs w:val="22"/>
        </w:rPr>
      </w:pPr>
    </w:p>
    <w:p w14:paraId="4F8EB74A" w14:textId="31B34463" w:rsidR="002B71CC" w:rsidRDefault="00EE2CC8" w:rsidP="00EE2CC8">
      <w:pPr>
        <w:autoSpaceDE w:val="0"/>
        <w:autoSpaceDN w:val="0"/>
        <w:adjustRightInd w:val="0"/>
        <w:spacing w:line="360" w:lineRule="auto"/>
        <w:jc w:val="both"/>
        <w:rPr>
          <w:rFonts w:cs="Arial"/>
          <w:sz w:val="22"/>
          <w:szCs w:val="22"/>
          <w:lang w:val="es-CR"/>
        </w:rPr>
      </w:pPr>
      <w:r>
        <w:rPr>
          <w:rFonts w:cs="Arial"/>
          <w:b/>
          <w:sz w:val="22"/>
          <w:szCs w:val="22"/>
          <w:lang w:val="es-CR"/>
        </w:rPr>
        <w:t>C</w:t>
      </w:r>
      <w:r w:rsidR="007A3F16" w:rsidRPr="00AA6479">
        <w:rPr>
          <w:rFonts w:cs="Arial"/>
          <w:b/>
          <w:sz w:val="22"/>
          <w:szCs w:val="22"/>
          <w:lang w:val="es-CR"/>
        </w:rPr>
        <w:t>)</w:t>
      </w:r>
      <w:r w:rsidR="007A3F16" w:rsidRPr="00AA6479">
        <w:rPr>
          <w:rFonts w:cs="Arial"/>
          <w:sz w:val="22"/>
          <w:szCs w:val="22"/>
          <w:lang w:val="es-CR"/>
        </w:rPr>
        <w:t xml:space="preserve"> Deberá realizarse un</w:t>
      </w:r>
      <w:r w:rsidR="007A3F16">
        <w:rPr>
          <w:rFonts w:cs="Arial"/>
          <w:sz w:val="22"/>
          <w:szCs w:val="22"/>
          <w:lang w:val="es-CR"/>
        </w:rPr>
        <w:t xml:space="preserve"> contrato de administración de recursos, </w:t>
      </w:r>
      <w:r w:rsidR="007A3F16" w:rsidRPr="00AA6479">
        <w:rPr>
          <w:rFonts w:cs="Arial"/>
          <w:sz w:val="22"/>
          <w:szCs w:val="22"/>
        </w:rPr>
        <w:t xml:space="preserve">con </w:t>
      </w:r>
      <w:r w:rsidR="007A3F16" w:rsidRPr="00AA6479">
        <w:rPr>
          <w:rFonts w:cs="Arial"/>
          <w:sz w:val="22"/>
          <w:szCs w:val="22"/>
          <w:lang w:val="es-CR"/>
        </w:rPr>
        <w:t xml:space="preserve">los plazos y </w:t>
      </w:r>
      <w:r w:rsidR="007A3F16">
        <w:rPr>
          <w:rFonts w:cs="Arial"/>
          <w:sz w:val="22"/>
          <w:szCs w:val="22"/>
          <w:lang w:val="es-CR"/>
        </w:rPr>
        <w:t xml:space="preserve">el </w:t>
      </w:r>
      <w:r w:rsidR="007A3F16" w:rsidRPr="00AA6479">
        <w:rPr>
          <w:rFonts w:cs="Arial"/>
          <w:sz w:val="22"/>
          <w:szCs w:val="22"/>
          <w:lang w:val="es-CR"/>
        </w:rPr>
        <w:t xml:space="preserve">monto </w:t>
      </w:r>
      <w:r>
        <w:rPr>
          <w:rFonts w:cs="Arial"/>
          <w:sz w:val="22"/>
          <w:szCs w:val="22"/>
          <w:lang w:val="es-CR"/>
        </w:rPr>
        <w:t>establecidos</w:t>
      </w:r>
      <w:r w:rsidR="007A3F16" w:rsidRPr="00AA6479">
        <w:rPr>
          <w:rFonts w:cs="Arial"/>
          <w:sz w:val="22"/>
          <w:szCs w:val="22"/>
          <w:lang w:val="es-CR"/>
        </w:rPr>
        <w:t xml:space="preserve"> en la presente resolución.</w:t>
      </w:r>
    </w:p>
    <w:p w14:paraId="45535C89" w14:textId="2A11D40E" w:rsidR="00BD2E05" w:rsidRDefault="00BD2E05" w:rsidP="00EE2CC8">
      <w:pPr>
        <w:autoSpaceDE w:val="0"/>
        <w:autoSpaceDN w:val="0"/>
        <w:adjustRightInd w:val="0"/>
        <w:spacing w:line="360" w:lineRule="auto"/>
        <w:jc w:val="both"/>
        <w:rPr>
          <w:rFonts w:cs="Arial"/>
          <w:sz w:val="22"/>
          <w:szCs w:val="22"/>
          <w:lang w:val="es-CR"/>
        </w:rPr>
      </w:pPr>
    </w:p>
    <w:p w14:paraId="113863FF" w14:textId="40FB33CB" w:rsidR="00BD2E05" w:rsidRDefault="00BD2E05" w:rsidP="00EE2CC8">
      <w:pPr>
        <w:autoSpaceDE w:val="0"/>
        <w:autoSpaceDN w:val="0"/>
        <w:adjustRightInd w:val="0"/>
        <w:spacing w:line="360" w:lineRule="auto"/>
        <w:jc w:val="both"/>
        <w:rPr>
          <w:rFonts w:cs="Arial"/>
          <w:sz w:val="22"/>
          <w:szCs w:val="22"/>
        </w:rPr>
      </w:pPr>
      <w:r w:rsidRPr="00BD2E05">
        <w:rPr>
          <w:rFonts w:cs="Arial"/>
          <w:b/>
          <w:bCs/>
          <w:sz w:val="22"/>
          <w:szCs w:val="22"/>
          <w:lang w:val="es-CR"/>
        </w:rPr>
        <w:t>D)</w:t>
      </w:r>
      <w:r>
        <w:rPr>
          <w:rFonts w:cs="Arial"/>
          <w:sz w:val="22"/>
          <w:szCs w:val="22"/>
          <w:lang w:val="es-CR"/>
        </w:rPr>
        <w:t xml:space="preserve"> La entidad autorizada deberá coordinar con la Municipalidad de Limón, la recepción oportuna de las obras, una vez terminadas.</w:t>
      </w:r>
    </w:p>
    <w:p w14:paraId="311A6AE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D83CB4D" w14:textId="77777777" w:rsidR="002B71CC" w:rsidRPr="00D14EAF" w:rsidRDefault="002B71CC" w:rsidP="002B71CC">
      <w:pPr>
        <w:spacing w:line="360" w:lineRule="auto"/>
        <w:jc w:val="both"/>
        <w:rPr>
          <w:rFonts w:cs="Arial"/>
          <w:b/>
          <w:sz w:val="22"/>
        </w:rPr>
      </w:pPr>
      <w:r w:rsidRPr="00D14EAF">
        <w:rPr>
          <w:rFonts w:cs="Arial"/>
          <w:b/>
          <w:sz w:val="22"/>
        </w:rPr>
        <w:t>************</w:t>
      </w:r>
    </w:p>
    <w:p w14:paraId="241B2955" w14:textId="77777777" w:rsidR="002B71CC" w:rsidRDefault="002B71CC" w:rsidP="002B71CC">
      <w:pPr>
        <w:spacing w:line="360" w:lineRule="auto"/>
        <w:jc w:val="both"/>
        <w:rPr>
          <w:rFonts w:cs="Arial"/>
          <w:sz w:val="22"/>
          <w:szCs w:val="22"/>
        </w:rPr>
      </w:pPr>
    </w:p>
    <w:p w14:paraId="3AF46EA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96F3649" w14:textId="77777777" w:rsidR="007A3F16" w:rsidRPr="00BB303F" w:rsidRDefault="007A3F16" w:rsidP="007A3F16">
      <w:pPr>
        <w:spacing w:line="360" w:lineRule="auto"/>
        <w:jc w:val="both"/>
        <w:rPr>
          <w:rFonts w:cs="Arial"/>
          <w:b/>
          <w:bCs/>
          <w:color w:val="000000"/>
          <w:sz w:val="22"/>
          <w:szCs w:val="22"/>
        </w:rPr>
      </w:pPr>
      <w:r w:rsidRPr="00BB303F">
        <w:rPr>
          <w:rFonts w:cs="Arial"/>
          <w:b/>
          <w:bCs/>
          <w:color w:val="000000"/>
          <w:sz w:val="22"/>
          <w:szCs w:val="22"/>
        </w:rPr>
        <w:t>Considerando:</w:t>
      </w:r>
    </w:p>
    <w:p w14:paraId="7A82722C" w14:textId="6981AB74" w:rsidR="007A3F16" w:rsidRPr="00BB303F" w:rsidRDefault="007A3F16" w:rsidP="007A3F16">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sidR="006A45C6">
        <w:rPr>
          <w:rFonts w:cs="Arial"/>
          <w:color w:val="000000"/>
          <w:sz w:val="22"/>
          <w:szCs w:val="22"/>
        </w:rPr>
        <w:t xml:space="preserve">los </w:t>
      </w:r>
      <w:r w:rsidRPr="00BB303F">
        <w:rPr>
          <w:rFonts w:cs="Arial"/>
          <w:color w:val="000000"/>
          <w:sz w:val="22"/>
          <w:szCs w:val="22"/>
        </w:rPr>
        <w:t>oficio</w:t>
      </w:r>
      <w:r w:rsidR="006A45C6">
        <w:rPr>
          <w:rFonts w:cs="Arial"/>
          <w:color w:val="000000"/>
          <w:sz w:val="22"/>
          <w:szCs w:val="22"/>
        </w:rPr>
        <w:t>s</w:t>
      </w:r>
      <w:r w:rsidRPr="00BB303F">
        <w:rPr>
          <w:rFonts w:cs="Arial"/>
          <w:color w:val="000000"/>
          <w:sz w:val="22"/>
          <w:szCs w:val="22"/>
        </w:rPr>
        <w:t xml:space="preserve"> C-</w:t>
      </w:r>
      <w:r w:rsidR="006A45C6">
        <w:rPr>
          <w:rFonts w:cs="Arial"/>
          <w:color w:val="000000"/>
          <w:sz w:val="22"/>
          <w:szCs w:val="22"/>
        </w:rPr>
        <w:t>464</w:t>
      </w:r>
      <w:r w:rsidRPr="00BB303F">
        <w:rPr>
          <w:rFonts w:cs="Arial"/>
          <w:color w:val="000000"/>
          <w:sz w:val="22"/>
          <w:szCs w:val="22"/>
        </w:rPr>
        <w:t>-DC-</w:t>
      </w:r>
      <w:r>
        <w:rPr>
          <w:rFonts w:cs="Arial"/>
          <w:color w:val="000000"/>
          <w:sz w:val="22"/>
          <w:szCs w:val="22"/>
        </w:rPr>
        <w:t>2020</w:t>
      </w:r>
      <w:r w:rsidRPr="00BB303F">
        <w:rPr>
          <w:rFonts w:cs="Arial"/>
          <w:color w:val="000000"/>
          <w:sz w:val="22"/>
          <w:szCs w:val="22"/>
        </w:rPr>
        <w:t xml:space="preserve"> del </w:t>
      </w:r>
      <w:r w:rsidR="006A45C6">
        <w:rPr>
          <w:rFonts w:cs="Arial"/>
          <w:color w:val="000000"/>
          <w:sz w:val="22"/>
          <w:szCs w:val="22"/>
        </w:rPr>
        <w:t>05</w:t>
      </w:r>
      <w:r>
        <w:rPr>
          <w:rFonts w:cs="Arial"/>
          <w:color w:val="000000"/>
          <w:sz w:val="22"/>
          <w:szCs w:val="22"/>
        </w:rPr>
        <w:t xml:space="preserve"> de </w:t>
      </w:r>
      <w:r w:rsidR="006A45C6">
        <w:rPr>
          <w:rFonts w:cs="Arial"/>
          <w:color w:val="000000"/>
          <w:sz w:val="22"/>
          <w:szCs w:val="22"/>
        </w:rPr>
        <w:t>mayo</w:t>
      </w:r>
      <w:r>
        <w:rPr>
          <w:rFonts w:cs="Arial"/>
          <w:color w:val="000000"/>
          <w:sz w:val="22"/>
          <w:szCs w:val="22"/>
        </w:rPr>
        <w:t xml:space="preserve"> </w:t>
      </w:r>
      <w:r w:rsidRPr="00BB303F">
        <w:rPr>
          <w:rFonts w:cs="Arial"/>
          <w:color w:val="000000"/>
          <w:sz w:val="22"/>
          <w:szCs w:val="22"/>
        </w:rPr>
        <w:t>de 20</w:t>
      </w:r>
      <w:r w:rsidR="006A45C6">
        <w:rPr>
          <w:rFonts w:cs="Arial"/>
          <w:color w:val="000000"/>
          <w:sz w:val="22"/>
          <w:szCs w:val="22"/>
        </w:rPr>
        <w:t xml:space="preserve">20 y </w:t>
      </w:r>
      <w:r w:rsidR="006A45C6" w:rsidRPr="00BB303F">
        <w:rPr>
          <w:rFonts w:cs="Arial"/>
          <w:color w:val="000000"/>
          <w:sz w:val="22"/>
          <w:szCs w:val="22"/>
        </w:rPr>
        <w:t>C-</w:t>
      </w:r>
      <w:r w:rsidR="006A45C6">
        <w:rPr>
          <w:rFonts w:cs="Arial"/>
          <w:color w:val="000000"/>
          <w:sz w:val="22"/>
          <w:szCs w:val="22"/>
        </w:rPr>
        <w:t>603</w:t>
      </w:r>
      <w:r w:rsidR="006A45C6" w:rsidRPr="00BB303F">
        <w:rPr>
          <w:rFonts w:cs="Arial"/>
          <w:color w:val="000000"/>
          <w:sz w:val="22"/>
          <w:szCs w:val="22"/>
        </w:rPr>
        <w:t>-DC-</w:t>
      </w:r>
      <w:r w:rsidR="006A45C6">
        <w:rPr>
          <w:rFonts w:cs="Arial"/>
          <w:color w:val="000000"/>
          <w:sz w:val="22"/>
          <w:szCs w:val="22"/>
        </w:rPr>
        <w:t>2020</w:t>
      </w:r>
      <w:r w:rsidR="006A45C6" w:rsidRPr="00BB303F">
        <w:rPr>
          <w:rFonts w:cs="Arial"/>
          <w:color w:val="000000"/>
          <w:sz w:val="22"/>
          <w:szCs w:val="22"/>
        </w:rPr>
        <w:t xml:space="preserve"> del </w:t>
      </w:r>
      <w:r w:rsidR="006A45C6">
        <w:rPr>
          <w:rFonts w:cs="Arial"/>
          <w:color w:val="000000"/>
          <w:sz w:val="22"/>
          <w:szCs w:val="22"/>
        </w:rPr>
        <w:t xml:space="preserve">10 de junio </w:t>
      </w:r>
      <w:r w:rsidR="006A45C6" w:rsidRPr="00BB303F">
        <w:rPr>
          <w:rFonts w:cs="Arial"/>
          <w:color w:val="000000"/>
          <w:sz w:val="22"/>
          <w:szCs w:val="22"/>
        </w:rPr>
        <w:t>de 20</w:t>
      </w:r>
      <w:r w:rsidR="006A45C6">
        <w:rPr>
          <w:rFonts w:cs="Arial"/>
          <w:color w:val="000000"/>
          <w:sz w:val="22"/>
          <w:szCs w:val="22"/>
        </w:rPr>
        <w:t>20</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w:t>
      </w:r>
      <w:r w:rsidRPr="00BB303F">
        <w:rPr>
          <w:rFonts w:cs="Arial"/>
          <w:color w:val="000000"/>
          <w:sz w:val="22"/>
          <w:szCs w:val="22"/>
        </w:rPr>
        <w:lastRenderedPageBreak/>
        <w:t xml:space="preserve">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14:paraId="7962F226" w14:textId="77777777" w:rsidR="007A3F16" w:rsidRPr="00BB303F" w:rsidRDefault="007A3F16" w:rsidP="007A3F16">
      <w:pPr>
        <w:spacing w:line="360" w:lineRule="auto"/>
        <w:jc w:val="both"/>
        <w:rPr>
          <w:rFonts w:cs="Arial"/>
          <w:color w:val="000000"/>
          <w:sz w:val="22"/>
          <w:szCs w:val="22"/>
        </w:rPr>
      </w:pPr>
    </w:p>
    <w:p w14:paraId="63F098DC" w14:textId="13EDDF64" w:rsidR="007A3F16" w:rsidRPr="00BB303F" w:rsidRDefault="007A3F16" w:rsidP="007A3F16">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6A45C6">
        <w:rPr>
          <w:rFonts w:cs="Arial"/>
          <w:color w:val="000000"/>
          <w:sz w:val="22"/>
          <w:szCs w:val="22"/>
        </w:rPr>
        <w:t>748</w:t>
      </w:r>
      <w:r w:rsidRPr="00BB303F">
        <w:rPr>
          <w:rFonts w:cs="Arial"/>
          <w:color w:val="000000"/>
          <w:sz w:val="22"/>
          <w:szCs w:val="22"/>
        </w:rPr>
        <w:t>-20</w:t>
      </w:r>
      <w:r>
        <w:rPr>
          <w:rFonts w:cs="Arial"/>
          <w:color w:val="000000"/>
          <w:sz w:val="22"/>
          <w:szCs w:val="22"/>
        </w:rPr>
        <w:t>20 del 0</w:t>
      </w:r>
      <w:r w:rsidR="006A45C6">
        <w:rPr>
          <w:rFonts w:cs="Arial"/>
          <w:color w:val="000000"/>
          <w:sz w:val="22"/>
          <w:szCs w:val="22"/>
        </w:rPr>
        <w:t>2</w:t>
      </w:r>
      <w:r>
        <w:rPr>
          <w:rFonts w:cs="Arial"/>
          <w:color w:val="000000"/>
          <w:sz w:val="22"/>
          <w:szCs w:val="22"/>
        </w:rPr>
        <w:t xml:space="preserve"> de </w:t>
      </w:r>
      <w:r w:rsidR="006A45C6">
        <w:rPr>
          <w:rFonts w:cs="Arial"/>
          <w:color w:val="000000"/>
          <w:sz w:val="22"/>
          <w:szCs w:val="22"/>
        </w:rPr>
        <w:t>julio</w:t>
      </w:r>
      <w:r>
        <w:rPr>
          <w:rFonts w:cs="Arial"/>
          <w:color w:val="000000"/>
          <w:sz w:val="22"/>
          <w:szCs w:val="22"/>
        </w:rPr>
        <w:t xml:space="preserve"> de 2020</w:t>
      </w:r>
      <w:r w:rsidRPr="00BB303F">
        <w:rPr>
          <w:rFonts w:cs="Arial"/>
          <w:color w:val="000000"/>
          <w:sz w:val="22"/>
          <w:szCs w:val="22"/>
        </w:rPr>
        <w:t xml:space="preserve"> –el cual es avalado por la Gerencia General con la nota GG-ME-</w:t>
      </w:r>
      <w:r>
        <w:rPr>
          <w:rFonts w:cs="Arial"/>
          <w:color w:val="000000"/>
          <w:sz w:val="22"/>
          <w:szCs w:val="22"/>
        </w:rPr>
        <w:t>0</w:t>
      </w:r>
      <w:r w:rsidR="006A45C6">
        <w:rPr>
          <w:rFonts w:cs="Arial"/>
          <w:color w:val="000000"/>
          <w:sz w:val="22"/>
          <w:szCs w:val="22"/>
        </w:rPr>
        <w:t>731</w:t>
      </w:r>
      <w:r w:rsidRPr="00BB303F">
        <w:rPr>
          <w:rFonts w:cs="Arial"/>
          <w:color w:val="000000"/>
          <w:sz w:val="22"/>
          <w:szCs w:val="22"/>
        </w:rPr>
        <w:t>-20</w:t>
      </w:r>
      <w:r>
        <w:rPr>
          <w:rFonts w:cs="Arial"/>
          <w:color w:val="000000"/>
          <w:sz w:val="22"/>
          <w:szCs w:val="22"/>
        </w:rPr>
        <w:t>20</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del Grupo Mutual, 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tres meses para la liquidación de las garantías y la entrega del cierre técnico y financiero del citado proyecto</w:t>
      </w:r>
      <w:r w:rsidRPr="00BB303F">
        <w:rPr>
          <w:rFonts w:cs="Arial"/>
          <w:color w:val="000000"/>
          <w:sz w:val="22"/>
          <w:szCs w:val="22"/>
        </w:rPr>
        <w:t>.</w:t>
      </w:r>
    </w:p>
    <w:p w14:paraId="20250FE8" w14:textId="77777777" w:rsidR="007A3F16" w:rsidRPr="00BB303F" w:rsidRDefault="007A3F16" w:rsidP="007A3F16">
      <w:pPr>
        <w:spacing w:line="360" w:lineRule="auto"/>
        <w:jc w:val="both"/>
        <w:rPr>
          <w:rFonts w:cs="Arial"/>
          <w:color w:val="000000"/>
          <w:sz w:val="22"/>
          <w:szCs w:val="22"/>
        </w:rPr>
      </w:pPr>
    </w:p>
    <w:p w14:paraId="48E004E8" w14:textId="143008BD" w:rsidR="007A3F16" w:rsidRPr="00BC72AF" w:rsidRDefault="007A3F16" w:rsidP="007A3F16">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w:t>
      </w:r>
      <w:r w:rsidR="006A45C6">
        <w:rPr>
          <w:rFonts w:cs="Arial"/>
          <w:color w:val="000000"/>
          <w:sz w:val="22"/>
          <w:szCs w:val="22"/>
        </w:rPr>
        <w:t>74</w:t>
      </w:r>
      <w:r>
        <w:rPr>
          <w:rFonts w:cs="Arial"/>
          <w:color w:val="000000"/>
          <w:sz w:val="22"/>
          <w:szCs w:val="22"/>
        </w:rPr>
        <w:t>8</w:t>
      </w:r>
      <w:r w:rsidRPr="00BB303F">
        <w:rPr>
          <w:rFonts w:cs="Arial"/>
          <w:color w:val="000000"/>
          <w:sz w:val="22"/>
          <w:szCs w:val="22"/>
        </w:rPr>
        <w:t>-20</w:t>
      </w:r>
      <w:r>
        <w:rPr>
          <w:rFonts w:cs="Arial"/>
          <w:color w:val="000000"/>
          <w:sz w:val="22"/>
          <w:szCs w:val="22"/>
        </w:rPr>
        <w:t>20</w:t>
      </w:r>
      <w:r w:rsidR="006A45C6">
        <w:rPr>
          <w:rFonts w:cs="Arial"/>
          <w:color w:val="000000"/>
          <w:sz w:val="22"/>
          <w:szCs w:val="22"/>
        </w:rPr>
        <w:t>.</w:t>
      </w:r>
    </w:p>
    <w:p w14:paraId="55291903" w14:textId="77777777" w:rsidR="007A3F16" w:rsidRPr="00BB303F" w:rsidRDefault="007A3F16" w:rsidP="007A3F16">
      <w:pPr>
        <w:spacing w:line="360" w:lineRule="auto"/>
        <w:jc w:val="both"/>
        <w:rPr>
          <w:rFonts w:cs="Arial"/>
          <w:color w:val="000000"/>
          <w:sz w:val="22"/>
          <w:szCs w:val="22"/>
        </w:rPr>
      </w:pPr>
    </w:p>
    <w:p w14:paraId="24B1750A" w14:textId="77777777" w:rsidR="007A3F16" w:rsidRPr="00BB303F" w:rsidRDefault="007A3F16" w:rsidP="007A3F16">
      <w:pPr>
        <w:spacing w:line="360" w:lineRule="auto"/>
        <w:jc w:val="both"/>
        <w:rPr>
          <w:rFonts w:cs="Arial"/>
          <w:b/>
          <w:bCs/>
          <w:color w:val="000000"/>
          <w:sz w:val="22"/>
          <w:szCs w:val="22"/>
        </w:rPr>
      </w:pPr>
      <w:r w:rsidRPr="00BB303F">
        <w:rPr>
          <w:rFonts w:cs="Arial"/>
          <w:b/>
          <w:bCs/>
          <w:color w:val="000000"/>
          <w:sz w:val="22"/>
          <w:szCs w:val="22"/>
        </w:rPr>
        <w:t>Por tanto, se acuerda:</w:t>
      </w:r>
    </w:p>
    <w:p w14:paraId="46E3B828" w14:textId="0DC4F872" w:rsidR="007A3F16" w:rsidRDefault="007A3F16" w:rsidP="007A3F16">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Pr>
          <w:rFonts w:cs="Arial"/>
          <w:color w:val="000000"/>
          <w:sz w:val="22"/>
          <w:szCs w:val="22"/>
        </w:rPr>
        <w:t xml:space="preserve">para el </w:t>
      </w:r>
      <w:r>
        <w:rPr>
          <w:rFonts w:cs="Arial"/>
          <w:sz w:val="22"/>
          <w:szCs w:val="22"/>
        </w:rPr>
        <w:t xml:space="preserve">proyecto </w:t>
      </w:r>
      <w:r>
        <w:rPr>
          <w:rFonts w:cs="Arial"/>
          <w:color w:val="000000"/>
          <w:sz w:val="22"/>
          <w:szCs w:val="22"/>
        </w:rPr>
        <w:t xml:space="preserve">Condominio Linda Vista, </w:t>
      </w:r>
      <w:r w:rsidRPr="002B0BEF">
        <w:rPr>
          <w:rFonts w:cs="Arial"/>
          <w:sz w:val="22"/>
          <w:szCs w:val="22"/>
        </w:rPr>
        <w:t>un</w:t>
      </w:r>
      <w:r>
        <w:rPr>
          <w:rFonts w:cs="Arial"/>
          <w:sz w:val="22"/>
          <w:szCs w:val="22"/>
        </w:rPr>
        <w:t xml:space="preserve"> plazo adicional de </w:t>
      </w:r>
      <w:r w:rsidRPr="002B0BEF">
        <w:rPr>
          <w:rFonts w:cs="Arial"/>
          <w:color w:val="000000"/>
          <w:sz w:val="22"/>
          <w:szCs w:val="22"/>
        </w:rPr>
        <w:t xml:space="preserve">tres meses, </w:t>
      </w:r>
      <w:r>
        <w:rPr>
          <w:rFonts w:cs="Arial"/>
          <w:sz w:val="22"/>
          <w:szCs w:val="22"/>
        </w:rPr>
        <w:t>a partir de la f</w:t>
      </w:r>
      <w:r w:rsidR="006A45C6">
        <w:rPr>
          <w:rFonts w:cs="Arial"/>
          <w:sz w:val="22"/>
          <w:szCs w:val="22"/>
        </w:rPr>
        <w:t xml:space="preserve">irma de la adenda al </w:t>
      </w:r>
      <w:r>
        <w:rPr>
          <w:rFonts w:cs="Arial"/>
          <w:sz w:val="22"/>
          <w:szCs w:val="22"/>
        </w:rPr>
        <w:t xml:space="preserve">contrato vigente, </w:t>
      </w:r>
      <w:r>
        <w:rPr>
          <w:rFonts w:cs="Arial"/>
          <w:color w:val="000000"/>
          <w:sz w:val="22"/>
          <w:szCs w:val="22"/>
        </w:rPr>
        <w:t>para la liquidación de las garantías y la entrega del cierre técnico y financiero del proyecto</w:t>
      </w:r>
      <w:r w:rsidRPr="00BB303F">
        <w:rPr>
          <w:rFonts w:cs="Arial"/>
          <w:color w:val="000000"/>
          <w:sz w:val="22"/>
          <w:szCs w:val="22"/>
        </w:rPr>
        <w:t>.</w:t>
      </w:r>
    </w:p>
    <w:p w14:paraId="291CA0DD" w14:textId="77777777" w:rsidR="007A3F16" w:rsidRDefault="007A3F16" w:rsidP="007A3F16">
      <w:pPr>
        <w:spacing w:line="360" w:lineRule="auto"/>
        <w:jc w:val="both"/>
        <w:rPr>
          <w:rFonts w:cs="Arial"/>
          <w:sz w:val="22"/>
          <w:szCs w:val="22"/>
        </w:rPr>
      </w:pPr>
    </w:p>
    <w:p w14:paraId="68DFBBFE" w14:textId="7A54C779" w:rsidR="002B71CC" w:rsidRDefault="007A3F16"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incorporando el plazo autorizado en la presente resolución.</w:t>
      </w:r>
    </w:p>
    <w:p w14:paraId="6A3BFCC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A5D41A7" w14:textId="77777777" w:rsidR="002B71CC" w:rsidRPr="00D14EAF" w:rsidRDefault="002B71CC" w:rsidP="002B71CC">
      <w:pPr>
        <w:spacing w:line="360" w:lineRule="auto"/>
        <w:jc w:val="both"/>
        <w:rPr>
          <w:rFonts w:cs="Arial"/>
          <w:b/>
          <w:sz w:val="22"/>
        </w:rPr>
      </w:pPr>
      <w:r w:rsidRPr="00D14EAF">
        <w:rPr>
          <w:rFonts w:cs="Arial"/>
          <w:b/>
          <w:sz w:val="22"/>
        </w:rPr>
        <w:t>************</w:t>
      </w:r>
    </w:p>
    <w:p w14:paraId="06AC519A" w14:textId="77777777" w:rsidR="002B71CC" w:rsidRDefault="002B71CC" w:rsidP="002B71CC">
      <w:pPr>
        <w:spacing w:line="360" w:lineRule="auto"/>
        <w:jc w:val="both"/>
        <w:rPr>
          <w:rFonts w:cs="Arial"/>
          <w:sz w:val="22"/>
          <w:szCs w:val="22"/>
        </w:rPr>
      </w:pPr>
    </w:p>
    <w:p w14:paraId="2CBBAE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2464493" w14:textId="29BE0D69" w:rsidR="00F276DB" w:rsidRDefault="00F276DB" w:rsidP="002B71CC">
      <w:pPr>
        <w:spacing w:line="360" w:lineRule="auto"/>
        <w:jc w:val="both"/>
        <w:rPr>
          <w:rFonts w:cs="Arial"/>
          <w:sz w:val="22"/>
          <w:szCs w:val="22"/>
          <w:lang w:val="es-ES_tradnl"/>
        </w:rPr>
      </w:pPr>
      <w:r>
        <w:rPr>
          <w:rFonts w:cs="Arial"/>
          <w:bCs/>
          <w:sz w:val="22"/>
          <w:lang w:val="es-ES_tradnl"/>
        </w:rPr>
        <w:t>Conocido el</w:t>
      </w:r>
      <w:r>
        <w:rPr>
          <w:rFonts w:cs="Arial"/>
          <w:sz w:val="22"/>
          <w:lang w:val="es-ES_tradnl"/>
        </w:rPr>
        <w:t xml:space="preserve"> informe adjunto al oficio DF-OF-0738-2020 de la Dirección FOSUVI, sobre el estado de las acciones para lograr la recuperación de las viviendas de los proyectos Ivannia y La Flor, </w:t>
      </w:r>
      <w:r w:rsidR="0004605C">
        <w:rPr>
          <w:rFonts w:cs="Arial"/>
          <w:sz w:val="22"/>
          <w:lang w:val="es-ES_tradnl"/>
        </w:rPr>
        <w:t xml:space="preserve">se llama la atención </w:t>
      </w:r>
      <w:r w:rsidR="00932561">
        <w:rPr>
          <w:rFonts w:cs="Arial"/>
          <w:sz w:val="22"/>
          <w:lang w:val="es-ES_tradnl"/>
        </w:rPr>
        <w:t>a</w:t>
      </w:r>
      <w:r w:rsidR="0004605C">
        <w:rPr>
          <w:rFonts w:cs="Arial"/>
          <w:sz w:val="22"/>
          <w:lang w:val="es-ES_tradnl"/>
        </w:rPr>
        <w:t xml:space="preserve"> la </w:t>
      </w:r>
      <w:r w:rsidR="0004605C" w:rsidRPr="00F84994">
        <w:rPr>
          <w:rFonts w:cs="Arial"/>
          <w:sz w:val="22"/>
          <w:lang w:val="es-ES_tradnl"/>
        </w:rPr>
        <w:t>Administración</w:t>
      </w:r>
      <w:r w:rsidR="0004605C">
        <w:rPr>
          <w:rFonts w:cs="Arial"/>
          <w:sz w:val="22"/>
          <w:lang w:val="es-ES_tradnl"/>
        </w:rPr>
        <w:t xml:space="preserve"> por la poca agilidad con la que se ha avanzado en resolver la problemática de ambos proyectos y se ordena la ejecución de las </w:t>
      </w:r>
      <w:r w:rsidR="00897D2D">
        <w:rPr>
          <w:rFonts w:cs="Arial"/>
          <w:sz w:val="22"/>
          <w:szCs w:val="22"/>
          <w:lang w:val="es-ES_tradnl"/>
        </w:rPr>
        <w:t>siguientes acciones:</w:t>
      </w:r>
    </w:p>
    <w:p w14:paraId="110A02B9" w14:textId="7DF82C96" w:rsidR="00897D2D" w:rsidRDefault="00897D2D" w:rsidP="002B71CC">
      <w:pPr>
        <w:spacing w:line="360" w:lineRule="auto"/>
        <w:jc w:val="both"/>
        <w:rPr>
          <w:rFonts w:cs="Arial"/>
          <w:sz w:val="22"/>
          <w:lang w:val="es-ES_tradnl"/>
        </w:rPr>
      </w:pPr>
      <w:r>
        <w:rPr>
          <w:rFonts w:cs="Arial"/>
          <w:sz w:val="22"/>
          <w:szCs w:val="22"/>
          <w:lang w:val="es-ES_tradnl"/>
        </w:rPr>
        <w:t>a) Real</w:t>
      </w:r>
      <w:r w:rsidR="0004605C">
        <w:rPr>
          <w:rFonts w:cs="Arial"/>
          <w:sz w:val="22"/>
          <w:szCs w:val="22"/>
          <w:lang w:val="es-ES_tradnl"/>
        </w:rPr>
        <w:t>izar</w:t>
      </w:r>
      <w:r>
        <w:rPr>
          <w:rFonts w:cs="Arial"/>
          <w:sz w:val="22"/>
          <w:szCs w:val="22"/>
          <w:lang w:val="es-ES_tradnl"/>
        </w:rPr>
        <w:t xml:space="preserve"> </w:t>
      </w:r>
      <w:r w:rsidR="00F276DB">
        <w:rPr>
          <w:rFonts w:cs="Arial"/>
          <w:sz w:val="22"/>
          <w:lang w:val="es-ES_tradnl"/>
        </w:rPr>
        <w:t xml:space="preserve">un estudio legal sobre la situación de la planta de tratamiento de aguas residuales </w:t>
      </w:r>
      <w:r>
        <w:rPr>
          <w:rFonts w:cs="Arial"/>
          <w:sz w:val="22"/>
          <w:lang w:val="es-ES_tradnl"/>
        </w:rPr>
        <w:t xml:space="preserve">del </w:t>
      </w:r>
      <w:r w:rsidR="00F276DB">
        <w:rPr>
          <w:rFonts w:cs="Arial"/>
          <w:sz w:val="22"/>
          <w:lang w:val="es-ES_tradnl"/>
        </w:rPr>
        <w:t xml:space="preserve">proyecto La Flor, </w:t>
      </w:r>
      <w:r>
        <w:rPr>
          <w:rFonts w:cs="Arial"/>
          <w:sz w:val="22"/>
          <w:lang w:val="es-ES_tradnl"/>
        </w:rPr>
        <w:t xml:space="preserve">considerando </w:t>
      </w:r>
      <w:r w:rsidR="00F276DB">
        <w:rPr>
          <w:rFonts w:cs="Arial"/>
          <w:sz w:val="22"/>
          <w:lang w:val="es-ES_tradnl"/>
        </w:rPr>
        <w:t xml:space="preserve">el tema de las etapas en las que fue desarrollado este proyecto y la eventual cantidad de viviendas que debe cubrir esa planta </w:t>
      </w:r>
      <w:r w:rsidR="00F276DB">
        <w:rPr>
          <w:rFonts w:cs="Arial"/>
          <w:sz w:val="22"/>
          <w:lang w:val="es-ES_tradnl"/>
        </w:rPr>
        <w:lastRenderedPageBreak/>
        <w:t xml:space="preserve">de tratamiento, </w:t>
      </w:r>
      <w:r>
        <w:rPr>
          <w:rFonts w:cs="Arial"/>
          <w:sz w:val="22"/>
          <w:lang w:val="es-ES_tradnl"/>
        </w:rPr>
        <w:t xml:space="preserve">pronunciándose </w:t>
      </w:r>
      <w:r w:rsidR="00F276DB">
        <w:rPr>
          <w:rFonts w:cs="Arial"/>
          <w:sz w:val="22"/>
          <w:lang w:val="es-ES_tradnl"/>
        </w:rPr>
        <w:t xml:space="preserve">además </w:t>
      </w:r>
      <w:r>
        <w:rPr>
          <w:rFonts w:cs="Arial"/>
          <w:sz w:val="22"/>
          <w:lang w:val="es-ES_tradnl"/>
        </w:rPr>
        <w:t xml:space="preserve">sobre </w:t>
      </w:r>
      <w:r w:rsidR="00F276DB">
        <w:rPr>
          <w:rFonts w:cs="Arial"/>
          <w:sz w:val="22"/>
          <w:lang w:val="es-ES_tradnl"/>
        </w:rPr>
        <w:t>la forma jurídicamente viable de ir al rescate de las familias</w:t>
      </w:r>
      <w:r w:rsidR="0004605C">
        <w:rPr>
          <w:rFonts w:cs="Arial"/>
          <w:sz w:val="22"/>
          <w:lang w:val="es-ES_tradnl"/>
        </w:rPr>
        <w:t xml:space="preserve">, haciendo </w:t>
      </w:r>
      <w:r w:rsidR="00F276DB">
        <w:rPr>
          <w:rFonts w:cs="Arial"/>
          <w:sz w:val="22"/>
          <w:lang w:val="es-ES_tradnl"/>
        </w:rPr>
        <w:t>la inversión que se requiera</w:t>
      </w:r>
      <w:r w:rsidR="0004605C">
        <w:rPr>
          <w:rFonts w:cs="Arial"/>
          <w:sz w:val="22"/>
          <w:lang w:val="es-ES_tradnl"/>
        </w:rPr>
        <w:t xml:space="preserve"> en esta materia</w:t>
      </w:r>
      <w:r>
        <w:rPr>
          <w:rFonts w:cs="Arial"/>
          <w:sz w:val="22"/>
          <w:lang w:val="es-ES_tradnl"/>
        </w:rPr>
        <w:t>.</w:t>
      </w:r>
    </w:p>
    <w:p w14:paraId="53E56991" w14:textId="36E734B2" w:rsidR="00897D2D" w:rsidRDefault="00F276DB" w:rsidP="002B71CC">
      <w:pPr>
        <w:spacing w:line="360" w:lineRule="auto"/>
        <w:jc w:val="both"/>
        <w:rPr>
          <w:rFonts w:cs="Arial"/>
          <w:sz w:val="22"/>
          <w:lang w:val="es-ES_tradnl"/>
        </w:rPr>
      </w:pPr>
      <w:r>
        <w:rPr>
          <w:rFonts w:cs="Arial"/>
          <w:sz w:val="22"/>
          <w:lang w:val="es-ES_tradnl"/>
        </w:rPr>
        <w:t xml:space="preserve">b) </w:t>
      </w:r>
      <w:r w:rsidR="00897D2D">
        <w:rPr>
          <w:rFonts w:cs="Arial"/>
          <w:sz w:val="22"/>
          <w:lang w:val="es-ES_tradnl"/>
        </w:rPr>
        <w:t>E</w:t>
      </w:r>
      <w:r>
        <w:rPr>
          <w:rFonts w:cs="Arial"/>
          <w:sz w:val="22"/>
          <w:lang w:val="es-ES_tradnl"/>
        </w:rPr>
        <w:t>n el proyecto Ivannia, determin</w:t>
      </w:r>
      <w:r w:rsidR="0004605C">
        <w:rPr>
          <w:rFonts w:cs="Arial"/>
          <w:sz w:val="22"/>
          <w:lang w:val="es-ES_tradnl"/>
        </w:rPr>
        <w:t>ar</w:t>
      </w:r>
      <w:r>
        <w:rPr>
          <w:rFonts w:cs="Arial"/>
          <w:sz w:val="22"/>
          <w:lang w:val="es-ES_tradnl"/>
        </w:rPr>
        <w:t xml:space="preserve"> la ubicación </w:t>
      </w:r>
      <w:r w:rsidR="00897D2D">
        <w:rPr>
          <w:rFonts w:cs="Arial"/>
          <w:sz w:val="22"/>
          <w:lang w:val="es-ES_tradnl"/>
        </w:rPr>
        <w:t xml:space="preserve">idónea </w:t>
      </w:r>
      <w:r>
        <w:rPr>
          <w:rFonts w:cs="Arial"/>
          <w:sz w:val="22"/>
          <w:lang w:val="es-ES_tradnl"/>
        </w:rPr>
        <w:t>del terreno en el que será ubicada la planta de tratamiento, con base en los análisis técnicos, financieros y legales correspondientes</w:t>
      </w:r>
      <w:r w:rsidR="00897D2D">
        <w:rPr>
          <w:rFonts w:cs="Arial"/>
          <w:sz w:val="22"/>
          <w:lang w:val="es-ES_tradnl"/>
        </w:rPr>
        <w:t>.</w:t>
      </w:r>
    </w:p>
    <w:p w14:paraId="7195F98B" w14:textId="0AD94CB1" w:rsidR="00897D2D" w:rsidRDefault="00F276DB" w:rsidP="002B71CC">
      <w:pPr>
        <w:spacing w:line="360" w:lineRule="auto"/>
        <w:jc w:val="both"/>
        <w:rPr>
          <w:rFonts w:cs="Arial"/>
          <w:sz w:val="22"/>
          <w:lang w:val="es-ES_tradnl"/>
        </w:rPr>
      </w:pPr>
      <w:r>
        <w:rPr>
          <w:rFonts w:cs="Arial"/>
          <w:sz w:val="22"/>
          <w:lang w:val="es-ES_tradnl"/>
        </w:rPr>
        <w:t xml:space="preserve">c) </w:t>
      </w:r>
      <w:r w:rsidR="00897D2D">
        <w:rPr>
          <w:rFonts w:cs="Arial"/>
          <w:sz w:val="22"/>
          <w:lang w:val="es-ES_tradnl"/>
        </w:rPr>
        <w:t xml:space="preserve">De forma paralela a las acciones antes indicadas, </w:t>
      </w:r>
      <w:r w:rsidR="0004605C">
        <w:rPr>
          <w:rFonts w:cs="Arial"/>
          <w:sz w:val="22"/>
          <w:lang w:val="es-ES_tradnl"/>
        </w:rPr>
        <w:t xml:space="preserve">se deberá </w:t>
      </w:r>
      <w:r w:rsidR="00897D2D">
        <w:rPr>
          <w:rFonts w:cs="Arial"/>
          <w:sz w:val="22"/>
          <w:lang w:val="es-ES_tradnl"/>
        </w:rPr>
        <w:t>agili</w:t>
      </w:r>
      <w:r w:rsidR="0004605C">
        <w:rPr>
          <w:rFonts w:cs="Arial"/>
          <w:sz w:val="22"/>
          <w:lang w:val="es-ES_tradnl"/>
        </w:rPr>
        <w:t>zar</w:t>
      </w:r>
      <w:r w:rsidR="00897D2D">
        <w:rPr>
          <w:rFonts w:cs="Arial"/>
          <w:sz w:val="22"/>
          <w:lang w:val="es-ES_tradnl"/>
        </w:rPr>
        <w:t xml:space="preserve"> </w:t>
      </w:r>
      <w:r>
        <w:rPr>
          <w:rFonts w:cs="Arial"/>
          <w:sz w:val="22"/>
          <w:lang w:val="es-ES_tradnl"/>
        </w:rPr>
        <w:t xml:space="preserve">el diseño de </w:t>
      </w:r>
      <w:r w:rsidR="00897D2D">
        <w:rPr>
          <w:rFonts w:cs="Arial"/>
          <w:sz w:val="22"/>
          <w:lang w:val="es-ES_tradnl"/>
        </w:rPr>
        <w:t xml:space="preserve">ambos </w:t>
      </w:r>
      <w:r>
        <w:rPr>
          <w:rFonts w:cs="Arial"/>
          <w:sz w:val="22"/>
          <w:lang w:val="es-ES_tradnl"/>
        </w:rPr>
        <w:t>proyectos</w:t>
      </w:r>
      <w:r w:rsidR="00897D2D">
        <w:rPr>
          <w:rFonts w:cs="Arial"/>
          <w:sz w:val="22"/>
          <w:lang w:val="es-ES_tradnl"/>
        </w:rPr>
        <w:t xml:space="preserve"> de vivienda</w:t>
      </w:r>
      <w:r>
        <w:rPr>
          <w:rFonts w:cs="Arial"/>
          <w:sz w:val="22"/>
          <w:lang w:val="es-ES_tradnl"/>
        </w:rPr>
        <w:t xml:space="preserve">, velando porque el Banco de Costa Rica, según </w:t>
      </w:r>
      <w:r w:rsidR="00897D2D">
        <w:rPr>
          <w:rFonts w:cs="Arial"/>
          <w:sz w:val="22"/>
          <w:lang w:val="es-ES_tradnl"/>
        </w:rPr>
        <w:t xml:space="preserve">lo establece </w:t>
      </w:r>
      <w:r>
        <w:rPr>
          <w:rFonts w:cs="Arial"/>
          <w:sz w:val="22"/>
          <w:lang w:val="es-ES_tradnl"/>
        </w:rPr>
        <w:t>el convenio, realice esas gestiones de forma eficaz</w:t>
      </w:r>
      <w:r w:rsidR="00897D2D">
        <w:rPr>
          <w:rFonts w:cs="Arial"/>
          <w:sz w:val="22"/>
          <w:lang w:val="es-ES_tradnl"/>
        </w:rPr>
        <w:t xml:space="preserve"> y</w:t>
      </w:r>
      <w:r>
        <w:rPr>
          <w:rFonts w:cs="Arial"/>
          <w:sz w:val="22"/>
          <w:lang w:val="es-ES_tradnl"/>
        </w:rPr>
        <w:t xml:space="preserve"> eficiente</w:t>
      </w:r>
      <w:r w:rsidR="00897D2D">
        <w:rPr>
          <w:rFonts w:cs="Arial"/>
          <w:sz w:val="22"/>
          <w:lang w:val="es-ES_tradnl"/>
        </w:rPr>
        <w:t>.</w:t>
      </w:r>
    </w:p>
    <w:p w14:paraId="299F3893" w14:textId="4E1A33AC" w:rsidR="00897D2D" w:rsidRDefault="00897D2D" w:rsidP="002B71CC">
      <w:pPr>
        <w:spacing w:line="360" w:lineRule="auto"/>
        <w:jc w:val="both"/>
        <w:rPr>
          <w:rFonts w:cs="Arial"/>
          <w:sz w:val="22"/>
          <w:lang w:val="es-ES_tradnl"/>
        </w:rPr>
      </w:pPr>
      <w:r>
        <w:rPr>
          <w:rFonts w:cs="Arial"/>
          <w:sz w:val="22"/>
          <w:lang w:val="es-ES_tradnl"/>
        </w:rPr>
        <w:t xml:space="preserve">d) </w:t>
      </w:r>
      <w:r w:rsidR="0004605C">
        <w:rPr>
          <w:rFonts w:cs="Arial"/>
          <w:sz w:val="22"/>
          <w:lang w:val="es-ES_tradnl"/>
        </w:rPr>
        <w:t xml:space="preserve">Deberá presentarse a </w:t>
      </w:r>
      <w:r>
        <w:rPr>
          <w:rFonts w:cs="Arial"/>
          <w:sz w:val="22"/>
          <w:lang w:val="es-ES_tradnl"/>
        </w:rPr>
        <w:t xml:space="preserve">esta </w:t>
      </w:r>
      <w:r w:rsidRPr="002C6AEF">
        <w:rPr>
          <w:rFonts w:cs="Arial"/>
          <w:sz w:val="22"/>
          <w:lang w:val="es-ES_tradnl"/>
        </w:rPr>
        <w:t>Junta Directiva</w:t>
      </w:r>
      <w:r>
        <w:rPr>
          <w:rFonts w:cs="Arial"/>
          <w:sz w:val="22"/>
          <w:lang w:val="es-ES_tradnl"/>
        </w:rPr>
        <w:t xml:space="preserve">, a más tardar el próximo 20 de julio, un cronograma definitivo para la ejecución de las obras y las actividades a realizar en ambos proyectos. </w:t>
      </w:r>
    </w:p>
    <w:p w14:paraId="61EFC2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F75DA8" w14:textId="77777777" w:rsidR="002B71CC" w:rsidRPr="00D14EAF" w:rsidRDefault="002B71CC" w:rsidP="002B71CC">
      <w:pPr>
        <w:spacing w:line="360" w:lineRule="auto"/>
        <w:jc w:val="both"/>
        <w:rPr>
          <w:rFonts w:cs="Arial"/>
          <w:b/>
          <w:sz w:val="22"/>
        </w:rPr>
      </w:pPr>
      <w:r w:rsidRPr="00D14EAF">
        <w:rPr>
          <w:rFonts w:cs="Arial"/>
          <w:b/>
          <w:sz w:val="22"/>
        </w:rPr>
        <w:t>************</w:t>
      </w:r>
    </w:p>
    <w:p w14:paraId="0C2B6D90" w14:textId="77777777" w:rsidR="002B71CC" w:rsidRDefault="002B71CC" w:rsidP="002B71CC">
      <w:pPr>
        <w:spacing w:line="360" w:lineRule="auto"/>
        <w:jc w:val="both"/>
        <w:rPr>
          <w:rFonts w:cs="Arial"/>
          <w:sz w:val="22"/>
          <w:lang w:val="es-ES_tradnl"/>
        </w:rPr>
      </w:pPr>
    </w:p>
    <w:p w14:paraId="7916D93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31C2FE8" w14:textId="6B75F4E9" w:rsidR="00F62ADF" w:rsidRDefault="00F62ADF" w:rsidP="00F62ADF">
      <w:pPr>
        <w:spacing w:line="360" w:lineRule="auto"/>
        <w:jc w:val="both"/>
        <w:rPr>
          <w:rFonts w:cs="Arial"/>
          <w:bCs/>
          <w:sz w:val="22"/>
          <w:szCs w:val="22"/>
        </w:rPr>
      </w:pPr>
      <w:r w:rsidRPr="002925C5">
        <w:rPr>
          <w:rFonts w:cs="Arial"/>
          <w:bCs/>
          <w:sz w:val="22"/>
          <w:szCs w:val="22"/>
        </w:rPr>
        <w:t>Conocido el oficio GG-ME-</w:t>
      </w:r>
      <w:r>
        <w:rPr>
          <w:rFonts w:cs="Arial"/>
          <w:bCs/>
          <w:sz w:val="22"/>
          <w:szCs w:val="22"/>
        </w:rPr>
        <w:t>0</w:t>
      </w:r>
      <w:r w:rsidR="006B7F7A">
        <w:rPr>
          <w:rFonts w:cs="Arial"/>
          <w:bCs/>
          <w:sz w:val="22"/>
          <w:szCs w:val="22"/>
        </w:rPr>
        <w:t>737</w:t>
      </w:r>
      <w:r w:rsidRPr="002925C5">
        <w:rPr>
          <w:rFonts w:cs="Arial"/>
          <w:bCs/>
          <w:sz w:val="22"/>
          <w:szCs w:val="22"/>
        </w:rPr>
        <w:t>-20</w:t>
      </w:r>
      <w:r>
        <w:rPr>
          <w:rFonts w:cs="Arial"/>
          <w:bCs/>
          <w:sz w:val="22"/>
          <w:szCs w:val="22"/>
        </w:rPr>
        <w:t>20</w:t>
      </w:r>
      <w:r w:rsidRPr="002925C5">
        <w:rPr>
          <w:rFonts w:cs="Arial"/>
          <w:bCs/>
          <w:sz w:val="22"/>
          <w:szCs w:val="22"/>
        </w:rPr>
        <w:t xml:space="preserve"> de la Gerencia General, </w:t>
      </w:r>
      <w:r>
        <w:rPr>
          <w:rFonts w:cs="Arial"/>
          <w:bCs/>
          <w:sz w:val="22"/>
          <w:szCs w:val="22"/>
        </w:rPr>
        <w:t xml:space="preserve">referido </w:t>
      </w:r>
      <w:r w:rsidRPr="002925C5">
        <w:rPr>
          <w:rFonts w:cs="Arial"/>
          <w:bCs/>
          <w:sz w:val="22"/>
          <w:szCs w:val="22"/>
        </w:rPr>
        <w:t xml:space="preserve">al proyecto de </w:t>
      </w:r>
      <w:r>
        <w:rPr>
          <w:rFonts w:cs="Arial"/>
          <w:bCs/>
          <w:sz w:val="22"/>
          <w:szCs w:val="22"/>
        </w:rPr>
        <w:t xml:space="preserve">ley </w:t>
      </w:r>
      <w:r>
        <w:rPr>
          <w:rFonts w:cs="Arial"/>
          <w:sz w:val="22"/>
          <w:szCs w:val="22"/>
        </w:rPr>
        <w:t xml:space="preserve">denominado </w:t>
      </w:r>
      <w:r w:rsidRPr="00CA716B">
        <w:rPr>
          <w:rFonts w:cs="Arial"/>
          <w:i/>
          <w:iCs/>
          <w:sz w:val="22"/>
          <w:lang w:val="es-ES_tradnl"/>
        </w:rPr>
        <w:t>“</w:t>
      </w:r>
      <w:r w:rsidR="006B7F7A" w:rsidRPr="006B7F7A">
        <w:rPr>
          <w:rFonts w:cs="Arial"/>
          <w:i/>
          <w:iCs/>
          <w:sz w:val="22"/>
          <w:lang w:val="es-CR"/>
        </w:rPr>
        <w:t>Ley para el tratamiento especial de los recursos del Fondo de Desarrollo Social y Asignaciones Familiares (FODESAF) en casos de declaratoria de emergencia nacional por parte del Estado</w:t>
      </w:r>
      <w:r w:rsidRPr="00CA716B">
        <w:rPr>
          <w:rFonts w:cs="Arial"/>
          <w:i/>
          <w:iCs/>
          <w:sz w:val="22"/>
          <w:lang w:val="es-ES_tradnl"/>
        </w:rPr>
        <w:t xml:space="preserve">”, </w:t>
      </w:r>
      <w:r w:rsidRPr="002925C5">
        <w:rPr>
          <w:rFonts w:cs="Arial"/>
          <w:bCs/>
          <w:sz w:val="22"/>
          <w:szCs w:val="22"/>
        </w:rPr>
        <w:t>expediente legislativo N° 2</w:t>
      </w:r>
      <w:r>
        <w:rPr>
          <w:rFonts w:cs="Arial"/>
          <w:bCs/>
          <w:sz w:val="22"/>
          <w:szCs w:val="22"/>
        </w:rPr>
        <w:t>1</w:t>
      </w:r>
      <w:r w:rsidRPr="002925C5">
        <w:rPr>
          <w:rFonts w:cs="Arial"/>
          <w:bCs/>
          <w:sz w:val="22"/>
          <w:szCs w:val="22"/>
        </w:rPr>
        <w:t>.</w:t>
      </w:r>
      <w:r>
        <w:rPr>
          <w:rFonts w:cs="Arial"/>
          <w:bCs/>
          <w:sz w:val="22"/>
          <w:szCs w:val="22"/>
        </w:rPr>
        <w:t>91</w:t>
      </w:r>
      <w:r w:rsidR="006B7F7A">
        <w:rPr>
          <w:rFonts w:cs="Arial"/>
          <w:bCs/>
          <w:sz w:val="22"/>
          <w:szCs w:val="22"/>
        </w:rPr>
        <w:t>3</w:t>
      </w:r>
      <w:r>
        <w:rPr>
          <w:rFonts w:cs="Arial"/>
          <w:bCs/>
          <w:sz w:val="22"/>
          <w:szCs w:val="22"/>
        </w:rPr>
        <w:t xml:space="preserve">, se instruye a la </w:t>
      </w:r>
      <w:r w:rsidRPr="00224E7C">
        <w:rPr>
          <w:rFonts w:cs="Arial"/>
          <w:bCs/>
          <w:sz w:val="22"/>
          <w:szCs w:val="22"/>
          <w:lang w:val="es-ES_tradnl"/>
        </w:rPr>
        <w:t>Gerencia General</w:t>
      </w:r>
      <w:r>
        <w:rPr>
          <w:rFonts w:cs="Arial"/>
          <w:bCs/>
          <w:sz w:val="22"/>
          <w:szCs w:val="22"/>
          <w:lang w:val="es-ES_tradnl"/>
        </w:rPr>
        <w:t xml:space="preserve">, para que </w:t>
      </w:r>
      <w:r w:rsidRPr="002925C5">
        <w:rPr>
          <w:rFonts w:cs="Arial"/>
          <w:bCs/>
          <w:sz w:val="22"/>
          <w:szCs w:val="22"/>
        </w:rPr>
        <w:t xml:space="preserve">comunique a la </w:t>
      </w:r>
      <w:r>
        <w:rPr>
          <w:rFonts w:cs="Arial"/>
          <w:sz w:val="22"/>
          <w:szCs w:val="22"/>
          <w:lang w:val="es-ES_tradnl"/>
        </w:rPr>
        <w:t xml:space="preserve">Comisión Permanente de Asuntos </w:t>
      </w:r>
      <w:r w:rsidR="006B7F7A">
        <w:rPr>
          <w:rFonts w:cs="Arial"/>
          <w:sz w:val="22"/>
          <w:szCs w:val="22"/>
          <w:lang w:val="es-ES_tradnl"/>
        </w:rPr>
        <w:t>Sociales</w:t>
      </w:r>
      <w:r>
        <w:rPr>
          <w:rFonts w:cs="Arial"/>
          <w:sz w:val="22"/>
          <w:szCs w:val="22"/>
          <w:lang w:val="es-ES_tradnl"/>
        </w:rPr>
        <w:t xml:space="preserve">, </w:t>
      </w:r>
      <w:r>
        <w:rPr>
          <w:rFonts w:cs="Arial"/>
          <w:sz w:val="22"/>
          <w:szCs w:val="22"/>
        </w:rPr>
        <w:t xml:space="preserve"> el criterio del BANHVI sobre dicho proyecto de ley, en los términos que se indican en el citado oficio</w:t>
      </w:r>
      <w:r>
        <w:rPr>
          <w:rFonts w:cs="Arial"/>
          <w:sz w:val="22"/>
          <w:szCs w:val="22"/>
          <w:lang w:val="es-ES_tradnl"/>
        </w:rPr>
        <w:t xml:space="preserve"> y considerando además los siguientes aspectos:</w:t>
      </w:r>
    </w:p>
    <w:p w14:paraId="03E3BC30" w14:textId="039D1F53" w:rsidR="006B7F7A" w:rsidRDefault="006B7F7A" w:rsidP="00F62ADF">
      <w:pPr>
        <w:spacing w:line="360" w:lineRule="auto"/>
        <w:jc w:val="both"/>
        <w:rPr>
          <w:rFonts w:cs="Arial"/>
          <w:sz w:val="22"/>
          <w:szCs w:val="22"/>
        </w:rPr>
      </w:pPr>
      <w:r>
        <w:rPr>
          <w:rFonts w:cs="Arial"/>
          <w:sz w:val="22"/>
          <w:szCs w:val="22"/>
        </w:rPr>
        <w:t>a) El proceso plurianual que conlleva la construcción de muchos proyectos de vivienda.</w:t>
      </w:r>
    </w:p>
    <w:p w14:paraId="374976C7" w14:textId="1BF3A50E" w:rsidR="006B7F7A" w:rsidRDefault="006B7F7A" w:rsidP="00F62ADF">
      <w:pPr>
        <w:spacing w:line="360" w:lineRule="auto"/>
        <w:jc w:val="both"/>
        <w:rPr>
          <w:rFonts w:cs="Arial"/>
          <w:sz w:val="22"/>
          <w:szCs w:val="22"/>
        </w:rPr>
      </w:pPr>
      <w:r>
        <w:rPr>
          <w:rFonts w:cs="Arial"/>
          <w:sz w:val="22"/>
          <w:szCs w:val="22"/>
        </w:rPr>
        <w:t>b) El procedimiento que se aplica para comprometer y adjudicar los recursos del FOSUVI, por parte de las entidades autorizadas y el BANHVI.</w:t>
      </w:r>
    </w:p>
    <w:p w14:paraId="66119202" w14:textId="1A6F425C" w:rsidR="006B7F7A" w:rsidRDefault="006B7F7A" w:rsidP="00F62ADF">
      <w:pPr>
        <w:spacing w:line="360" w:lineRule="auto"/>
        <w:jc w:val="both"/>
        <w:rPr>
          <w:rFonts w:cs="Arial"/>
          <w:sz w:val="22"/>
          <w:szCs w:val="22"/>
        </w:rPr>
      </w:pPr>
      <w:r>
        <w:rPr>
          <w:rFonts w:cs="Arial"/>
          <w:sz w:val="22"/>
          <w:szCs w:val="22"/>
        </w:rPr>
        <w:t>c) La participación que ha tenido el BANHVI, con recursos del FOSUVI, en la solución de problemas de vivienda ocasionados por anteriores situaciones de emergencia.</w:t>
      </w:r>
    </w:p>
    <w:p w14:paraId="6ED7E8B0" w14:textId="4D59FEF6" w:rsidR="006B7F7A" w:rsidRDefault="006B7F7A" w:rsidP="00F62ADF">
      <w:pPr>
        <w:spacing w:line="360" w:lineRule="auto"/>
        <w:jc w:val="both"/>
        <w:rPr>
          <w:rFonts w:cs="Arial"/>
          <w:sz w:val="22"/>
          <w:szCs w:val="22"/>
        </w:rPr>
      </w:pPr>
    </w:p>
    <w:p w14:paraId="6F876B2D" w14:textId="41B6BCA1" w:rsidR="002B71CC" w:rsidRDefault="006B7F7A" w:rsidP="002B71CC">
      <w:pPr>
        <w:spacing w:line="360" w:lineRule="auto"/>
        <w:jc w:val="both"/>
        <w:rPr>
          <w:rFonts w:cs="Arial"/>
          <w:sz w:val="22"/>
          <w:szCs w:val="22"/>
        </w:rPr>
      </w:pPr>
      <w:r>
        <w:rPr>
          <w:rFonts w:cs="Arial"/>
          <w:sz w:val="22"/>
          <w:szCs w:val="22"/>
        </w:rPr>
        <w:t>La nota</w:t>
      </w:r>
      <w:r w:rsidR="00F62ADF">
        <w:rPr>
          <w:rFonts w:cs="Arial"/>
          <w:bCs/>
          <w:sz w:val="22"/>
          <w:szCs w:val="22"/>
          <w:lang w:val="es-ES_tradnl"/>
        </w:rPr>
        <w:t xml:space="preserve"> de respuesta</w:t>
      </w:r>
      <w:r w:rsidR="00F62ADF">
        <w:rPr>
          <w:rFonts w:cs="Arial"/>
          <w:bCs/>
          <w:sz w:val="22"/>
          <w:szCs w:val="22"/>
        </w:rPr>
        <w:t xml:space="preserve"> a la referida c</w:t>
      </w:r>
      <w:r w:rsidR="00F62ADF">
        <w:rPr>
          <w:rFonts w:cs="Arial"/>
          <w:sz w:val="22"/>
          <w:szCs w:val="22"/>
          <w:lang w:val="es-ES_tradnl"/>
        </w:rPr>
        <w:t xml:space="preserve">omisión legislativa, </w:t>
      </w:r>
      <w:r>
        <w:rPr>
          <w:rFonts w:cs="Arial"/>
          <w:sz w:val="22"/>
          <w:szCs w:val="22"/>
          <w:lang w:val="es-ES_tradnl"/>
        </w:rPr>
        <w:t xml:space="preserve">deberá someterse </w:t>
      </w:r>
      <w:r w:rsidR="00F62ADF">
        <w:rPr>
          <w:rFonts w:cs="Arial"/>
          <w:sz w:val="22"/>
          <w:szCs w:val="22"/>
        </w:rPr>
        <w:t xml:space="preserve">previamente a la revisión de los miembros de esta </w:t>
      </w:r>
      <w:r w:rsidR="00F62ADF" w:rsidRPr="00D17FCD">
        <w:rPr>
          <w:rFonts w:cs="Arial"/>
          <w:sz w:val="22"/>
          <w:szCs w:val="22"/>
          <w:lang w:val="es-ES_tradnl"/>
        </w:rPr>
        <w:t>Junta Directiva</w:t>
      </w:r>
      <w:r w:rsidR="00F62ADF">
        <w:rPr>
          <w:rFonts w:cs="Arial"/>
          <w:sz w:val="22"/>
          <w:szCs w:val="22"/>
          <w:lang w:val="es-ES_tradnl"/>
        </w:rPr>
        <w:t>.</w:t>
      </w:r>
    </w:p>
    <w:p w14:paraId="39279C6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A8DDD6" w14:textId="77777777" w:rsidR="002B71CC" w:rsidRPr="00D14EAF" w:rsidRDefault="002B71CC" w:rsidP="002B71CC">
      <w:pPr>
        <w:spacing w:line="360" w:lineRule="auto"/>
        <w:jc w:val="both"/>
        <w:rPr>
          <w:rFonts w:cs="Arial"/>
          <w:b/>
          <w:sz w:val="22"/>
        </w:rPr>
      </w:pPr>
      <w:r w:rsidRPr="00D14EAF">
        <w:rPr>
          <w:rFonts w:cs="Arial"/>
          <w:b/>
          <w:sz w:val="22"/>
        </w:rPr>
        <w:t>************</w:t>
      </w:r>
    </w:p>
    <w:p w14:paraId="2CC7C450" w14:textId="77777777" w:rsidR="002B71CC" w:rsidRDefault="002B71CC" w:rsidP="002B71CC">
      <w:pPr>
        <w:spacing w:line="360" w:lineRule="auto"/>
        <w:jc w:val="both"/>
        <w:rPr>
          <w:rFonts w:cs="Arial"/>
          <w:sz w:val="22"/>
          <w:lang w:val="es-ES_tradnl"/>
        </w:rPr>
      </w:pPr>
    </w:p>
    <w:p w14:paraId="06C30B4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38775B35" w14:textId="75C6566C" w:rsidR="002B71CC" w:rsidRDefault="00180964" w:rsidP="002B71CC">
      <w:pPr>
        <w:spacing w:line="360" w:lineRule="auto"/>
        <w:jc w:val="both"/>
        <w:rPr>
          <w:rFonts w:cs="Arial"/>
          <w:sz w:val="22"/>
          <w:szCs w:val="22"/>
        </w:rPr>
      </w:pPr>
      <w:r>
        <w:rPr>
          <w:rFonts w:cs="Arial"/>
          <w:sz w:val="22"/>
          <w:szCs w:val="22"/>
        </w:rPr>
        <w:t xml:space="preserve">Autorizar a la </w:t>
      </w:r>
      <w:r w:rsidRPr="00180964">
        <w:rPr>
          <w:rFonts w:cs="Arial"/>
          <w:sz w:val="22"/>
          <w:szCs w:val="22"/>
          <w:lang w:val="es-ES_tradnl"/>
        </w:rPr>
        <w:t>Gerencia General</w:t>
      </w:r>
      <w:r>
        <w:rPr>
          <w:rFonts w:cs="Arial"/>
          <w:sz w:val="22"/>
          <w:szCs w:val="22"/>
          <w:lang w:val="es-ES_tradnl"/>
        </w:rPr>
        <w:t xml:space="preserve">, para que de conformidad con el documento presentado y una vez hechos los ajustes requeridos durante su análisis, solicite el pronunciamiento de la </w:t>
      </w:r>
      <w:r>
        <w:rPr>
          <w:rFonts w:cs="Arial"/>
          <w:sz w:val="22"/>
          <w:lang w:val="es-ES_tradnl"/>
        </w:rPr>
        <w:t xml:space="preserve">Contraloría General de la República, sobre </w:t>
      </w:r>
      <w:r>
        <w:rPr>
          <w:rFonts w:cs="Arial"/>
          <w:sz w:val="22"/>
          <w:szCs w:val="22"/>
          <w:lang w:val="es-CR"/>
        </w:rPr>
        <w:t>la</w:t>
      </w:r>
      <w:r w:rsidRPr="00180964">
        <w:rPr>
          <w:rFonts w:cs="Arial"/>
          <w:sz w:val="22"/>
          <w:szCs w:val="22"/>
          <w:lang w:val="es-CR"/>
        </w:rPr>
        <w:t xml:space="preserve"> aplicaci</w:t>
      </w:r>
      <w:r>
        <w:rPr>
          <w:rFonts w:cs="Arial"/>
          <w:sz w:val="22"/>
          <w:szCs w:val="22"/>
          <w:lang w:val="es-CR"/>
        </w:rPr>
        <w:t>ón</w:t>
      </w:r>
      <w:r w:rsidRPr="00180964">
        <w:rPr>
          <w:rFonts w:cs="Arial"/>
          <w:sz w:val="22"/>
          <w:szCs w:val="22"/>
          <w:lang w:val="es-CR"/>
        </w:rPr>
        <w:t xml:space="preserve"> de </w:t>
      </w:r>
      <w:r>
        <w:rPr>
          <w:rFonts w:cs="Arial"/>
          <w:sz w:val="22"/>
          <w:szCs w:val="22"/>
          <w:lang w:val="es-CR"/>
        </w:rPr>
        <w:t>l</w:t>
      </w:r>
      <w:r w:rsidRPr="00180964">
        <w:rPr>
          <w:rFonts w:cs="Arial"/>
          <w:sz w:val="22"/>
          <w:szCs w:val="22"/>
          <w:lang w:val="es-CR"/>
        </w:rPr>
        <w:t xml:space="preserve">a Ley </w:t>
      </w:r>
      <w:r>
        <w:rPr>
          <w:rFonts w:cs="Arial"/>
          <w:sz w:val="22"/>
          <w:szCs w:val="22"/>
          <w:lang w:val="es-CR"/>
        </w:rPr>
        <w:t>7052</w:t>
      </w:r>
      <w:r w:rsidRPr="00180964">
        <w:rPr>
          <w:rFonts w:cs="Arial"/>
          <w:sz w:val="22"/>
          <w:szCs w:val="22"/>
          <w:lang w:val="es-CR"/>
        </w:rPr>
        <w:t xml:space="preserve"> </w:t>
      </w:r>
      <w:r>
        <w:rPr>
          <w:rFonts w:cs="Arial"/>
          <w:sz w:val="22"/>
          <w:szCs w:val="22"/>
          <w:lang w:val="es-CR"/>
        </w:rPr>
        <w:t xml:space="preserve">respecto a la </w:t>
      </w:r>
      <w:r w:rsidRPr="00180964">
        <w:rPr>
          <w:rFonts w:cs="Arial"/>
          <w:sz w:val="22"/>
          <w:szCs w:val="22"/>
          <w:lang w:val="es-CR"/>
        </w:rPr>
        <w:t xml:space="preserve">Ley de Desarrollo Social y Asignaciones Familiares, </w:t>
      </w:r>
      <w:r>
        <w:rPr>
          <w:rFonts w:cs="Arial"/>
          <w:sz w:val="22"/>
          <w:szCs w:val="22"/>
          <w:lang w:val="es-CR"/>
        </w:rPr>
        <w:t xml:space="preserve">la </w:t>
      </w:r>
      <w:r w:rsidRPr="00180964">
        <w:rPr>
          <w:rFonts w:cs="Arial"/>
          <w:sz w:val="22"/>
          <w:szCs w:val="22"/>
          <w:lang w:val="es-CR"/>
        </w:rPr>
        <w:t>obligaci</w:t>
      </w:r>
      <w:r>
        <w:rPr>
          <w:rFonts w:cs="Arial"/>
          <w:sz w:val="22"/>
          <w:szCs w:val="22"/>
          <w:lang w:val="es-CR"/>
        </w:rPr>
        <w:t xml:space="preserve">ón </w:t>
      </w:r>
      <w:r w:rsidRPr="00180964">
        <w:rPr>
          <w:rFonts w:cs="Arial"/>
          <w:sz w:val="22"/>
          <w:szCs w:val="22"/>
          <w:lang w:val="es-CR"/>
        </w:rPr>
        <w:t xml:space="preserve">del giro de recursos al </w:t>
      </w:r>
      <w:r>
        <w:rPr>
          <w:rFonts w:cs="Arial"/>
          <w:sz w:val="22"/>
          <w:szCs w:val="22"/>
          <w:lang w:val="es-CR"/>
        </w:rPr>
        <w:t>FOSUVI</w:t>
      </w:r>
      <w:r w:rsidRPr="00180964">
        <w:rPr>
          <w:rFonts w:cs="Arial"/>
          <w:sz w:val="22"/>
          <w:szCs w:val="22"/>
          <w:lang w:val="es-CR"/>
        </w:rPr>
        <w:t xml:space="preserve"> y</w:t>
      </w:r>
      <w:r>
        <w:rPr>
          <w:rFonts w:cs="Arial"/>
          <w:sz w:val="22"/>
          <w:szCs w:val="22"/>
          <w:lang w:val="es-CR"/>
        </w:rPr>
        <w:t xml:space="preserve"> la</w:t>
      </w:r>
      <w:r w:rsidRPr="00180964">
        <w:rPr>
          <w:rFonts w:cs="Arial"/>
          <w:sz w:val="22"/>
          <w:szCs w:val="22"/>
          <w:lang w:val="es-CR"/>
        </w:rPr>
        <w:t xml:space="preserve"> entidad en </w:t>
      </w:r>
      <w:r>
        <w:rPr>
          <w:rFonts w:cs="Arial"/>
          <w:sz w:val="22"/>
          <w:szCs w:val="22"/>
          <w:lang w:val="es-CR"/>
        </w:rPr>
        <w:t>la</w:t>
      </w:r>
      <w:r w:rsidRPr="00180964">
        <w:rPr>
          <w:rFonts w:cs="Arial"/>
          <w:sz w:val="22"/>
          <w:szCs w:val="22"/>
          <w:lang w:val="es-CR"/>
        </w:rPr>
        <w:t xml:space="preserve"> cual reside su exclusiva administraci</w:t>
      </w:r>
      <w:r>
        <w:rPr>
          <w:rFonts w:cs="Arial"/>
          <w:sz w:val="22"/>
          <w:szCs w:val="22"/>
          <w:lang w:val="es-CR"/>
        </w:rPr>
        <w:t>ón.</w:t>
      </w:r>
    </w:p>
    <w:p w14:paraId="55F2DF4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6BF377" w14:textId="77777777" w:rsidR="002B71CC" w:rsidRPr="00D14EAF" w:rsidRDefault="002B71CC" w:rsidP="002B71CC">
      <w:pPr>
        <w:spacing w:line="360" w:lineRule="auto"/>
        <w:jc w:val="both"/>
        <w:rPr>
          <w:rFonts w:cs="Arial"/>
          <w:b/>
          <w:sz w:val="22"/>
        </w:rPr>
      </w:pPr>
      <w:r w:rsidRPr="00D14EAF">
        <w:rPr>
          <w:rFonts w:cs="Arial"/>
          <w:b/>
          <w:sz w:val="22"/>
        </w:rPr>
        <w:t>************</w:t>
      </w:r>
    </w:p>
    <w:p w14:paraId="03A7DC10" w14:textId="77777777" w:rsidR="002B71CC" w:rsidRDefault="002B71CC" w:rsidP="002B71CC">
      <w:pPr>
        <w:spacing w:line="360" w:lineRule="auto"/>
        <w:jc w:val="both"/>
        <w:rPr>
          <w:rFonts w:cs="Arial"/>
          <w:sz w:val="22"/>
          <w:lang w:val="es-ES_tradnl"/>
        </w:rPr>
      </w:pPr>
    </w:p>
    <w:p w14:paraId="59B210C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F2C1DA5" w14:textId="37E50099" w:rsidR="002B71CC" w:rsidRDefault="004E2D40" w:rsidP="002B71CC">
      <w:pPr>
        <w:spacing w:line="360" w:lineRule="auto"/>
        <w:jc w:val="both"/>
        <w:rPr>
          <w:rFonts w:cs="Arial"/>
          <w:sz w:val="22"/>
          <w:szCs w:val="22"/>
        </w:rPr>
      </w:pPr>
      <w:r w:rsidRPr="004E2D40">
        <w:rPr>
          <w:rFonts w:cs="Arial"/>
          <w:sz w:val="22"/>
          <w:szCs w:val="22"/>
          <w:lang w:val="es-CR"/>
        </w:rPr>
        <w:t>Trasladar a la Administración, para que investigue lo indicado y tome las acciones que correspondan</w:t>
      </w:r>
      <w:r>
        <w:rPr>
          <w:rFonts w:cs="Arial"/>
          <w:sz w:val="22"/>
          <w:szCs w:val="22"/>
          <w:lang w:val="es-CR"/>
        </w:rPr>
        <w:t xml:space="preserve">, el </w:t>
      </w:r>
      <w:r>
        <w:rPr>
          <w:rFonts w:cs="Arial"/>
          <w:sz w:val="22"/>
          <w:lang w:val="es-ES_tradnl"/>
        </w:rPr>
        <w:t xml:space="preserve">oficio del 20 de junio de 2020, mediante el cual, un grupo de beneficiarios del proyecto de vivienda Malinche, </w:t>
      </w:r>
      <w:r>
        <w:rPr>
          <w:rFonts w:cs="Arial"/>
          <w:sz w:val="22"/>
          <w:lang w:val="es-CR"/>
        </w:rPr>
        <w:t xml:space="preserve">en Santa Cruz de Guanacaste, solicita la colaboración de este Banco con respecto a las limitaciones económicas que tienen, para aportarle a Grupo Mutual Alajuela – La Vivienda, el monto que les está exigiendo </w:t>
      </w:r>
      <w:r w:rsidRPr="00912E19">
        <w:rPr>
          <w:rFonts w:cs="Arial"/>
          <w:sz w:val="22"/>
          <w:lang w:val="es-CR"/>
        </w:rPr>
        <w:t xml:space="preserve">para </w:t>
      </w:r>
      <w:r>
        <w:rPr>
          <w:rFonts w:cs="Arial"/>
          <w:sz w:val="22"/>
          <w:lang w:val="es-CR"/>
        </w:rPr>
        <w:t xml:space="preserve">cubrir </w:t>
      </w:r>
      <w:r w:rsidRPr="00912E19">
        <w:rPr>
          <w:rFonts w:cs="Arial"/>
          <w:sz w:val="22"/>
          <w:lang w:val="es-CR"/>
        </w:rPr>
        <w:t>los gastos de formalización</w:t>
      </w:r>
      <w:r>
        <w:rPr>
          <w:rFonts w:cs="Arial"/>
          <w:sz w:val="22"/>
          <w:lang w:val="es-CR"/>
        </w:rPr>
        <w:t xml:space="preserve"> de sus operaciones.</w:t>
      </w:r>
    </w:p>
    <w:p w14:paraId="4A7A0F25" w14:textId="6A71C97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7A3CDDE" w14:textId="77777777" w:rsidR="002B71CC" w:rsidRPr="00D14EAF" w:rsidRDefault="002B71CC" w:rsidP="002B71CC">
      <w:pPr>
        <w:spacing w:line="360" w:lineRule="auto"/>
        <w:jc w:val="both"/>
        <w:rPr>
          <w:rFonts w:cs="Arial"/>
          <w:b/>
          <w:sz w:val="22"/>
        </w:rPr>
      </w:pPr>
      <w:r w:rsidRPr="00D14EAF">
        <w:rPr>
          <w:rFonts w:cs="Arial"/>
          <w:b/>
          <w:sz w:val="22"/>
        </w:rPr>
        <w:t>************</w:t>
      </w:r>
    </w:p>
    <w:p w14:paraId="721D85CD" w14:textId="77777777" w:rsidR="002B71CC" w:rsidRDefault="002B71CC" w:rsidP="002B71CC">
      <w:pPr>
        <w:spacing w:line="360" w:lineRule="auto"/>
        <w:jc w:val="both"/>
        <w:rPr>
          <w:rFonts w:cs="Arial"/>
          <w:sz w:val="22"/>
          <w:szCs w:val="22"/>
        </w:rPr>
      </w:pPr>
    </w:p>
    <w:p w14:paraId="164128F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CCDA901" w14:textId="2558EABA" w:rsidR="002B71CC" w:rsidRPr="007621C9" w:rsidRDefault="00FE0884" w:rsidP="002B71CC">
      <w:pPr>
        <w:spacing w:line="360" w:lineRule="auto"/>
        <w:jc w:val="both"/>
        <w:rPr>
          <w:rFonts w:cs="Arial"/>
          <w:b/>
          <w:bCs/>
          <w:sz w:val="22"/>
          <w:szCs w:val="22"/>
        </w:rPr>
      </w:pPr>
      <w:r w:rsidRPr="007621C9">
        <w:rPr>
          <w:rFonts w:cs="Arial"/>
          <w:b/>
          <w:bCs/>
          <w:sz w:val="22"/>
          <w:szCs w:val="22"/>
        </w:rPr>
        <w:t>Considerando:</w:t>
      </w:r>
    </w:p>
    <w:p w14:paraId="5F31A501" w14:textId="367D3B7D" w:rsidR="00FE0884" w:rsidRDefault="007621C9" w:rsidP="002B71CC">
      <w:pPr>
        <w:spacing w:line="360" w:lineRule="auto"/>
        <w:jc w:val="both"/>
        <w:rPr>
          <w:rFonts w:cs="Arial"/>
          <w:sz w:val="22"/>
          <w:szCs w:val="22"/>
        </w:rPr>
      </w:pPr>
      <w:r w:rsidRPr="007621C9">
        <w:rPr>
          <w:rFonts w:cs="Arial"/>
          <w:b/>
          <w:bCs/>
          <w:sz w:val="22"/>
          <w:szCs w:val="22"/>
        </w:rPr>
        <w:t>Primero:</w:t>
      </w:r>
      <w:r>
        <w:rPr>
          <w:rFonts w:cs="Arial"/>
          <w:sz w:val="22"/>
          <w:szCs w:val="22"/>
        </w:rPr>
        <w:t xml:space="preserve"> Que </w:t>
      </w:r>
      <w:r w:rsidR="00BE3BA5">
        <w:rPr>
          <w:rFonts w:cs="Arial"/>
          <w:sz w:val="22"/>
          <w:szCs w:val="22"/>
        </w:rPr>
        <w:t xml:space="preserve">por medio del oficio DAD-OF-184-2020 del 06 de julio de 2020, y atendiendo una consulta de la </w:t>
      </w:r>
      <w:r w:rsidR="00BE3BA5" w:rsidRPr="00BE3BA5">
        <w:rPr>
          <w:rFonts w:cs="Arial"/>
          <w:sz w:val="22"/>
          <w:szCs w:val="22"/>
          <w:lang w:val="es-ES_tradnl"/>
        </w:rPr>
        <w:t>Gerencia General</w:t>
      </w:r>
      <w:r w:rsidR="00BE3BA5">
        <w:rPr>
          <w:rFonts w:cs="Arial"/>
          <w:sz w:val="22"/>
          <w:szCs w:val="22"/>
          <w:lang w:val="es-ES_tradnl"/>
        </w:rPr>
        <w:t xml:space="preserve"> sobre la fijación salarial para los dos sugerentes del Banco, la Dirección Administrativa señala, en lo conducente, lo siguiente:</w:t>
      </w:r>
    </w:p>
    <w:p w14:paraId="377FFCFC" w14:textId="7D5FF483" w:rsidR="007621C9" w:rsidRDefault="007621C9" w:rsidP="00824A1B">
      <w:pPr>
        <w:jc w:val="both"/>
        <w:rPr>
          <w:rFonts w:cs="Arial"/>
          <w:sz w:val="22"/>
          <w:szCs w:val="22"/>
        </w:rPr>
      </w:pPr>
    </w:p>
    <w:p w14:paraId="72095157" w14:textId="1AF6F1B6" w:rsidR="00BE3BA5" w:rsidRPr="00714185" w:rsidRDefault="00BE3BA5" w:rsidP="00824A1B">
      <w:pPr>
        <w:jc w:val="both"/>
        <w:rPr>
          <w:rFonts w:cs="Arial"/>
          <w:sz w:val="20"/>
          <w:szCs w:val="20"/>
          <w:lang w:val="es-CR"/>
        </w:rPr>
      </w:pPr>
      <w:r w:rsidRPr="00714185">
        <w:rPr>
          <w:rFonts w:cs="Arial"/>
          <w:sz w:val="20"/>
          <w:szCs w:val="20"/>
        </w:rPr>
        <w:t>“…</w:t>
      </w:r>
      <w:r w:rsidRPr="00714185">
        <w:rPr>
          <w:rFonts w:cs="Arial"/>
          <w:sz w:val="20"/>
          <w:szCs w:val="20"/>
          <w:lang w:val="es-CR"/>
        </w:rPr>
        <w:t>La política salarial vigente, Código PO-INST-RE-004 establece que corresponderá a la Junta Directiva aplicar los ajustes salariales, con base en los incrementos decretados por el Gobierno de la República o bien, cuando la Gerencia presente las propuestas que considere necesarias y que, en materia de anualidades, regirá para los funcionarios de este Banco, lo establecido en la Ley 9635. Así mismo, establece que las dos disposiciones mencionadas anteriormente, no aplicarán para la fijación del salario mensual de los puestos de la Gerente, Subgerente Financiero y Subgerente de Operaciones.</w:t>
      </w:r>
    </w:p>
    <w:p w14:paraId="0EA3A64A" w14:textId="77777777" w:rsidR="00BE3BA5" w:rsidRPr="00714185" w:rsidRDefault="00BE3BA5" w:rsidP="00824A1B">
      <w:pPr>
        <w:jc w:val="both"/>
        <w:rPr>
          <w:rFonts w:cs="Arial"/>
          <w:sz w:val="20"/>
          <w:szCs w:val="20"/>
          <w:lang w:val="es-CR"/>
        </w:rPr>
      </w:pPr>
    </w:p>
    <w:p w14:paraId="6A8259BC" w14:textId="285869F8" w:rsidR="00BE3BA5" w:rsidRPr="00714185" w:rsidRDefault="00BE3BA5" w:rsidP="00824A1B">
      <w:pPr>
        <w:jc w:val="both"/>
        <w:rPr>
          <w:rFonts w:cs="Arial"/>
          <w:sz w:val="20"/>
          <w:szCs w:val="20"/>
          <w:lang w:val="es-CR"/>
        </w:rPr>
      </w:pPr>
      <w:r w:rsidRPr="00714185">
        <w:rPr>
          <w:rFonts w:cs="Arial"/>
          <w:sz w:val="20"/>
          <w:szCs w:val="20"/>
          <w:lang w:val="es-CR"/>
        </w:rPr>
        <w:t>Al amparo de la normativa que nos rige, la Junta Directiva, así como puede disponer de la política salarial para todo el Banco, puede establecer también la estructura salarial que regirá para los funcionarios que ocupan la alta Gerencia de la Organización.</w:t>
      </w:r>
    </w:p>
    <w:p w14:paraId="62E62256" w14:textId="77777777" w:rsidR="00BE3BA5" w:rsidRPr="00714185" w:rsidRDefault="00BE3BA5" w:rsidP="00824A1B">
      <w:pPr>
        <w:jc w:val="both"/>
        <w:rPr>
          <w:rFonts w:cs="Arial"/>
          <w:sz w:val="20"/>
          <w:szCs w:val="20"/>
          <w:lang w:val="es-CR"/>
        </w:rPr>
      </w:pPr>
    </w:p>
    <w:p w14:paraId="11D1A99C" w14:textId="1350E38A" w:rsidR="007621C9" w:rsidRPr="00714185" w:rsidRDefault="00BE3BA5" w:rsidP="00824A1B">
      <w:pPr>
        <w:jc w:val="both"/>
        <w:rPr>
          <w:rFonts w:cs="Arial"/>
          <w:sz w:val="20"/>
          <w:szCs w:val="20"/>
          <w:lang w:val="es-CR"/>
        </w:rPr>
      </w:pPr>
      <w:r w:rsidRPr="00714185">
        <w:rPr>
          <w:rFonts w:cs="Arial"/>
          <w:sz w:val="20"/>
          <w:szCs w:val="20"/>
          <w:lang w:val="es-CR"/>
        </w:rPr>
        <w:t>Como antecedente se puede citar el acuerdo N° 3 de la sesión 91-2001 del 19 de diciembre del año 2001, mediante el cual la Junta Directiva acordó aumentar el salario para el cargo de Gerente General.</w:t>
      </w:r>
    </w:p>
    <w:p w14:paraId="171254B4" w14:textId="77777777" w:rsidR="00BE3BA5" w:rsidRPr="00714185" w:rsidRDefault="00BE3BA5" w:rsidP="00824A1B">
      <w:pPr>
        <w:jc w:val="both"/>
        <w:rPr>
          <w:rFonts w:cs="Arial"/>
          <w:sz w:val="20"/>
          <w:szCs w:val="20"/>
          <w:lang w:val="es-CR"/>
        </w:rPr>
      </w:pPr>
    </w:p>
    <w:p w14:paraId="14C8AD08" w14:textId="31C035E1" w:rsidR="00BE3BA5" w:rsidRPr="00714185" w:rsidRDefault="00BE3BA5" w:rsidP="00824A1B">
      <w:pPr>
        <w:jc w:val="both"/>
        <w:rPr>
          <w:rFonts w:cs="Arial"/>
          <w:sz w:val="20"/>
          <w:szCs w:val="20"/>
          <w:lang w:val="es-CR"/>
        </w:rPr>
      </w:pPr>
      <w:r w:rsidRPr="00714185">
        <w:rPr>
          <w:rFonts w:cs="Arial"/>
          <w:sz w:val="20"/>
          <w:szCs w:val="20"/>
          <w:lang w:val="es-CR"/>
        </w:rPr>
        <w:t>En esa oportunidad consideró nuestra Junta la importancia de una adecuada remuneración para los puestos de más alto nivel a los que les corresponden las más altas responsabilidades. Estimó además que la estructura salarial de salario base más anualidades, corresponde a la estructura típica del sector público, lo que limita o afecta la compensación cuando se busca postulantes con el más alto perfil, independientemente del sector en el que ha forjado su carrera y adquirido su experiencia. Por estos motivos en esa oportunidad se eliminó de la estructura del salario del Gerente General, el pago de anualidades.</w:t>
      </w:r>
    </w:p>
    <w:p w14:paraId="0A3913ED" w14:textId="4ABE1E20" w:rsidR="00BE3BA5" w:rsidRPr="00714185" w:rsidRDefault="00BE3BA5" w:rsidP="00824A1B">
      <w:pPr>
        <w:jc w:val="both"/>
        <w:rPr>
          <w:rFonts w:cs="Arial"/>
          <w:sz w:val="20"/>
          <w:szCs w:val="20"/>
          <w:lang w:val="es-CR"/>
        </w:rPr>
      </w:pPr>
    </w:p>
    <w:p w14:paraId="3F4063D3" w14:textId="35DFBD26" w:rsidR="00BE3BA5" w:rsidRPr="00714185" w:rsidRDefault="00BE3BA5" w:rsidP="00824A1B">
      <w:pPr>
        <w:jc w:val="both"/>
        <w:rPr>
          <w:rFonts w:cs="Arial"/>
          <w:sz w:val="20"/>
          <w:szCs w:val="20"/>
          <w:lang w:val="es-CR"/>
        </w:rPr>
      </w:pPr>
      <w:r w:rsidRPr="00714185">
        <w:rPr>
          <w:rFonts w:cs="Arial"/>
          <w:sz w:val="20"/>
          <w:szCs w:val="20"/>
          <w:lang w:val="es-CR"/>
        </w:rPr>
        <w:t xml:space="preserve">Se estableció así, desde el año 2001, una diferencia en la estructura salarial de los funcionarios de la alta Gerencia de este Banco, manteniéndose el pago de anualidades para los subgerentes y eliminándose para el Gerente General. </w:t>
      </w:r>
    </w:p>
    <w:p w14:paraId="63682E6C" w14:textId="77777777" w:rsidR="00BE3BA5" w:rsidRPr="00714185" w:rsidRDefault="00BE3BA5" w:rsidP="00824A1B">
      <w:pPr>
        <w:jc w:val="both"/>
        <w:rPr>
          <w:rFonts w:cs="Arial"/>
          <w:sz w:val="20"/>
          <w:szCs w:val="20"/>
          <w:lang w:val="es-CR"/>
        </w:rPr>
      </w:pPr>
    </w:p>
    <w:p w14:paraId="2442671A" w14:textId="10CA5E81" w:rsidR="00BE3BA5" w:rsidRPr="00714185" w:rsidRDefault="00BE3BA5" w:rsidP="00824A1B">
      <w:pPr>
        <w:jc w:val="both"/>
        <w:rPr>
          <w:rFonts w:cs="Arial"/>
          <w:sz w:val="20"/>
          <w:szCs w:val="20"/>
          <w:lang w:val="es-CR"/>
        </w:rPr>
      </w:pPr>
      <w:r w:rsidRPr="00714185">
        <w:rPr>
          <w:rFonts w:cs="Arial"/>
          <w:sz w:val="20"/>
          <w:szCs w:val="20"/>
          <w:lang w:val="es-CR"/>
        </w:rPr>
        <w:t>Es criterio de esta Dirección que el ajustar el salario de las dos subgerencias, partiendo de los mismos argumentos considerados por la Junta Directiva, vendría a dar uniformidad a la forma en la que se remunera a los funcionarios del más alto nivel de nuestro Banco.</w:t>
      </w:r>
    </w:p>
    <w:p w14:paraId="3E9829FE" w14:textId="77777777" w:rsidR="00BE3BA5" w:rsidRPr="00714185" w:rsidRDefault="00BE3BA5" w:rsidP="00824A1B">
      <w:pPr>
        <w:jc w:val="both"/>
        <w:rPr>
          <w:rFonts w:cs="Arial"/>
          <w:sz w:val="20"/>
          <w:szCs w:val="20"/>
          <w:lang w:val="es-CR"/>
        </w:rPr>
      </w:pPr>
    </w:p>
    <w:p w14:paraId="2F840104" w14:textId="77777777" w:rsidR="00BE3BA5" w:rsidRPr="00714185" w:rsidRDefault="00BE3BA5" w:rsidP="00824A1B">
      <w:pPr>
        <w:jc w:val="both"/>
        <w:rPr>
          <w:rFonts w:cs="Arial"/>
          <w:sz w:val="20"/>
          <w:szCs w:val="20"/>
          <w:lang w:val="es-CR"/>
        </w:rPr>
      </w:pPr>
      <w:r w:rsidRPr="00714185">
        <w:rPr>
          <w:rFonts w:cs="Arial"/>
          <w:sz w:val="20"/>
          <w:szCs w:val="20"/>
          <w:lang w:val="es-CR"/>
        </w:rPr>
        <w:t>Lo propuesto no riñe con la política salarial vigente, por el contrario, se ajusta a lo establecido, dejando libertad a la Junta para definir y ajustar el salario para estos puestos.</w:t>
      </w:r>
    </w:p>
    <w:p w14:paraId="227A14EF" w14:textId="13293932" w:rsidR="00BE3BA5" w:rsidRPr="00714185" w:rsidRDefault="00BE3BA5" w:rsidP="00824A1B">
      <w:pPr>
        <w:jc w:val="both"/>
        <w:rPr>
          <w:rFonts w:cs="Arial"/>
          <w:sz w:val="20"/>
          <w:szCs w:val="20"/>
          <w:lang w:val="es-CR"/>
        </w:rPr>
      </w:pPr>
      <w:r w:rsidRPr="00714185">
        <w:rPr>
          <w:rFonts w:cs="Arial"/>
          <w:sz w:val="20"/>
          <w:szCs w:val="20"/>
          <w:lang w:val="es-CR"/>
        </w:rPr>
        <w:t xml:space="preserve"> </w:t>
      </w:r>
    </w:p>
    <w:p w14:paraId="4081C90D" w14:textId="1F7C2C87" w:rsidR="00BE3BA5" w:rsidRPr="00714185" w:rsidRDefault="00BE3BA5" w:rsidP="00824A1B">
      <w:pPr>
        <w:jc w:val="both"/>
        <w:rPr>
          <w:rFonts w:cs="Arial"/>
          <w:sz w:val="20"/>
          <w:szCs w:val="20"/>
          <w:lang w:val="es-CR"/>
        </w:rPr>
      </w:pPr>
      <w:r w:rsidRPr="00714185">
        <w:rPr>
          <w:rFonts w:cs="Arial"/>
          <w:sz w:val="20"/>
          <w:szCs w:val="20"/>
          <w:lang w:val="es-CR"/>
        </w:rPr>
        <w:t>Como bien lo consideró la Junta en el año 2001, el mantener el esquema actual de salario base más anualidades, puede restar competitividad al salario ofrecido para estas posiciones cuando los candidatos vienen del sector privado, lo que representa un riesgo importante al momento de concursar estas posiciones.</w:t>
      </w:r>
    </w:p>
    <w:p w14:paraId="79C4EF9C" w14:textId="77777777" w:rsidR="00BE3BA5" w:rsidRPr="00714185" w:rsidRDefault="00BE3BA5" w:rsidP="00824A1B">
      <w:pPr>
        <w:jc w:val="both"/>
        <w:rPr>
          <w:rFonts w:cs="Arial"/>
          <w:sz w:val="20"/>
          <w:szCs w:val="20"/>
          <w:lang w:val="es-CR"/>
        </w:rPr>
      </w:pPr>
    </w:p>
    <w:p w14:paraId="7A967FD9" w14:textId="12D1EF9B" w:rsidR="00BE3BA5" w:rsidRPr="00714185" w:rsidRDefault="00BE3BA5" w:rsidP="00824A1B">
      <w:pPr>
        <w:jc w:val="both"/>
        <w:rPr>
          <w:rFonts w:cs="Arial"/>
          <w:sz w:val="20"/>
          <w:szCs w:val="20"/>
          <w:lang w:val="es-CR"/>
        </w:rPr>
      </w:pPr>
      <w:r w:rsidRPr="00714185">
        <w:rPr>
          <w:rFonts w:cs="Arial"/>
          <w:sz w:val="20"/>
          <w:szCs w:val="20"/>
          <w:lang w:val="es-CR"/>
        </w:rPr>
        <w:t>Adicionalmente, forma parte del salario de las subgerencias el pago de la prohibición, la cual, de conformidad con lo establecido por la ley para el Fortalecimiento de las Finanzas Públicas, será de un 65% sobre el salario base, en caso de que el candidato venga de un puesto en la administración pública en la que se le reconozca ese porcentaje por prohibición, siempre que haya continuidad en servicio público (es decir que no se interrumpa la relación laboral con el Estado) y no haya recibido de parte de esa entidad pago por cesantía. Caso contrario, el porcentaje que le corresponderá es de un 30% sobre el salario base, lo que también podría restar competitividad al salario ofrecido por nuestra institución para esos puestos.</w:t>
      </w:r>
      <w:r w:rsidR="00431FFC" w:rsidRPr="00714185">
        <w:rPr>
          <w:rFonts w:cs="Arial"/>
          <w:sz w:val="20"/>
          <w:szCs w:val="20"/>
          <w:lang w:val="es-CR"/>
        </w:rPr>
        <w:t>(…)”</w:t>
      </w:r>
    </w:p>
    <w:p w14:paraId="4DDB6E9D" w14:textId="762F6050" w:rsidR="007621C9" w:rsidRDefault="007621C9" w:rsidP="002B71CC">
      <w:pPr>
        <w:spacing w:line="360" w:lineRule="auto"/>
        <w:jc w:val="both"/>
        <w:rPr>
          <w:rFonts w:cs="Arial"/>
          <w:sz w:val="22"/>
          <w:szCs w:val="22"/>
        </w:rPr>
      </w:pPr>
    </w:p>
    <w:p w14:paraId="40C815E5" w14:textId="1647B8D2" w:rsidR="00932DF5" w:rsidRDefault="007621C9" w:rsidP="00CF1654">
      <w:pPr>
        <w:spacing w:line="360" w:lineRule="auto"/>
        <w:jc w:val="both"/>
        <w:rPr>
          <w:rFonts w:cs="Arial"/>
          <w:sz w:val="22"/>
          <w:szCs w:val="22"/>
          <w:lang w:val="es-CR"/>
        </w:rPr>
      </w:pPr>
      <w:r w:rsidRPr="00CF1654">
        <w:rPr>
          <w:rFonts w:cs="Arial"/>
          <w:b/>
          <w:bCs/>
          <w:sz w:val="22"/>
          <w:szCs w:val="22"/>
        </w:rPr>
        <w:t>Segundo:</w:t>
      </w:r>
      <w:r w:rsidRPr="00CF1654">
        <w:rPr>
          <w:rFonts w:cs="Arial"/>
          <w:sz w:val="22"/>
          <w:szCs w:val="22"/>
        </w:rPr>
        <w:t xml:space="preserve"> Que </w:t>
      </w:r>
      <w:r w:rsidR="00C154CF">
        <w:rPr>
          <w:rFonts w:cs="Arial"/>
          <w:sz w:val="22"/>
          <w:szCs w:val="22"/>
          <w:lang w:val="es-CR"/>
        </w:rPr>
        <w:t xml:space="preserve">la </w:t>
      </w:r>
      <w:r w:rsidR="00C154CF" w:rsidRPr="00C154CF">
        <w:rPr>
          <w:rFonts w:cs="Arial"/>
          <w:sz w:val="22"/>
          <w:szCs w:val="22"/>
          <w:lang w:val="es-ES_tradnl"/>
        </w:rPr>
        <w:t xml:space="preserve">Gerencia </w:t>
      </w:r>
      <w:r w:rsidR="00C154CF">
        <w:rPr>
          <w:rFonts w:cs="Arial"/>
          <w:sz w:val="22"/>
          <w:szCs w:val="22"/>
          <w:lang w:val="es-ES_tradnl"/>
        </w:rPr>
        <w:t xml:space="preserve">General ha propuesto modificar </w:t>
      </w:r>
      <w:r w:rsidR="00714185" w:rsidRPr="00714185">
        <w:rPr>
          <w:rFonts w:cs="Arial"/>
          <w:sz w:val="22"/>
          <w:szCs w:val="22"/>
          <w:lang w:val="es-CR"/>
        </w:rPr>
        <w:t xml:space="preserve">la forma de remuneración salarial </w:t>
      </w:r>
      <w:r w:rsidR="00932DF5">
        <w:rPr>
          <w:rFonts w:cs="Arial"/>
          <w:sz w:val="22"/>
          <w:szCs w:val="22"/>
          <w:lang w:val="es-CR"/>
        </w:rPr>
        <w:t xml:space="preserve">para los subgerentes del Banco, </w:t>
      </w:r>
      <w:r w:rsidR="00F4480B">
        <w:rPr>
          <w:rFonts w:cs="Arial"/>
          <w:sz w:val="22"/>
          <w:szCs w:val="22"/>
          <w:lang w:val="es-CR"/>
        </w:rPr>
        <w:t xml:space="preserve">de forma tal que </w:t>
      </w:r>
      <w:r w:rsidR="00714185" w:rsidRPr="00714185">
        <w:rPr>
          <w:rFonts w:cs="Arial"/>
          <w:sz w:val="22"/>
          <w:szCs w:val="22"/>
          <w:lang w:val="es-CR"/>
        </w:rPr>
        <w:t xml:space="preserve">quede compuesto </w:t>
      </w:r>
      <w:r w:rsidR="007D1844">
        <w:rPr>
          <w:rFonts w:cs="Arial"/>
          <w:sz w:val="22"/>
          <w:szCs w:val="22"/>
          <w:lang w:val="es-CR"/>
        </w:rPr>
        <w:t xml:space="preserve">únicamente </w:t>
      </w:r>
      <w:r w:rsidR="00714185" w:rsidRPr="00714185">
        <w:rPr>
          <w:rFonts w:cs="Arial"/>
          <w:sz w:val="22"/>
          <w:szCs w:val="22"/>
          <w:lang w:val="es-CR"/>
        </w:rPr>
        <w:t xml:space="preserve">por </w:t>
      </w:r>
      <w:r w:rsidR="007D1844">
        <w:rPr>
          <w:rFonts w:cs="Arial"/>
          <w:sz w:val="22"/>
          <w:szCs w:val="22"/>
          <w:lang w:val="es-CR"/>
        </w:rPr>
        <w:t xml:space="preserve">un </w:t>
      </w:r>
      <w:r w:rsidR="00714185" w:rsidRPr="00714185">
        <w:rPr>
          <w:rFonts w:cs="Arial"/>
          <w:sz w:val="22"/>
          <w:szCs w:val="22"/>
          <w:lang w:val="es-CR"/>
        </w:rPr>
        <w:t xml:space="preserve">salario base </w:t>
      </w:r>
      <w:r w:rsidR="007D1844">
        <w:rPr>
          <w:rFonts w:cs="Arial"/>
          <w:sz w:val="22"/>
          <w:szCs w:val="22"/>
          <w:lang w:val="es-CR"/>
        </w:rPr>
        <w:t xml:space="preserve">de ¢2.700.000,00 </w:t>
      </w:r>
      <w:r w:rsidR="00714185" w:rsidRPr="00714185">
        <w:rPr>
          <w:rFonts w:cs="Arial"/>
          <w:sz w:val="22"/>
          <w:szCs w:val="22"/>
          <w:lang w:val="es-CR"/>
        </w:rPr>
        <w:t xml:space="preserve">y el reconocimiento de </w:t>
      </w:r>
      <w:r w:rsidR="007D1844">
        <w:rPr>
          <w:rFonts w:cs="Arial"/>
          <w:sz w:val="22"/>
          <w:szCs w:val="22"/>
          <w:lang w:val="es-CR"/>
        </w:rPr>
        <w:t xml:space="preserve">un 30% de </w:t>
      </w:r>
      <w:r w:rsidR="00714185" w:rsidRPr="00714185">
        <w:rPr>
          <w:rFonts w:cs="Arial"/>
          <w:sz w:val="22"/>
          <w:szCs w:val="22"/>
          <w:lang w:val="es-CR"/>
        </w:rPr>
        <w:t>prohibición</w:t>
      </w:r>
      <w:r w:rsidR="007D1844">
        <w:rPr>
          <w:rFonts w:cs="Arial"/>
          <w:sz w:val="22"/>
          <w:szCs w:val="22"/>
          <w:lang w:val="es-CR"/>
        </w:rPr>
        <w:t>, esto es, ¢810.000,00</w:t>
      </w:r>
      <w:r w:rsidR="00714185" w:rsidRPr="00714185">
        <w:rPr>
          <w:rFonts w:cs="Arial"/>
          <w:sz w:val="22"/>
          <w:szCs w:val="22"/>
          <w:lang w:val="es-CR"/>
        </w:rPr>
        <w:t xml:space="preserve">, sin </w:t>
      </w:r>
      <w:r w:rsidR="007D1844">
        <w:rPr>
          <w:rFonts w:cs="Arial"/>
          <w:sz w:val="22"/>
          <w:szCs w:val="22"/>
          <w:lang w:val="es-CR"/>
        </w:rPr>
        <w:t xml:space="preserve">el </w:t>
      </w:r>
      <w:r w:rsidR="00714185" w:rsidRPr="00714185">
        <w:rPr>
          <w:rFonts w:cs="Arial"/>
          <w:sz w:val="22"/>
          <w:szCs w:val="22"/>
          <w:lang w:val="es-CR"/>
        </w:rPr>
        <w:t>reconocimiento de anualidades</w:t>
      </w:r>
      <w:r w:rsidR="00F4480B">
        <w:rPr>
          <w:rFonts w:cs="Arial"/>
          <w:sz w:val="22"/>
          <w:szCs w:val="22"/>
          <w:lang w:val="es-CR"/>
        </w:rPr>
        <w:t xml:space="preserve">.  Lo anterior, valorando, </w:t>
      </w:r>
      <w:r w:rsidR="007D1844">
        <w:rPr>
          <w:rFonts w:cs="Arial"/>
          <w:sz w:val="22"/>
          <w:szCs w:val="22"/>
          <w:lang w:val="es-CR"/>
        </w:rPr>
        <w:t xml:space="preserve">en consonancia con </w:t>
      </w:r>
      <w:r w:rsidR="00FE5454">
        <w:rPr>
          <w:rFonts w:cs="Arial"/>
          <w:sz w:val="22"/>
          <w:szCs w:val="22"/>
          <w:lang w:val="es-CR"/>
        </w:rPr>
        <w:t xml:space="preserve">lo analizado por la Dirección Administrativa, </w:t>
      </w:r>
      <w:r w:rsidR="00F4480B">
        <w:rPr>
          <w:rFonts w:cs="Arial"/>
          <w:sz w:val="22"/>
          <w:szCs w:val="22"/>
          <w:lang w:val="es-CR"/>
        </w:rPr>
        <w:t>lo siguiente:</w:t>
      </w:r>
      <w:r w:rsidR="00FE5454">
        <w:rPr>
          <w:rFonts w:cs="Arial"/>
          <w:sz w:val="22"/>
          <w:szCs w:val="22"/>
          <w:lang w:val="es-CR"/>
        </w:rPr>
        <w:t xml:space="preserve">  </w:t>
      </w:r>
    </w:p>
    <w:p w14:paraId="388E685A" w14:textId="5B1C51FF" w:rsidR="00FE5454" w:rsidRDefault="00FE5454" w:rsidP="00FE5454">
      <w:pPr>
        <w:spacing w:line="360" w:lineRule="auto"/>
        <w:jc w:val="both"/>
        <w:rPr>
          <w:rFonts w:cs="Arial"/>
          <w:sz w:val="22"/>
          <w:szCs w:val="22"/>
          <w:lang w:val="es-CR"/>
        </w:rPr>
      </w:pPr>
      <w:r>
        <w:rPr>
          <w:rFonts w:cs="Arial"/>
          <w:sz w:val="22"/>
          <w:szCs w:val="22"/>
          <w:lang w:val="es-CR"/>
        </w:rPr>
        <w:t>a) La</w:t>
      </w:r>
      <w:r w:rsidRPr="00FE5454">
        <w:rPr>
          <w:rFonts w:cs="Arial"/>
          <w:sz w:val="22"/>
          <w:szCs w:val="22"/>
          <w:lang w:val="es-CR"/>
        </w:rPr>
        <w:t xml:space="preserve"> estructura salarial de salario base más anualidades, corresponde a la estructura típica del sector público, lo que limita o afecta la compensación cuando se busca</w:t>
      </w:r>
      <w:r>
        <w:rPr>
          <w:rFonts w:cs="Arial"/>
          <w:sz w:val="22"/>
          <w:szCs w:val="22"/>
          <w:lang w:val="es-CR"/>
        </w:rPr>
        <w:t>n</w:t>
      </w:r>
      <w:r w:rsidRPr="00FE5454">
        <w:rPr>
          <w:rFonts w:cs="Arial"/>
          <w:sz w:val="22"/>
          <w:szCs w:val="22"/>
          <w:lang w:val="es-CR"/>
        </w:rPr>
        <w:t xml:space="preserve"> postulantes con el más alto perfil, independientemente del sector en el que ha forjado su carrera y adquirido su experiencia.</w:t>
      </w:r>
    </w:p>
    <w:p w14:paraId="17E8539D" w14:textId="04A63569" w:rsidR="00FE5454" w:rsidRDefault="00FE5454" w:rsidP="00FE5454">
      <w:pPr>
        <w:spacing w:line="360" w:lineRule="auto"/>
        <w:jc w:val="both"/>
        <w:rPr>
          <w:rFonts w:cs="Arial"/>
          <w:sz w:val="22"/>
          <w:szCs w:val="22"/>
          <w:lang w:val="es-CR"/>
        </w:rPr>
      </w:pPr>
      <w:r>
        <w:rPr>
          <w:rFonts w:cs="Arial"/>
          <w:sz w:val="22"/>
          <w:szCs w:val="22"/>
          <w:lang w:val="es-CR"/>
        </w:rPr>
        <w:t xml:space="preserve">b) Ajustar </w:t>
      </w:r>
      <w:r w:rsidRPr="00FE5454">
        <w:rPr>
          <w:rFonts w:cs="Arial"/>
          <w:sz w:val="22"/>
          <w:szCs w:val="22"/>
          <w:lang w:val="es-CR"/>
        </w:rPr>
        <w:t>el salario de las dos subgerencias, partiendo de los mismos argumentos considerados por la Junta Directiva</w:t>
      </w:r>
      <w:r>
        <w:rPr>
          <w:rFonts w:cs="Arial"/>
          <w:sz w:val="22"/>
          <w:szCs w:val="22"/>
          <w:lang w:val="es-CR"/>
        </w:rPr>
        <w:t xml:space="preserve"> en el acuerdo </w:t>
      </w:r>
      <w:r w:rsidRPr="00FE5454">
        <w:rPr>
          <w:rFonts w:cs="Arial"/>
          <w:sz w:val="22"/>
          <w:szCs w:val="22"/>
          <w:lang w:val="es-CR"/>
        </w:rPr>
        <w:t xml:space="preserve">N° 3 de la sesión 91-2001, vendría a dar </w:t>
      </w:r>
      <w:r>
        <w:rPr>
          <w:rFonts w:cs="Arial"/>
          <w:sz w:val="22"/>
          <w:szCs w:val="22"/>
          <w:lang w:val="es-CR"/>
        </w:rPr>
        <w:t xml:space="preserve">igualdad </w:t>
      </w:r>
      <w:r w:rsidRPr="00FE5454">
        <w:rPr>
          <w:rFonts w:cs="Arial"/>
          <w:sz w:val="22"/>
          <w:szCs w:val="22"/>
          <w:lang w:val="es-CR"/>
        </w:rPr>
        <w:t>a la forma en la que se remunera a los funcionarios del más alto nivel de</w:t>
      </w:r>
      <w:r>
        <w:rPr>
          <w:rFonts w:cs="Arial"/>
          <w:sz w:val="22"/>
          <w:szCs w:val="22"/>
          <w:lang w:val="es-CR"/>
        </w:rPr>
        <w:t xml:space="preserve"> la institución.</w:t>
      </w:r>
    </w:p>
    <w:p w14:paraId="733166A6" w14:textId="580156CB" w:rsidR="00F4480B" w:rsidRDefault="00FE5454" w:rsidP="00CF1654">
      <w:pPr>
        <w:spacing w:line="360" w:lineRule="auto"/>
        <w:jc w:val="both"/>
        <w:rPr>
          <w:rFonts w:cs="Arial"/>
          <w:sz w:val="22"/>
          <w:szCs w:val="22"/>
          <w:lang w:val="es-CR"/>
        </w:rPr>
      </w:pPr>
      <w:r>
        <w:rPr>
          <w:rFonts w:cs="Arial"/>
          <w:sz w:val="22"/>
          <w:szCs w:val="22"/>
          <w:lang w:val="es-CR"/>
        </w:rPr>
        <w:lastRenderedPageBreak/>
        <w:t xml:space="preserve">c) </w:t>
      </w:r>
      <w:r w:rsidRPr="00FE5454">
        <w:rPr>
          <w:rFonts w:cs="Arial"/>
          <w:sz w:val="22"/>
          <w:szCs w:val="22"/>
          <w:lang w:val="es-CR"/>
        </w:rPr>
        <w:t xml:space="preserve">Lo propuesto </w:t>
      </w:r>
      <w:r w:rsidR="000F45BB">
        <w:rPr>
          <w:rFonts w:cs="Arial"/>
          <w:sz w:val="22"/>
          <w:szCs w:val="22"/>
          <w:lang w:val="es-CR"/>
        </w:rPr>
        <w:t xml:space="preserve">se ajusta a lo establecido en </w:t>
      </w:r>
      <w:r w:rsidRPr="00FE5454">
        <w:rPr>
          <w:rFonts w:cs="Arial"/>
          <w:sz w:val="22"/>
          <w:szCs w:val="22"/>
          <w:lang w:val="es-CR"/>
        </w:rPr>
        <w:t>la política salarial vigente</w:t>
      </w:r>
      <w:r w:rsidR="000F45BB">
        <w:rPr>
          <w:rFonts w:cs="Arial"/>
          <w:sz w:val="22"/>
          <w:szCs w:val="22"/>
          <w:lang w:val="es-CR"/>
        </w:rPr>
        <w:t xml:space="preserve">, </w:t>
      </w:r>
      <w:r w:rsidRPr="00FE5454">
        <w:rPr>
          <w:rFonts w:cs="Arial"/>
          <w:sz w:val="22"/>
          <w:szCs w:val="22"/>
          <w:lang w:val="es-CR"/>
        </w:rPr>
        <w:t xml:space="preserve">dejando libertad a la Junta </w:t>
      </w:r>
      <w:r w:rsidR="000F45BB">
        <w:rPr>
          <w:rFonts w:cs="Arial"/>
          <w:sz w:val="22"/>
          <w:szCs w:val="22"/>
          <w:lang w:val="es-CR"/>
        </w:rPr>
        <w:t xml:space="preserve">Directiva </w:t>
      </w:r>
      <w:r w:rsidRPr="00FE5454">
        <w:rPr>
          <w:rFonts w:cs="Arial"/>
          <w:sz w:val="22"/>
          <w:szCs w:val="22"/>
          <w:lang w:val="es-CR"/>
        </w:rPr>
        <w:t>para definir y ajustar el salario para estos puestos</w:t>
      </w:r>
      <w:r w:rsidR="000F45BB">
        <w:rPr>
          <w:rFonts w:cs="Arial"/>
          <w:sz w:val="22"/>
          <w:szCs w:val="22"/>
          <w:lang w:val="es-CR"/>
        </w:rPr>
        <w:t>.</w:t>
      </w:r>
    </w:p>
    <w:p w14:paraId="1A484DD7" w14:textId="4C275B20" w:rsidR="00F4480B" w:rsidRDefault="000F45BB" w:rsidP="00CF1654">
      <w:pPr>
        <w:spacing w:line="360" w:lineRule="auto"/>
        <w:jc w:val="both"/>
        <w:rPr>
          <w:rFonts w:cs="Arial"/>
          <w:sz w:val="22"/>
          <w:szCs w:val="22"/>
          <w:lang w:val="es-CR"/>
        </w:rPr>
      </w:pPr>
      <w:r>
        <w:rPr>
          <w:rFonts w:cs="Arial"/>
          <w:sz w:val="22"/>
          <w:szCs w:val="22"/>
          <w:lang w:val="es-CR"/>
        </w:rPr>
        <w:t>d) Mantener</w:t>
      </w:r>
      <w:r w:rsidR="00FE5454" w:rsidRPr="00FE5454">
        <w:rPr>
          <w:rFonts w:cs="Arial"/>
          <w:sz w:val="22"/>
          <w:szCs w:val="22"/>
          <w:lang w:val="es-CR"/>
        </w:rPr>
        <w:t xml:space="preserve"> el esquema actual de salario base más anualidades, puede restar competitividad al salario ofrecido para estas posiciones</w:t>
      </w:r>
      <w:r>
        <w:rPr>
          <w:rFonts w:cs="Arial"/>
          <w:sz w:val="22"/>
          <w:szCs w:val="22"/>
          <w:lang w:val="es-CR"/>
        </w:rPr>
        <w:t>,</w:t>
      </w:r>
      <w:r w:rsidR="00FE5454" w:rsidRPr="00FE5454">
        <w:rPr>
          <w:rFonts w:cs="Arial"/>
          <w:sz w:val="22"/>
          <w:szCs w:val="22"/>
          <w:lang w:val="es-CR"/>
        </w:rPr>
        <w:t xml:space="preserve"> cuando los candidatos vienen del sector privado, lo que representa un riesgo importante al momento de concursar estas posiciones</w:t>
      </w:r>
      <w:r>
        <w:rPr>
          <w:rFonts w:cs="Arial"/>
          <w:sz w:val="22"/>
          <w:szCs w:val="22"/>
          <w:lang w:val="es-CR"/>
        </w:rPr>
        <w:t>.</w:t>
      </w:r>
    </w:p>
    <w:p w14:paraId="6B8305DF" w14:textId="507BB26A" w:rsidR="00F4480B" w:rsidRDefault="000F45BB" w:rsidP="00CF1654">
      <w:pPr>
        <w:spacing w:line="360" w:lineRule="auto"/>
        <w:jc w:val="both"/>
        <w:rPr>
          <w:rFonts w:cs="Arial"/>
          <w:sz w:val="22"/>
          <w:szCs w:val="22"/>
          <w:lang w:val="es-CR"/>
        </w:rPr>
      </w:pPr>
      <w:r>
        <w:rPr>
          <w:rFonts w:cs="Arial"/>
          <w:sz w:val="22"/>
          <w:szCs w:val="22"/>
          <w:lang w:val="es-CR"/>
        </w:rPr>
        <w:t xml:space="preserve">e) Actualmente el pago de la prohibición </w:t>
      </w:r>
      <w:r w:rsidR="00FE5454" w:rsidRPr="00FE5454">
        <w:rPr>
          <w:rFonts w:cs="Arial"/>
          <w:sz w:val="22"/>
          <w:szCs w:val="22"/>
          <w:lang w:val="es-CR"/>
        </w:rPr>
        <w:t>forma parte del salario de l</w:t>
      </w:r>
      <w:r>
        <w:rPr>
          <w:rFonts w:cs="Arial"/>
          <w:sz w:val="22"/>
          <w:szCs w:val="22"/>
          <w:lang w:val="es-CR"/>
        </w:rPr>
        <w:t>os subgerentes</w:t>
      </w:r>
      <w:r w:rsidR="00FE5454" w:rsidRPr="00FE5454">
        <w:rPr>
          <w:rFonts w:cs="Arial"/>
          <w:sz w:val="22"/>
          <w:szCs w:val="22"/>
          <w:lang w:val="es-CR"/>
        </w:rPr>
        <w:t xml:space="preserve"> </w:t>
      </w:r>
      <w:r>
        <w:rPr>
          <w:rFonts w:cs="Arial"/>
          <w:sz w:val="22"/>
          <w:szCs w:val="22"/>
          <w:lang w:val="es-CR"/>
        </w:rPr>
        <w:t>y,</w:t>
      </w:r>
      <w:r w:rsidR="00FE5454" w:rsidRPr="00FE5454">
        <w:rPr>
          <w:rFonts w:cs="Arial"/>
          <w:sz w:val="22"/>
          <w:szCs w:val="22"/>
          <w:lang w:val="es-CR"/>
        </w:rPr>
        <w:t xml:space="preserve"> de conformidad con </w:t>
      </w:r>
      <w:r>
        <w:rPr>
          <w:rFonts w:cs="Arial"/>
          <w:sz w:val="22"/>
          <w:szCs w:val="22"/>
          <w:lang w:val="es-CR"/>
        </w:rPr>
        <w:t>la L</w:t>
      </w:r>
      <w:r w:rsidR="00FE5454" w:rsidRPr="00FE5454">
        <w:rPr>
          <w:rFonts w:cs="Arial"/>
          <w:sz w:val="22"/>
          <w:szCs w:val="22"/>
          <w:lang w:val="es-CR"/>
        </w:rPr>
        <w:t xml:space="preserve">ey </w:t>
      </w:r>
      <w:r>
        <w:rPr>
          <w:rFonts w:cs="Arial"/>
          <w:sz w:val="22"/>
          <w:szCs w:val="22"/>
          <w:lang w:val="es-CR"/>
        </w:rPr>
        <w:t>9635</w:t>
      </w:r>
      <w:r w:rsidR="00FE5454" w:rsidRPr="00FE5454">
        <w:rPr>
          <w:rFonts w:cs="Arial"/>
          <w:sz w:val="22"/>
          <w:szCs w:val="22"/>
          <w:lang w:val="es-CR"/>
        </w:rPr>
        <w:t xml:space="preserve">, </w:t>
      </w:r>
      <w:r>
        <w:rPr>
          <w:rFonts w:cs="Arial"/>
          <w:sz w:val="22"/>
          <w:szCs w:val="22"/>
          <w:lang w:val="es-CR"/>
        </w:rPr>
        <w:t xml:space="preserve">este pago deberá ser </w:t>
      </w:r>
      <w:r w:rsidR="00FE5454" w:rsidRPr="00FE5454">
        <w:rPr>
          <w:rFonts w:cs="Arial"/>
          <w:sz w:val="22"/>
          <w:szCs w:val="22"/>
          <w:lang w:val="es-CR"/>
        </w:rPr>
        <w:t xml:space="preserve">de un 65% </w:t>
      </w:r>
      <w:r>
        <w:rPr>
          <w:rFonts w:cs="Arial"/>
          <w:sz w:val="22"/>
          <w:szCs w:val="22"/>
          <w:lang w:val="es-CR"/>
        </w:rPr>
        <w:t xml:space="preserve">o de un 30% </w:t>
      </w:r>
      <w:r w:rsidRPr="00FE5454">
        <w:rPr>
          <w:rFonts w:cs="Arial"/>
          <w:sz w:val="22"/>
          <w:szCs w:val="22"/>
          <w:lang w:val="es-CR"/>
        </w:rPr>
        <w:t>sobre el salario base</w:t>
      </w:r>
      <w:r>
        <w:rPr>
          <w:rFonts w:cs="Arial"/>
          <w:sz w:val="22"/>
          <w:szCs w:val="22"/>
          <w:lang w:val="es-CR"/>
        </w:rPr>
        <w:t xml:space="preserve">, según las condiciones que establece esa norma, </w:t>
      </w:r>
      <w:r w:rsidR="00FE5454" w:rsidRPr="00FE5454">
        <w:rPr>
          <w:rFonts w:cs="Arial"/>
          <w:sz w:val="22"/>
          <w:szCs w:val="22"/>
          <w:lang w:val="es-CR"/>
        </w:rPr>
        <w:t>lo que también podría restar competitividad al salario ofrecido por nuestra institución para esos puestos</w:t>
      </w:r>
      <w:r>
        <w:rPr>
          <w:rFonts w:cs="Arial"/>
          <w:sz w:val="22"/>
          <w:szCs w:val="22"/>
          <w:lang w:val="es-CR"/>
        </w:rPr>
        <w:t>.</w:t>
      </w:r>
    </w:p>
    <w:p w14:paraId="7E0E13B4" w14:textId="78AB1DAA" w:rsidR="00BE3BA5" w:rsidRPr="00BE3BA5" w:rsidRDefault="000A220B" w:rsidP="00BE3BA5">
      <w:pPr>
        <w:spacing w:line="360" w:lineRule="auto"/>
        <w:jc w:val="both"/>
        <w:rPr>
          <w:rFonts w:cs="Arial"/>
          <w:sz w:val="22"/>
          <w:szCs w:val="22"/>
          <w:lang w:val="es-CR"/>
        </w:rPr>
      </w:pPr>
      <w:r>
        <w:rPr>
          <w:rFonts w:cs="Arial"/>
          <w:sz w:val="22"/>
          <w:szCs w:val="22"/>
          <w:lang w:val="es-CR"/>
        </w:rPr>
        <w:t xml:space="preserve">f) </w:t>
      </w:r>
      <w:r w:rsidR="00BE3BA5" w:rsidRPr="00BE3BA5">
        <w:rPr>
          <w:rFonts w:cs="Arial"/>
          <w:sz w:val="22"/>
          <w:szCs w:val="22"/>
          <w:lang w:val="es-CR"/>
        </w:rPr>
        <w:t xml:space="preserve">El último incremento salarial aplicado a los puestos de </w:t>
      </w:r>
      <w:r>
        <w:rPr>
          <w:rFonts w:cs="Arial"/>
          <w:sz w:val="22"/>
          <w:szCs w:val="22"/>
          <w:lang w:val="es-CR"/>
        </w:rPr>
        <w:t>s</w:t>
      </w:r>
      <w:r w:rsidR="00BE3BA5" w:rsidRPr="00BE3BA5">
        <w:rPr>
          <w:rFonts w:cs="Arial"/>
          <w:sz w:val="22"/>
          <w:szCs w:val="22"/>
          <w:lang w:val="es-CR"/>
        </w:rPr>
        <w:t>ubgerentes se realizó a partir del</w:t>
      </w:r>
      <w:r>
        <w:rPr>
          <w:rFonts w:cs="Arial"/>
          <w:sz w:val="22"/>
          <w:szCs w:val="22"/>
          <w:lang w:val="es-CR"/>
        </w:rPr>
        <w:t xml:space="preserve"> 01 de enero de 2015, </w:t>
      </w:r>
      <w:r w:rsidR="00BE3BA5" w:rsidRPr="00BE3BA5">
        <w:rPr>
          <w:rFonts w:cs="Arial"/>
          <w:sz w:val="22"/>
          <w:szCs w:val="22"/>
          <w:lang w:val="es-CR"/>
        </w:rPr>
        <w:t xml:space="preserve">quedando el salario base en </w:t>
      </w:r>
      <w:r w:rsidR="00BE3BA5" w:rsidRPr="000A220B">
        <w:rPr>
          <w:rFonts w:cs="Arial"/>
          <w:sz w:val="22"/>
          <w:szCs w:val="22"/>
          <w:lang w:val="es-CR"/>
        </w:rPr>
        <w:t>¢2.104.569,70</w:t>
      </w:r>
      <w:r w:rsidR="00BE3BA5" w:rsidRPr="00BE3BA5">
        <w:rPr>
          <w:rFonts w:cs="Arial"/>
          <w:sz w:val="22"/>
          <w:szCs w:val="22"/>
          <w:lang w:val="es-CR"/>
        </w:rPr>
        <w:t>.</w:t>
      </w:r>
      <w:r>
        <w:rPr>
          <w:rFonts w:cs="Arial"/>
          <w:sz w:val="22"/>
          <w:szCs w:val="22"/>
          <w:lang w:val="es-CR"/>
        </w:rPr>
        <w:t xml:space="preserve">  Bajo </w:t>
      </w:r>
      <w:r w:rsidR="00BE3BA5" w:rsidRPr="00BE3BA5">
        <w:rPr>
          <w:rFonts w:cs="Arial"/>
          <w:sz w:val="22"/>
          <w:szCs w:val="22"/>
          <w:lang w:val="es-CR"/>
        </w:rPr>
        <w:t xml:space="preserve">la definición actual, al salario base se </w:t>
      </w:r>
      <w:r>
        <w:rPr>
          <w:rFonts w:cs="Arial"/>
          <w:sz w:val="22"/>
          <w:szCs w:val="22"/>
          <w:lang w:val="es-CR"/>
        </w:rPr>
        <w:t xml:space="preserve">le </w:t>
      </w:r>
      <w:r w:rsidR="00BE3BA5" w:rsidRPr="00BE3BA5">
        <w:rPr>
          <w:rFonts w:cs="Arial"/>
          <w:sz w:val="22"/>
          <w:szCs w:val="22"/>
          <w:lang w:val="es-CR"/>
        </w:rPr>
        <w:t>debe adicionar el pago de prohibición y el reconocimiento de anualidades.</w:t>
      </w:r>
    </w:p>
    <w:p w14:paraId="08B34DDD" w14:textId="61BECFDB" w:rsidR="007621C9" w:rsidRDefault="007621C9" w:rsidP="002B71CC">
      <w:pPr>
        <w:spacing w:line="360" w:lineRule="auto"/>
        <w:jc w:val="both"/>
        <w:rPr>
          <w:rFonts w:cs="Arial"/>
          <w:sz w:val="22"/>
          <w:szCs w:val="22"/>
        </w:rPr>
      </w:pPr>
    </w:p>
    <w:p w14:paraId="5276A27D" w14:textId="25FEEAC5" w:rsidR="007621C9" w:rsidRDefault="007621C9" w:rsidP="002B71CC">
      <w:pPr>
        <w:spacing w:line="360" w:lineRule="auto"/>
        <w:jc w:val="both"/>
        <w:rPr>
          <w:rFonts w:cs="Arial"/>
          <w:sz w:val="22"/>
          <w:szCs w:val="22"/>
        </w:rPr>
      </w:pPr>
      <w:r w:rsidRPr="007621C9">
        <w:rPr>
          <w:rFonts w:cs="Arial"/>
          <w:b/>
          <w:bCs/>
          <w:sz w:val="22"/>
          <w:szCs w:val="22"/>
        </w:rPr>
        <w:t>Tercero:</w:t>
      </w:r>
      <w:r>
        <w:rPr>
          <w:rFonts w:cs="Arial"/>
          <w:sz w:val="22"/>
          <w:szCs w:val="22"/>
        </w:rPr>
        <w:t xml:space="preserve"> Que </w:t>
      </w:r>
      <w:r w:rsidR="000A220B">
        <w:rPr>
          <w:rFonts w:cs="Arial"/>
          <w:sz w:val="22"/>
          <w:szCs w:val="22"/>
        </w:rPr>
        <w:t xml:space="preserve">esta </w:t>
      </w:r>
      <w:r w:rsidR="000A220B" w:rsidRPr="000A220B">
        <w:rPr>
          <w:rFonts w:cs="Arial"/>
          <w:sz w:val="22"/>
          <w:szCs w:val="22"/>
          <w:lang w:val="es-ES_tradnl"/>
        </w:rPr>
        <w:t>Junta Directiva</w:t>
      </w:r>
      <w:r w:rsidR="000A220B">
        <w:rPr>
          <w:rFonts w:cs="Arial"/>
          <w:sz w:val="22"/>
          <w:szCs w:val="22"/>
          <w:lang w:val="es-ES_tradnl"/>
        </w:rPr>
        <w:t xml:space="preserve"> </w:t>
      </w:r>
      <w:r w:rsidR="00340165">
        <w:rPr>
          <w:rFonts w:cs="Arial"/>
          <w:sz w:val="22"/>
          <w:szCs w:val="22"/>
          <w:lang w:val="es-ES_tradnl"/>
        </w:rPr>
        <w:t xml:space="preserve">considera que la propuesta de la </w:t>
      </w:r>
      <w:r w:rsidR="00340165" w:rsidRPr="00340165">
        <w:rPr>
          <w:rFonts w:cs="Arial"/>
          <w:sz w:val="22"/>
          <w:szCs w:val="22"/>
          <w:lang w:val="es-ES_tradnl"/>
        </w:rPr>
        <w:t>Gerencia General</w:t>
      </w:r>
      <w:r w:rsidR="00340165">
        <w:rPr>
          <w:rFonts w:cs="Arial"/>
          <w:sz w:val="22"/>
          <w:szCs w:val="22"/>
          <w:lang w:val="es-ES_tradnl"/>
        </w:rPr>
        <w:t xml:space="preserve"> es razonable, oportuna y se ajusta a los intereses institucionales; motivos por los cuales se acoge en todos sus extremos.</w:t>
      </w:r>
    </w:p>
    <w:p w14:paraId="011004F9" w14:textId="5E9B6CD8" w:rsidR="000A220B" w:rsidRDefault="000A220B" w:rsidP="002B71CC">
      <w:pPr>
        <w:spacing w:line="360" w:lineRule="auto"/>
        <w:jc w:val="both"/>
        <w:rPr>
          <w:rFonts w:cs="Arial"/>
          <w:sz w:val="22"/>
          <w:szCs w:val="22"/>
        </w:rPr>
      </w:pPr>
    </w:p>
    <w:p w14:paraId="704CC222" w14:textId="21586E0F" w:rsidR="000A220B" w:rsidRDefault="000A220B" w:rsidP="002B71CC">
      <w:pPr>
        <w:spacing w:line="360" w:lineRule="auto"/>
        <w:jc w:val="both"/>
        <w:rPr>
          <w:rFonts w:cs="Arial"/>
          <w:sz w:val="22"/>
          <w:szCs w:val="22"/>
        </w:rPr>
      </w:pPr>
      <w:r w:rsidRPr="000A220B">
        <w:rPr>
          <w:rFonts w:cs="Arial"/>
          <w:b/>
          <w:bCs/>
          <w:sz w:val="22"/>
          <w:szCs w:val="22"/>
        </w:rPr>
        <w:t>Cuarto:</w:t>
      </w:r>
      <w:r>
        <w:rPr>
          <w:rFonts w:cs="Arial"/>
          <w:sz w:val="22"/>
          <w:szCs w:val="22"/>
        </w:rPr>
        <w:t xml:space="preserve"> Que </w:t>
      </w:r>
      <w:r w:rsidR="00340165">
        <w:rPr>
          <w:rFonts w:cs="Arial"/>
          <w:sz w:val="22"/>
          <w:szCs w:val="22"/>
        </w:rPr>
        <w:t>complementariamente</w:t>
      </w:r>
      <w:r w:rsidR="006C23C7">
        <w:rPr>
          <w:rFonts w:cs="Arial"/>
          <w:sz w:val="22"/>
          <w:szCs w:val="22"/>
        </w:rPr>
        <w:t>, dado que las plazas de Subgerente Financiero y Subgerente de Operaciones están vacantes</w:t>
      </w:r>
      <w:r w:rsidR="00340165">
        <w:rPr>
          <w:rFonts w:cs="Arial"/>
          <w:sz w:val="22"/>
          <w:szCs w:val="22"/>
        </w:rPr>
        <w:t xml:space="preserve">, </w:t>
      </w:r>
      <w:r w:rsidR="006C23C7">
        <w:rPr>
          <w:rFonts w:cs="Arial"/>
          <w:sz w:val="22"/>
          <w:szCs w:val="22"/>
        </w:rPr>
        <w:t xml:space="preserve">se ha procedido a </w:t>
      </w:r>
      <w:r w:rsidR="00873D00">
        <w:rPr>
          <w:rFonts w:cs="Arial"/>
          <w:sz w:val="22"/>
          <w:szCs w:val="22"/>
        </w:rPr>
        <w:t>efectuar</w:t>
      </w:r>
      <w:r w:rsidR="006C23C7">
        <w:rPr>
          <w:rFonts w:cs="Arial"/>
          <w:sz w:val="22"/>
          <w:szCs w:val="22"/>
        </w:rPr>
        <w:t xml:space="preserve"> un análisis</w:t>
      </w:r>
      <w:r w:rsidR="00873D00">
        <w:rPr>
          <w:rFonts w:cs="Arial"/>
          <w:sz w:val="22"/>
          <w:szCs w:val="22"/>
        </w:rPr>
        <w:t xml:space="preserve"> con el Gerente General</w:t>
      </w:r>
      <w:r w:rsidR="006C23C7">
        <w:rPr>
          <w:rFonts w:cs="Arial"/>
          <w:sz w:val="22"/>
          <w:szCs w:val="22"/>
        </w:rPr>
        <w:t>,</w:t>
      </w:r>
      <w:r w:rsidR="00873D00">
        <w:rPr>
          <w:rFonts w:cs="Arial"/>
          <w:sz w:val="22"/>
          <w:szCs w:val="22"/>
        </w:rPr>
        <w:t xml:space="preserve"> sobre el</w:t>
      </w:r>
      <w:r w:rsidR="00873D00">
        <w:rPr>
          <w:rFonts w:cs="Arial"/>
          <w:sz w:val="22"/>
          <w:szCs w:val="22"/>
          <w:lang w:val="es-ES_tradnl"/>
        </w:rPr>
        <w:t xml:space="preserve"> </w:t>
      </w:r>
      <w:r w:rsidR="00873D00" w:rsidRPr="006C23C7">
        <w:rPr>
          <w:rFonts w:cs="Arial"/>
          <w:sz w:val="22"/>
          <w:szCs w:val="22"/>
        </w:rPr>
        <w:t xml:space="preserve">perfil de los puestos y el procedimiento de escogencia para </w:t>
      </w:r>
      <w:r w:rsidR="00873D00">
        <w:rPr>
          <w:rFonts w:cs="Arial"/>
          <w:sz w:val="22"/>
          <w:szCs w:val="22"/>
        </w:rPr>
        <w:t xml:space="preserve">dichas </w:t>
      </w:r>
      <w:r w:rsidR="00873D00" w:rsidRPr="006C23C7">
        <w:rPr>
          <w:rFonts w:cs="Arial"/>
          <w:sz w:val="22"/>
          <w:szCs w:val="22"/>
        </w:rPr>
        <w:t>plazas</w:t>
      </w:r>
      <w:r w:rsidR="00873D00">
        <w:rPr>
          <w:rFonts w:cs="Arial"/>
          <w:sz w:val="22"/>
          <w:szCs w:val="22"/>
        </w:rPr>
        <w:t xml:space="preserve">. Como producto de este estudio, realizado </w:t>
      </w:r>
      <w:r w:rsidR="006C23C7">
        <w:rPr>
          <w:rFonts w:cs="Arial"/>
          <w:sz w:val="22"/>
          <w:szCs w:val="22"/>
        </w:rPr>
        <w:t xml:space="preserve">en las sesiones 42-2020, 43-2020, 49-2020 y 50-2020, esta </w:t>
      </w:r>
      <w:r w:rsidR="006C23C7" w:rsidRPr="006C23C7">
        <w:rPr>
          <w:rFonts w:cs="Arial"/>
          <w:sz w:val="22"/>
          <w:szCs w:val="22"/>
          <w:lang w:val="es-ES_tradnl"/>
        </w:rPr>
        <w:t>Junta Directiva</w:t>
      </w:r>
      <w:r w:rsidR="006C23C7">
        <w:rPr>
          <w:rFonts w:cs="Arial"/>
          <w:sz w:val="22"/>
          <w:szCs w:val="22"/>
          <w:lang w:val="es-ES_tradnl"/>
        </w:rPr>
        <w:t xml:space="preserve"> ha</w:t>
      </w:r>
      <w:r w:rsidR="00873D00">
        <w:rPr>
          <w:rFonts w:cs="Arial"/>
          <w:sz w:val="22"/>
          <w:szCs w:val="22"/>
          <w:lang w:val="es-ES_tradnl"/>
        </w:rPr>
        <w:t xml:space="preserve"> obtenido los documentos que permitirán ejecutar los procesos de selección y nombramiento</w:t>
      </w:r>
      <w:r w:rsidR="006C23C7">
        <w:rPr>
          <w:rFonts w:cs="Arial"/>
          <w:sz w:val="22"/>
          <w:szCs w:val="22"/>
          <w:lang w:val="es-ES_tradnl"/>
        </w:rPr>
        <w:t xml:space="preserve"> </w:t>
      </w:r>
      <w:r w:rsidR="00873D00">
        <w:rPr>
          <w:rFonts w:cs="Arial"/>
          <w:sz w:val="22"/>
          <w:szCs w:val="22"/>
          <w:lang w:val="es-ES_tradnl"/>
        </w:rPr>
        <w:t>de ambos subgerentes, documentos que se ratifican en este acto.</w:t>
      </w:r>
    </w:p>
    <w:p w14:paraId="72566B40" w14:textId="785D6810" w:rsidR="000A220B" w:rsidRDefault="000A220B" w:rsidP="002B71CC">
      <w:pPr>
        <w:spacing w:line="360" w:lineRule="auto"/>
        <w:jc w:val="both"/>
        <w:rPr>
          <w:rFonts w:cs="Arial"/>
          <w:sz w:val="22"/>
          <w:szCs w:val="22"/>
        </w:rPr>
      </w:pPr>
    </w:p>
    <w:p w14:paraId="28905C1B" w14:textId="37A40645" w:rsidR="002B71CC" w:rsidRPr="007621C9" w:rsidRDefault="00FE0884" w:rsidP="002B71CC">
      <w:pPr>
        <w:spacing w:line="360" w:lineRule="auto"/>
        <w:jc w:val="both"/>
        <w:rPr>
          <w:rFonts w:cs="Arial"/>
          <w:b/>
          <w:bCs/>
          <w:sz w:val="22"/>
          <w:szCs w:val="22"/>
        </w:rPr>
      </w:pPr>
      <w:r w:rsidRPr="007621C9">
        <w:rPr>
          <w:rFonts w:cs="Arial"/>
          <w:b/>
          <w:bCs/>
          <w:sz w:val="22"/>
          <w:szCs w:val="22"/>
        </w:rPr>
        <w:t>Por tanto, se acuerda:</w:t>
      </w:r>
    </w:p>
    <w:p w14:paraId="52B706DF" w14:textId="3F6E8001" w:rsidR="00C43D93" w:rsidRDefault="00873D00" w:rsidP="002B71CC">
      <w:pPr>
        <w:spacing w:line="360" w:lineRule="auto"/>
        <w:jc w:val="both"/>
        <w:rPr>
          <w:rFonts w:cs="Arial"/>
          <w:sz w:val="22"/>
          <w:szCs w:val="22"/>
          <w:lang w:val="es-CR"/>
        </w:rPr>
      </w:pPr>
      <w:r w:rsidRPr="00041056">
        <w:rPr>
          <w:rFonts w:cs="Arial"/>
          <w:b/>
          <w:bCs/>
          <w:sz w:val="22"/>
          <w:szCs w:val="22"/>
        </w:rPr>
        <w:t>1)</w:t>
      </w:r>
      <w:r>
        <w:rPr>
          <w:rFonts w:cs="Arial"/>
          <w:sz w:val="22"/>
          <w:szCs w:val="22"/>
        </w:rPr>
        <w:t xml:space="preserve"> </w:t>
      </w:r>
      <w:r w:rsidR="006E0DAC">
        <w:rPr>
          <w:rFonts w:cs="Arial"/>
          <w:sz w:val="22"/>
          <w:szCs w:val="22"/>
        </w:rPr>
        <w:t xml:space="preserve">Aprobar, </w:t>
      </w:r>
      <w:r>
        <w:rPr>
          <w:rFonts w:cs="Arial"/>
          <w:sz w:val="22"/>
          <w:szCs w:val="22"/>
        </w:rPr>
        <w:t xml:space="preserve">según lo propuesto por el Gerente General, </w:t>
      </w:r>
      <w:r w:rsidR="006E0DAC">
        <w:rPr>
          <w:rFonts w:cs="Arial"/>
          <w:sz w:val="22"/>
          <w:szCs w:val="22"/>
        </w:rPr>
        <w:t xml:space="preserve">una </w:t>
      </w:r>
      <w:r w:rsidR="00041056">
        <w:rPr>
          <w:rFonts w:cs="Arial"/>
          <w:sz w:val="22"/>
          <w:szCs w:val="22"/>
        </w:rPr>
        <w:t>reforma</w:t>
      </w:r>
      <w:r w:rsidR="006E0DAC">
        <w:rPr>
          <w:rFonts w:cs="Arial"/>
          <w:sz w:val="22"/>
          <w:szCs w:val="22"/>
        </w:rPr>
        <w:t xml:space="preserve"> a </w:t>
      </w:r>
      <w:r>
        <w:rPr>
          <w:rFonts w:cs="Arial"/>
          <w:sz w:val="22"/>
          <w:szCs w:val="22"/>
        </w:rPr>
        <w:t>la estructura salarial para los</w:t>
      </w:r>
      <w:r w:rsidR="00C43D93">
        <w:rPr>
          <w:rFonts w:cs="Arial"/>
          <w:sz w:val="22"/>
          <w:szCs w:val="22"/>
        </w:rPr>
        <w:t xml:space="preserve"> </w:t>
      </w:r>
      <w:r>
        <w:rPr>
          <w:rFonts w:cs="Arial"/>
          <w:sz w:val="22"/>
          <w:szCs w:val="22"/>
        </w:rPr>
        <w:t xml:space="preserve">puestos de Subgerente Financiero y Subgerente </w:t>
      </w:r>
      <w:r w:rsidR="00C43D93">
        <w:rPr>
          <w:rFonts w:cs="Arial"/>
          <w:sz w:val="22"/>
          <w:szCs w:val="22"/>
        </w:rPr>
        <w:t>de Operaciones, de</w:t>
      </w:r>
      <w:r w:rsidRPr="00FE0884">
        <w:rPr>
          <w:rFonts w:cs="Arial"/>
          <w:sz w:val="22"/>
          <w:szCs w:val="22"/>
          <w:lang w:val="es-CR"/>
        </w:rPr>
        <w:t xml:space="preserve"> la siguiente forma: </w:t>
      </w:r>
    </w:p>
    <w:p w14:paraId="28372A1B" w14:textId="5C3E51C2" w:rsidR="00714185" w:rsidRPr="00714185" w:rsidRDefault="00714185" w:rsidP="00A7794E">
      <w:pPr>
        <w:numPr>
          <w:ilvl w:val="0"/>
          <w:numId w:val="20"/>
        </w:numPr>
        <w:tabs>
          <w:tab w:val="clear" w:pos="720"/>
          <w:tab w:val="num" w:pos="284"/>
        </w:tabs>
        <w:spacing w:line="360" w:lineRule="auto"/>
        <w:ind w:left="284" w:hanging="142"/>
        <w:jc w:val="both"/>
        <w:rPr>
          <w:rFonts w:cs="Arial"/>
          <w:sz w:val="22"/>
          <w:szCs w:val="22"/>
          <w:lang w:val="es-CR"/>
        </w:rPr>
      </w:pPr>
      <w:r w:rsidRPr="00714185">
        <w:rPr>
          <w:rFonts w:cs="Arial"/>
          <w:sz w:val="22"/>
          <w:szCs w:val="22"/>
          <w:lang w:val="es-CR"/>
        </w:rPr>
        <w:t>Establecer el salario base en ¢2.700.000,</w:t>
      </w:r>
      <w:r w:rsidR="00C43D93">
        <w:rPr>
          <w:rFonts w:cs="Arial"/>
          <w:sz w:val="22"/>
          <w:szCs w:val="22"/>
          <w:lang w:val="es-CR"/>
        </w:rPr>
        <w:t>00.</w:t>
      </w:r>
    </w:p>
    <w:p w14:paraId="6AA76B81" w14:textId="77777777" w:rsidR="00C43D93" w:rsidRDefault="00714185" w:rsidP="00A7794E">
      <w:pPr>
        <w:numPr>
          <w:ilvl w:val="0"/>
          <w:numId w:val="20"/>
        </w:numPr>
        <w:tabs>
          <w:tab w:val="clear" w:pos="720"/>
          <w:tab w:val="num" w:pos="284"/>
        </w:tabs>
        <w:spacing w:line="360" w:lineRule="auto"/>
        <w:ind w:left="284" w:hanging="142"/>
        <w:jc w:val="both"/>
        <w:rPr>
          <w:rFonts w:cs="Arial"/>
          <w:sz w:val="22"/>
          <w:szCs w:val="22"/>
          <w:lang w:val="es-CR"/>
        </w:rPr>
      </w:pPr>
      <w:r w:rsidRPr="00714185">
        <w:rPr>
          <w:rFonts w:cs="Arial"/>
          <w:sz w:val="22"/>
          <w:szCs w:val="22"/>
          <w:lang w:val="es-CR"/>
        </w:rPr>
        <w:lastRenderedPageBreak/>
        <w:t>Modificar la forma de remuneración salarial para que quede compuest</w:t>
      </w:r>
      <w:r w:rsidR="00C43D93">
        <w:rPr>
          <w:rFonts w:cs="Arial"/>
          <w:sz w:val="22"/>
          <w:szCs w:val="22"/>
          <w:lang w:val="es-CR"/>
        </w:rPr>
        <w:t>a</w:t>
      </w:r>
      <w:r w:rsidRPr="00714185">
        <w:rPr>
          <w:rFonts w:cs="Arial"/>
          <w:sz w:val="22"/>
          <w:szCs w:val="22"/>
          <w:lang w:val="es-CR"/>
        </w:rPr>
        <w:t xml:space="preserve"> por el salario base y el reconocimiento de prohibición</w:t>
      </w:r>
      <w:r w:rsidR="00C43D93">
        <w:rPr>
          <w:rFonts w:cs="Arial"/>
          <w:sz w:val="22"/>
          <w:szCs w:val="22"/>
          <w:lang w:val="es-CR"/>
        </w:rPr>
        <w:t xml:space="preserve"> (30% sobre el salario base)</w:t>
      </w:r>
      <w:r w:rsidRPr="00714185">
        <w:rPr>
          <w:rFonts w:cs="Arial"/>
          <w:sz w:val="22"/>
          <w:szCs w:val="22"/>
          <w:lang w:val="es-CR"/>
        </w:rPr>
        <w:t>, sin reconocimiento de anualidades</w:t>
      </w:r>
      <w:r w:rsidR="00C43D93">
        <w:rPr>
          <w:rFonts w:cs="Arial"/>
          <w:sz w:val="22"/>
          <w:szCs w:val="22"/>
          <w:lang w:val="es-CR"/>
        </w:rPr>
        <w:t>.</w:t>
      </w:r>
    </w:p>
    <w:p w14:paraId="6407E8EF" w14:textId="77777777" w:rsidR="00C43D93" w:rsidRDefault="00C43D93" w:rsidP="002B71CC">
      <w:pPr>
        <w:spacing w:line="360" w:lineRule="auto"/>
        <w:jc w:val="both"/>
        <w:rPr>
          <w:rFonts w:cs="Arial"/>
          <w:sz w:val="22"/>
          <w:szCs w:val="22"/>
          <w:lang w:val="es-CR"/>
        </w:rPr>
      </w:pPr>
    </w:p>
    <w:p w14:paraId="664CF203" w14:textId="70A9B7FD" w:rsidR="00873D00" w:rsidRDefault="00C43D93" w:rsidP="002B71CC">
      <w:pPr>
        <w:spacing w:line="360" w:lineRule="auto"/>
        <w:jc w:val="both"/>
        <w:rPr>
          <w:rFonts w:cs="Arial"/>
          <w:sz w:val="22"/>
          <w:szCs w:val="22"/>
        </w:rPr>
      </w:pPr>
      <w:r w:rsidRPr="00041056">
        <w:rPr>
          <w:rFonts w:cs="Arial"/>
          <w:b/>
          <w:bCs/>
          <w:sz w:val="22"/>
          <w:szCs w:val="22"/>
        </w:rPr>
        <w:t>2)</w:t>
      </w:r>
      <w:r>
        <w:rPr>
          <w:rFonts w:cs="Arial"/>
          <w:sz w:val="22"/>
          <w:szCs w:val="22"/>
        </w:rPr>
        <w:t xml:space="preserve"> </w:t>
      </w:r>
      <w:r w:rsidR="006E0DAC">
        <w:rPr>
          <w:rFonts w:cs="Arial"/>
          <w:sz w:val="22"/>
          <w:szCs w:val="22"/>
        </w:rPr>
        <w:t xml:space="preserve">Aprobar </w:t>
      </w:r>
      <w:r w:rsidR="00041056">
        <w:rPr>
          <w:rFonts w:cs="Arial"/>
          <w:sz w:val="22"/>
          <w:szCs w:val="22"/>
        </w:rPr>
        <w:t xml:space="preserve">los perfiles y el procedimiento para la escogencia y </w:t>
      </w:r>
      <w:r w:rsidR="00A7794E">
        <w:rPr>
          <w:rFonts w:cs="Arial"/>
          <w:sz w:val="22"/>
          <w:szCs w:val="22"/>
        </w:rPr>
        <w:t xml:space="preserve">el </w:t>
      </w:r>
      <w:r w:rsidR="00041056">
        <w:rPr>
          <w:rFonts w:cs="Arial"/>
          <w:sz w:val="22"/>
          <w:szCs w:val="22"/>
        </w:rPr>
        <w:t>nombramiento por idoneidad, para los puestos</w:t>
      </w:r>
      <w:r w:rsidR="00A7794E">
        <w:rPr>
          <w:rFonts w:cs="Arial"/>
          <w:sz w:val="22"/>
          <w:szCs w:val="22"/>
        </w:rPr>
        <w:t xml:space="preserve"> de Subgerente Financiero y Subgerente de Operaciones del </w:t>
      </w:r>
      <w:r w:rsidR="00A7794E" w:rsidRPr="00A7794E">
        <w:rPr>
          <w:rFonts w:cs="Arial"/>
          <w:sz w:val="22"/>
          <w:szCs w:val="22"/>
        </w:rPr>
        <w:t>Banco Hipotecario para la Vivienda</w:t>
      </w:r>
      <w:r w:rsidR="00A7794E">
        <w:rPr>
          <w:rFonts w:cs="Arial"/>
          <w:sz w:val="22"/>
          <w:szCs w:val="22"/>
        </w:rPr>
        <w:t>, de conformidad con los documentos que se adjuntan al expediente del acta y que se forman parte integral del presente acuerdo.</w:t>
      </w:r>
    </w:p>
    <w:p w14:paraId="009720FE" w14:textId="1660DF9A"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8C29F7">
        <w:rPr>
          <w:rFonts w:cs="Arial"/>
          <w:szCs w:val="22"/>
        </w:rPr>
        <w:t xml:space="preserve">por Mayoría </w:t>
      </w:r>
      <w:r>
        <w:rPr>
          <w:rFonts w:cs="Arial"/>
          <w:szCs w:val="22"/>
        </w:rPr>
        <w:t>y Firme</w:t>
      </w:r>
      <w:r w:rsidRPr="00AB2826">
        <w:rPr>
          <w:rFonts w:cs="Arial"/>
          <w:szCs w:val="22"/>
        </w:rPr>
        <w:t>.-</w:t>
      </w:r>
    </w:p>
    <w:p w14:paraId="40D96CF7" w14:textId="77777777" w:rsidR="002B71CC" w:rsidRPr="00D14EAF" w:rsidRDefault="002B71CC" w:rsidP="002B71CC">
      <w:pPr>
        <w:spacing w:line="360" w:lineRule="auto"/>
        <w:jc w:val="both"/>
        <w:rPr>
          <w:rFonts w:cs="Arial"/>
          <w:b/>
          <w:sz w:val="22"/>
        </w:rPr>
      </w:pPr>
      <w:r w:rsidRPr="00D14EAF">
        <w:rPr>
          <w:rFonts w:cs="Arial"/>
          <w:b/>
          <w:sz w:val="22"/>
        </w:rPr>
        <w:t>************</w:t>
      </w:r>
    </w:p>
    <w:p w14:paraId="7648F389" w14:textId="77777777" w:rsidR="002B71CC" w:rsidRDefault="002B71CC" w:rsidP="002B71CC">
      <w:pPr>
        <w:spacing w:line="360" w:lineRule="auto"/>
        <w:jc w:val="both"/>
        <w:rPr>
          <w:rFonts w:cs="Arial"/>
          <w:sz w:val="22"/>
          <w:szCs w:val="22"/>
        </w:rPr>
      </w:pPr>
    </w:p>
    <w:p w14:paraId="6054E0C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A253" w14:textId="77777777" w:rsidR="00932561" w:rsidRDefault="00932561">
      <w:r>
        <w:separator/>
      </w:r>
    </w:p>
  </w:endnote>
  <w:endnote w:type="continuationSeparator" w:id="0">
    <w:p w14:paraId="32C62C33" w14:textId="77777777" w:rsidR="00932561" w:rsidRDefault="0093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9254" w14:textId="77777777" w:rsidR="00932561" w:rsidRDefault="00932561">
      <w:r>
        <w:separator/>
      </w:r>
    </w:p>
  </w:footnote>
  <w:footnote w:type="continuationSeparator" w:id="0">
    <w:p w14:paraId="120FFFC0" w14:textId="77777777" w:rsidR="00932561" w:rsidRDefault="0093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CC5B7" w14:textId="77777777" w:rsidR="00932561" w:rsidRDefault="00932561">
    <w:pPr>
      <w:pStyle w:val="Encabezado"/>
      <w:rPr>
        <w:lang w:val="es-ES"/>
      </w:rPr>
    </w:pPr>
  </w:p>
  <w:p w14:paraId="4B49F8E3" w14:textId="09794451" w:rsidR="00932561" w:rsidRDefault="00932561">
    <w:pPr>
      <w:pStyle w:val="Encabezado"/>
      <w:rPr>
        <w:rStyle w:val="Nmerodepgina"/>
        <w:sz w:val="18"/>
      </w:rPr>
    </w:pPr>
    <w:r>
      <w:rPr>
        <w:sz w:val="18"/>
        <w:lang w:val="es-ES"/>
      </w:rPr>
      <w:t xml:space="preserve">    Minuta de la sesión Nº 51-2020                   06 de julio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FDDFC98" w14:textId="77777777" w:rsidR="00932561" w:rsidRDefault="0093256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54F2492"/>
    <w:multiLevelType w:val="hybridMultilevel"/>
    <w:tmpl w:val="3B4C56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0A207A"/>
    <w:multiLevelType w:val="hybridMultilevel"/>
    <w:tmpl w:val="346A58D0"/>
    <w:lvl w:ilvl="0" w:tplc="92D2E8BE">
      <w:start w:val="1"/>
      <w:numFmt w:val="bullet"/>
      <w:lvlText w:val="•"/>
      <w:lvlJc w:val="left"/>
      <w:pPr>
        <w:tabs>
          <w:tab w:val="num" w:pos="720"/>
        </w:tabs>
        <w:ind w:left="720" w:hanging="360"/>
      </w:pPr>
      <w:rPr>
        <w:rFonts w:ascii="Arial" w:hAnsi="Arial" w:hint="default"/>
      </w:rPr>
    </w:lvl>
    <w:lvl w:ilvl="1" w:tplc="586ECF90" w:tentative="1">
      <w:start w:val="1"/>
      <w:numFmt w:val="bullet"/>
      <w:lvlText w:val="•"/>
      <w:lvlJc w:val="left"/>
      <w:pPr>
        <w:tabs>
          <w:tab w:val="num" w:pos="1440"/>
        </w:tabs>
        <w:ind w:left="1440" w:hanging="360"/>
      </w:pPr>
      <w:rPr>
        <w:rFonts w:ascii="Arial" w:hAnsi="Arial" w:hint="default"/>
      </w:rPr>
    </w:lvl>
    <w:lvl w:ilvl="2" w:tplc="66B6AE02" w:tentative="1">
      <w:start w:val="1"/>
      <w:numFmt w:val="bullet"/>
      <w:lvlText w:val="•"/>
      <w:lvlJc w:val="left"/>
      <w:pPr>
        <w:tabs>
          <w:tab w:val="num" w:pos="2160"/>
        </w:tabs>
        <w:ind w:left="2160" w:hanging="360"/>
      </w:pPr>
      <w:rPr>
        <w:rFonts w:ascii="Arial" w:hAnsi="Arial" w:hint="default"/>
      </w:rPr>
    </w:lvl>
    <w:lvl w:ilvl="3" w:tplc="296EE73E" w:tentative="1">
      <w:start w:val="1"/>
      <w:numFmt w:val="bullet"/>
      <w:lvlText w:val="•"/>
      <w:lvlJc w:val="left"/>
      <w:pPr>
        <w:tabs>
          <w:tab w:val="num" w:pos="2880"/>
        </w:tabs>
        <w:ind w:left="2880" w:hanging="360"/>
      </w:pPr>
      <w:rPr>
        <w:rFonts w:ascii="Arial" w:hAnsi="Arial" w:hint="default"/>
      </w:rPr>
    </w:lvl>
    <w:lvl w:ilvl="4" w:tplc="D8109CBC" w:tentative="1">
      <w:start w:val="1"/>
      <w:numFmt w:val="bullet"/>
      <w:lvlText w:val="•"/>
      <w:lvlJc w:val="left"/>
      <w:pPr>
        <w:tabs>
          <w:tab w:val="num" w:pos="3600"/>
        </w:tabs>
        <w:ind w:left="3600" w:hanging="360"/>
      </w:pPr>
      <w:rPr>
        <w:rFonts w:ascii="Arial" w:hAnsi="Arial" w:hint="default"/>
      </w:rPr>
    </w:lvl>
    <w:lvl w:ilvl="5" w:tplc="4F445704" w:tentative="1">
      <w:start w:val="1"/>
      <w:numFmt w:val="bullet"/>
      <w:lvlText w:val="•"/>
      <w:lvlJc w:val="left"/>
      <w:pPr>
        <w:tabs>
          <w:tab w:val="num" w:pos="4320"/>
        </w:tabs>
        <w:ind w:left="4320" w:hanging="360"/>
      </w:pPr>
      <w:rPr>
        <w:rFonts w:ascii="Arial" w:hAnsi="Arial" w:hint="default"/>
      </w:rPr>
    </w:lvl>
    <w:lvl w:ilvl="6" w:tplc="A7AC02DA" w:tentative="1">
      <w:start w:val="1"/>
      <w:numFmt w:val="bullet"/>
      <w:lvlText w:val="•"/>
      <w:lvlJc w:val="left"/>
      <w:pPr>
        <w:tabs>
          <w:tab w:val="num" w:pos="5040"/>
        </w:tabs>
        <w:ind w:left="5040" w:hanging="360"/>
      </w:pPr>
      <w:rPr>
        <w:rFonts w:ascii="Arial" w:hAnsi="Arial" w:hint="default"/>
      </w:rPr>
    </w:lvl>
    <w:lvl w:ilvl="7" w:tplc="B606785E" w:tentative="1">
      <w:start w:val="1"/>
      <w:numFmt w:val="bullet"/>
      <w:lvlText w:val="•"/>
      <w:lvlJc w:val="left"/>
      <w:pPr>
        <w:tabs>
          <w:tab w:val="num" w:pos="5760"/>
        </w:tabs>
        <w:ind w:left="5760" w:hanging="360"/>
      </w:pPr>
      <w:rPr>
        <w:rFonts w:ascii="Arial" w:hAnsi="Arial" w:hint="default"/>
      </w:rPr>
    </w:lvl>
    <w:lvl w:ilvl="8" w:tplc="113803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E02B6E"/>
    <w:multiLevelType w:val="hybridMultilevel"/>
    <w:tmpl w:val="BD40D3BC"/>
    <w:lvl w:ilvl="0" w:tplc="8348DE22">
      <w:start w:val="1"/>
      <w:numFmt w:val="bullet"/>
      <w:lvlText w:val=""/>
      <w:lvlJc w:val="left"/>
      <w:pPr>
        <w:tabs>
          <w:tab w:val="num" w:pos="720"/>
        </w:tabs>
        <w:ind w:left="720" w:hanging="360"/>
      </w:pPr>
      <w:rPr>
        <w:rFonts w:ascii="Wingdings" w:hAnsi="Wingdings" w:hint="default"/>
      </w:rPr>
    </w:lvl>
    <w:lvl w:ilvl="1" w:tplc="7BE459B2" w:tentative="1">
      <w:start w:val="1"/>
      <w:numFmt w:val="bullet"/>
      <w:lvlText w:val=""/>
      <w:lvlJc w:val="left"/>
      <w:pPr>
        <w:tabs>
          <w:tab w:val="num" w:pos="1440"/>
        </w:tabs>
        <w:ind w:left="1440" w:hanging="360"/>
      </w:pPr>
      <w:rPr>
        <w:rFonts w:ascii="Wingdings" w:hAnsi="Wingdings" w:hint="default"/>
      </w:rPr>
    </w:lvl>
    <w:lvl w:ilvl="2" w:tplc="78E42320" w:tentative="1">
      <w:start w:val="1"/>
      <w:numFmt w:val="bullet"/>
      <w:lvlText w:val=""/>
      <w:lvlJc w:val="left"/>
      <w:pPr>
        <w:tabs>
          <w:tab w:val="num" w:pos="2160"/>
        </w:tabs>
        <w:ind w:left="2160" w:hanging="360"/>
      </w:pPr>
      <w:rPr>
        <w:rFonts w:ascii="Wingdings" w:hAnsi="Wingdings" w:hint="default"/>
      </w:rPr>
    </w:lvl>
    <w:lvl w:ilvl="3" w:tplc="E9F28ACA" w:tentative="1">
      <w:start w:val="1"/>
      <w:numFmt w:val="bullet"/>
      <w:lvlText w:val=""/>
      <w:lvlJc w:val="left"/>
      <w:pPr>
        <w:tabs>
          <w:tab w:val="num" w:pos="2880"/>
        </w:tabs>
        <w:ind w:left="2880" w:hanging="360"/>
      </w:pPr>
      <w:rPr>
        <w:rFonts w:ascii="Wingdings" w:hAnsi="Wingdings" w:hint="default"/>
      </w:rPr>
    </w:lvl>
    <w:lvl w:ilvl="4" w:tplc="ED7C5400" w:tentative="1">
      <w:start w:val="1"/>
      <w:numFmt w:val="bullet"/>
      <w:lvlText w:val=""/>
      <w:lvlJc w:val="left"/>
      <w:pPr>
        <w:tabs>
          <w:tab w:val="num" w:pos="3600"/>
        </w:tabs>
        <w:ind w:left="3600" w:hanging="360"/>
      </w:pPr>
      <w:rPr>
        <w:rFonts w:ascii="Wingdings" w:hAnsi="Wingdings" w:hint="default"/>
      </w:rPr>
    </w:lvl>
    <w:lvl w:ilvl="5" w:tplc="12AEF38C" w:tentative="1">
      <w:start w:val="1"/>
      <w:numFmt w:val="bullet"/>
      <w:lvlText w:val=""/>
      <w:lvlJc w:val="left"/>
      <w:pPr>
        <w:tabs>
          <w:tab w:val="num" w:pos="4320"/>
        </w:tabs>
        <w:ind w:left="4320" w:hanging="360"/>
      </w:pPr>
      <w:rPr>
        <w:rFonts w:ascii="Wingdings" w:hAnsi="Wingdings" w:hint="default"/>
      </w:rPr>
    </w:lvl>
    <w:lvl w:ilvl="6" w:tplc="EF145CDE" w:tentative="1">
      <w:start w:val="1"/>
      <w:numFmt w:val="bullet"/>
      <w:lvlText w:val=""/>
      <w:lvlJc w:val="left"/>
      <w:pPr>
        <w:tabs>
          <w:tab w:val="num" w:pos="5040"/>
        </w:tabs>
        <w:ind w:left="5040" w:hanging="360"/>
      </w:pPr>
      <w:rPr>
        <w:rFonts w:ascii="Wingdings" w:hAnsi="Wingdings" w:hint="default"/>
      </w:rPr>
    </w:lvl>
    <w:lvl w:ilvl="7" w:tplc="43B4A5B2" w:tentative="1">
      <w:start w:val="1"/>
      <w:numFmt w:val="bullet"/>
      <w:lvlText w:val=""/>
      <w:lvlJc w:val="left"/>
      <w:pPr>
        <w:tabs>
          <w:tab w:val="num" w:pos="5760"/>
        </w:tabs>
        <w:ind w:left="5760" w:hanging="360"/>
      </w:pPr>
      <w:rPr>
        <w:rFonts w:ascii="Wingdings" w:hAnsi="Wingdings" w:hint="default"/>
      </w:rPr>
    </w:lvl>
    <w:lvl w:ilvl="8" w:tplc="0EBA7B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72C47"/>
    <w:multiLevelType w:val="hybridMultilevel"/>
    <w:tmpl w:val="C0DC4788"/>
    <w:lvl w:ilvl="0" w:tplc="B4C47894">
      <w:start w:val="1"/>
      <w:numFmt w:val="bullet"/>
      <w:lvlText w:val=""/>
      <w:lvlJc w:val="left"/>
      <w:pPr>
        <w:tabs>
          <w:tab w:val="num" w:pos="720"/>
        </w:tabs>
        <w:ind w:left="720" w:hanging="360"/>
      </w:pPr>
      <w:rPr>
        <w:rFonts w:ascii="Wingdings" w:hAnsi="Wingdings" w:hint="default"/>
      </w:rPr>
    </w:lvl>
    <w:lvl w:ilvl="1" w:tplc="21D8D9F8" w:tentative="1">
      <w:start w:val="1"/>
      <w:numFmt w:val="bullet"/>
      <w:lvlText w:val=""/>
      <w:lvlJc w:val="left"/>
      <w:pPr>
        <w:tabs>
          <w:tab w:val="num" w:pos="1440"/>
        </w:tabs>
        <w:ind w:left="1440" w:hanging="360"/>
      </w:pPr>
      <w:rPr>
        <w:rFonts w:ascii="Wingdings" w:hAnsi="Wingdings" w:hint="default"/>
      </w:rPr>
    </w:lvl>
    <w:lvl w:ilvl="2" w:tplc="A232005C" w:tentative="1">
      <w:start w:val="1"/>
      <w:numFmt w:val="bullet"/>
      <w:lvlText w:val=""/>
      <w:lvlJc w:val="left"/>
      <w:pPr>
        <w:tabs>
          <w:tab w:val="num" w:pos="2160"/>
        </w:tabs>
        <w:ind w:left="2160" w:hanging="360"/>
      </w:pPr>
      <w:rPr>
        <w:rFonts w:ascii="Wingdings" w:hAnsi="Wingdings" w:hint="default"/>
      </w:rPr>
    </w:lvl>
    <w:lvl w:ilvl="3" w:tplc="0FA0CE90" w:tentative="1">
      <w:start w:val="1"/>
      <w:numFmt w:val="bullet"/>
      <w:lvlText w:val=""/>
      <w:lvlJc w:val="left"/>
      <w:pPr>
        <w:tabs>
          <w:tab w:val="num" w:pos="2880"/>
        </w:tabs>
        <w:ind w:left="2880" w:hanging="360"/>
      </w:pPr>
      <w:rPr>
        <w:rFonts w:ascii="Wingdings" w:hAnsi="Wingdings" w:hint="default"/>
      </w:rPr>
    </w:lvl>
    <w:lvl w:ilvl="4" w:tplc="25A24082" w:tentative="1">
      <w:start w:val="1"/>
      <w:numFmt w:val="bullet"/>
      <w:lvlText w:val=""/>
      <w:lvlJc w:val="left"/>
      <w:pPr>
        <w:tabs>
          <w:tab w:val="num" w:pos="3600"/>
        </w:tabs>
        <w:ind w:left="3600" w:hanging="360"/>
      </w:pPr>
      <w:rPr>
        <w:rFonts w:ascii="Wingdings" w:hAnsi="Wingdings" w:hint="default"/>
      </w:rPr>
    </w:lvl>
    <w:lvl w:ilvl="5" w:tplc="32787316" w:tentative="1">
      <w:start w:val="1"/>
      <w:numFmt w:val="bullet"/>
      <w:lvlText w:val=""/>
      <w:lvlJc w:val="left"/>
      <w:pPr>
        <w:tabs>
          <w:tab w:val="num" w:pos="4320"/>
        </w:tabs>
        <w:ind w:left="4320" w:hanging="360"/>
      </w:pPr>
      <w:rPr>
        <w:rFonts w:ascii="Wingdings" w:hAnsi="Wingdings" w:hint="default"/>
      </w:rPr>
    </w:lvl>
    <w:lvl w:ilvl="6" w:tplc="9E722968" w:tentative="1">
      <w:start w:val="1"/>
      <w:numFmt w:val="bullet"/>
      <w:lvlText w:val=""/>
      <w:lvlJc w:val="left"/>
      <w:pPr>
        <w:tabs>
          <w:tab w:val="num" w:pos="5040"/>
        </w:tabs>
        <w:ind w:left="5040" w:hanging="360"/>
      </w:pPr>
      <w:rPr>
        <w:rFonts w:ascii="Wingdings" w:hAnsi="Wingdings" w:hint="default"/>
      </w:rPr>
    </w:lvl>
    <w:lvl w:ilvl="7" w:tplc="DA74549A" w:tentative="1">
      <w:start w:val="1"/>
      <w:numFmt w:val="bullet"/>
      <w:lvlText w:val=""/>
      <w:lvlJc w:val="left"/>
      <w:pPr>
        <w:tabs>
          <w:tab w:val="num" w:pos="5760"/>
        </w:tabs>
        <w:ind w:left="5760" w:hanging="360"/>
      </w:pPr>
      <w:rPr>
        <w:rFonts w:ascii="Wingdings" w:hAnsi="Wingdings" w:hint="default"/>
      </w:rPr>
    </w:lvl>
    <w:lvl w:ilvl="8" w:tplc="E938BC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2F02453"/>
    <w:multiLevelType w:val="hybridMultilevel"/>
    <w:tmpl w:val="8F88EE4A"/>
    <w:lvl w:ilvl="0" w:tplc="237A7142">
      <w:start w:val="1"/>
      <w:numFmt w:val="bullet"/>
      <w:lvlText w:val=""/>
      <w:lvlJc w:val="left"/>
      <w:pPr>
        <w:tabs>
          <w:tab w:val="num" w:pos="720"/>
        </w:tabs>
        <w:ind w:left="720" w:hanging="360"/>
      </w:pPr>
      <w:rPr>
        <w:rFonts w:ascii="Wingdings" w:hAnsi="Wingdings" w:hint="default"/>
      </w:rPr>
    </w:lvl>
    <w:lvl w:ilvl="1" w:tplc="6A18AD6C" w:tentative="1">
      <w:start w:val="1"/>
      <w:numFmt w:val="bullet"/>
      <w:lvlText w:val=""/>
      <w:lvlJc w:val="left"/>
      <w:pPr>
        <w:tabs>
          <w:tab w:val="num" w:pos="1440"/>
        </w:tabs>
        <w:ind w:left="1440" w:hanging="360"/>
      </w:pPr>
      <w:rPr>
        <w:rFonts w:ascii="Wingdings" w:hAnsi="Wingdings" w:hint="default"/>
      </w:rPr>
    </w:lvl>
    <w:lvl w:ilvl="2" w:tplc="902EA81E" w:tentative="1">
      <w:start w:val="1"/>
      <w:numFmt w:val="bullet"/>
      <w:lvlText w:val=""/>
      <w:lvlJc w:val="left"/>
      <w:pPr>
        <w:tabs>
          <w:tab w:val="num" w:pos="2160"/>
        </w:tabs>
        <w:ind w:left="2160" w:hanging="360"/>
      </w:pPr>
      <w:rPr>
        <w:rFonts w:ascii="Wingdings" w:hAnsi="Wingdings" w:hint="default"/>
      </w:rPr>
    </w:lvl>
    <w:lvl w:ilvl="3" w:tplc="365850A0" w:tentative="1">
      <w:start w:val="1"/>
      <w:numFmt w:val="bullet"/>
      <w:lvlText w:val=""/>
      <w:lvlJc w:val="left"/>
      <w:pPr>
        <w:tabs>
          <w:tab w:val="num" w:pos="2880"/>
        </w:tabs>
        <w:ind w:left="2880" w:hanging="360"/>
      </w:pPr>
      <w:rPr>
        <w:rFonts w:ascii="Wingdings" w:hAnsi="Wingdings" w:hint="default"/>
      </w:rPr>
    </w:lvl>
    <w:lvl w:ilvl="4" w:tplc="5B925D58" w:tentative="1">
      <w:start w:val="1"/>
      <w:numFmt w:val="bullet"/>
      <w:lvlText w:val=""/>
      <w:lvlJc w:val="left"/>
      <w:pPr>
        <w:tabs>
          <w:tab w:val="num" w:pos="3600"/>
        </w:tabs>
        <w:ind w:left="3600" w:hanging="360"/>
      </w:pPr>
      <w:rPr>
        <w:rFonts w:ascii="Wingdings" w:hAnsi="Wingdings" w:hint="default"/>
      </w:rPr>
    </w:lvl>
    <w:lvl w:ilvl="5" w:tplc="698EE8D2" w:tentative="1">
      <w:start w:val="1"/>
      <w:numFmt w:val="bullet"/>
      <w:lvlText w:val=""/>
      <w:lvlJc w:val="left"/>
      <w:pPr>
        <w:tabs>
          <w:tab w:val="num" w:pos="4320"/>
        </w:tabs>
        <w:ind w:left="4320" w:hanging="360"/>
      </w:pPr>
      <w:rPr>
        <w:rFonts w:ascii="Wingdings" w:hAnsi="Wingdings" w:hint="default"/>
      </w:rPr>
    </w:lvl>
    <w:lvl w:ilvl="6" w:tplc="5EA8E996" w:tentative="1">
      <w:start w:val="1"/>
      <w:numFmt w:val="bullet"/>
      <w:lvlText w:val=""/>
      <w:lvlJc w:val="left"/>
      <w:pPr>
        <w:tabs>
          <w:tab w:val="num" w:pos="5040"/>
        </w:tabs>
        <w:ind w:left="5040" w:hanging="360"/>
      </w:pPr>
      <w:rPr>
        <w:rFonts w:ascii="Wingdings" w:hAnsi="Wingdings" w:hint="default"/>
      </w:rPr>
    </w:lvl>
    <w:lvl w:ilvl="7" w:tplc="B07642B6" w:tentative="1">
      <w:start w:val="1"/>
      <w:numFmt w:val="bullet"/>
      <w:lvlText w:val=""/>
      <w:lvlJc w:val="left"/>
      <w:pPr>
        <w:tabs>
          <w:tab w:val="num" w:pos="5760"/>
        </w:tabs>
        <w:ind w:left="5760" w:hanging="360"/>
      </w:pPr>
      <w:rPr>
        <w:rFonts w:ascii="Wingdings" w:hAnsi="Wingdings" w:hint="default"/>
      </w:rPr>
    </w:lvl>
    <w:lvl w:ilvl="8" w:tplc="AD504A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29486D"/>
    <w:multiLevelType w:val="hybridMultilevel"/>
    <w:tmpl w:val="775EE7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DA0BB2"/>
    <w:multiLevelType w:val="hybridMultilevel"/>
    <w:tmpl w:val="C1E64C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6F629D0"/>
    <w:multiLevelType w:val="hybridMultilevel"/>
    <w:tmpl w:val="896ECC96"/>
    <w:lvl w:ilvl="0" w:tplc="3B4C1DF2">
      <w:start w:val="1"/>
      <w:numFmt w:val="bullet"/>
      <w:lvlText w:val=""/>
      <w:lvlJc w:val="left"/>
      <w:pPr>
        <w:tabs>
          <w:tab w:val="num" w:pos="720"/>
        </w:tabs>
        <w:ind w:left="720" w:hanging="360"/>
      </w:pPr>
      <w:rPr>
        <w:rFonts w:ascii="Wingdings" w:hAnsi="Wingdings" w:hint="default"/>
      </w:rPr>
    </w:lvl>
    <w:lvl w:ilvl="1" w:tplc="2BCA5908" w:tentative="1">
      <w:start w:val="1"/>
      <w:numFmt w:val="bullet"/>
      <w:lvlText w:val=""/>
      <w:lvlJc w:val="left"/>
      <w:pPr>
        <w:tabs>
          <w:tab w:val="num" w:pos="1440"/>
        </w:tabs>
        <w:ind w:left="1440" w:hanging="360"/>
      </w:pPr>
      <w:rPr>
        <w:rFonts w:ascii="Wingdings" w:hAnsi="Wingdings" w:hint="default"/>
      </w:rPr>
    </w:lvl>
    <w:lvl w:ilvl="2" w:tplc="F67C8148" w:tentative="1">
      <w:start w:val="1"/>
      <w:numFmt w:val="bullet"/>
      <w:lvlText w:val=""/>
      <w:lvlJc w:val="left"/>
      <w:pPr>
        <w:tabs>
          <w:tab w:val="num" w:pos="2160"/>
        </w:tabs>
        <w:ind w:left="2160" w:hanging="360"/>
      </w:pPr>
      <w:rPr>
        <w:rFonts w:ascii="Wingdings" w:hAnsi="Wingdings" w:hint="default"/>
      </w:rPr>
    </w:lvl>
    <w:lvl w:ilvl="3" w:tplc="0FE63EFE" w:tentative="1">
      <w:start w:val="1"/>
      <w:numFmt w:val="bullet"/>
      <w:lvlText w:val=""/>
      <w:lvlJc w:val="left"/>
      <w:pPr>
        <w:tabs>
          <w:tab w:val="num" w:pos="2880"/>
        </w:tabs>
        <w:ind w:left="2880" w:hanging="360"/>
      </w:pPr>
      <w:rPr>
        <w:rFonts w:ascii="Wingdings" w:hAnsi="Wingdings" w:hint="default"/>
      </w:rPr>
    </w:lvl>
    <w:lvl w:ilvl="4" w:tplc="1B4C8922" w:tentative="1">
      <w:start w:val="1"/>
      <w:numFmt w:val="bullet"/>
      <w:lvlText w:val=""/>
      <w:lvlJc w:val="left"/>
      <w:pPr>
        <w:tabs>
          <w:tab w:val="num" w:pos="3600"/>
        </w:tabs>
        <w:ind w:left="3600" w:hanging="360"/>
      </w:pPr>
      <w:rPr>
        <w:rFonts w:ascii="Wingdings" w:hAnsi="Wingdings" w:hint="default"/>
      </w:rPr>
    </w:lvl>
    <w:lvl w:ilvl="5" w:tplc="43B03B74" w:tentative="1">
      <w:start w:val="1"/>
      <w:numFmt w:val="bullet"/>
      <w:lvlText w:val=""/>
      <w:lvlJc w:val="left"/>
      <w:pPr>
        <w:tabs>
          <w:tab w:val="num" w:pos="4320"/>
        </w:tabs>
        <w:ind w:left="4320" w:hanging="360"/>
      </w:pPr>
      <w:rPr>
        <w:rFonts w:ascii="Wingdings" w:hAnsi="Wingdings" w:hint="default"/>
      </w:rPr>
    </w:lvl>
    <w:lvl w:ilvl="6" w:tplc="58148216" w:tentative="1">
      <w:start w:val="1"/>
      <w:numFmt w:val="bullet"/>
      <w:lvlText w:val=""/>
      <w:lvlJc w:val="left"/>
      <w:pPr>
        <w:tabs>
          <w:tab w:val="num" w:pos="5040"/>
        </w:tabs>
        <w:ind w:left="5040" w:hanging="360"/>
      </w:pPr>
      <w:rPr>
        <w:rFonts w:ascii="Wingdings" w:hAnsi="Wingdings" w:hint="default"/>
      </w:rPr>
    </w:lvl>
    <w:lvl w:ilvl="7" w:tplc="0F3607AC" w:tentative="1">
      <w:start w:val="1"/>
      <w:numFmt w:val="bullet"/>
      <w:lvlText w:val=""/>
      <w:lvlJc w:val="left"/>
      <w:pPr>
        <w:tabs>
          <w:tab w:val="num" w:pos="5760"/>
        </w:tabs>
        <w:ind w:left="5760" w:hanging="360"/>
      </w:pPr>
      <w:rPr>
        <w:rFonts w:ascii="Wingdings" w:hAnsi="Wingdings" w:hint="default"/>
      </w:rPr>
    </w:lvl>
    <w:lvl w:ilvl="8" w:tplc="9348D93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3346C8"/>
    <w:multiLevelType w:val="hybridMultilevel"/>
    <w:tmpl w:val="76C4DFC0"/>
    <w:lvl w:ilvl="0" w:tplc="70307924">
      <w:start w:val="1"/>
      <w:numFmt w:val="bullet"/>
      <w:lvlText w:val=""/>
      <w:lvlJc w:val="left"/>
      <w:pPr>
        <w:tabs>
          <w:tab w:val="num" w:pos="720"/>
        </w:tabs>
        <w:ind w:left="720" w:hanging="360"/>
      </w:pPr>
      <w:rPr>
        <w:rFonts w:ascii="Wingdings" w:hAnsi="Wingdings" w:hint="default"/>
      </w:rPr>
    </w:lvl>
    <w:lvl w:ilvl="1" w:tplc="CBE0CC52" w:tentative="1">
      <w:start w:val="1"/>
      <w:numFmt w:val="bullet"/>
      <w:lvlText w:val=""/>
      <w:lvlJc w:val="left"/>
      <w:pPr>
        <w:tabs>
          <w:tab w:val="num" w:pos="1440"/>
        </w:tabs>
        <w:ind w:left="1440" w:hanging="360"/>
      </w:pPr>
      <w:rPr>
        <w:rFonts w:ascii="Wingdings" w:hAnsi="Wingdings" w:hint="default"/>
      </w:rPr>
    </w:lvl>
    <w:lvl w:ilvl="2" w:tplc="DC0E8988" w:tentative="1">
      <w:start w:val="1"/>
      <w:numFmt w:val="bullet"/>
      <w:lvlText w:val=""/>
      <w:lvlJc w:val="left"/>
      <w:pPr>
        <w:tabs>
          <w:tab w:val="num" w:pos="2160"/>
        </w:tabs>
        <w:ind w:left="2160" w:hanging="360"/>
      </w:pPr>
      <w:rPr>
        <w:rFonts w:ascii="Wingdings" w:hAnsi="Wingdings" w:hint="default"/>
      </w:rPr>
    </w:lvl>
    <w:lvl w:ilvl="3" w:tplc="B2E0DC0A" w:tentative="1">
      <w:start w:val="1"/>
      <w:numFmt w:val="bullet"/>
      <w:lvlText w:val=""/>
      <w:lvlJc w:val="left"/>
      <w:pPr>
        <w:tabs>
          <w:tab w:val="num" w:pos="2880"/>
        </w:tabs>
        <w:ind w:left="2880" w:hanging="360"/>
      </w:pPr>
      <w:rPr>
        <w:rFonts w:ascii="Wingdings" w:hAnsi="Wingdings" w:hint="default"/>
      </w:rPr>
    </w:lvl>
    <w:lvl w:ilvl="4" w:tplc="2EB0980E" w:tentative="1">
      <w:start w:val="1"/>
      <w:numFmt w:val="bullet"/>
      <w:lvlText w:val=""/>
      <w:lvlJc w:val="left"/>
      <w:pPr>
        <w:tabs>
          <w:tab w:val="num" w:pos="3600"/>
        </w:tabs>
        <w:ind w:left="3600" w:hanging="360"/>
      </w:pPr>
      <w:rPr>
        <w:rFonts w:ascii="Wingdings" w:hAnsi="Wingdings" w:hint="default"/>
      </w:rPr>
    </w:lvl>
    <w:lvl w:ilvl="5" w:tplc="C062FD4A" w:tentative="1">
      <w:start w:val="1"/>
      <w:numFmt w:val="bullet"/>
      <w:lvlText w:val=""/>
      <w:lvlJc w:val="left"/>
      <w:pPr>
        <w:tabs>
          <w:tab w:val="num" w:pos="4320"/>
        </w:tabs>
        <w:ind w:left="4320" w:hanging="360"/>
      </w:pPr>
      <w:rPr>
        <w:rFonts w:ascii="Wingdings" w:hAnsi="Wingdings" w:hint="default"/>
      </w:rPr>
    </w:lvl>
    <w:lvl w:ilvl="6" w:tplc="83249196" w:tentative="1">
      <w:start w:val="1"/>
      <w:numFmt w:val="bullet"/>
      <w:lvlText w:val=""/>
      <w:lvlJc w:val="left"/>
      <w:pPr>
        <w:tabs>
          <w:tab w:val="num" w:pos="5040"/>
        </w:tabs>
        <w:ind w:left="5040" w:hanging="360"/>
      </w:pPr>
      <w:rPr>
        <w:rFonts w:ascii="Wingdings" w:hAnsi="Wingdings" w:hint="default"/>
      </w:rPr>
    </w:lvl>
    <w:lvl w:ilvl="7" w:tplc="906A97C4" w:tentative="1">
      <w:start w:val="1"/>
      <w:numFmt w:val="bullet"/>
      <w:lvlText w:val=""/>
      <w:lvlJc w:val="left"/>
      <w:pPr>
        <w:tabs>
          <w:tab w:val="num" w:pos="5760"/>
        </w:tabs>
        <w:ind w:left="5760" w:hanging="360"/>
      </w:pPr>
      <w:rPr>
        <w:rFonts w:ascii="Wingdings" w:hAnsi="Wingdings" w:hint="default"/>
      </w:rPr>
    </w:lvl>
    <w:lvl w:ilvl="8" w:tplc="E9504D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CC7A32"/>
    <w:multiLevelType w:val="hybridMultilevel"/>
    <w:tmpl w:val="221E2624"/>
    <w:lvl w:ilvl="0" w:tplc="74AEB6A6">
      <w:start w:val="1"/>
      <w:numFmt w:val="bullet"/>
      <w:lvlText w:val="•"/>
      <w:lvlJc w:val="left"/>
      <w:pPr>
        <w:tabs>
          <w:tab w:val="num" w:pos="720"/>
        </w:tabs>
        <w:ind w:left="720" w:hanging="360"/>
      </w:pPr>
      <w:rPr>
        <w:rFonts w:ascii="Arial" w:hAnsi="Arial" w:hint="default"/>
      </w:rPr>
    </w:lvl>
    <w:lvl w:ilvl="1" w:tplc="7B363E14" w:tentative="1">
      <w:start w:val="1"/>
      <w:numFmt w:val="bullet"/>
      <w:lvlText w:val="•"/>
      <w:lvlJc w:val="left"/>
      <w:pPr>
        <w:tabs>
          <w:tab w:val="num" w:pos="1440"/>
        </w:tabs>
        <w:ind w:left="1440" w:hanging="360"/>
      </w:pPr>
      <w:rPr>
        <w:rFonts w:ascii="Arial" w:hAnsi="Arial" w:hint="default"/>
      </w:rPr>
    </w:lvl>
    <w:lvl w:ilvl="2" w:tplc="FA6C8564" w:tentative="1">
      <w:start w:val="1"/>
      <w:numFmt w:val="bullet"/>
      <w:lvlText w:val="•"/>
      <w:lvlJc w:val="left"/>
      <w:pPr>
        <w:tabs>
          <w:tab w:val="num" w:pos="2160"/>
        </w:tabs>
        <w:ind w:left="2160" w:hanging="360"/>
      </w:pPr>
      <w:rPr>
        <w:rFonts w:ascii="Arial" w:hAnsi="Arial" w:hint="default"/>
      </w:rPr>
    </w:lvl>
    <w:lvl w:ilvl="3" w:tplc="F47AB43E" w:tentative="1">
      <w:start w:val="1"/>
      <w:numFmt w:val="bullet"/>
      <w:lvlText w:val="•"/>
      <w:lvlJc w:val="left"/>
      <w:pPr>
        <w:tabs>
          <w:tab w:val="num" w:pos="2880"/>
        </w:tabs>
        <w:ind w:left="2880" w:hanging="360"/>
      </w:pPr>
      <w:rPr>
        <w:rFonts w:ascii="Arial" w:hAnsi="Arial" w:hint="default"/>
      </w:rPr>
    </w:lvl>
    <w:lvl w:ilvl="4" w:tplc="2BFE1986" w:tentative="1">
      <w:start w:val="1"/>
      <w:numFmt w:val="bullet"/>
      <w:lvlText w:val="•"/>
      <w:lvlJc w:val="left"/>
      <w:pPr>
        <w:tabs>
          <w:tab w:val="num" w:pos="3600"/>
        </w:tabs>
        <w:ind w:left="3600" w:hanging="360"/>
      </w:pPr>
      <w:rPr>
        <w:rFonts w:ascii="Arial" w:hAnsi="Arial" w:hint="default"/>
      </w:rPr>
    </w:lvl>
    <w:lvl w:ilvl="5" w:tplc="AA62F78C" w:tentative="1">
      <w:start w:val="1"/>
      <w:numFmt w:val="bullet"/>
      <w:lvlText w:val="•"/>
      <w:lvlJc w:val="left"/>
      <w:pPr>
        <w:tabs>
          <w:tab w:val="num" w:pos="4320"/>
        </w:tabs>
        <w:ind w:left="4320" w:hanging="360"/>
      </w:pPr>
      <w:rPr>
        <w:rFonts w:ascii="Arial" w:hAnsi="Arial" w:hint="default"/>
      </w:rPr>
    </w:lvl>
    <w:lvl w:ilvl="6" w:tplc="61E643D8" w:tentative="1">
      <w:start w:val="1"/>
      <w:numFmt w:val="bullet"/>
      <w:lvlText w:val="•"/>
      <w:lvlJc w:val="left"/>
      <w:pPr>
        <w:tabs>
          <w:tab w:val="num" w:pos="5040"/>
        </w:tabs>
        <w:ind w:left="5040" w:hanging="360"/>
      </w:pPr>
      <w:rPr>
        <w:rFonts w:ascii="Arial" w:hAnsi="Arial" w:hint="default"/>
      </w:rPr>
    </w:lvl>
    <w:lvl w:ilvl="7" w:tplc="36DE3BC4" w:tentative="1">
      <w:start w:val="1"/>
      <w:numFmt w:val="bullet"/>
      <w:lvlText w:val="•"/>
      <w:lvlJc w:val="left"/>
      <w:pPr>
        <w:tabs>
          <w:tab w:val="num" w:pos="5760"/>
        </w:tabs>
        <w:ind w:left="5760" w:hanging="360"/>
      </w:pPr>
      <w:rPr>
        <w:rFonts w:ascii="Arial" w:hAnsi="Arial" w:hint="default"/>
      </w:rPr>
    </w:lvl>
    <w:lvl w:ilvl="8" w:tplc="423C58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E901FE9"/>
    <w:multiLevelType w:val="hybridMultilevel"/>
    <w:tmpl w:val="AA20FE7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
  </w:num>
  <w:num w:numId="5">
    <w:abstractNumId w:val="0"/>
  </w:num>
  <w:num w:numId="6">
    <w:abstractNumId w:val="16"/>
  </w:num>
  <w:num w:numId="7">
    <w:abstractNumId w:val="24"/>
  </w:num>
  <w:num w:numId="8">
    <w:abstractNumId w:val="12"/>
  </w:num>
  <w:num w:numId="9">
    <w:abstractNumId w:val="9"/>
  </w:num>
  <w:num w:numId="10">
    <w:abstractNumId w:val="3"/>
  </w:num>
  <w:num w:numId="11">
    <w:abstractNumId w:val="5"/>
  </w:num>
  <w:num w:numId="12">
    <w:abstractNumId w:val="25"/>
  </w:num>
  <w:num w:numId="13">
    <w:abstractNumId w:val="23"/>
  </w:num>
  <w:num w:numId="14">
    <w:abstractNumId w:val="19"/>
  </w:num>
  <w:num w:numId="15">
    <w:abstractNumId w:val="13"/>
  </w:num>
  <w:num w:numId="16">
    <w:abstractNumId w:val="17"/>
  </w:num>
  <w:num w:numId="17">
    <w:abstractNumId w:val="18"/>
  </w:num>
  <w:num w:numId="18">
    <w:abstractNumId w:val="26"/>
  </w:num>
  <w:num w:numId="19">
    <w:abstractNumId w:val="6"/>
  </w:num>
  <w:num w:numId="20">
    <w:abstractNumId w:val="22"/>
  </w:num>
  <w:num w:numId="21">
    <w:abstractNumId w:val="4"/>
  </w:num>
  <w:num w:numId="22">
    <w:abstractNumId w:val="21"/>
  </w:num>
  <w:num w:numId="23">
    <w:abstractNumId w:val="11"/>
  </w:num>
  <w:num w:numId="24">
    <w:abstractNumId w:val="8"/>
  </w:num>
  <w:num w:numId="25">
    <w:abstractNumId w:val="20"/>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o6M382N3NK9OOJ3GRTG6VdiaCGmrc1oDZ1dQYULNAnVWHBdxGfX+yUIwiYxLZS8v8S3TiRRUh/bAFTFOtzCzA==" w:salt="aM8foHnBFZ9f2BHT5A7eD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1B"/>
    <w:rsid w:val="0000085A"/>
    <w:rsid w:val="00011DC1"/>
    <w:rsid w:val="0001401F"/>
    <w:rsid w:val="00026DCA"/>
    <w:rsid w:val="00027E78"/>
    <w:rsid w:val="0003318B"/>
    <w:rsid w:val="00036A8B"/>
    <w:rsid w:val="00041056"/>
    <w:rsid w:val="00045C72"/>
    <w:rsid w:val="0004605C"/>
    <w:rsid w:val="00053A32"/>
    <w:rsid w:val="000547A2"/>
    <w:rsid w:val="00067B32"/>
    <w:rsid w:val="0007392A"/>
    <w:rsid w:val="00076A47"/>
    <w:rsid w:val="00081BB0"/>
    <w:rsid w:val="000839F8"/>
    <w:rsid w:val="00085DF1"/>
    <w:rsid w:val="0009357C"/>
    <w:rsid w:val="0009389D"/>
    <w:rsid w:val="000A220B"/>
    <w:rsid w:val="000A6259"/>
    <w:rsid w:val="000B0F7B"/>
    <w:rsid w:val="000C2D03"/>
    <w:rsid w:val="000C4E35"/>
    <w:rsid w:val="000C5661"/>
    <w:rsid w:val="000F45BB"/>
    <w:rsid w:val="000F5F31"/>
    <w:rsid w:val="000F6DBD"/>
    <w:rsid w:val="00105CCE"/>
    <w:rsid w:val="00113CB1"/>
    <w:rsid w:val="0011401E"/>
    <w:rsid w:val="001147C3"/>
    <w:rsid w:val="00117E78"/>
    <w:rsid w:val="001227FE"/>
    <w:rsid w:val="00154E36"/>
    <w:rsid w:val="0017753B"/>
    <w:rsid w:val="00180964"/>
    <w:rsid w:val="00183234"/>
    <w:rsid w:val="0018634C"/>
    <w:rsid w:val="001909BE"/>
    <w:rsid w:val="001918EB"/>
    <w:rsid w:val="00193B2D"/>
    <w:rsid w:val="00196DD0"/>
    <w:rsid w:val="001B23CB"/>
    <w:rsid w:val="001B6D7C"/>
    <w:rsid w:val="001B703A"/>
    <w:rsid w:val="001C3F1B"/>
    <w:rsid w:val="001C61B5"/>
    <w:rsid w:val="001D02A0"/>
    <w:rsid w:val="001D6170"/>
    <w:rsid w:val="001D7E23"/>
    <w:rsid w:val="001F277B"/>
    <w:rsid w:val="001F7D2C"/>
    <w:rsid w:val="002026DC"/>
    <w:rsid w:val="00204086"/>
    <w:rsid w:val="002041E6"/>
    <w:rsid w:val="0020423A"/>
    <w:rsid w:val="00210B7F"/>
    <w:rsid w:val="00213FA6"/>
    <w:rsid w:val="002141FE"/>
    <w:rsid w:val="00214849"/>
    <w:rsid w:val="00215D64"/>
    <w:rsid w:val="002163C7"/>
    <w:rsid w:val="00220151"/>
    <w:rsid w:val="00221AAC"/>
    <w:rsid w:val="00236CA9"/>
    <w:rsid w:val="00237191"/>
    <w:rsid w:val="00240946"/>
    <w:rsid w:val="00243275"/>
    <w:rsid w:val="00243461"/>
    <w:rsid w:val="00251610"/>
    <w:rsid w:val="00253CA2"/>
    <w:rsid w:val="00253D8D"/>
    <w:rsid w:val="00254762"/>
    <w:rsid w:val="00257519"/>
    <w:rsid w:val="00260325"/>
    <w:rsid w:val="00261C88"/>
    <w:rsid w:val="00265A6F"/>
    <w:rsid w:val="00270B9C"/>
    <w:rsid w:val="00273438"/>
    <w:rsid w:val="002736F3"/>
    <w:rsid w:val="00273AB5"/>
    <w:rsid w:val="002751C8"/>
    <w:rsid w:val="00277DD3"/>
    <w:rsid w:val="00282C93"/>
    <w:rsid w:val="0028301A"/>
    <w:rsid w:val="0028757E"/>
    <w:rsid w:val="002A51F3"/>
    <w:rsid w:val="002A6A4B"/>
    <w:rsid w:val="002B71CC"/>
    <w:rsid w:val="002C46AB"/>
    <w:rsid w:val="002C6AEF"/>
    <w:rsid w:val="002D0146"/>
    <w:rsid w:val="002D158A"/>
    <w:rsid w:val="002E1BAC"/>
    <w:rsid w:val="002F3D41"/>
    <w:rsid w:val="003004E7"/>
    <w:rsid w:val="0030131C"/>
    <w:rsid w:val="003148EE"/>
    <w:rsid w:val="003156CD"/>
    <w:rsid w:val="00317B31"/>
    <w:rsid w:val="00320F35"/>
    <w:rsid w:val="00320F9C"/>
    <w:rsid w:val="00335993"/>
    <w:rsid w:val="00340165"/>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86FAE"/>
    <w:rsid w:val="003A4E5A"/>
    <w:rsid w:val="003A5204"/>
    <w:rsid w:val="003A70CE"/>
    <w:rsid w:val="003B0676"/>
    <w:rsid w:val="003B1738"/>
    <w:rsid w:val="003B20EA"/>
    <w:rsid w:val="003C6FEB"/>
    <w:rsid w:val="00407CC4"/>
    <w:rsid w:val="00421BEA"/>
    <w:rsid w:val="00431FFC"/>
    <w:rsid w:val="00432126"/>
    <w:rsid w:val="00445673"/>
    <w:rsid w:val="004544AE"/>
    <w:rsid w:val="004668BF"/>
    <w:rsid w:val="004755F8"/>
    <w:rsid w:val="0047593B"/>
    <w:rsid w:val="00475A8F"/>
    <w:rsid w:val="0048086A"/>
    <w:rsid w:val="0048746C"/>
    <w:rsid w:val="0049213F"/>
    <w:rsid w:val="004930AA"/>
    <w:rsid w:val="00496B93"/>
    <w:rsid w:val="00497711"/>
    <w:rsid w:val="004A1540"/>
    <w:rsid w:val="004B373F"/>
    <w:rsid w:val="004B6342"/>
    <w:rsid w:val="004B7456"/>
    <w:rsid w:val="004C5B22"/>
    <w:rsid w:val="004C724E"/>
    <w:rsid w:val="004E10F9"/>
    <w:rsid w:val="004E1777"/>
    <w:rsid w:val="004E2D40"/>
    <w:rsid w:val="004E5D21"/>
    <w:rsid w:val="0050118E"/>
    <w:rsid w:val="005011AD"/>
    <w:rsid w:val="005130AA"/>
    <w:rsid w:val="00513B4F"/>
    <w:rsid w:val="00515D2B"/>
    <w:rsid w:val="0051636B"/>
    <w:rsid w:val="00531B93"/>
    <w:rsid w:val="00534E43"/>
    <w:rsid w:val="005459D0"/>
    <w:rsid w:val="005504E6"/>
    <w:rsid w:val="00550EEA"/>
    <w:rsid w:val="005602A6"/>
    <w:rsid w:val="005718A0"/>
    <w:rsid w:val="0057519A"/>
    <w:rsid w:val="00585347"/>
    <w:rsid w:val="00590152"/>
    <w:rsid w:val="00595395"/>
    <w:rsid w:val="0059625B"/>
    <w:rsid w:val="00596AB4"/>
    <w:rsid w:val="005A32C2"/>
    <w:rsid w:val="005B45E6"/>
    <w:rsid w:val="005B67A2"/>
    <w:rsid w:val="005C18D2"/>
    <w:rsid w:val="005C6147"/>
    <w:rsid w:val="005E7559"/>
    <w:rsid w:val="0060734E"/>
    <w:rsid w:val="00615FBF"/>
    <w:rsid w:val="00623D36"/>
    <w:rsid w:val="00626619"/>
    <w:rsid w:val="006321F4"/>
    <w:rsid w:val="00642CF0"/>
    <w:rsid w:val="00646C5C"/>
    <w:rsid w:val="00660185"/>
    <w:rsid w:val="00661973"/>
    <w:rsid w:val="0066494B"/>
    <w:rsid w:val="0066756A"/>
    <w:rsid w:val="006731F1"/>
    <w:rsid w:val="00681878"/>
    <w:rsid w:val="00682F24"/>
    <w:rsid w:val="00683504"/>
    <w:rsid w:val="00692A55"/>
    <w:rsid w:val="006A0F2F"/>
    <w:rsid w:val="006A45C6"/>
    <w:rsid w:val="006A474B"/>
    <w:rsid w:val="006A779D"/>
    <w:rsid w:val="006B715B"/>
    <w:rsid w:val="006B7846"/>
    <w:rsid w:val="006B7F7A"/>
    <w:rsid w:val="006C0086"/>
    <w:rsid w:val="006C1542"/>
    <w:rsid w:val="006C1D3B"/>
    <w:rsid w:val="006C1F07"/>
    <w:rsid w:val="006C23C7"/>
    <w:rsid w:val="006C3068"/>
    <w:rsid w:val="006C772C"/>
    <w:rsid w:val="006D5482"/>
    <w:rsid w:val="006E0DAC"/>
    <w:rsid w:val="006E31FB"/>
    <w:rsid w:val="006E7C0F"/>
    <w:rsid w:val="006F7DB3"/>
    <w:rsid w:val="007062BD"/>
    <w:rsid w:val="00711E6C"/>
    <w:rsid w:val="007122C1"/>
    <w:rsid w:val="00714185"/>
    <w:rsid w:val="00723211"/>
    <w:rsid w:val="00735384"/>
    <w:rsid w:val="00737234"/>
    <w:rsid w:val="00741FB8"/>
    <w:rsid w:val="00751002"/>
    <w:rsid w:val="007605D2"/>
    <w:rsid w:val="007621C9"/>
    <w:rsid w:val="00765327"/>
    <w:rsid w:val="00774273"/>
    <w:rsid w:val="007749FC"/>
    <w:rsid w:val="00780AB2"/>
    <w:rsid w:val="0078672A"/>
    <w:rsid w:val="00797660"/>
    <w:rsid w:val="007A3F16"/>
    <w:rsid w:val="007B2EB9"/>
    <w:rsid w:val="007B5EDF"/>
    <w:rsid w:val="007C2929"/>
    <w:rsid w:val="007C3229"/>
    <w:rsid w:val="007C39B9"/>
    <w:rsid w:val="007D1844"/>
    <w:rsid w:val="007D6EF8"/>
    <w:rsid w:val="007E31DD"/>
    <w:rsid w:val="007F614F"/>
    <w:rsid w:val="007F66D6"/>
    <w:rsid w:val="008006FA"/>
    <w:rsid w:val="00803214"/>
    <w:rsid w:val="008110AA"/>
    <w:rsid w:val="00811427"/>
    <w:rsid w:val="00816939"/>
    <w:rsid w:val="00824A1B"/>
    <w:rsid w:val="00825856"/>
    <w:rsid w:val="008343A2"/>
    <w:rsid w:val="00834957"/>
    <w:rsid w:val="00834A2F"/>
    <w:rsid w:val="00846281"/>
    <w:rsid w:val="00851373"/>
    <w:rsid w:val="00854DE9"/>
    <w:rsid w:val="00861680"/>
    <w:rsid w:val="00863372"/>
    <w:rsid w:val="00870163"/>
    <w:rsid w:val="00873D00"/>
    <w:rsid w:val="00876A4E"/>
    <w:rsid w:val="00895A5D"/>
    <w:rsid w:val="00896BC6"/>
    <w:rsid w:val="00897D2D"/>
    <w:rsid w:val="008A5E9F"/>
    <w:rsid w:val="008B5841"/>
    <w:rsid w:val="008C29F7"/>
    <w:rsid w:val="008D35D8"/>
    <w:rsid w:val="008D6E0F"/>
    <w:rsid w:val="008F38A8"/>
    <w:rsid w:val="008F6931"/>
    <w:rsid w:val="008F6C96"/>
    <w:rsid w:val="00911F06"/>
    <w:rsid w:val="00912E19"/>
    <w:rsid w:val="00916843"/>
    <w:rsid w:val="00921E7D"/>
    <w:rsid w:val="00922836"/>
    <w:rsid w:val="009230E0"/>
    <w:rsid w:val="009306E0"/>
    <w:rsid w:val="00932561"/>
    <w:rsid w:val="00932DF5"/>
    <w:rsid w:val="00940420"/>
    <w:rsid w:val="00960E35"/>
    <w:rsid w:val="009669CF"/>
    <w:rsid w:val="00977876"/>
    <w:rsid w:val="00986348"/>
    <w:rsid w:val="00991E19"/>
    <w:rsid w:val="009B06B3"/>
    <w:rsid w:val="009C11C0"/>
    <w:rsid w:val="009D03FE"/>
    <w:rsid w:val="009D70A8"/>
    <w:rsid w:val="009D78B0"/>
    <w:rsid w:val="009E1B07"/>
    <w:rsid w:val="009F2788"/>
    <w:rsid w:val="009F62A9"/>
    <w:rsid w:val="00A11E1D"/>
    <w:rsid w:val="00A3046D"/>
    <w:rsid w:val="00A3146D"/>
    <w:rsid w:val="00A330FA"/>
    <w:rsid w:val="00A44379"/>
    <w:rsid w:val="00A536DE"/>
    <w:rsid w:val="00A57ECD"/>
    <w:rsid w:val="00A70A82"/>
    <w:rsid w:val="00A7333C"/>
    <w:rsid w:val="00A73DC5"/>
    <w:rsid w:val="00A775DD"/>
    <w:rsid w:val="00A7794E"/>
    <w:rsid w:val="00A837EB"/>
    <w:rsid w:val="00A972D6"/>
    <w:rsid w:val="00AA4E2A"/>
    <w:rsid w:val="00AA59B2"/>
    <w:rsid w:val="00AB15C1"/>
    <w:rsid w:val="00AB1E41"/>
    <w:rsid w:val="00AB2826"/>
    <w:rsid w:val="00AB4B39"/>
    <w:rsid w:val="00AB7A21"/>
    <w:rsid w:val="00AD4F06"/>
    <w:rsid w:val="00AE1290"/>
    <w:rsid w:val="00AE7AB3"/>
    <w:rsid w:val="00AF4C49"/>
    <w:rsid w:val="00B00832"/>
    <w:rsid w:val="00B019A0"/>
    <w:rsid w:val="00B2152C"/>
    <w:rsid w:val="00B34414"/>
    <w:rsid w:val="00B3640B"/>
    <w:rsid w:val="00B36CE6"/>
    <w:rsid w:val="00B40313"/>
    <w:rsid w:val="00B44E9F"/>
    <w:rsid w:val="00B5583C"/>
    <w:rsid w:val="00B568B7"/>
    <w:rsid w:val="00B56F87"/>
    <w:rsid w:val="00B6435D"/>
    <w:rsid w:val="00B64449"/>
    <w:rsid w:val="00B66D8C"/>
    <w:rsid w:val="00B9095B"/>
    <w:rsid w:val="00B91D21"/>
    <w:rsid w:val="00BA3517"/>
    <w:rsid w:val="00BA3C35"/>
    <w:rsid w:val="00BA58F6"/>
    <w:rsid w:val="00BA6FAB"/>
    <w:rsid w:val="00BA7805"/>
    <w:rsid w:val="00BB034D"/>
    <w:rsid w:val="00BC1E08"/>
    <w:rsid w:val="00BD11AC"/>
    <w:rsid w:val="00BD2E05"/>
    <w:rsid w:val="00BE0F52"/>
    <w:rsid w:val="00BE25C9"/>
    <w:rsid w:val="00BE3BA5"/>
    <w:rsid w:val="00BE3F9C"/>
    <w:rsid w:val="00BE452A"/>
    <w:rsid w:val="00BF0AE8"/>
    <w:rsid w:val="00BF0C80"/>
    <w:rsid w:val="00BF124E"/>
    <w:rsid w:val="00C0084E"/>
    <w:rsid w:val="00C01425"/>
    <w:rsid w:val="00C055D9"/>
    <w:rsid w:val="00C12152"/>
    <w:rsid w:val="00C154CF"/>
    <w:rsid w:val="00C27C77"/>
    <w:rsid w:val="00C308C3"/>
    <w:rsid w:val="00C3164E"/>
    <w:rsid w:val="00C36F84"/>
    <w:rsid w:val="00C42332"/>
    <w:rsid w:val="00C43D93"/>
    <w:rsid w:val="00C4730D"/>
    <w:rsid w:val="00C50AAF"/>
    <w:rsid w:val="00C66F1B"/>
    <w:rsid w:val="00C676D8"/>
    <w:rsid w:val="00C80B39"/>
    <w:rsid w:val="00CA3661"/>
    <w:rsid w:val="00CA42F6"/>
    <w:rsid w:val="00CC0A79"/>
    <w:rsid w:val="00CC60FC"/>
    <w:rsid w:val="00CC7940"/>
    <w:rsid w:val="00CD7A02"/>
    <w:rsid w:val="00CF0E50"/>
    <w:rsid w:val="00CF1654"/>
    <w:rsid w:val="00CF4BE9"/>
    <w:rsid w:val="00D034AB"/>
    <w:rsid w:val="00D10663"/>
    <w:rsid w:val="00D13B6B"/>
    <w:rsid w:val="00D20AA0"/>
    <w:rsid w:val="00D20F50"/>
    <w:rsid w:val="00D22B80"/>
    <w:rsid w:val="00D264D1"/>
    <w:rsid w:val="00D330C4"/>
    <w:rsid w:val="00D336DE"/>
    <w:rsid w:val="00D33E9B"/>
    <w:rsid w:val="00D35784"/>
    <w:rsid w:val="00D37592"/>
    <w:rsid w:val="00D40BB0"/>
    <w:rsid w:val="00D40E46"/>
    <w:rsid w:val="00D509A7"/>
    <w:rsid w:val="00D54758"/>
    <w:rsid w:val="00D5611E"/>
    <w:rsid w:val="00D60482"/>
    <w:rsid w:val="00D61F89"/>
    <w:rsid w:val="00D6374D"/>
    <w:rsid w:val="00D72C3B"/>
    <w:rsid w:val="00D804CC"/>
    <w:rsid w:val="00DA156E"/>
    <w:rsid w:val="00DA4C56"/>
    <w:rsid w:val="00DB38FB"/>
    <w:rsid w:val="00DC32CD"/>
    <w:rsid w:val="00DE0BBA"/>
    <w:rsid w:val="00DE7715"/>
    <w:rsid w:val="00E0071B"/>
    <w:rsid w:val="00E2143B"/>
    <w:rsid w:val="00E25651"/>
    <w:rsid w:val="00E31F79"/>
    <w:rsid w:val="00E36CAB"/>
    <w:rsid w:val="00E473B2"/>
    <w:rsid w:val="00E555F5"/>
    <w:rsid w:val="00E6222D"/>
    <w:rsid w:val="00E63068"/>
    <w:rsid w:val="00E63BC8"/>
    <w:rsid w:val="00E646C7"/>
    <w:rsid w:val="00E71A73"/>
    <w:rsid w:val="00E76C46"/>
    <w:rsid w:val="00E8788A"/>
    <w:rsid w:val="00E97960"/>
    <w:rsid w:val="00E979D2"/>
    <w:rsid w:val="00EA53B9"/>
    <w:rsid w:val="00EC02B6"/>
    <w:rsid w:val="00EC3F97"/>
    <w:rsid w:val="00EC5921"/>
    <w:rsid w:val="00EC6324"/>
    <w:rsid w:val="00EC7E01"/>
    <w:rsid w:val="00EE139E"/>
    <w:rsid w:val="00EE228C"/>
    <w:rsid w:val="00EE2CC8"/>
    <w:rsid w:val="00EE4383"/>
    <w:rsid w:val="00EE491C"/>
    <w:rsid w:val="00EE5F65"/>
    <w:rsid w:val="00EF7D85"/>
    <w:rsid w:val="00F00FF1"/>
    <w:rsid w:val="00F1305E"/>
    <w:rsid w:val="00F16E81"/>
    <w:rsid w:val="00F276DB"/>
    <w:rsid w:val="00F30531"/>
    <w:rsid w:val="00F31891"/>
    <w:rsid w:val="00F343EA"/>
    <w:rsid w:val="00F357CB"/>
    <w:rsid w:val="00F42278"/>
    <w:rsid w:val="00F4480B"/>
    <w:rsid w:val="00F53DC5"/>
    <w:rsid w:val="00F541D9"/>
    <w:rsid w:val="00F5602D"/>
    <w:rsid w:val="00F62ADF"/>
    <w:rsid w:val="00F81477"/>
    <w:rsid w:val="00F83C00"/>
    <w:rsid w:val="00F84994"/>
    <w:rsid w:val="00F9130B"/>
    <w:rsid w:val="00F938FD"/>
    <w:rsid w:val="00F97718"/>
    <w:rsid w:val="00FA1809"/>
    <w:rsid w:val="00FA2104"/>
    <w:rsid w:val="00FA4CCB"/>
    <w:rsid w:val="00FB3BE3"/>
    <w:rsid w:val="00FC103B"/>
    <w:rsid w:val="00FC257F"/>
    <w:rsid w:val="00FC3B82"/>
    <w:rsid w:val="00FC5364"/>
    <w:rsid w:val="00FD106D"/>
    <w:rsid w:val="00FE0884"/>
    <w:rsid w:val="00FE310F"/>
    <w:rsid w:val="00FE4822"/>
    <w:rsid w:val="00FE5454"/>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150CD"/>
  <w15:docId w15:val="{3BEA3BD0-4FC3-4869-8E2A-163C92AF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65570">
      <w:bodyDiv w:val="1"/>
      <w:marLeft w:val="0"/>
      <w:marRight w:val="0"/>
      <w:marTop w:val="0"/>
      <w:marBottom w:val="0"/>
      <w:divBdr>
        <w:top w:val="none" w:sz="0" w:space="0" w:color="auto"/>
        <w:left w:val="none" w:sz="0" w:space="0" w:color="auto"/>
        <w:bottom w:val="none" w:sz="0" w:space="0" w:color="auto"/>
        <w:right w:val="none" w:sz="0" w:space="0" w:color="auto"/>
      </w:divBdr>
    </w:div>
    <w:div w:id="642387089">
      <w:bodyDiv w:val="1"/>
      <w:marLeft w:val="0"/>
      <w:marRight w:val="0"/>
      <w:marTop w:val="0"/>
      <w:marBottom w:val="0"/>
      <w:divBdr>
        <w:top w:val="none" w:sz="0" w:space="0" w:color="auto"/>
        <w:left w:val="none" w:sz="0" w:space="0" w:color="auto"/>
        <w:bottom w:val="none" w:sz="0" w:space="0" w:color="auto"/>
        <w:right w:val="none" w:sz="0" w:space="0" w:color="auto"/>
      </w:divBdr>
    </w:div>
    <w:div w:id="652878329">
      <w:bodyDiv w:val="1"/>
      <w:marLeft w:val="0"/>
      <w:marRight w:val="0"/>
      <w:marTop w:val="0"/>
      <w:marBottom w:val="0"/>
      <w:divBdr>
        <w:top w:val="none" w:sz="0" w:space="0" w:color="auto"/>
        <w:left w:val="none" w:sz="0" w:space="0" w:color="auto"/>
        <w:bottom w:val="none" w:sz="0" w:space="0" w:color="auto"/>
        <w:right w:val="none" w:sz="0" w:space="0" w:color="auto"/>
      </w:divBdr>
    </w:div>
    <w:div w:id="679426096">
      <w:bodyDiv w:val="1"/>
      <w:marLeft w:val="0"/>
      <w:marRight w:val="0"/>
      <w:marTop w:val="0"/>
      <w:marBottom w:val="0"/>
      <w:divBdr>
        <w:top w:val="none" w:sz="0" w:space="0" w:color="auto"/>
        <w:left w:val="none" w:sz="0" w:space="0" w:color="auto"/>
        <w:bottom w:val="none" w:sz="0" w:space="0" w:color="auto"/>
        <w:right w:val="none" w:sz="0" w:space="0" w:color="auto"/>
      </w:divBdr>
      <w:divsChild>
        <w:div w:id="429669630">
          <w:marLeft w:val="533"/>
          <w:marRight w:val="0"/>
          <w:marTop w:val="115"/>
          <w:marBottom w:val="0"/>
          <w:divBdr>
            <w:top w:val="none" w:sz="0" w:space="0" w:color="auto"/>
            <w:left w:val="none" w:sz="0" w:space="0" w:color="auto"/>
            <w:bottom w:val="none" w:sz="0" w:space="0" w:color="auto"/>
            <w:right w:val="none" w:sz="0" w:space="0" w:color="auto"/>
          </w:divBdr>
        </w:div>
        <w:div w:id="2131901037">
          <w:marLeft w:val="533"/>
          <w:marRight w:val="0"/>
          <w:marTop w:val="115"/>
          <w:marBottom w:val="0"/>
          <w:divBdr>
            <w:top w:val="none" w:sz="0" w:space="0" w:color="auto"/>
            <w:left w:val="none" w:sz="0" w:space="0" w:color="auto"/>
            <w:bottom w:val="none" w:sz="0" w:space="0" w:color="auto"/>
            <w:right w:val="none" w:sz="0" w:space="0" w:color="auto"/>
          </w:divBdr>
        </w:div>
        <w:div w:id="1406875743">
          <w:marLeft w:val="533"/>
          <w:marRight w:val="0"/>
          <w:marTop w:val="115"/>
          <w:marBottom w:val="0"/>
          <w:divBdr>
            <w:top w:val="none" w:sz="0" w:space="0" w:color="auto"/>
            <w:left w:val="none" w:sz="0" w:space="0" w:color="auto"/>
            <w:bottom w:val="none" w:sz="0" w:space="0" w:color="auto"/>
            <w:right w:val="none" w:sz="0" w:space="0" w:color="auto"/>
          </w:divBdr>
        </w:div>
      </w:divsChild>
    </w:div>
    <w:div w:id="735976863">
      <w:bodyDiv w:val="1"/>
      <w:marLeft w:val="0"/>
      <w:marRight w:val="0"/>
      <w:marTop w:val="0"/>
      <w:marBottom w:val="0"/>
      <w:divBdr>
        <w:top w:val="none" w:sz="0" w:space="0" w:color="auto"/>
        <w:left w:val="none" w:sz="0" w:space="0" w:color="auto"/>
        <w:bottom w:val="none" w:sz="0" w:space="0" w:color="auto"/>
        <w:right w:val="none" w:sz="0" w:space="0" w:color="auto"/>
      </w:divBdr>
    </w:div>
    <w:div w:id="1099643442">
      <w:bodyDiv w:val="1"/>
      <w:marLeft w:val="0"/>
      <w:marRight w:val="0"/>
      <w:marTop w:val="0"/>
      <w:marBottom w:val="0"/>
      <w:divBdr>
        <w:top w:val="none" w:sz="0" w:space="0" w:color="auto"/>
        <w:left w:val="none" w:sz="0" w:space="0" w:color="auto"/>
        <w:bottom w:val="none" w:sz="0" w:space="0" w:color="auto"/>
        <w:right w:val="none" w:sz="0" w:space="0" w:color="auto"/>
      </w:divBdr>
      <w:divsChild>
        <w:div w:id="1199467783">
          <w:marLeft w:val="547"/>
          <w:marRight w:val="850"/>
          <w:marTop w:val="0"/>
          <w:marBottom w:val="0"/>
          <w:divBdr>
            <w:top w:val="none" w:sz="0" w:space="0" w:color="auto"/>
            <w:left w:val="none" w:sz="0" w:space="0" w:color="auto"/>
            <w:bottom w:val="none" w:sz="0" w:space="0" w:color="auto"/>
            <w:right w:val="none" w:sz="0" w:space="0" w:color="auto"/>
          </w:divBdr>
        </w:div>
        <w:div w:id="1095443813">
          <w:marLeft w:val="547"/>
          <w:marRight w:val="850"/>
          <w:marTop w:val="0"/>
          <w:marBottom w:val="0"/>
          <w:divBdr>
            <w:top w:val="none" w:sz="0" w:space="0" w:color="auto"/>
            <w:left w:val="none" w:sz="0" w:space="0" w:color="auto"/>
            <w:bottom w:val="none" w:sz="0" w:space="0" w:color="auto"/>
            <w:right w:val="none" w:sz="0" w:space="0" w:color="auto"/>
          </w:divBdr>
        </w:div>
        <w:div w:id="1055817016">
          <w:marLeft w:val="547"/>
          <w:marRight w:val="850"/>
          <w:marTop w:val="0"/>
          <w:marBottom w:val="0"/>
          <w:divBdr>
            <w:top w:val="none" w:sz="0" w:space="0" w:color="auto"/>
            <w:left w:val="none" w:sz="0" w:space="0" w:color="auto"/>
            <w:bottom w:val="none" w:sz="0" w:space="0" w:color="auto"/>
            <w:right w:val="none" w:sz="0" w:space="0" w:color="auto"/>
          </w:divBdr>
        </w:div>
        <w:div w:id="258755145">
          <w:marLeft w:val="547"/>
          <w:marRight w:val="850"/>
          <w:marTop w:val="0"/>
          <w:marBottom w:val="0"/>
          <w:divBdr>
            <w:top w:val="none" w:sz="0" w:space="0" w:color="auto"/>
            <w:left w:val="none" w:sz="0" w:space="0" w:color="auto"/>
            <w:bottom w:val="none" w:sz="0" w:space="0" w:color="auto"/>
            <w:right w:val="none" w:sz="0" w:space="0" w:color="auto"/>
          </w:divBdr>
        </w:div>
        <w:div w:id="101926057">
          <w:marLeft w:val="547"/>
          <w:marRight w:val="850"/>
          <w:marTop w:val="0"/>
          <w:marBottom w:val="0"/>
          <w:divBdr>
            <w:top w:val="none" w:sz="0" w:space="0" w:color="auto"/>
            <w:left w:val="none" w:sz="0" w:space="0" w:color="auto"/>
            <w:bottom w:val="none" w:sz="0" w:space="0" w:color="auto"/>
            <w:right w:val="none" w:sz="0" w:space="0" w:color="auto"/>
          </w:divBdr>
        </w:div>
        <w:div w:id="1010835303">
          <w:marLeft w:val="547"/>
          <w:marRight w:val="850"/>
          <w:marTop w:val="0"/>
          <w:marBottom w:val="0"/>
          <w:divBdr>
            <w:top w:val="none" w:sz="0" w:space="0" w:color="auto"/>
            <w:left w:val="none" w:sz="0" w:space="0" w:color="auto"/>
            <w:bottom w:val="none" w:sz="0" w:space="0" w:color="auto"/>
            <w:right w:val="none" w:sz="0" w:space="0" w:color="auto"/>
          </w:divBdr>
        </w:div>
      </w:divsChild>
    </w:div>
    <w:div w:id="1099763490">
      <w:bodyDiv w:val="1"/>
      <w:marLeft w:val="0"/>
      <w:marRight w:val="0"/>
      <w:marTop w:val="0"/>
      <w:marBottom w:val="0"/>
      <w:divBdr>
        <w:top w:val="none" w:sz="0" w:space="0" w:color="auto"/>
        <w:left w:val="none" w:sz="0" w:space="0" w:color="auto"/>
        <w:bottom w:val="none" w:sz="0" w:space="0" w:color="auto"/>
        <w:right w:val="none" w:sz="0" w:space="0" w:color="auto"/>
      </w:divBdr>
      <w:divsChild>
        <w:div w:id="1015880541">
          <w:marLeft w:val="533"/>
          <w:marRight w:val="0"/>
          <w:marTop w:val="115"/>
          <w:marBottom w:val="0"/>
          <w:divBdr>
            <w:top w:val="none" w:sz="0" w:space="0" w:color="auto"/>
            <w:left w:val="none" w:sz="0" w:space="0" w:color="auto"/>
            <w:bottom w:val="none" w:sz="0" w:space="0" w:color="auto"/>
            <w:right w:val="none" w:sz="0" w:space="0" w:color="auto"/>
          </w:divBdr>
        </w:div>
        <w:div w:id="1291008569">
          <w:marLeft w:val="533"/>
          <w:marRight w:val="0"/>
          <w:marTop w:val="115"/>
          <w:marBottom w:val="0"/>
          <w:divBdr>
            <w:top w:val="none" w:sz="0" w:space="0" w:color="auto"/>
            <w:left w:val="none" w:sz="0" w:space="0" w:color="auto"/>
            <w:bottom w:val="none" w:sz="0" w:space="0" w:color="auto"/>
            <w:right w:val="none" w:sz="0" w:space="0" w:color="auto"/>
          </w:divBdr>
        </w:div>
      </w:divsChild>
    </w:div>
    <w:div w:id="1127891386">
      <w:bodyDiv w:val="1"/>
      <w:marLeft w:val="0"/>
      <w:marRight w:val="0"/>
      <w:marTop w:val="0"/>
      <w:marBottom w:val="0"/>
      <w:divBdr>
        <w:top w:val="none" w:sz="0" w:space="0" w:color="auto"/>
        <w:left w:val="none" w:sz="0" w:space="0" w:color="auto"/>
        <w:bottom w:val="none" w:sz="0" w:space="0" w:color="auto"/>
        <w:right w:val="none" w:sz="0" w:space="0" w:color="auto"/>
      </w:divBdr>
    </w:div>
    <w:div w:id="1445802693">
      <w:bodyDiv w:val="1"/>
      <w:marLeft w:val="0"/>
      <w:marRight w:val="0"/>
      <w:marTop w:val="0"/>
      <w:marBottom w:val="0"/>
      <w:divBdr>
        <w:top w:val="none" w:sz="0" w:space="0" w:color="auto"/>
        <w:left w:val="none" w:sz="0" w:space="0" w:color="auto"/>
        <w:bottom w:val="none" w:sz="0" w:space="0" w:color="auto"/>
        <w:right w:val="none" w:sz="0" w:space="0" w:color="auto"/>
      </w:divBdr>
    </w:div>
    <w:div w:id="1638955286">
      <w:bodyDiv w:val="1"/>
      <w:marLeft w:val="0"/>
      <w:marRight w:val="0"/>
      <w:marTop w:val="0"/>
      <w:marBottom w:val="0"/>
      <w:divBdr>
        <w:top w:val="none" w:sz="0" w:space="0" w:color="auto"/>
        <w:left w:val="none" w:sz="0" w:space="0" w:color="auto"/>
        <w:bottom w:val="none" w:sz="0" w:space="0" w:color="auto"/>
        <w:right w:val="none" w:sz="0" w:space="0" w:color="auto"/>
      </w:divBdr>
    </w:div>
    <w:div w:id="1682663771">
      <w:bodyDiv w:val="1"/>
      <w:marLeft w:val="0"/>
      <w:marRight w:val="0"/>
      <w:marTop w:val="0"/>
      <w:marBottom w:val="0"/>
      <w:divBdr>
        <w:top w:val="none" w:sz="0" w:space="0" w:color="auto"/>
        <w:left w:val="none" w:sz="0" w:space="0" w:color="auto"/>
        <w:bottom w:val="none" w:sz="0" w:space="0" w:color="auto"/>
        <w:right w:val="none" w:sz="0" w:space="0" w:color="auto"/>
      </w:divBdr>
    </w:div>
    <w:div w:id="1723940084">
      <w:bodyDiv w:val="1"/>
      <w:marLeft w:val="0"/>
      <w:marRight w:val="0"/>
      <w:marTop w:val="0"/>
      <w:marBottom w:val="0"/>
      <w:divBdr>
        <w:top w:val="none" w:sz="0" w:space="0" w:color="auto"/>
        <w:left w:val="none" w:sz="0" w:space="0" w:color="auto"/>
        <w:bottom w:val="none" w:sz="0" w:space="0" w:color="auto"/>
        <w:right w:val="none" w:sz="0" w:space="0" w:color="auto"/>
      </w:divBdr>
      <w:divsChild>
        <w:div w:id="413820399">
          <w:marLeft w:val="533"/>
          <w:marRight w:val="0"/>
          <w:marTop w:val="115"/>
          <w:marBottom w:val="0"/>
          <w:divBdr>
            <w:top w:val="none" w:sz="0" w:space="0" w:color="auto"/>
            <w:left w:val="none" w:sz="0" w:space="0" w:color="auto"/>
            <w:bottom w:val="none" w:sz="0" w:space="0" w:color="auto"/>
            <w:right w:val="none" w:sz="0" w:space="0" w:color="auto"/>
          </w:divBdr>
        </w:div>
        <w:div w:id="838085461">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2583</TotalTime>
  <Pages>29</Pages>
  <Words>9458</Words>
  <Characters>51775</Characters>
  <Application>Microsoft Office Word</Application>
  <DocSecurity>8</DocSecurity>
  <Lines>431</Lines>
  <Paragraphs>122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Borbón Jiménez Isabel</cp:lastModifiedBy>
  <cp:revision>109</cp:revision>
  <cp:lastPrinted>2011-09-07T16:03:00Z</cp:lastPrinted>
  <dcterms:created xsi:type="dcterms:W3CDTF">2020-07-07T13:53:00Z</dcterms:created>
  <dcterms:modified xsi:type="dcterms:W3CDTF">2020-07-14T23:25:00Z</dcterms:modified>
</cp:coreProperties>
</file>