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4C2749" w14:textId="77777777" w:rsidR="00FA4CCB" w:rsidRDefault="00FA4CCB">
      <w:pPr>
        <w:pStyle w:val="Ttulo"/>
        <w:ind w:right="51"/>
        <w:rPr>
          <w:rFonts w:cs="Arial"/>
        </w:rPr>
      </w:pPr>
      <w:r>
        <w:rPr>
          <w:rFonts w:cs="Arial"/>
        </w:rPr>
        <w:t>BANCO HIPOTECARIO DE LA VIVIENDA</w:t>
      </w:r>
    </w:p>
    <w:p w14:paraId="408C149B" w14:textId="77777777" w:rsidR="00FA4CCB" w:rsidRDefault="00FA4CCB">
      <w:pPr>
        <w:spacing w:line="360" w:lineRule="auto"/>
        <w:ind w:right="51"/>
        <w:jc w:val="center"/>
        <w:rPr>
          <w:rFonts w:cs="Arial"/>
          <w:b/>
          <w:sz w:val="22"/>
          <w:u w:val="single"/>
        </w:rPr>
      </w:pPr>
      <w:r>
        <w:rPr>
          <w:rFonts w:cs="Arial"/>
          <w:b/>
          <w:sz w:val="22"/>
          <w:u w:val="single"/>
        </w:rPr>
        <w:t>JUNTA DIRECTIVA</w:t>
      </w:r>
    </w:p>
    <w:p w14:paraId="58FF462A" w14:textId="77777777" w:rsidR="00FA4CCB" w:rsidRDefault="00FA4CCB">
      <w:pPr>
        <w:spacing w:line="360" w:lineRule="auto"/>
        <w:ind w:right="51"/>
        <w:jc w:val="center"/>
        <w:rPr>
          <w:rFonts w:cs="Arial"/>
          <w:b/>
          <w:sz w:val="22"/>
          <w:u w:val="single"/>
        </w:rPr>
      </w:pPr>
    </w:p>
    <w:p w14:paraId="54339A84" w14:textId="4E18ED80" w:rsidR="00FA1809" w:rsidRDefault="00FA1809">
      <w:pPr>
        <w:spacing w:line="360" w:lineRule="auto"/>
        <w:ind w:right="51"/>
        <w:jc w:val="center"/>
        <w:rPr>
          <w:rFonts w:cs="Arial"/>
          <w:b/>
          <w:sz w:val="22"/>
          <w:u w:val="single"/>
        </w:rPr>
      </w:pPr>
      <w:r>
        <w:rPr>
          <w:rFonts w:cs="Arial"/>
          <w:b/>
          <w:sz w:val="22"/>
          <w:u w:val="single"/>
        </w:rPr>
        <w:t xml:space="preserve">MINUTA DEL ACTA DE LA </w:t>
      </w:r>
      <w:r w:rsidR="00FA4CCB">
        <w:rPr>
          <w:rFonts w:cs="Arial"/>
          <w:b/>
          <w:sz w:val="22"/>
          <w:u w:val="single"/>
        </w:rPr>
        <w:t xml:space="preserve">SESION </w:t>
      </w:r>
      <w:r w:rsidR="00F4049D">
        <w:rPr>
          <w:rFonts w:cs="Arial"/>
          <w:b/>
          <w:sz w:val="22"/>
          <w:u w:val="single"/>
        </w:rPr>
        <w:t>EXTRA</w:t>
      </w:r>
      <w:r w:rsidR="00FA4CCB">
        <w:rPr>
          <w:rFonts w:cs="Arial"/>
          <w:b/>
          <w:sz w:val="22"/>
          <w:u w:val="single"/>
        </w:rPr>
        <w:t xml:space="preserve">ORDINARIA </w:t>
      </w:r>
      <w:r>
        <w:rPr>
          <w:rFonts w:cs="Arial"/>
          <w:b/>
          <w:sz w:val="22"/>
          <w:u w:val="single"/>
        </w:rPr>
        <w:t xml:space="preserve">N° </w:t>
      </w:r>
      <w:r w:rsidR="00F4049D">
        <w:rPr>
          <w:rFonts w:cs="Arial"/>
          <w:b/>
          <w:sz w:val="22"/>
          <w:u w:val="single"/>
        </w:rPr>
        <w:t>48</w:t>
      </w:r>
      <w:r>
        <w:rPr>
          <w:rFonts w:cs="Arial"/>
          <w:b/>
          <w:sz w:val="22"/>
          <w:u w:val="single"/>
        </w:rPr>
        <w:t>-20</w:t>
      </w:r>
      <w:r w:rsidR="00E97960">
        <w:rPr>
          <w:rFonts w:cs="Arial"/>
          <w:b/>
          <w:sz w:val="22"/>
          <w:u w:val="single"/>
        </w:rPr>
        <w:t>20</w:t>
      </w:r>
    </w:p>
    <w:p w14:paraId="5ABB8AF3" w14:textId="76632578" w:rsidR="00FA4CCB" w:rsidRDefault="00FA4CCB">
      <w:pPr>
        <w:spacing w:line="360" w:lineRule="auto"/>
        <w:ind w:right="51"/>
        <w:jc w:val="center"/>
        <w:rPr>
          <w:rFonts w:cs="Arial"/>
          <w:b/>
          <w:sz w:val="22"/>
          <w:u w:val="single"/>
        </w:rPr>
      </w:pPr>
      <w:r>
        <w:rPr>
          <w:rFonts w:cs="Arial"/>
          <w:b/>
          <w:sz w:val="22"/>
          <w:u w:val="single"/>
        </w:rPr>
        <w:t xml:space="preserve">DEL </w:t>
      </w:r>
      <w:r w:rsidR="00F4049D">
        <w:rPr>
          <w:rFonts w:cs="Arial"/>
          <w:b/>
          <w:sz w:val="22"/>
          <w:u w:val="single"/>
        </w:rPr>
        <w:t>25</w:t>
      </w:r>
      <w:r>
        <w:rPr>
          <w:rFonts w:cs="Arial"/>
          <w:b/>
          <w:sz w:val="22"/>
          <w:u w:val="single"/>
        </w:rPr>
        <w:t xml:space="preserve"> DE </w:t>
      </w:r>
      <w:r w:rsidR="00F4049D">
        <w:rPr>
          <w:rFonts w:cs="Arial"/>
          <w:b/>
          <w:sz w:val="22"/>
          <w:u w:val="single"/>
        </w:rPr>
        <w:t>JUNIO</w:t>
      </w:r>
      <w:r>
        <w:rPr>
          <w:rFonts w:cs="Arial"/>
          <w:b/>
          <w:sz w:val="22"/>
          <w:u w:val="single"/>
        </w:rPr>
        <w:t xml:space="preserve"> DE 20</w:t>
      </w:r>
      <w:r w:rsidR="00E97960">
        <w:rPr>
          <w:rFonts w:cs="Arial"/>
          <w:b/>
          <w:sz w:val="22"/>
          <w:u w:val="single"/>
        </w:rPr>
        <w:t>20</w:t>
      </w:r>
    </w:p>
    <w:p w14:paraId="67CE73AD" w14:textId="77777777" w:rsidR="00FA1809" w:rsidRPr="00FA1809" w:rsidRDefault="00FA1809">
      <w:pPr>
        <w:spacing w:line="360" w:lineRule="auto"/>
        <w:ind w:right="51"/>
        <w:jc w:val="center"/>
        <w:rPr>
          <w:rFonts w:cs="Arial"/>
          <w:b/>
          <w:sz w:val="22"/>
        </w:rPr>
      </w:pPr>
      <w:r w:rsidRPr="00FA1809">
        <w:rPr>
          <w:rFonts w:cs="Arial"/>
          <w:b/>
          <w:sz w:val="22"/>
        </w:rPr>
        <w:t>(Acta grabada en soporte digital)</w:t>
      </w:r>
    </w:p>
    <w:p w14:paraId="7638A729" w14:textId="77777777" w:rsidR="00FA4CCB" w:rsidRDefault="00FA4CCB">
      <w:pPr>
        <w:spacing w:line="360" w:lineRule="auto"/>
        <w:ind w:right="51"/>
        <w:jc w:val="center"/>
        <w:rPr>
          <w:rFonts w:cs="Arial"/>
          <w:b/>
          <w:sz w:val="22"/>
          <w:u w:val="single"/>
        </w:rPr>
      </w:pPr>
    </w:p>
    <w:p w14:paraId="7671BEA3" w14:textId="2D328FDC" w:rsidR="00FA4CCB" w:rsidRDefault="009D03FE" w:rsidP="0066494B">
      <w:pPr>
        <w:spacing w:line="360" w:lineRule="auto"/>
        <w:jc w:val="both"/>
        <w:rPr>
          <w:rFonts w:cs="Arial"/>
          <w:sz w:val="22"/>
        </w:rPr>
      </w:pPr>
      <w:r w:rsidRPr="009D03FE">
        <w:rPr>
          <w:rFonts w:cs="Arial"/>
          <w:sz w:val="22"/>
          <w:u w:val="single"/>
        </w:rPr>
        <w:t>Minuto: 0:00</w:t>
      </w:r>
      <w:r>
        <w:rPr>
          <w:rFonts w:cs="Arial"/>
          <w:sz w:val="22"/>
        </w:rPr>
        <w:t xml:space="preserve"> </w:t>
      </w:r>
      <w:r w:rsidR="00DF0537">
        <w:rPr>
          <w:rFonts w:cs="Arial"/>
          <w:sz w:val="22"/>
        </w:rPr>
        <w:t xml:space="preserve">Por medio de videoconferencia que consta en los archivos de la Secretaría de la </w:t>
      </w:r>
      <w:r w:rsidR="00DF0537" w:rsidRPr="00B85537">
        <w:rPr>
          <w:rFonts w:cs="Arial"/>
          <w:sz w:val="22"/>
          <w:lang w:val="es-ES_tradnl"/>
        </w:rPr>
        <w:t>Junta Directiva</w:t>
      </w:r>
      <w:r w:rsidR="00DF0537">
        <w:rPr>
          <w:rFonts w:cs="Arial"/>
          <w:sz w:val="22"/>
        </w:rPr>
        <w:t xml:space="preserve"> y al amparo de las consideraciones y disposiciones señaladas en el acuerdo N° 10 de la sesión 21-2020, del 16 de marzo de 2020, se inicia la sesión a las diecisiete horas en la sede del BANHVI, con la asistencia de los siguientes Directores</w:t>
      </w:r>
      <w:r w:rsidR="00FA4CCB">
        <w:rPr>
          <w:rFonts w:cs="Arial"/>
          <w:sz w:val="22"/>
        </w:rPr>
        <w:t xml:space="preserve">: </w:t>
      </w:r>
      <w:r w:rsidR="00A536DE">
        <w:rPr>
          <w:rFonts w:cs="Arial"/>
          <w:sz w:val="22"/>
        </w:rPr>
        <w:t>Irene Campos Gómez</w:t>
      </w:r>
      <w:r w:rsidR="00373B50">
        <w:rPr>
          <w:rFonts w:cs="Arial"/>
          <w:sz w:val="22"/>
        </w:rPr>
        <w:t>, President</w:t>
      </w:r>
      <w:r w:rsidR="00A536DE">
        <w:rPr>
          <w:rFonts w:cs="Arial"/>
          <w:sz w:val="22"/>
        </w:rPr>
        <w:t>a</w:t>
      </w:r>
      <w:r w:rsidR="00373B50">
        <w:rPr>
          <w:rFonts w:cs="Arial"/>
          <w:sz w:val="22"/>
        </w:rPr>
        <w:t xml:space="preserve">; </w:t>
      </w:r>
      <w:r w:rsidR="006E7C0F">
        <w:rPr>
          <w:rFonts w:cs="Arial"/>
          <w:sz w:val="22"/>
        </w:rPr>
        <w:t xml:space="preserve">Dania Chavarría Núñez, Vicepresidenta; Guillermo Alvarado Herrera, Jorge Carranza González, Marian Pérez Gutiérrez, </w:t>
      </w:r>
      <w:r w:rsidR="00A536DE">
        <w:rPr>
          <w:rFonts w:cs="Arial"/>
          <w:sz w:val="22"/>
        </w:rPr>
        <w:t>Kenneth Pérez Venegas</w:t>
      </w:r>
      <w:r w:rsidR="00373B50">
        <w:rPr>
          <w:rFonts w:cs="Arial"/>
          <w:sz w:val="22"/>
        </w:rPr>
        <w:t xml:space="preserve"> </w:t>
      </w:r>
      <w:r w:rsidR="00A536DE">
        <w:rPr>
          <w:rFonts w:cs="Arial"/>
          <w:sz w:val="22"/>
        </w:rPr>
        <w:t>y Eloísa Ulibarri Pernús</w:t>
      </w:r>
      <w:r w:rsidR="00373B50">
        <w:rPr>
          <w:rFonts w:cs="Arial"/>
          <w:sz w:val="22"/>
        </w:rPr>
        <w:t>.</w:t>
      </w:r>
    </w:p>
    <w:p w14:paraId="04AB5F0A" w14:textId="77777777" w:rsidR="00AD4F06" w:rsidRDefault="00AD4F06" w:rsidP="0066494B">
      <w:pPr>
        <w:spacing w:line="360" w:lineRule="auto"/>
        <w:jc w:val="both"/>
        <w:rPr>
          <w:rFonts w:cs="Arial"/>
          <w:sz w:val="22"/>
        </w:rPr>
      </w:pPr>
    </w:p>
    <w:p w14:paraId="3D69C4CC" w14:textId="0011AC55" w:rsidR="00FA4CCB" w:rsidRDefault="00DF0537" w:rsidP="0066494B">
      <w:pPr>
        <w:spacing w:line="360" w:lineRule="auto"/>
        <w:jc w:val="both"/>
        <w:rPr>
          <w:rFonts w:cs="Arial"/>
          <w:sz w:val="22"/>
        </w:rPr>
      </w:pPr>
      <w:r>
        <w:rPr>
          <w:rFonts w:cs="Arial"/>
          <w:sz w:val="22"/>
        </w:rPr>
        <w:t xml:space="preserve">Participan </w:t>
      </w:r>
      <w:r w:rsidR="00FA4CCB">
        <w:rPr>
          <w:rFonts w:cs="Arial"/>
          <w:sz w:val="22"/>
        </w:rPr>
        <w:t xml:space="preserve">también los siguientes funcionarios: </w:t>
      </w:r>
      <w:r w:rsidR="00E97960">
        <w:rPr>
          <w:rFonts w:cs="Arial"/>
          <w:sz w:val="22"/>
        </w:rPr>
        <w:t xml:space="preserve">Dagoberto Hidalgo Cortés, </w:t>
      </w:r>
      <w:r w:rsidR="00DB38FB">
        <w:rPr>
          <w:rFonts w:cs="Arial"/>
          <w:sz w:val="22"/>
        </w:rPr>
        <w:t>Gerente General;</w:t>
      </w:r>
      <w:r w:rsidR="00BF0C80">
        <w:rPr>
          <w:rFonts w:cs="Arial"/>
          <w:sz w:val="22"/>
        </w:rPr>
        <w:t xml:space="preserve"> </w:t>
      </w:r>
      <w:r>
        <w:rPr>
          <w:rFonts w:cs="Arial"/>
          <w:sz w:val="22"/>
        </w:rPr>
        <w:t xml:space="preserve">Mauricio González Zumbado, funcionario de la </w:t>
      </w:r>
      <w:r w:rsidRPr="00DF0537">
        <w:rPr>
          <w:rFonts w:cs="Arial"/>
          <w:sz w:val="22"/>
          <w:lang w:val="es-ES_tradnl"/>
        </w:rPr>
        <w:t>Auditoría Interna</w:t>
      </w:r>
      <w:r>
        <w:rPr>
          <w:rFonts w:cs="Arial"/>
          <w:sz w:val="22"/>
          <w:lang w:val="es-ES_tradnl"/>
        </w:rPr>
        <w:t>; Rodolfo</w:t>
      </w:r>
      <w:r w:rsidR="00FA4CCB">
        <w:rPr>
          <w:rFonts w:cs="Arial"/>
          <w:sz w:val="22"/>
        </w:rPr>
        <w:t xml:space="preserve"> Mora Villalobos, Asesor Legal;</w:t>
      </w:r>
      <w:r w:rsidR="00FA4CCB">
        <w:rPr>
          <w:bCs/>
          <w:sz w:val="22"/>
        </w:rPr>
        <w:t xml:space="preserve"> </w:t>
      </w:r>
      <w:r w:rsidR="00FA4CCB">
        <w:rPr>
          <w:rFonts w:cs="Arial"/>
          <w:sz w:val="22"/>
        </w:rPr>
        <w:t>y David López Pacheco, Secretario de Junta Directiva.</w:t>
      </w:r>
    </w:p>
    <w:p w14:paraId="1DAF8880" w14:textId="77777777" w:rsidR="007749FC" w:rsidRDefault="007749FC" w:rsidP="0066494B">
      <w:pPr>
        <w:spacing w:line="360" w:lineRule="auto"/>
        <w:jc w:val="both"/>
        <w:rPr>
          <w:rFonts w:cs="Arial"/>
          <w:sz w:val="22"/>
        </w:rPr>
      </w:pPr>
    </w:p>
    <w:p w14:paraId="7214476D" w14:textId="7B16AF71" w:rsidR="007749FC" w:rsidRDefault="007749FC" w:rsidP="0066494B">
      <w:pPr>
        <w:spacing w:line="360" w:lineRule="auto"/>
        <w:jc w:val="both"/>
        <w:rPr>
          <w:rFonts w:cs="Arial"/>
          <w:sz w:val="22"/>
        </w:rPr>
      </w:pPr>
      <w:r>
        <w:rPr>
          <w:rFonts w:cs="Arial"/>
          <w:sz w:val="22"/>
        </w:rPr>
        <w:t>Ausente con justificación:</w:t>
      </w:r>
      <w:r w:rsidR="00DF0537" w:rsidRPr="00DF0537">
        <w:rPr>
          <w:rFonts w:cs="Arial"/>
          <w:sz w:val="22"/>
        </w:rPr>
        <w:t xml:space="preserve"> </w:t>
      </w:r>
      <w:r w:rsidR="00DF0537">
        <w:rPr>
          <w:rFonts w:cs="Arial"/>
          <w:sz w:val="22"/>
        </w:rPr>
        <w:t xml:space="preserve">Gustavo Flores Oviedo, </w:t>
      </w:r>
      <w:r w:rsidR="00DF0537">
        <w:rPr>
          <w:rFonts w:cs="Arial"/>
          <w:sz w:val="22"/>
          <w:szCs w:val="22"/>
        </w:rPr>
        <w:t>Auditor Interno</w:t>
      </w:r>
      <w:r w:rsidR="00DF0537">
        <w:rPr>
          <w:rFonts w:cs="Arial"/>
          <w:sz w:val="22"/>
        </w:rPr>
        <w:t>.</w:t>
      </w:r>
    </w:p>
    <w:p w14:paraId="0F0511E4" w14:textId="77777777" w:rsidR="006321F4" w:rsidRPr="00D14EAF" w:rsidRDefault="006321F4" w:rsidP="006321F4">
      <w:pPr>
        <w:spacing w:line="360" w:lineRule="auto"/>
        <w:jc w:val="both"/>
        <w:rPr>
          <w:rFonts w:cs="Arial"/>
          <w:b/>
          <w:sz w:val="22"/>
        </w:rPr>
      </w:pPr>
      <w:r w:rsidRPr="00D14EAF">
        <w:rPr>
          <w:rFonts w:cs="Arial"/>
          <w:b/>
          <w:sz w:val="22"/>
        </w:rPr>
        <w:t>************</w:t>
      </w:r>
    </w:p>
    <w:p w14:paraId="508C23E1" w14:textId="77777777" w:rsidR="00FA4CCB" w:rsidRDefault="00FA4CCB" w:rsidP="0066494B">
      <w:pPr>
        <w:spacing w:line="360" w:lineRule="auto"/>
        <w:jc w:val="both"/>
        <w:rPr>
          <w:rFonts w:cs="Arial"/>
          <w:sz w:val="22"/>
        </w:rPr>
      </w:pPr>
    </w:p>
    <w:p w14:paraId="2B495697" w14:textId="77777777" w:rsidR="00FA4CCB" w:rsidRDefault="00FA4CCB" w:rsidP="0066494B">
      <w:pPr>
        <w:pStyle w:val="Ttulo4"/>
        <w:spacing w:line="360" w:lineRule="auto"/>
        <w:jc w:val="both"/>
        <w:rPr>
          <w:rFonts w:cs="Arial"/>
        </w:rPr>
      </w:pPr>
      <w:r>
        <w:rPr>
          <w:rFonts w:cs="Arial"/>
        </w:rPr>
        <w:t>Asuntos conocidos en la presente sesión</w:t>
      </w:r>
    </w:p>
    <w:p w14:paraId="378BAF41" w14:textId="77777777" w:rsidR="00FA4CCB" w:rsidRDefault="00FA4CCB" w:rsidP="0066494B">
      <w:pPr>
        <w:spacing w:line="360" w:lineRule="auto"/>
        <w:jc w:val="both"/>
        <w:rPr>
          <w:rFonts w:cs="Arial"/>
          <w:b/>
          <w:sz w:val="22"/>
        </w:rPr>
      </w:pPr>
    </w:p>
    <w:p w14:paraId="04CF26A3" w14:textId="77777777" w:rsidR="00FA4CCB" w:rsidRDefault="00FA4CCB" w:rsidP="0066494B">
      <w:pPr>
        <w:spacing w:line="360" w:lineRule="auto"/>
        <w:jc w:val="both"/>
        <w:rPr>
          <w:rFonts w:cs="Arial"/>
          <w:sz w:val="22"/>
        </w:rPr>
      </w:pPr>
      <w:r>
        <w:rPr>
          <w:rFonts w:cs="Arial"/>
          <w:sz w:val="22"/>
        </w:rPr>
        <w:t>La Junta Directiva conoce los siguientes asuntos en la presente sesión:</w:t>
      </w:r>
    </w:p>
    <w:p w14:paraId="56902AB2" w14:textId="77777777" w:rsidR="00F4049D" w:rsidRPr="001F5F07" w:rsidRDefault="00F4049D" w:rsidP="001F5F07">
      <w:pPr>
        <w:pStyle w:val="Prrafodelista"/>
        <w:numPr>
          <w:ilvl w:val="0"/>
          <w:numId w:val="20"/>
        </w:numPr>
        <w:spacing w:line="360" w:lineRule="auto"/>
        <w:ind w:left="426" w:hanging="426"/>
        <w:jc w:val="both"/>
        <w:rPr>
          <w:rFonts w:cs="Arial"/>
          <w:sz w:val="22"/>
          <w:lang w:val="es-ES_tradnl"/>
        </w:rPr>
      </w:pPr>
      <w:r w:rsidRPr="001F5F07">
        <w:rPr>
          <w:rFonts w:cs="Arial"/>
          <w:sz w:val="22"/>
          <w:lang w:val="es-ES_tradnl"/>
        </w:rPr>
        <w:t>Revisión de la propuesta de</w:t>
      </w:r>
      <w:r w:rsidRPr="001F5F07">
        <w:rPr>
          <w:rFonts w:cs="Arial"/>
          <w:sz w:val="22"/>
        </w:rPr>
        <w:t xml:space="preserve"> “</w:t>
      </w:r>
      <w:r w:rsidRPr="001F5F07">
        <w:rPr>
          <w:rFonts w:cs="Arial"/>
          <w:i/>
          <w:iCs/>
          <w:sz w:val="22"/>
          <w:lang w:val="es-ES_tradnl"/>
        </w:rPr>
        <w:t>Convenio de colaboración interinstitucional Banco Hipotecario de la Vivienda Ministerio de Trabajo y Seguridad Social Dirección Desarrollo Social Y Asignaciones Familiares Programa: Fondo de Subsidios para la Vivienda (FOSUVI)</w:t>
      </w:r>
      <w:r w:rsidRPr="001F5F07">
        <w:rPr>
          <w:rFonts w:cs="Arial"/>
          <w:sz w:val="22"/>
          <w:lang w:val="es-ES_tradnl"/>
        </w:rPr>
        <w:t>”.</w:t>
      </w:r>
    </w:p>
    <w:p w14:paraId="18A7F613" w14:textId="69276FFB" w:rsidR="00F4049D" w:rsidRPr="001F5F07" w:rsidRDefault="00F4049D" w:rsidP="001F5F07">
      <w:pPr>
        <w:pStyle w:val="Prrafodelista"/>
        <w:numPr>
          <w:ilvl w:val="0"/>
          <w:numId w:val="20"/>
        </w:numPr>
        <w:spacing w:line="360" w:lineRule="auto"/>
        <w:ind w:left="426" w:hanging="426"/>
        <w:jc w:val="both"/>
        <w:rPr>
          <w:rFonts w:cs="Arial"/>
          <w:sz w:val="22"/>
        </w:rPr>
      </w:pPr>
      <w:r w:rsidRPr="001F5F07">
        <w:rPr>
          <w:rFonts w:cs="Arial"/>
          <w:sz w:val="22"/>
          <w:lang w:val="es-ES_tradnl"/>
        </w:rPr>
        <w:t>Propuesta de renovación de contrato de fideicomiso 010-2002 administrado por la MUCAP.</w:t>
      </w:r>
    </w:p>
    <w:p w14:paraId="25327AF9" w14:textId="45D6C740" w:rsidR="00F4049D" w:rsidRPr="001F5F07" w:rsidRDefault="00F4049D" w:rsidP="001F5F07">
      <w:pPr>
        <w:pStyle w:val="Prrafodelista"/>
        <w:numPr>
          <w:ilvl w:val="0"/>
          <w:numId w:val="20"/>
        </w:numPr>
        <w:spacing w:line="360" w:lineRule="auto"/>
        <w:ind w:left="426" w:hanging="426"/>
        <w:jc w:val="both"/>
        <w:rPr>
          <w:rFonts w:cs="Arial"/>
          <w:sz w:val="22"/>
        </w:rPr>
      </w:pPr>
      <w:r w:rsidRPr="001F5F07">
        <w:rPr>
          <w:rFonts w:cs="Arial"/>
          <w:sz w:val="22"/>
          <w:lang w:val="es-ES_tradnl"/>
        </w:rPr>
        <w:t>Propuesta de actualización de la “</w:t>
      </w:r>
      <w:r w:rsidRPr="001F5F07">
        <w:rPr>
          <w:rFonts w:cs="Arial"/>
          <w:i/>
          <w:iCs/>
          <w:sz w:val="22"/>
          <w:lang w:val="es-ES_tradnl"/>
        </w:rPr>
        <w:t>Metodología para el análisis de la capacidad de pago de las entidades deudoras del BANHVI</w:t>
      </w:r>
      <w:r w:rsidRPr="001F5F07">
        <w:rPr>
          <w:rFonts w:cs="Arial"/>
          <w:sz w:val="22"/>
          <w:lang w:val="es-ES_tradnl"/>
        </w:rPr>
        <w:t>”.</w:t>
      </w:r>
    </w:p>
    <w:p w14:paraId="06EBE1B8" w14:textId="0E600305" w:rsidR="007749FC" w:rsidRPr="001F5F07" w:rsidRDefault="00F4049D" w:rsidP="001F5F07">
      <w:pPr>
        <w:pStyle w:val="Prrafodelista"/>
        <w:numPr>
          <w:ilvl w:val="0"/>
          <w:numId w:val="20"/>
        </w:numPr>
        <w:spacing w:line="360" w:lineRule="auto"/>
        <w:ind w:left="426" w:hanging="426"/>
        <w:jc w:val="both"/>
        <w:rPr>
          <w:rFonts w:cs="Arial"/>
          <w:sz w:val="22"/>
        </w:rPr>
      </w:pPr>
      <w:r w:rsidRPr="001F5F07">
        <w:rPr>
          <w:rFonts w:cs="Arial"/>
          <w:sz w:val="22"/>
          <w:lang w:val="es-ES_tradnl"/>
        </w:rPr>
        <w:t>Primer informe de diagnóstico de la Oficialía de Cumplimiento Normativo.</w:t>
      </w:r>
    </w:p>
    <w:p w14:paraId="223EF9BB" w14:textId="77777777" w:rsidR="006321F4" w:rsidRPr="00D14EAF" w:rsidRDefault="006321F4" w:rsidP="006321F4">
      <w:pPr>
        <w:spacing w:line="360" w:lineRule="auto"/>
        <w:jc w:val="both"/>
        <w:rPr>
          <w:rFonts w:cs="Arial"/>
          <w:b/>
          <w:sz w:val="22"/>
        </w:rPr>
      </w:pPr>
      <w:r w:rsidRPr="00D14EAF">
        <w:rPr>
          <w:rFonts w:cs="Arial"/>
          <w:b/>
          <w:sz w:val="22"/>
        </w:rPr>
        <w:lastRenderedPageBreak/>
        <w:t>************</w:t>
      </w:r>
    </w:p>
    <w:p w14:paraId="64FF4303" w14:textId="77777777" w:rsidR="007F614F" w:rsidRPr="00AB2826" w:rsidRDefault="007F614F" w:rsidP="002D0146">
      <w:pPr>
        <w:spacing w:line="360" w:lineRule="auto"/>
        <w:jc w:val="both"/>
        <w:rPr>
          <w:rFonts w:cs="Arial"/>
          <w:b/>
          <w:sz w:val="22"/>
          <w:szCs w:val="22"/>
          <w:u w:val="single"/>
          <w:lang w:val="es-ES_tradnl"/>
        </w:rPr>
      </w:pPr>
    </w:p>
    <w:p w14:paraId="2FBAC041" w14:textId="7C585526" w:rsidR="00AD4F06" w:rsidRPr="00AD4F06" w:rsidRDefault="00320F35" w:rsidP="002D0146">
      <w:pPr>
        <w:spacing w:line="360" w:lineRule="auto"/>
        <w:jc w:val="both"/>
        <w:outlineLvl w:val="0"/>
        <w:rPr>
          <w:rFonts w:cs="Arial"/>
          <w:sz w:val="22"/>
          <w:szCs w:val="22"/>
          <w:lang w:val="es-ES_tradnl"/>
        </w:rPr>
      </w:pPr>
      <w:r>
        <w:rPr>
          <w:rFonts w:cs="Arial"/>
          <w:b/>
          <w:sz w:val="22"/>
          <w:szCs w:val="22"/>
          <w:lang w:val="es-ES_tradnl"/>
        </w:rPr>
        <w:t xml:space="preserve">1° </w:t>
      </w:r>
      <w:r w:rsidR="001F5F07" w:rsidRPr="001F5F07">
        <w:rPr>
          <w:rFonts w:cs="Arial"/>
          <w:b/>
          <w:bCs/>
          <w:sz w:val="22"/>
          <w:u w:val="single"/>
          <w:lang w:val="es-ES_tradnl"/>
        </w:rPr>
        <w:t>Revisión de la propuesta de</w:t>
      </w:r>
      <w:r w:rsidR="001F5F07" w:rsidRPr="001F5F07">
        <w:rPr>
          <w:rFonts w:cs="Arial"/>
          <w:b/>
          <w:bCs/>
          <w:sz w:val="22"/>
          <w:u w:val="single"/>
        </w:rPr>
        <w:t xml:space="preserve"> “</w:t>
      </w:r>
      <w:r w:rsidR="001F5F07" w:rsidRPr="001F5F07">
        <w:rPr>
          <w:rFonts w:cs="Arial"/>
          <w:b/>
          <w:bCs/>
          <w:i/>
          <w:iCs/>
          <w:sz w:val="22"/>
          <w:u w:val="single"/>
          <w:lang w:val="es-ES_tradnl"/>
        </w:rPr>
        <w:t>Convenio de colaboración interinstitucional Banco Hipotecario de la Vivienda Ministerio de Trabajo y Seguridad Social Dirección Desarrollo Social Y Asignaciones Familiares Programa: Fondo de Subsidios para la Vivienda (FOSUVI)</w:t>
      </w:r>
      <w:r w:rsidR="001F5F07" w:rsidRPr="001F5F07">
        <w:rPr>
          <w:rFonts w:cs="Arial"/>
          <w:b/>
          <w:bCs/>
          <w:sz w:val="22"/>
          <w:u w:val="single"/>
          <w:lang w:val="es-ES_tradnl"/>
        </w:rPr>
        <w:t>”</w:t>
      </w:r>
    </w:p>
    <w:p w14:paraId="2A6E4240" w14:textId="77777777" w:rsidR="00FA4CCB" w:rsidRDefault="00FA4CCB" w:rsidP="002D0146">
      <w:pPr>
        <w:spacing w:line="360" w:lineRule="auto"/>
        <w:jc w:val="both"/>
        <w:rPr>
          <w:rFonts w:cs="Arial"/>
          <w:sz w:val="22"/>
          <w:szCs w:val="22"/>
        </w:rPr>
      </w:pPr>
    </w:p>
    <w:p w14:paraId="212FB6BA" w14:textId="7B4A89FC" w:rsidR="0091039C" w:rsidRDefault="0091039C" w:rsidP="0091039C">
      <w:pPr>
        <w:spacing w:line="360" w:lineRule="auto"/>
        <w:jc w:val="both"/>
        <w:rPr>
          <w:rFonts w:cs="Arial"/>
          <w:sz w:val="22"/>
          <w:lang w:val="es-ES_tradnl"/>
        </w:rPr>
      </w:pPr>
      <w:r w:rsidRPr="0039311E">
        <w:rPr>
          <w:rFonts w:cs="Arial"/>
          <w:sz w:val="22"/>
          <w:u w:val="single"/>
          <w:lang w:val="es-ES_tradnl"/>
        </w:rPr>
        <w:t xml:space="preserve">Minuto </w:t>
      </w:r>
      <w:r w:rsidR="00FF1BB7">
        <w:rPr>
          <w:rFonts w:cs="Arial"/>
          <w:sz w:val="22"/>
          <w:u w:val="single"/>
          <w:lang w:val="es-ES_tradnl"/>
        </w:rPr>
        <w:t>00</w:t>
      </w:r>
      <w:r w:rsidRPr="0039311E">
        <w:rPr>
          <w:rFonts w:cs="Arial"/>
          <w:sz w:val="22"/>
          <w:u w:val="single"/>
          <w:lang w:val="es-ES_tradnl"/>
        </w:rPr>
        <w:t>:</w:t>
      </w:r>
      <w:r w:rsidR="00FF1BB7">
        <w:rPr>
          <w:rFonts w:cs="Arial"/>
          <w:sz w:val="22"/>
          <w:u w:val="single"/>
          <w:lang w:val="es-ES_tradnl"/>
        </w:rPr>
        <w:t>50</w:t>
      </w:r>
      <w:r>
        <w:rPr>
          <w:rFonts w:cs="Arial"/>
          <w:sz w:val="22"/>
          <w:lang w:val="es-ES_tradnl"/>
        </w:rPr>
        <w:t xml:space="preserve"> </w:t>
      </w:r>
      <w:r w:rsidR="00FF1BB7">
        <w:rPr>
          <w:rFonts w:cs="Arial"/>
          <w:sz w:val="22"/>
          <w:lang w:val="es-ES_tradnl"/>
        </w:rPr>
        <w:t xml:space="preserve">La </w:t>
      </w:r>
      <w:r w:rsidR="00FF1BB7" w:rsidRPr="00FF1BB7">
        <w:rPr>
          <w:rFonts w:cs="Arial"/>
          <w:sz w:val="22"/>
          <w:lang w:val="es-ES_tradnl"/>
        </w:rPr>
        <w:t>Junta Directiva</w:t>
      </w:r>
      <w:r w:rsidR="00FF1BB7">
        <w:rPr>
          <w:rFonts w:cs="Arial"/>
          <w:sz w:val="22"/>
          <w:lang w:val="es-ES_tradnl"/>
        </w:rPr>
        <w:t xml:space="preserve"> procede a conocer una última versión del proyecto de convenio a suscribir entre este Banco y el Ministerio de Trabajo y Seguridad Social, para la ejecución del programa del FOSUVI.</w:t>
      </w:r>
    </w:p>
    <w:p w14:paraId="3E81C979" w14:textId="759C8D2B" w:rsidR="0091039C" w:rsidRDefault="0091039C" w:rsidP="0091039C">
      <w:pPr>
        <w:spacing w:line="360" w:lineRule="auto"/>
        <w:jc w:val="both"/>
        <w:rPr>
          <w:rFonts w:cs="Arial"/>
          <w:sz w:val="22"/>
          <w:szCs w:val="22"/>
        </w:rPr>
      </w:pPr>
    </w:p>
    <w:p w14:paraId="11E097F2" w14:textId="706CE8CE" w:rsidR="00FF1BB7" w:rsidRDefault="00FF1BB7" w:rsidP="0091039C">
      <w:pPr>
        <w:spacing w:line="360" w:lineRule="auto"/>
        <w:jc w:val="both"/>
        <w:rPr>
          <w:rFonts w:cs="Arial"/>
          <w:sz w:val="22"/>
          <w:szCs w:val="22"/>
        </w:rPr>
      </w:pPr>
      <w:r>
        <w:rPr>
          <w:rFonts w:cs="Arial"/>
          <w:sz w:val="22"/>
          <w:szCs w:val="22"/>
        </w:rPr>
        <w:t>Los señores Directores muestran su conformidad</w:t>
      </w:r>
      <w:r w:rsidR="000C3DA8">
        <w:rPr>
          <w:rFonts w:cs="Arial"/>
          <w:sz w:val="22"/>
          <w:szCs w:val="22"/>
        </w:rPr>
        <w:t xml:space="preserve"> con</w:t>
      </w:r>
      <w:r>
        <w:rPr>
          <w:rFonts w:cs="Arial"/>
          <w:sz w:val="22"/>
          <w:szCs w:val="22"/>
        </w:rPr>
        <w:t xml:space="preserve"> el contenido </w:t>
      </w:r>
      <w:r w:rsidR="003B7A08">
        <w:rPr>
          <w:rFonts w:cs="Arial"/>
          <w:sz w:val="22"/>
          <w:szCs w:val="22"/>
        </w:rPr>
        <w:t xml:space="preserve">del documento </w:t>
      </w:r>
      <w:r w:rsidR="008B728B">
        <w:rPr>
          <w:rFonts w:cs="Arial"/>
          <w:sz w:val="22"/>
          <w:szCs w:val="22"/>
        </w:rPr>
        <w:t>presentado y resuelven aprobarlo para su respectiva suscripción por parte de las respectivas instancias.</w:t>
      </w:r>
      <w:r w:rsidR="008A2AE0">
        <w:rPr>
          <w:rFonts w:cs="Arial"/>
          <w:sz w:val="22"/>
          <w:szCs w:val="22"/>
        </w:rPr>
        <w:t xml:space="preserve"> Lo anterior, </w:t>
      </w:r>
      <w:proofErr w:type="gramStart"/>
      <w:r w:rsidR="008A2AE0">
        <w:rPr>
          <w:rFonts w:cs="Arial"/>
          <w:sz w:val="22"/>
          <w:szCs w:val="22"/>
        </w:rPr>
        <w:t>considerando</w:t>
      </w:r>
      <w:proofErr w:type="gramEnd"/>
      <w:r w:rsidR="008A2AE0">
        <w:rPr>
          <w:rFonts w:cs="Arial"/>
          <w:sz w:val="22"/>
          <w:szCs w:val="22"/>
        </w:rPr>
        <w:t xml:space="preserve"> además</w:t>
      </w:r>
      <w:r w:rsidR="002579B3">
        <w:rPr>
          <w:rFonts w:cs="Arial"/>
          <w:sz w:val="22"/>
          <w:szCs w:val="22"/>
        </w:rPr>
        <w:t>,</w:t>
      </w:r>
      <w:r w:rsidR="008A2AE0">
        <w:rPr>
          <w:rFonts w:cs="Arial"/>
          <w:sz w:val="22"/>
          <w:szCs w:val="22"/>
        </w:rPr>
        <w:t xml:space="preserve"> que el Gerente General ha informado que el FODESAF </w:t>
      </w:r>
      <w:r w:rsidR="002579B3">
        <w:rPr>
          <w:rFonts w:cs="Arial"/>
          <w:sz w:val="22"/>
          <w:szCs w:val="22"/>
        </w:rPr>
        <w:t xml:space="preserve">ha manifestado su anuencia al convenio y </w:t>
      </w:r>
      <w:r w:rsidR="008A2AE0">
        <w:rPr>
          <w:rFonts w:cs="Arial"/>
          <w:sz w:val="22"/>
          <w:szCs w:val="22"/>
        </w:rPr>
        <w:t xml:space="preserve">se ha comprometido a gestionar de inmediato </w:t>
      </w:r>
      <w:r w:rsidR="002579B3">
        <w:rPr>
          <w:rFonts w:cs="Arial"/>
          <w:sz w:val="22"/>
          <w:szCs w:val="22"/>
        </w:rPr>
        <w:t>la reanudación de las transferencias, comenzando por los recursos correspondientes al mes de junio.</w:t>
      </w:r>
      <w:r w:rsidR="008A2AE0">
        <w:rPr>
          <w:rFonts w:cs="Arial"/>
          <w:sz w:val="22"/>
          <w:szCs w:val="22"/>
        </w:rPr>
        <w:t xml:space="preserve"> </w:t>
      </w:r>
    </w:p>
    <w:p w14:paraId="6AFD43A6" w14:textId="77777777" w:rsidR="0091039C" w:rsidRDefault="0091039C" w:rsidP="0091039C">
      <w:pPr>
        <w:spacing w:line="360" w:lineRule="auto"/>
        <w:jc w:val="both"/>
        <w:rPr>
          <w:rFonts w:cs="Arial"/>
          <w:sz w:val="22"/>
          <w:lang w:val="es-ES_tradnl"/>
        </w:rPr>
      </w:pPr>
    </w:p>
    <w:p w14:paraId="0DD8A05C" w14:textId="14F9E203" w:rsidR="0091039C" w:rsidRDefault="0091039C" w:rsidP="0091039C">
      <w:pPr>
        <w:spacing w:line="360" w:lineRule="auto"/>
        <w:jc w:val="both"/>
        <w:rPr>
          <w:rFonts w:cs="Arial"/>
          <w:sz w:val="22"/>
          <w:lang w:val="es-ES_tradnl"/>
        </w:rPr>
      </w:pPr>
      <w:r>
        <w:rPr>
          <w:rFonts w:cs="Arial"/>
          <w:sz w:val="22"/>
          <w:u w:val="single"/>
          <w:lang w:val="es-ES_tradnl"/>
        </w:rPr>
        <w:t xml:space="preserve">Minuto </w:t>
      </w:r>
      <w:r w:rsidR="00C64AA7">
        <w:rPr>
          <w:rFonts w:cs="Arial"/>
          <w:sz w:val="22"/>
          <w:u w:val="single"/>
          <w:lang w:val="es-ES_tradnl"/>
        </w:rPr>
        <w:t>4</w:t>
      </w:r>
      <w:r w:rsidR="00474D7E">
        <w:rPr>
          <w:rFonts w:cs="Arial"/>
          <w:sz w:val="22"/>
          <w:u w:val="single"/>
          <w:lang w:val="es-ES_tradnl"/>
        </w:rPr>
        <w:t>2</w:t>
      </w:r>
      <w:r w:rsidRPr="0039311E">
        <w:rPr>
          <w:rFonts w:cs="Arial"/>
          <w:sz w:val="22"/>
          <w:u w:val="single"/>
          <w:lang w:val="es-ES_tradnl"/>
        </w:rPr>
        <w:t>:</w:t>
      </w:r>
      <w:r w:rsidR="00474D7E">
        <w:rPr>
          <w:rFonts w:cs="Arial"/>
          <w:sz w:val="22"/>
          <w:u w:val="single"/>
          <w:lang w:val="es-ES_tradnl"/>
        </w:rPr>
        <w:t>00</w:t>
      </w:r>
      <w:r>
        <w:rPr>
          <w:rFonts w:cs="Arial"/>
          <w:sz w:val="22"/>
          <w:lang w:val="es-ES_tradnl"/>
        </w:rPr>
        <w:t xml:space="preserve"> Se conoce </w:t>
      </w:r>
      <w:r w:rsidR="00753902">
        <w:rPr>
          <w:rFonts w:cs="Arial"/>
          <w:sz w:val="22"/>
          <w:lang w:val="es-ES_tradnl"/>
        </w:rPr>
        <w:t xml:space="preserve">y </w:t>
      </w:r>
      <w:r w:rsidR="00876E43">
        <w:rPr>
          <w:rFonts w:cs="Arial"/>
          <w:sz w:val="22"/>
          <w:lang w:val="es-ES_tradnl"/>
        </w:rPr>
        <w:t>finalmente se avala</w:t>
      </w:r>
      <w:r w:rsidR="00753902">
        <w:rPr>
          <w:rFonts w:cs="Arial"/>
          <w:sz w:val="22"/>
          <w:lang w:val="es-ES_tradnl"/>
        </w:rPr>
        <w:t xml:space="preserve"> </w:t>
      </w:r>
      <w:r>
        <w:rPr>
          <w:rFonts w:cs="Arial"/>
          <w:sz w:val="22"/>
          <w:lang w:val="es-ES_tradnl"/>
        </w:rPr>
        <w:t xml:space="preserve">una moción del Director Alvarado Herrera, para que consulte a la Contraloría General de la República, </w:t>
      </w:r>
      <w:r w:rsidR="00753902">
        <w:rPr>
          <w:rFonts w:cs="Arial"/>
          <w:sz w:val="22"/>
          <w:lang w:val="es-ES_tradnl"/>
        </w:rPr>
        <w:t xml:space="preserve">la viabilidad de utilizar </w:t>
      </w:r>
      <w:r>
        <w:rPr>
          <w:rFonts w:cs="Arial"/>
          <w:sz w:val="22"/>
          <w:lang w:val="es-ES_tradnl"/>
        </w:rPr>
        <w:t xml:space="preserve">los recursos que reciba el FOSUVI del FODESAF, según lo establece </w:t>
      </w:r>
      <w:r w:rsidR="00753902">
        <w:rPr>
          <w:rFonts w:cs="Arial"/>
          <w:sz w:val="22"/>
          <w:lang w:val="es-ES_tradnl"/>
        </w:rPr>
        <w:t xml:space="preserve">el artículo 51 </w:t>
      </w:r>
      <w:r>
        <w:rPr>
          <w:rFonts w:cs="Arial"/>
          <w:sz w:val="22"/>
          <w:lang w:val="es-ES_tradnl"/>
        </w:rPr>
        <w:t>la Ley 7052, en bonos de vivienda a familias c</w:t>
      </w:r>
      <w:r w:rsidR="00753902">
        <w:rPr>
          <w:rFonts w:cs="Arial"/>
          <w:sz w:val="22"/>
          <w:lang w:val="es-ES_tradnl"/>
        </w:rPr>
        <w:t xml:space="preserve">uyo ingreso no exceda el equivalente a </w:t>
      </w:r>
      <w:r w:rsidR="00753902" w:rsidRPr="00753902">
        <w:rPr>
          <w:rFonts w:cs="Arial"/>
          <w:sz w:val="22"/>
          <w:lang w:val="es-CR"/>
        </w:rPr>
        <w:t>seis salario</w:t>
      </w:r>
      <w:r w:rsidR="00753902">
        <w:rPr>
          <w:rFonts w:cs="Arial"/>
          <w:sz w:val="22"/>
          <w:lang w:val="es-CR"/>
        </w:rPr>
        <w:t>s</w:t>
      </w:r>
      <w:r w:rsidR="00753902" w:rsidRPr="00753902">
        <w:rPr>
          <w:rFonts w:cs="Arial"/>
          <w:sz w:val="22"/>
          <w:lang w:val="es-CR"/>
        </w:rPr>
        <w:t xml:space="preserve"> mínimo</w:t>
      </w:r>
      <w:r w:rsidR="00753902">
        <w:rPr>
          <w:rFonts w:cs="Arial"/>
          <w:sz w:val="22"/>
          <w:lang w:val="es-CR"/>
        </w:rPr>
        <w:t>s</w:t>
      </w:r>
      <w:r w:rsidR="00753902" w:rsidRPr="00753902">
        <w:rPr>
          <w:rFonts w:cs="Arial"/>
          <w:sz w:val="22"/>
          <w:lang w:val="es-CR"/>
        </w:rPr>
        <w:t xml:space="preserve"> de una persona obrera no especializada de la industria de la construcción.</w:t>
      </w:r>
      <w:r w:rsidR="000C3DA8">
        <w:rPr>
          <w:rFonts w:cs="Arial"/>
          <w:sz w:val="22"/>
          <w:lang w:val="es-CR"/>
        </w:rPr>
        <w:t xml:space="preserve">  Lo anterior, según se indica en los</w:t>
      </w:r>
      <w:r>
        <w:rPr>
          <w:rFonts w:cs="Arial"/>
          <w:sz w:val="22"/>
          <w:lang w:val="es-ES_tradnl"/>
        </w:rPr>
        <w:t xml:space="preserve"> </w:t>
      </w:r>
      <w:r w:rsidRPr="0091039C">
        <w:rPr>
          <w:rFonts w:cs="Arial"/>
          <w:b/>
          <w:bCs/>
          <w:sz w:val="22"/>
          <w:lang w:val="es-ES_tradnl"/>
        </w:rPr>
        <w:t>Acuerdos N° 1 y N° 2</w:t>
      </w:r>
      <w:r>
        <w:rPr>
          <w:rFonts w:cs="Arial"/>
          <w:sz w:val="22"/>
          <w:lang w:val="es-ES_tradnl"/>
        </w:rPr>
        <w:t xml:space="preserve"> que se anexan a esta minuta.</w:t>
      </w:r>
      <w:r w:rsidR="00C72E0B">
        <w:rPr>
          <w:rFonts w:cs="Arial"/>
          <w:sz w:val="22"/>
          <w:lang w:val="es-ES_tradnl"/>
        </w:rPr>
        <w:t xml:space="preserve"> (El voto a favor de la Directora Chavarría Núñez, consta en el minuto 62:45).</w:t>
      </w:r>
    </w:p>
    <w:p w14:paraId="3BDB9B98" w14:textId="77777777" w:rsidR="007749FC" w:rsidRPr="00D14EAF" w:rsidRDefault="007749FC" w:rsidP="007749FC">
      <w:pPr>
        <w:spacing w:line="360" w:lineRule="auto"/>
        <w:jc w:val="both"/>
        <w:rPr>
          <w:rFonts w:cs="Arial"/>
          <w:b/>
          <w:sz w:val="22"/>
        </w:rPr>
      </w:pPr>
      <w:r w:rsidRPr="00D14EAF">
        <w:rPr>
          <w:rFonts w:cs="Arial"/>
          <w:b/>
          <w:sz w:val="22"/>
        </w:rPr>
        <w:t>************</w:t>
      </w:r>
    </w:p>
    <w:p w14:paraId="72ECDDC6" w14:textId="77777777" w:rsidR="00FA4CCB" w:rsidRDefault="00FA4CCB" w:rsidP="002D0146">
      <w:pPr>
        <w:spacing w:line="360" w:lineRule="auto"/>
        <w:jc w:val="both"/>
        <w:rPr>
          <w:rFonts w:cs="Arial"/>
          <w:b/>
          <w:sz w:val="22"/>
          <w:szCs w:val="22"/>
          <w:u w:val="single"/>
          <w:lang w:val="es-ES_tradnl"/>
        </w:rPr>
      </w:pPr>
    </w:p>
    <w:p w14:paraId="0404E0AE" w14:textId="20E14DB4" w:rsidR="009D03FE" w:rsidRPr="00E97960" w:rsidRDefault="00320F35" w:rsidP="009D03FE">
      <w:pPr>
        <w:spacing w:line="360" w:lineRule="auto"/>
        <w:jc w:val="both"/>
        <w:outlineLvl w:val="0"/>
        <w:rPr>
          <w:rFonts w:cs="Arial"/>
          <w:sz w:val="22"/>
          <w:szCs w:val="22"/>
          <w:u w:val="single"/>
          <w:lang w:val="es-ES_tradnl"/>
        </w:rPr>
      </w:pPr>
      <w:r>
        <w:rPr>
          <w:rFonts w:cs="Arial"/>
          <w:b/>
          <w:sz w:val="22"/>
          <w:szCs w:val="22"/>
          <w:lang w:val="es-ES_tradnl"/>
        </w:rPr>
        <w:t xml:space="preserve">2° </w:t>
      </w:r>
      <w:r w:rsidR="001F5F07" w:rsidRPr="001F5F07">
        <w:rPr>
          <w:rFonts w:cs="Arial"/>
          <w:b/>
          <w:bCs/>
          <w:sz w:val="22"/>
          <w:u w:val="single"/>
          <w:lang w:val="es-ES_tradnl"/>
        </w:rPr>
        <w:t>Propuesta de renovación de contrato de fideicomiso 010-2002 administrado por la MUCAP</w:t>
      </w:r>
    </w:p>
    <w:p w14:paraId="4A2C2E7B" w14:textId="77777777" w:rsidR="009D03FE" w:rsidRDefault="009D03FE" w:rsidP="009D03FE">
      <w:pPr>
        <w:spacing w:line="360" w:lineRule="auto"/>
        <w:jc w:val="both"/>
        <w:rPr>
          <w:rFonts w:cs="Arial"/>
          <w:sz w:val="22"/>
          <w:szCs w:val="22"/>
        </w:rPr>
      </w:pPr>
    </w:p>
    <w:p w14:paraId="23B91C24" w14:textId="77777777" w:rsidR="00474D7E" w:rsidRDefault="009D03FE" w:rsidP="009D03FE">
      <w:pPr>
        <w:spacing w:line="360" w:lineRule="auto"/>
        <w:jc w:val="both"/>
        <w:rPr>
          <w:rFonts w:cs="Arial"/>
          <w:sz w:val="22"/>
          <w:lang w:val="es-ES_tradnl"/>
        </w:rPr>
      </w:pPr>
      <w:r w:rsidRPr="0039311E">
        <w:rPr>
          <w:rFonts w:cs="Arial"/>
          <w:sz w:val="22"/>
          <w:u w:val="single"/>
          <w:lang w:val="es-ES_tradnl"/>
        </w:rPr>
        <w:t xml:space="preserve">Minuto </w:t>
      </w:r>
      <w:r w:rsidR="00474D7E">
        <w:rPr>
          <w:rFonts w:cs="Arial"/>
          <w:sz w:val="22"/>
          <w:u w:val="single"/>
          <w:lang w:val="es-ES_tradnl"/>
        </w:rPr>
        <w:t>48</w:t>
      </w:r>
      <w:r w:rsidRPr="0039311E">
        <w:rPr>
          <w:rFonts w:cs="Arial"/>
          <w:sz w:val="22"/>
          <w:u w:val="single"/>
          <w:lang w:val="es-ES_tradnl"/>
        </w:rPr>
        <w:t>:</w:t>
      </w:r>
      <w:r w:rsidR="00474D7E">
        <w:rPr>
          <w:rFonts w:cs="Arial"/>
          <w:sz w:val="22"/>
          <w:u w:val="single"/>
          <w:lang w:val="es-ES_tradnl"/>
        </w:rPr>
        <w:t>50</w:t>
      </w:r>
      <w:r>
        <w:rPr>
          <w:rFonts w:cs="Arial"/>
          <w:sz w:val="22"/>
          <w:lang w:val="es-ES_tradnl"/>
        </w:rPr>
        <w:t xml:space="preserve"> Se </w:t>
      </w:r>
      <w:r w:rsidR="00474D7E">
        <w:rPr>
          <w:rFonts w:cs="Arial"/>
          <w:sz w:val="22"/>
          <w:szCs w:val="22"/>
        </w:rPr>
        <w:t xml:space="preserve">retira </w:t>
      </w:r>
      <w:r w:rsidR="00474D7E">
        <w:rPr>
          <w:sz w:val="22"/>
          <w:szCs w:val="22"/>
        </w:rPr>
        <w:t xml:space="preserve">temporalmente de la sesión el señor Gerente General, quien se excusa de participar en la discusión y resolución de este asunto; </w:t>
      </w:r>
      <w:r w:rsidR="00474D7E">
        <w:rPr>
          <w:rFonts w:cs="Arial"/>
          <w:bCs/>
          <w:sz w:val="22"/>
          <w:lang w:val="es-ES_tradnl"/>
        </w:rPr>
        <w:t>y</w:t>
      </w:r>
      <w:r w:rsidR="00474D7E">
        <w:rPr>
          <w:sz w:val="22"/>
          <w:szCs w:val="22"/>
        </w:rPr>
        <w:t xml:space="preserve"> se procede </w:t>
      </w:r>
      <w:r>
        <w:rPr>
          <w:rFonts w:cs="Arial"/>
          <w:sz w:val="22"/>
          <w:lang w:val="es-ES_tradnl"/>
        </w:rPr>
        <w:t xml:space="preserve">conoce el oficio </w:t>
      </w:r>
      <w:r w:rsidR="00474D7E">
        <w:rPr>
          <w:rFonts w:cs="Arial"/>
          <w:sz w:val="22"/>
          <w:lang w:val="es-ES_tradnl"/>
        </w:rPr>
        <w:t xml:space="preserve">GG-ME-0691-2020 del 24 de junio de 2020, mediante el cual, el asistente de la </w:t>
      </w:r>
      <w:r w:rsidR="00474D7E" w:rsidRPr="00474D7E">
        <w:rPr>
          <w:rFonts w:cs="Arial"/>
          <w:sz w:val="22"/>
          <w:lang w:val="es-ES_tradnl"/>
        </w:rPr>
        <w:t>Gerencia General</w:t>
      </w:r>
      <w:r w:rsidR="00474D7E">
        <w:rPr>
          <w:rFonts w:cs="Arial"/>
          <w:sz w:val="22"/>
          <w:lang w:val="es-ES_tradnl"/>
        </w:rPr>
        <w:t xml:space="preserve"> remite el informe DFNV-ME-0247-2020 de la Dirección FONAVI, que </w:t>
      </w:r>
      <w:r w:rsidR="00474D7E">
        <w:rPr>
          <w:rFonts w:cs="Arial"/>
          <w:sz w:val="22"/>
          <w:lang w:val="es-ES_tradnl"/>
        </w:rPr>
        <w:lastRenderedPageBreak/>
        <w:t xml:space="preserve">contiene una propuesta para renovar el contrato del Fideicomiso 010-2002 (MUGAP), administrado por la Mutual Cartago </w:t>
      </w:r>
      <w:r w:rsidR="00474D7E" w:rsidRPr="00474D7E">
        <w:rPr>
          <w:rFonts w:cs="Arial"/>
          <w:sz w:val="22"/>
          <w:lang w:val="es-ES_tradnl"/>
        </w:rPr>
        <w:t>de Ahorro y Préstamo</w:t>
      </w:r>
      <w:r w:rsidR="00474D7E">
        <w:rPr>
          <w:rFonts w:cs="Arial"/>
          <w:sz w:val="22"/>
          <w:lang w:val="es-ES_tradnl"/>
        </w:rPr>
        <w:t>.  Dichos documentos se adjuntan al expediente del acta.</w:t>
      </w:r>
    </w:p>
    <w:p w14:paraId="3C1F380D" w14:textId="77777777" w:rsidR="00474D7E" w:rsidRDefault="00474D7E" w:rsidP="009D03FE">
      <w:pPr>
        <w:spacing w:line="360" w:lineRule="auto"/>
        <w:jc w:val="both"/>
        <w:rPr>
          <w:rFonts w:cs="Arial"/>
          <w:sz w:val="22"/>
          <w:lang w:val="es-ES_tradnl"/>
        </w:rPr>
      </w:pPr>
    </w:p>
    <w:p w14:paraId="552248B9" w14:textId="6A7BC455" w:rsidR="00474D7E" w:rsidRPr="00474D7E" w:rsidRDefault="00474D7E" w:rsidP="00474D7E">
      <w:pPr>
        <w:spacing w:line="360" w:lineRule="auto"/>
        <w:jc w:val="both"/>
        <w:rPr>
          <w:rFonts w:cs="Arial"/>
          <w:sz w:val="22"/>
          <w:lang w:val="es-CR"/>
        </w:rPr>
      </w:pPr>
      <w:r>
        <w:rPr>
          <w:rFonts w:cs="Arial"/>
          <w:sz w:val="22"/>
          <w:lang w:val="es-ES_tradnl"/>
        </w:rPr>
        <w:t xml:space="preserve">Para exponer el contenido de la citada propuesta y atender eventuales consultas de carácter técnico sobre </w:t>
      </w:r>
      <w:r w:rsidR="00FD1DE3">
        <w:rPr>
          <w:rFonts w:cs="Arial"/>
          <w:sz w:val="22"/>
          <w:lang w:val="es-ES_tradnl"/>
        </w:rPr>
        <w:t xml:space="preserve">éste y el siguiente </w:t>
      </w:r>
      <w:r>
        <w:rPr>
          <w:rFonts w:cs="Arial"/>
          <w:sz w:val="22"/>
          <w:lang w:val="es-ES_tradnl"/>
        </w:rPr>
        <w:t xml:space="preserve">tema, se incorpora a la sesión la licenciada Tricia Hernández Brenes, Directora del FONAVI, quien destaca que </w:t>
      </w:r>
      <w:r w:rsidRPr="00474D7E">
        <w:rPr>
          <w:rFonts w:cs="Arial"/>
          <w:sz w:val="22"/>
          <w:lang w:val="es-CR"/>
        </w:rPr>
        <w:t xml:space="preserve">se considera conveniente proceder con </w:t>
      </w:r>
      <w:r>
        <w:rPr>
          <w:rFonts w:cs="Arial"/>
          <w:sz w:val="22"/>
          <w:lang w:val="es-CR"/>
        </w:rPr>
        <w:t xml:space="preserve">la </w:t>
      </w:r>
      <w:r w:rsidRPr="00474D7E">
        <w:rPr>
          <w:rFonts w:cs="Arial"/>
          <w:sz w:val="22"/>
          <w:lang w:val="es-CR"/>
        </w:rPr>
        <w:t>renovaci</w:t>
      </w:r>
      <w:r>
        <w:rPr>
          <w:rFonts w:cs="Arial"/>
          <w:sz w:val="22"/>
          <w:lang w:val="es-CR"/>
        </w:rPr>
        <w:t>ón</w:t>
      </w:r>
      <w:r w:rsidRPr="00474D7E">
        <w:rPr>
          <w:rFonts w:cs="Arial"/>
          <w:sz w:val="22"/>
          <w:lang w:val="es-CR"/>
        </w:rPr>
        <w:t xml:space="preserve"> del Contrato del Fideicomiso 010-2002 (MUGAP) a su vencimiento, en funci</w:t>
      </w:r>
      <w:r>
        <w:rPr>
          <w:rFonts w:cs="Arial"/>
          <w:sz w:val="22"/>
          <w:lang w:val="es-CR"/>
        </w:rPr>
        <w:t xml:space="preserve">ón </w:t>
      </w:r>
      <w:r w:rsidRPr="00474D7E">
        <w:rPr>
          <w:rFonts w:cs="Arial"/>
          <w:sz w:val="22"/>
          <w:lang w:val="es-CR"/>
        </w:rPr>
        <w:t>de los</w:t>
      </w:r>
      <w:r>
        <w:rPr>
          <w:rFonts w:cs="Arial"/>
          <w:sz w:val="22"/>
          <w:lang w:val="es-CR"/>
        </w:rPr>
        <w:t xml:space="preserve"> </w:t>
      </w:r>
      <w:r w:rsidRPr="00474D7E">
        <w:rPr>
          <w:rFonts w:cs="Arial"/>
          <w:sz w:val="22"/>
          <w:lang w:val="es-CR"/>
        </w:rPr>
        <w:t>siguientes aspectos:</w:t>
      </w:r>
    </w:p>
    <w:p w14:paraId="13FB7D6D" w14:textId="7209392F" w:rsidR="00474D7E" w:rsidRDefault="004A7CA2" w:rsidP="00474D7E">
      <w:pPr>
        <w:spacing w:line="360" w:lineRule="auto"/>
        <w:jc w:val="both"/>
        <w:rPr>
          <w:rFonts w:cs="Arial"/>
          <w:sz w:val="22"/>
          <w:lang w:val="es-ES_tradnl"/>
        </w:rPr>
      </w:pPr>
      <w:r>
        <w:rPr>
          <w:rFonts w:cs="Arial"/>
          <w:sz w:val="22"/>
          <w:lang w:val="es-CR"/>
        </w:rPr>
        <w:t xml:space="preserve">a) </w:t>
      </w:r>
      <w:r w:rsidR="00474D7E" w:rsidRPr="00474D7E">
        <w:rPr>
          <w:rFonts w:cs="Arial"/>
          <w:sz w:val="22"/>
          <w:lang w:val="es-CR"/>
        </w:rPr>
        <w:t>Los activos que se mantienen pendientes de realizaci</w:t>
      </w:r>
      <w:r w:rsidR="00474D7E">
        <w:rPr>
          <w:rFonts w:cs="Arial"/>
          <w:sz w:val="22"/>
          <w:lang w:val="es-CR"/>
        </w:rPr>
        <w:t xml:space="preserve">ón </w:t>
      </w:r>
      <w:r w:rsidR="00474D7E" w:rsidRPr="00474D7E">
        <w:rPr>
          <w:rFonts w:cs="Arial"/>
          <w:sz w:val="22"/>
          <w:lang w:val="es-CR"/>
        </w:rPr>
        <w:t>en el Fideicomiso 010-2002 (MUGAP)</w:t>
      </w:r>
      <w:r w:rsidR="00474D7E">
        <w:rPr>
          <w:rFonts w:cs="Arial"/>
          <w:sz w:val="22"/>
          <w:lang w:val="es-CR"/>
        </w:rPr>
        <w:t xml:space="preserve"> </w:t>
      </w:r>
      <w:r w:rsidR="00474D7E" w:rsidRPr="00474D7E">
        <w:rPr>
          <w:rFonts w:cs="Arial"/>
          <w:sz w:val="22"/>
          <w:lang w:val="es-CR"/>
        </w:rPr>
        <w:t>corresponden principalmente a operaciones de cr</w:t>
      </w:r>
      <w:r w:rsidR="00474D7E">
        <w:rPr>
          <w:rFonts w:cs="Arial"/>
          <w:sz w:val="22"/>
          <w:lang w:val="es-CR"/>
        </w:rPr>
        <w:t>é</w:t>
      </w:r>
      <w:r w:rsidR="00474D7E" w:rsidRPr="00474D7E">
        <w:rPr>
          <w:rFonts w:cs="Arial"/>
          <w:sz w:val="22"/>
          <w:lang w:val="es-CR"/>
        </w:rPr>
        <w:t>dito en cobro Judicial o incobrabilidad y</w:t>
      </w:r>
      <w:r w:rsidR="00474D7E">
        <w:rPr>
          <w:rFonts w:cs="Arial"/>
          <w:sz w:val="22"/>
          <w:lang w:val="es-CR"/>
        </w:rPr>
        <w:t xml:space="preserve"> </w:t>
      </w:r>
      <w:r w:rsidR="00474D7E" w:rsidRPr="00474D7E">
        <w:rPr>
          <w:rFonts w:cs="Arial"/>
          <w:sz w:val="22"/>
          <w:lang w:val="es-CR"/>
        </w:rPr>
        <w:t>bienes individuales con problemas de orden t</w:t>
      </w:r>
      <w:r w:rsidR="00474D7E">
        <w:rPr>
          <w:rFonts w:cs="Arial"/>
          <w:sz w:val="22"/>
          <w:lang w:val="es-CR"/>
        </w:rPr>
        <w:t>é</w:t>
      </w:r>
      <w:r w:rsidR="00474D7E" w:rsidRPr="00474D7E">
        <w:rPr>
          <w:rFonts w:cs="Arial"/>
          <w:sz w:val="22"/>
          <w:lang w:val="es-CR"/>
        </w:rPr>
        <w:t>cnico o legal, respecto de los cuales se considera</w:t>
      </w:r>
      <w:r w:rsidR="00474D7E">
        <w:rPr>
          <w:rFonts w:cs="Arial"/>
          <w:sz w:val="22"/>
          <w:lang w:val="es-CR"/>
        </w:rPr>
        <w:t xml:space="preserve"> </w:t>
      </w:r>
      <w:r w:rsidR="00474D7E" w:rsidRPr="00474D7E">
        <w:rPr>
          <w:rFonts w:cs="Arial"/>
          <w:sz w:val="22"/>
          <w:lang w:val="es-CR"/>
        </w:rPr>
        <w:t>conveniente que el Fiduciario concluya las labores correspondientes en funci</w:t>
      </w:r>
      <w:r w:rsidR="00474D7E">
        <w:rPr>
          <w:rFonts w:cs="Arial"/>
          <w:sz w:val="22"/>
          <w:lang w:val="es-CR"/>
        </w:rPr>
        <w:t xml:space="preserve">ón </w:t>
      </w:r>
      <w:r w:rsidR="00474D7E" w:rsidRPr="00474D7E">
        <w:rPr>
          <w:rFonts w:cs="Arial"/>
          <w:sz w:val="22"/>
          <w:lang w:val="es-CR"/>
        </w:rPr>
        <w:t>del conocimiento</w:t>
      </w:r>
      <w:r w:rsidR="00474D7E">
        <w:rPr>
          <w:rFonts w:cs="Arial"/>
          <w:sz w:val="22"/>
          <w:lang w:val="es-CR"/>
        </w:rPr>
        <w:t xml:space="preserve"> </w:t>
      </w:r>
      <w:r w:rsidR="00474D7E" w:rsidRPr="00474D7E">
        <w:rPr>
          <w:rFonts w:cs="Arial"/>
          <w:sz w:val="22"/>
          <w:lang w:val="es-CR"/>
        </w:rPr>
        <w:t>y experiencia espec</w:t>
      </w:r>
      <w:r w:rsidR="00474D7E">
        <w:rPr>
          <w:rFonts w:cs="Arial"/>
          <w:sz w:val="22"/>
          <w:lang w:val="es-CR"/>
        </w:rPr>
        <w:t>í</w:t>
      </w:r>
      <w:r w:rsidR="00474D7E" w:rsidRPr="00474D7E">
        <w:rPr>
          <w:rFonts w:cs="Arial"/>
          <w:sz w:val="22"/>
          <w:lang w:val="es-CR"/>
        </w:rPr>
        <w:t>fica sobre tales casos.</w:t>
      </w:r>
    </w:p>
    <w:p w14:paraId="58D3EACC" w14:textId="062E8E5D" w:rsidR="00474D7E" w:rsidRPr="00474D7E" w:rsidRDefault="004A7CA2" w:rsidP="00474D7E">
      <w:pPr>
        <w:spacing w:line="360" w:lineRule="auto"/>
        <w:jc w:val="both"/>
        <w:rPr>
          <w:rFonts w:cs="Arial"/>
          <w:sz w:val="22"/>
          <w:lang w:val="es-CR"/>
        </w:rPr>
      </w:pPr>
      <w:r>
        <w:rPr>
          <w:rFonts w:cs="Arial"/>
          <w:sz w:val="22"/>
          <w:lang w:val="es-CR"/>
        </w:rPr>
        <w:t xml:space="preserve">b) </w:t>
      </w:r>
      <w:r w:rsidR="00474D7E" w:rsidRPr="00474D7E">
        <w:rPr>
          <w:rFonts w:cs="Arial"/>
          <w:sz w:val="22"/>
          <w:lang w:val="es-CR"/>
        </w:rPr>
        <w:t>La alternativa de traslado de estos activos para su administraci</w:t>
      </w:r>
      <w:r w:rsidR="00474D7E">
        <w:rPr>
          <w:rFonts w:cs="Arial"/>
          <w:sz w:val="22"/>
          <w:lang w:val="es-CR"/>
        </w:rPr>
        <w:t xml:space="preserve">ón </w:t>
      </w:r>
      <w:r w:rsidR="00474D7E" w:rsidRPr="00474D7E">
        <w:rPr>
          <w:rFonts w:cs="Arial"/>
          <w:sz w:val="22"/>
          <w:lang w:val="es-CR"/>
        </w:rPr>
        <w:t>directa en el BANHVI estar</w:t>
      </w:r>
      <w:r w:rsidR="00474D7E">
        <w:rPr>
          <w:rFonts w:cs="Arial"/>
          <w:sz w:val="22"/>
          <w:lang w:val="es-CR"/>
        </w:rPr>
        <w:t>í</w:t>
      </w:r>
      <w:r w:rsidR="00474D7E" w:rsidRPr="00474D7E">
        <w:rPr>
          <w:rFonts w:cs="Arial"/>
          <w:sz w:val="22"/>
          <w:lang w:val="es-CR"/>
        </w:rPr>
        <w:t>a</w:t>
      </w:r>
      <w:r w:rsidR="00474D7E">
        <w:rPr>
          <w:rFonts w:cs="Arial"/>
          <w:sz w:val="22"/>
          <w:lang w:val="es-CR"/>
        </w:rPr>
        <w:t xml:space="preserve"> </w:t>
      </w:r>
      <w:r w:rsidR="00474D7E" w:rsidRPr="00474D7E">
        <w:rPr>
          <w:rFonts w:cs="Arial"/>
          <w:sz w:val="22"/>
          <w:lang w:val="es-CR"/>
        </w:rPr>
        <w:t xml:space="preserve">generando atrasos en </w:t>
      </w:r>
      <w:r w:rsidR="00474D7E">
        <w:rPr>
          <w:rFonts w:cs="Arial"/>
          <w:sz w:val="22"/>
          <w:lang w:val="es-CR"/>
        </w:rPr>
        <w:t>la</w:t>
      </w:r>
      <w:r w:rsidR="00474D7E" w:rsidRPr="00474D7E">
        <w:rPr>
          <w:rFonts w:cs="Arial"/>
          <w:sz w:val="22"/>
          <w:lang w:val="es-CR"/>
        </w:rPr>
        <w:t xml:space="preserve"> gesti</w:t>
      </w:r>
      <w:r w:rsidR="00474D7E">
        <w:rPr>
          <w:rFonts w:cs="Arial"/>
          <w:sz w:val="22"/>
          <w:lang w:val="es-CR"/>
        </w:rPr>
        <w:t>ón</w:t>
      </w:r>
      <w:r w:rsidR="00474D7E" w:rsidRPr="00474D7E">
        <w:rPr>
          <w:rFonts w:cs="Arial"/>
          <w:sz w:val="22"/>
          <w:lang w:val="es-CR"/>
        </w:rPr>
        <w:t>, producto del proceso de aprendizaje interno respecto de las</w:t>
      </w:r>
      <w:r w:rsidR="00474D7E">
        <w:rPr>
          <w:rFonts w:cs="Arial"/>
          <w:sz w:val="22"/>
          <w:lang w:val="es-CR"/>
        </w:rPr>
        <w:t xml:space="preserve"> </w:t>
      </w:r>
      <w:r w:rsidR="00474D7E" w:rsidRPr="00474D7E">
        <w:rPr>
          <w:rFonts w:cs="Arial"/>
          <w:sz w:val="22"/>
          <w:lang w:val="es-CR"/>
        </w:rPr>
        <w:t>condiciones espec</w:t>
      </w:r>
      <w:r w:rsidR="00474D7E">
        <w:rPr>
          <w:rFonts w:cs="Arial"/>
          <w:sz w:val="22"/>
          <w:lang w:val="es-CR"/>
        </w:rPr>
        <w:t>í</w:t>
      </w:r>
      <w:r w:rsidR="00474D7E" w:rsidRPr="00474D7E">
        <w:rPr>
          <w:rFonts w:cs="Arial"/>
          <w:sz w:val="22"/>
          <w:lang w:val="es-CR"/>
        </w:rPr>
        <w:t>ficas de estos activos, as</w:t>
      </w:r>
      <w:r w:rsidR="00474D7E">
        <w:rPr>
          <w:rFonts w:cs="Arial"/>
          <w:sz w:val="22"/>
          <w:lang w:val="es-CR"/>
        </w:rPr>
        <w:t>í</w:t>
      </w:r>
      <w:r w:rsidR="00474D7E" w:rsidRPr="00474D7E">
        <w:rPr>
          <w:rFonts w:cs="Arial"/>
          <w:sz w:val="22"/>
          <w:lang w:val="es-CR"/>
        </w:rPr>
        <w:t xml:space="preserve"> como debido a eventuales renuncias de abogados</w:t>
      </w:r>
      <w:r w:rsidR="00474D7E">
        <w:rPr>
          <w:rFonts w:cs="Arial"/>
          <w:sz w:val="22"/>
          <w:lang w:val="es-CR"/>
        </w:rPr>
        <w:t xml:space="preserve"> </w:t>
      </w:r>
      <w:r w:rsidR="00474D7E" w:rsidRPr="00474D7E">
        <w:rPr>
          <w:rFonts w:cs="Arial"/>
          <w:sz w:val="22"/>
          <w:lang w:val="es-CR"/>
        </w:rPr>
        <w:t xml:space="preserve">directores de los procesos judiciales y a </w:t>
      </w:r>
      <w:r w:rsidR="00474D7E">
        <w:rPr>
          <w:rFonts w:cs="Arial"/>
          <w:sz w:val="22"/>
          <w:lang w:val="es-CR"/>
        </w:rPr>
        <w:t>la</w:t>
      </w:r>
      <w:r w:rsidR="00474D7E" w:rsidRPr="00474D7E">
        <w:rPr>
          <w:rFonts w:cs="Arial"/>
          <w:sz w:val="22"/>
          <w:lang w:val="es-CR"/>
        </w:rPr>
        <w:t xml:space="preserve"> contrataci</w:t>
      </w:r>
      <w:r w:rsidR="00474D7E">
        <w:rPr>
          <w:rFonts w:cs="Arial"/>
          <w:sz w:val="22"/>
          <w:lang w:val="es-CR"/>
        </w:rPr>
        <w:t xml:space="preserve">ón </w:t>
      </w:r>
      <w:r w:rsidR="00474D7E" w:rsidRPr="00474D7E">
        <w:rPr>
          <w:rFonts w:cs="Arial"/>
          <w:sz w:val="22"/>
          <w:lang w:val="es-CR"/>
        </w:rPr>
        <w:t>de nuevos profesionales para tales</w:t>
      </w:r>
      <w:r w:rsidR="00474D7E">
        <w:rPr>
          <w:rFonts w:cs="Arial"/>
          <w:sz w:val="22"/>
          <w:lang w:val="es-CR"/>
        </w:rPr>
        <w:t xml:space="preserve"> </w:t>
      </w:r>
      <w:r w:rsidR="00474D7E" w:rsidRPr="00474D7E">
        <w:rPr>
          <w:rFonts w:cs="Arial"/>
          <w:sz w:val="22"/>
          <w:lang w:val="es-CR"/>
        </w:rPr>
        <w:t>efectos. Adicionalmente, respecto de los casos en tr</w:t>
      </w:r>
      <w:r w:rsidR="00474D7E">
        <w:rPr>
          <w:rFonts w:cs="Arial"/>
          <w:sz w:val="22"/>
          <w:lang w:val="es-CR"/>
        </w:rPr>
        <w:t>á</w:t>
      </w:r>
      <w:r w:rsidR="00474D7E" w:rsidRPr="00474D7E">
        <w:rPr>
          <w:rFonts w:cs="Arial"/>
          <w:sz w:val="22"/>
          <w:lang w:val="es-CR"/>
        </w:rPr>
        <w:t>mite de incobrabilidad, el finiquito de los</w:t>
      </w:r>
      <w:r w:rsidR="00474D7E">
        <w:rPr>
          <w:rFonts w:cs="Arial"/>
          <w:sz w:val="22"/>
          <w:lang w:val="es-CR"/>
        </w:rPr>
        <w:t xml:space="preserve"> </w:t>
      </w:r>
      <w:r w:rsidR="00474D7E" w:rsidRPr="00474D7E">
        <w:rPr>
          <w:rFonts w:cs="Arial"/>
          <w:sz w:val="22"/>
          <w:lang w:val="es-CR"/>
        </w:rPr>
        <w:t xml:space="preserve">contratos restringe </w:t>
      </w:r>
      <w:r w:rsidR="00474D7E">
        <w:rPr>
          <w:rFonts w:cs="Arial"/>
          <w:sz w:val="22"/>
          <w:lang w:val="es-CR"/>
        </w:rPr>
        <w:t>la</w:t>
      </w:r>
      <w:r w:rsidR="00474D7E" w:rsidRPr="00474D7E">
        <w:rPr>
          <w:rFonts w:cs="Arial"/>
          <w:sz w:val="22"/>
          <w:lang w:val="es-CR"/>
        </w:rPr>
        <w:t xml:space="preserve"> disponibilidad de los responsables para </w:t>
      </w:r>
      <w:r w:rsidR="00474D7E">
        <w:rPr>
          <w:rFonts w:cs="Arial"/>
          <w:sz w:val="22"/>
          <w:lang w:val="es-CR"/>
        </w:rPr>
        <w:t>la</w:t>
      </w:r>
      <w:r w:rsidR="00474D7E" w:rsidRPr="00474D7E">
        <w:rPr>
          <w:rFonts w:cs="Arial"/>
          <w:sz w:val="22"/>
          <w:lang w:val="es-CR"/>
        </w:rPr>
        <w:t xml:space="preserve"> atenci</w:t>
      </w:r>
      <w:r w:rsidR="00474D7E">
        <w:rPr>
          <w:rFonts w:cs="Arial"/>
          <w:sz w:val="22"/>
          <w:lang w:val="es-CR"/>
        </w:rPr>
        <w:t xml:space="preserve">ón </w:t>
      </w:r>
      <w:r w:rsidR="00474D7E" w:rsidRPr="00474D7E">
        <w:rPr>
          <w:rFonts w:cs="Arial"/>
          <w:sz w:val="22"/>
          <w:lang w:val="es-CR"/>
        </w:rPr>
        <w:t>de las consultas que</w:t>
      </w:r>
      <w:r w:rsidR="00474D7E">
        <w:rPr>
          <w:rFonts w:cs="Arial"/>
          <w:sz w:val="22"/>
          <w:lang w:val="es-CR"/>
        </w:rPr>
        <w:t xml:space="preserve"> </w:t>
      </w:r>
      <w:r w:rsidR="00474D7E" w:rsidRPr="00474D7E">
        <w:rPr>
          <w:rFonts w:cs="Arial"/>
          <w:sz w:val="22"/>
          <w:lang w:val="es-CR"/>
        </w:rPr>
        <w:t>surjan en el proceso de an</w:t>
      </w:r>
      <w:r w:rsidR="00474D7E">
        <w:rPr>
          <w:rFonts w:cs="Arial"/>
          <w:sz w:val="22"/>
          <w:lang w:val="es-CR"/>
        </w:rPr>
        <w:t>á</w:t>
      </w:r>
      <w:r w:rsidR="00474D7E" w:rsidRPr="00474D7E">
        <w:rPr>
          <w:rFonts w:cs="Arial"/>
          <w:sz w:val="22"/>
          <w:lang w:val="es-CR"/>
        </w:rPr>
        <w:t>lisis, tal y como ya ha sucedido en los casos de otros Fiduciarios.</w:t>
      </w:r>
    </w:p>
    <w:p w14:paraId="3EC64CB5" w14:textId="26F866D4" w:rsidR="00474D7E" w:rsidRPr="00474D7E" w:rsidRDefault="004A7CA2" w:rsidP="00474D7E">
      <w:pPr>
        <w:spacing w:line="360" w:lineRule="auto"/>
        <w:jc w:val="both"/>
        <w:rPr>
          <w:rFonts w:cs="Arial"/>
          <w:sz w:val="22"/>
          <w:lang w:val="es-CR"/>
        </w:rPr>
      </w:pPr>
      <w:r>
        <w:rPr>
          <w:rFonts w:cs="Arial"/>
          <w:sz w:val="22"/>
          <w:lang w:val="es-CR"/>
        </w:rPr>
        <w:t xml:space="preserve">c) </w:t>
      </w:r>
      <w:r w:rsidR="00474D7E" w:rsidRPr="00474D7E">
        <w:rPr>
          <w:rFonts w:cs="Arial"/>
          <w:sz w:val="22"/>
          <w:lang w:val="es-CR"/>
        </w:rPr>
        <w:t xml:space="preserve">Actualmente, </w:t>
      </w:r>
      <w:r w:rsidR="00474D7E">
        <w:rPr>
          <w:rFonts w:cs="Arial"/>
          <w:sz w:val="22"/>
          <w:lang w:val="es-CR"/>
        </w:rPr>
        <w:t>la</w:t>
      </w:r>
      <w:r w:rsidR="00474D7E" w:rsidRPr="00474D7E">
        <w:rPr>
          <w:rFonts w:cs="Arial"/>
          <w:sz w:val="22"/>
          <w:lang w:val="es-CR"/>
        </w:rPr>
        <w:t xml:space="preserve"> Unidad de Bienes Inmuebles y el Departamento de Fideicomisos del BANHVI se</w:t>
      </w:r>
      <w:r w:rsidR="00474D7E">
        <w:rPr>
          <w:rFonts w:cs="Arial"/>
          <w:sz w:val="22"/>
          <w:lang w:val="es-CR"/>
        </w:rPr>
        <w:t xml:space="preserve"> </w:t>
      </w:r>
      <w:r w:rsidR="00474D7E" w:rsidRPr="00474D7E">
        <w:rPr>
          <w:rFonts w:cs="Arial"/>
          <w:sz w:val="22"/>
          <w:lang w:val="es-CR"/>
        </w:rPr>
        <w:t>encuentran asumiendo el proceso de administraci</w:t>
      </w:r>
      <w:r w:rsidR="00474D7E">
        <w:rPr>
          <w:rFonts w:cs="Arial"/>
          <w:sz w:val="22"/>
          <w:lang w:val="es-CR"/>
        </w:rPr>
        <w:t xml:space="preserve">ón </w:t>
      </w:r>
      <w:r w:rsidR="00474D7E" w:rsidRPr="00474D7E">
        <w:rPr>
          <w:rFonts w:cs="Arial"/>
          <w:sz w:val="22"/>
          <w:lang w:val="es-CR"/>
        </w:rPr>
        <w:t>de los activos traslados a partir del finiquito</w:t>
      </w:r>
      <w:r w:rsidR="00474D7E">
        <w:rPr>
          <w:rFonts w:cs="Arial"/>
          <w:sz w:val="22"/>
          <w:lang w:val="es-CR"/>
        </w:rPr>
        <w:t xml:space="preserve"> </w:t>
      </w:r>
      <w:r w:rsidR="00474D7E" w:rsidRPr="00474D7E">
        <w:rPr>
          <w:rFonts w:cs="Arial"/>
          <w:sz w:val="22"/>
          <w:lang w:val="es-CR"/>
        </w:rPr>
        <w:t xml:space="preserve">de los Fideicomisos anteriormente administrados por Grupo Mutual Alajuela </w:t>
      </w:r>
      <w:r w:rsidR="00474D7E">
        <w:rPr>
          <w:rFonts w:cs="Arial"/>
          <w:sz w:val="22"/>
          <w:lang w:val="es-CR"/>
        </w:rPr>
        <w:t xml:space="preserve">– </w:t>
      </w:r>
      <w:r w:rsidR="00474D7E" w:rsidRPr="00474D7E">
        <w:rPr>
          <w:rFonts w:cs="Arial"/>
          <w:sz w:val="22"/>
          <w:lang w:val="es-CR"/>
        </w:rPr>
        <w:t>La</w:t>
      </w:r>
      <w:r w:rsidR="00474D7E">
        <w:rPr>
          <w:rFonts w:cs="Arial"/>
          <w:sz w:val="22"/>
          <w:lang w:val="es-CR"/>
        </w:rPr>
        <w:t xml:space="preserve"> </w:t>
      </w:r>
      <w:r w:rsidR="00474D7E" w:rsidRPr="00474D7E">
        <w:rPr>
          <w:rFonts w:cs="Arial"/>
          <w:sz w:val="22"/>
          <w:lang w:val="es-CR"/>
        </w:rPr>
        <w:t>Vivienda, por lo</w:t>
      </w:r>
      <w:r w:rsidR="00474D7E">
        <w:rPr>
          <w:rFonts w:cs="Arial"/>
          <w:sz w:val="22"/>
          <w:lang w:val="es-CR"/>
        </w:rPr>
        <w:t xml:space="preserve"> </w:t>
      </w:r>
      <w:r w:rsidR="00474D7E" w:rsidRPr="00474D7E">
        <w:rPr>
          <w:rFonts w:cs="Arial"/>
          <w:sz w:val="22"/>
          <w:lang w:val="es-CR"/>
        </w:rPr>
        <w:t xml:space="preserve">que no se considera conveniente el ingreso de nuevos activos para </w:t>
      </w:r>
      <w:r w:rsidR="00474D7E">
        <w:rPr>
          <w:rFonts w:cs="Arial"/>
          <w:sz w:val="22"/>
          <w:lang w:val="es-CR"/>
        </w:rPr>
        <w:t>la</w:t>
      </w:r>
      <w:r w:rsidR="00474D7E" w:rsidRPr="00474D7E">
        <w:rPr>
          <w:rFonts w:cs="Arial"/>
          <w:sz w:val="22"/>
          <w:lang w:val="es-CR"/>
        </w:rPr>
        <w:t xml:space="preserve"> administraci</w:t>
      </w:r>
      <w:r w:rsidR="00474D7E">
        <w:rPr>
          <w:rFonts w:cs="Arial"/>
          <w:sz w:val="22"/>
          <w:lang w:val="es-CR"/>
        </w:rPr>
        <w:t xml:space="preserve">ón </w:t>
      </w:r>
      <w:r w:rsidR="00474D7E" w:rsidRPr="00474D7E">
        <w:rPr>
          <w:rFonts w:cs="Arial"/>
          <w:sz w:val="22"/>
          <w:lang w:val="es-CR"/>
        </w:rPr>
        <w:t>de esas</w:t>
      </w:r>
      <w:r w:rsidR="00474D7E">
        <w:rPr>
          <w:rFonts w:cs="Arial"/>
          <w:sz w:val="22"/>
          <w:lang w:val="es-CR"/>
        </w:rPr>
        <w:t xml:space="preserve"> á</w:t>
      </w:r>
      <w:r w:rsidR="00474D7E" w:rsidRPr="00474D7E">
        <w:rPr>
          <w:rFonts w:cs="Arial"/>
          <w:sz w:val="22"/>
          <w:lang w:val="es-CR"/>
        </w:rPr>
        <w:t>reas en el corto plazo.</w:t>
      </w:r>
    </w:p>
    <w:p w14:paraId="46532A0D" w14:textId="18E7317F" w:rsidR="00474D7E" w:rsidRPr="00474D7E" w:rsidRDefault="004A7CA2" w:rsidP="00474D7E">
      <w:pPr>
        <w:spacing w:line="360" w:lineRule="auto"/>
        <w:jc w:val="both"/>
        <w:rPr>
          <w:rFonts w:cs="Arial"/>
          <w:sz w:val="22"/>
          <w:lang w:val="es-CR"/>
        </w:rPr>
      </w:pPr>
      <w:r>
        <w:rPr>
          <w:rFonts w:cs="Arial"/>
          <w:sz w:val="22"/>
          <w:lang w:val="es-CR"/>
        </w:rPr>
        <w:t xml:space="preserve">d) </w:t>
      </w:r>
      <w:r w:rsidR="00474D7E" w:rsidRPr="00474D7E">
        <w:rPr>
          <w:rFonts w:cs="Arial"/>
          <w:sz w:val="22"/>
          <w:lang w:val="es-CR"/>
        </w:rPr>
        <w:t>Adicionalmente, el traslado de los activos de referen</w:t>
      </w:r>
      <w:r w:rsidR="00474D7E">
        <w:rPr>
          <w:rFonts w:cs="Arial"/>
          <w:sz w:val="22"/>
          <w:lang w:val="es-CR"/>
        </w:rPr>
        <w:t>cia</w:t>
      </w:r>
      <w:r w:rsidR="00474D7E" w:rsidRPr="00474D7E">
        <w:rPr>
          <w:rFonts w:cs="Arial"/>
          <w:sz w:val="22"/>
          <w:lang w:val="es-CR"/>
        </w:rPr>
        <w:t xml:space="preserve"> al BANHVI implica incurrir en costos</w:t>
      </w:r>
      <w:r>
        <w:rPr>
          <w:rFonts w:cs="Arial"/>
          <w:sz w:val="22"/>
          <w:lang w:val="es-CR"/>
        </w:rPr>
        <w:t xml:space="preserve"> </w:t>
      </w:r>
      <w:r w:rsidR="00474D7E" w:rsidRPr="00474D7E">
        <w:rPr>
          <w:rFonts w:cs="Arial"/>
          <w:sz w:val="22"/>
          <w:lang w:val="es-CR"/>
        </w:rPr>
        <w:t>asociados a los traspasos registrales por cesiones de hipotecas, bienes inmuebles y cesiones de</w:t>
      </w:r>
      <w:r>
        <w:rPr>
          <w:rFonts w:cs="Arial"/>
          <w:sz w:val="22"/>
          <w:lang w:val="es-CR"/>
        </w:rPr>
        <w:t xml:space="preserve"> </w:t>
      </w:r>
      <w:r w:rsidR="00474D7E" w:rsidRPr="00474D7E">
        <w:rPr>
          <w:rFonts w:cs="Arial"/>
          <w:sz w:val="22"/>
          <w:lang w:val="es-CR"/>
        </w:rPr>
        <w:t>derechos litigiosos de operaciones en proceso de cobro judicial.</w:t>
      </w:r>
    </w:p>
    <w:p w14:paraId="038B075B" w14:textId="5682989E" w:rsidR="00474D7E" w:rsidRPr="00474D7E" w:rsidRDefault="004A7CA2" w:rsidP="00474D7E">
      <w:pPr>
        <w:spacing w:line="360" w:lineRule="auto"/>
        <w:jc w:val="both"/>
        <w:rPr>
          <w:rFonts w:cs="Arial"/>
          <w:sz w:val="22"/>
          <w:lang w:val="es-CR"/>
        </w:rPr>
      </w:pPr>
      <w:r>
        <w:rPr>
          <w:rFonts w:cs="Arial"/>
          <w:sz w:val="22"/>
          <w:lang w:val="es-CR"/>
        </w:rPr>
        <w:t xml:space="preserve">e) </w:t>
      </w:r>
      <w:r w:rsidR="00474D7E" w:rsidRPr="00474D7E">
        <w:rPr>
          <w:rFonts w:cs="Arial"/>
          <w:sz w:val="22"/>
          <w:lang w:val="es-CR"/>
        </w:rPr>
        <w:t>La comisi</w:t>
      </w:r>
      <w:r>
        <w:rPr>
          <w:rFonts w:cs="Arial"/>
          <w:sz w:val="22"/>
          <w:lang w:val="es-CR"/>
        </w:rPr>
        <w:t xml:space="preserve">ón </w:t>
      </w:r>
      <w:r w:rsidR="00474D7E" w:rsidRPr="00474D7E">
        <w:rPr>
          <w:rFonts w:cs="Arial"/>
          <w:sz w:val="22"/>
          <w:lang w:val="es-CR"/>
        </w:rPr>
        <w:t>m</w:t>
      </w:r>
      <w:r>
        <w:rPr>
          <w:rFonts w:cs="Arial"/>
          <w:sz w:val="22"/>
          <w:lang w:val="es-CR"/>
        </w:rPr>
        <w:t>í</w:t>
      </w:r>
      <w:r w:rsidR="00474D7E" w:rsidRPr="00474D7E">
        <w:rPr>
          <w:rFonts w:cs="Arial"/>
          <w:sz w:val="22"/>
          <w:lang w:val="es-CR"/>
        </w:rPr>
        <w:t>nima que se cancela en forma mensual a MUCAP en su calidad de Fiduciario del</w:t>
      </w:r>
      <w:r>
        <w:rPr>
          <w:rFonts w:cs="Arial"/>
          <w:sz w:val="22"/>
          <w:lang w:val="es-CR"/>
        </w:rPr>
        <w:t xml:space="preserve"> </w:t>
      </w:r>
      <w:r w:rsidR="00474D7E" w:rsidRPr="00474D7E">
        <w:rPr>
          <w:rFonts w:cs="Arial"/>
          <w:sz w:val="22"/>
          <w:lang w:val="es-CR"/>
        </w:rPr>
        <w:t xml:space="preserve">BANHVI contempla </w:t>
      </w:r>
      <w:r>
        <w:rPr>
          <w:rFonts w:cs="Arial"/>
          <w:sz w:val="22"/>
          <w:lang w:val="es-CR"/>
        </w:rPr>
        <w:t>la</w:t>
      </w:r>
      <w:r w:rsidR="00474D7E" w:rsidRPr="00474D7E">
        <w:rPr>
          <w:rFonts w:cs="Arial"/>
          <w:sz w:val="22"/>
          <w:lang w:val="es-CR"/>
        </w:rPr>
        <w:t xml:space="preserve"> administraci</w:t>
      </w:r>
      <w:r>
        <w:rPr>
          <w:rFonts w:cs="Arial"/>
          <w:sz w:val="22"/>
          <w:lang w:val="es-CR"/>
        </w:rPr>
        <w:t xml:space="preserve">ón </w:t>
      </w:r>
      <w:r w:rsidR="00474D7E" w:rsidRPr="00474D7E">
        <w:rPr>
          <w:rFonts w:cs="Arial"/>
          <w:sz w:val="22"/>
          <w:lang w:val="es-CR"/>
        </w:rPr>
        <w:t>de los tres Fideicomisos administrados. En este sentido,</w:t>
      </w:r>
      <w:r>
        <w:rPr>
          <w:rFonts w:cs="Arial"/>
          <w:sz w:val="22"/>
          <w:lang w:val="es-CR"/>
        </w:rPr>
        <w:t xml:space="preserve"> </w:t>
      </w:r>
      <w:r w:rsidR="00474D7E" w:rsidRPr="00474D7E">
        <w:rPr>
          <w:rFonts w:cs="Arial"/>
          <w:sz w:val="22"/>
          <w:lang w:val="es-CR"/>
        </w:rPr>
        <w:t xml:space="preserve">siendo que con el vencimiento del Fideicomiso 010-2002, </w:t>
      </w:r>
      <w:r>
        <w:rPr>
          <w:rFonts w:cs="Arial"/>
          <w:sz w:val="22"/>
          <w:lang w:val="es-CR"/>
        </w:rPr>
        <w:t>la</w:t>
      </w:r>
      <w:r w:rsidR="00474D7E" w:rsidRPr="00474D7E">
        <w:rPr>
          <w:rFonts w:cs="Arial"/>
          <w:sz w:val="22"/>
          <w:lang w:val="es-CR"/>
        </w:rPr>
        <w:t xml:space="preserve"> Entidad tendr</w:t>
      </w:r>
      <w:r>
        <w:rPr>
          <w:rFonts w:cs="Arial"/>
          <w:sz w:val="22"/>
          <w:lang w:val="es-CR"/>
        </w:rPr>
        <w:t>á</w:t>
      </w:r>
      <w:r w:rsidR="00474D7E" w:rsidRPr="00474D7E">
        <w:rPr>
          <w:rFonts w:cs="Arial"/>
          <w:sz w:val="22"/>
          <w:lang w:val="es-CR"/>
        </w:rPr>
        <w:t xml:space="preserve"> que mantener en</w:t>
      </w:r>
      <w:r>
        <w:rPr>
          <w:rFonts w:cs="Arial"/>
          <w:sz w:val="22"/>
          <w:lang w:val="es-CR"/>
        </w:rPr>
        <w:t xml:space="preserve"> </w:t>
      </w:r>
      <w:r w:rsidR="00474D7E" w:rsidRPr="00474D7E">
        <w:rPr>
          <w:rFonts w:cs="Arial"/>
          <w:sz w:val="22"/>
          <w:lang w:val="es-CR"/>
        </w:rPr>
        <w:t>ejecuci</w:t>
      </w:r>
      <w:r>
        <w:rPr>
          <w:rFonts w:cs="Arial"/>
          <w:sz w:val="22"/>
          <w:lang w:val="es-CR"/>
        </w:rPr>
        <w:t>ón la</w:t>
      </w:r>
      <w:r w:rsidR="00474D7E" w:rsidRPr="00474D7E">
        <w:rPr>
          <w:rFonts w:cs="Arial"/>
          <w:sz w:val="22"/>
          <w:lang w:val="es-CR"/>
        </w:rPr>
        <w:t xml:space="preserve"> mayor parte de las labores que desarrolla actualmente, el </w:t>
      </w:r>
      <w:r w:rsidR="00474D7E" w:rsidRPr="00474D7E">
        <w:rPr>
          <w:rFonts w:cs="Arial"/>
          <w:sz w:val="22"/>
          <w:lang w:val="es-CR"/>
        </w:rPr>
        <w:lastRenderedPageBreak/>
        <w:t>finiquito de este Contrato</w:t>
      </w:r>
      <w:r>
        <w:rPr>
          <w:rFonts w:cs="Arial"/>
          <w:sz w:val="22"/>
          <w:lang w:val="es-CR"/>
        </w:rPr>
        <w:t xml:space="preserve"> </w:t>
      </w:r>
      <w:r w:rsidR="00474D7E" w:rsidRPr="00474D7E">
        <w:rPr>
          <w:rFonts w:cs="Arial"/>
          <w:sz w:val="22"/>
          <w:lang w:val="es-CR"/>
        </w:rPr>
        <w:t>no estar</w:t>
      </w:r>
      <w:r>
        <w:rPr>
          <w:rFonts w:cs="Arial"/>
          <w:sz w:val="22"/>
          <w:lang w:val="es-CR"/>
        </w:rPr>
        <w:t>í</w:t>
      </w:r>
      <w:r w:rsidR="00474D7E" w:rsidRPr="00474D7E">
        <w:rPr>
          <w:rFonts w:cs="Arial"/>
          <w:sz w:val="22"/>
          <w:lang w:val="es-CR"/>
        </w:rPr>
        <w:t>a generando una reducci</w:t>
      </w:r>
      <w:r>
        <w:rPr>
          <w:rFonts w:cs="Arial"/>
          <w:sz w:val="22"/>
          <w:lang w:val="es-CR"/>
        </w:rPr>
        <w:t>ó</w:t>
      </w:r>
      <w:r w:rsidR="00474D7E" w:rsidRPr="00474D7E">
        <w:rPr>
          <w:rFonts w:cs="Arial"/>
          <w:sz w:val="22"/>
          <w:lang w:val="es-CR"/>
        </w:rPr>
        <w:t>n en los gastos por concepto de comisiones fiduciarias al</w:t>
      </w:r>
      <w:r>
        <w:rPr>
          <w:rFonts w:cs="Arial"/>
          <w:sz w:val="22"/>
          <w:lang w:val="es-CR"/>
        </w:rPr>
        <w:t xml:space="preserve"> </w:t>
      </w:r>
      <w:r w:rsidR="00474D7E" w:rsidRPr="00474D7E">
        <w:rPr>
          <w:rFonts w:cs="Arial"/>
          <w:sz w:val="22"/>
          <w:lang w:val="es-CR"/>
        </w:rPr>
        <w:t>BANHVI.</w:t>
      </w:r>
    </w:p>
    <w:p w14:paraId="09F8D636" w14:textId="750277A6" w:rsidR="00474D7E" w:rsidRDefault="004A7CA2" w:rsidP="00474D7E">
      <w:pPr>
        <w:spacing w:line="360" w:lineRule="auto"/>
        <w:jc w:val="both"/>
        <w:rPr>
          <w:rFonts w:cs="Arial"/>
          <w:sz w:val="22"/>
          <w:lang w:val="es-ES_tradnl"/>
        </w:rPr>
      </w:pPr>
      <w:r>
        <w:rPr>
          <w:rFonts w:cs="Arial"/>
          <w:sz w:val="22"/>
          <w:lang w:val="es-CR"/>
        </w:rPr>
        <w:t xml:space="preserve">f) La </w:t>
      </w:r>
      <w:r w:rsidR="00474D7E" w:rsidRPr="00474D7E">
        <w:rPr>
          <w:rFonts w:cs="Arial"/>
          <w:sz w:val="22"/>
          <w:lang w:val="es-CR"/>
        </w:rPr>
        <w:t>MUCAP ha man</w:t>
      </w:r>
      <w:r>
        <w:rPr>
          <w:rFonts w:cs="Arial"/>
          <w:sz w:val="22"/>
          <w:lang w:val="es-CR"/>
        </w:rPr>
        <w:t>i</w:t>
      </w:r>
      <w:r w:rsidR="00474D7E" w:rsidRPr="00474D7E">
        <w:rPr>
          <w:rFonts w:cs="Arial"/>
          <w:sz w:val="22"/>
          <w:lang w:val="es-CR"/>
        </w:rPr>
        <w:t xml:space="preserve">festado encontrarse de acuerdo en continuar con </w:t>
      </w:r>
      <w:r>
        <w:rPr>
          <w:rFonts w:cs="Arial"/>
          <w:sz w:val="22"/>
          <w:lang w:val="es-CR"/>
        </w:rPr>
        <w:t>la</w:t>
      </w:r>
      <w:r w:rsidR="00474D7E" w:rsidRPr="00474D7E">
        <w:rPr>
          <w:rFonts w:cs="Arial"/>
          <w:sz w:val="22"/>
          <w:lang w:val="es-CR"/>
        </w:rPr>
        <w:t xml:space="preserve"> administraci</w:t>
      </w:r>
      <w:r>
        <w:rPr>
          <w:rFonts w:cs="Arial"/>
          <w:sz w:val="22"/>
          <w:lang w:val="es-CR"/>
        </w:rPr>
        <w:t>ó</w:t>
      </w:r>
      <w:r w:rsidR="00474D7E" w:rsidRPr="00474D7E">
        <w:rPr>
          <w:rFonts w:cs="Arial"/>
          <w:sz w:val="22"/>
          <w:lang w:val="es-CR"/>
        </w:rPr>
        <w:t>n de los tres</w:t>
      </w:r>
      <w:r>
        <w:rPr>
          <w:rFonts w:cs="Arial"/>
          <w:sz w:val="22"/>
          <w:lang w:val="es-CR"/>
        </w:rPr>
        <w:t xml:space="preserve"> </w:t>
      </w:r>
      <w:r w:rsidR="00474D7E" w:rsidRPr="00474D7E">
        <w:rPr>
          <w:rFonts w:cs="Arial"/>
          <w:sz w:val="22"/>
          <w:lang w:val="es-CR"/>
        </w:rPr>
        <w:t>Fideicomisos actualmente administrados manteniendo las condiciones vigentes.</w:t>
      </w:r>
    </w:p>
    <w:p w14:paraId="1323EA62" w14:textId="77777777" w:rsidR="0023255E" w:rsidRDefault="0023255E" w:rsidP="009D03FE">
      <w:pPr>
        <w:spacing w:line="360" w:lineRule="auto"/>
        <w:jc w:val="both"/>
        <w:rPr>
          <w:rFonts w:cs="Arial"/>
          <w:sz w:val="22"/>
          <w:szCs w:val="22"/>
        </w:rPr>
      </w:pPr>
    </w:p>
    <w:p w14:paraId="41541220" w14:textId="1F26A2A7" w:rsidR="009D03FE" w:rsidRDefault="009D03FE" w:rsidP="009D03FE">
      <w:pPr>
        <w:spacing w:line="360" w:lineRule="auto"/>
        <w:jc w:val="both"/>
        <w:rPr>
          <w:rFonts w:cs="Arial"/>
          <w:sz w:val="22"/>
          <w:lang w:val="es-ES_tradnl"/>
        </w:rPr>
      </w:pPr>
      <w:r w:rsidRPr="00A25DB7">
        <w:rPr>
          <w:rFonts w:cs="Arial"/>
          <w:sz w:val="22"/>
          <w:u w:val="single"/>
          <w:lang w:val="es-ES_tradnl"/>
        </w:rPr>
        <w:t xml:space="preserve">Minuto </w:t>
      </w:r>
      <w:r w:rsidR="00FD1DE3">
        <w:rPr>
          <w:rFonts w:cs="Arial"/>
          <w:sz w:val="22"/>
          <w:u w:val="single"/>
          <w:lang w:val="es-ES_tradnl"/>
        </w:rPr>
        <w:t>61</w:t>
      </w:r>
      <w:r w:rsidRPr="00A25DB7">
        <w:rPr>
          <w:rFonts w:cs="Arial"/>
          <w:sz w:val="22"/>
          <w:u w:val="single"/>
          <w:lang w:val="es-ES_tradnl"/>
        </w:rPr>
        <w:t>:</w:t>
      </w:r>
      <w:r w:rsidR="00FD1DE3">
        <w:rPr>
          <w:rFonts w:cs="Arial"/>
          <w:sz w:val="22"/>
          <w:u w:val="single"/>
          <w:lang w:val="es-ES_tradnl"/>
        </w:rPr>
        <w:t>25</w:t>
      </w:r>
      <w:r>
        <w:rPr>
          <w:rFonts w:cs="Arial"/>
          <w:sz w:val="22"/>
          <w:lang w:val="es-ES_tradnl"/>
        </w:rPr>
        <w:t xml:space="preserve"> </w:t>
      </w:r>
      <w:r w:rsidR="00FD1DE3">
        <w:rPr>
          <w:rFonts w:cs="Arial"/>
          <w:sz w:val="22"/>
          <w:lang w:val="es-ES_tradnl"/>
        </w:rPr>
        <w:t xml:space="preserve">Luego de que la licenciada Hernández Brenes atiende varias consultas que al respecto plantean los señores Directores y no habiendo objeciones, se resuelve actuar de la forma que recomienda la </w:t>
      </w:r>
      <w:r w:rsidR="00FD1DE3" w:rsidRPr="00FD1DE3">
        <w:rPr>
          <w:rFonts w:cs="Arial"/>
          <w:sz w:val="22"/>
          <w:lang w:val="es-ES_tradnl"/>
        </w:rPr>
        <w:t>Administración</w:t>
      </w:r>
      <w:r w:rsidR="00FD1DE3">
        <w:rPr>
          <w:rFonts w:cs="Arial"/>
          <w:sz w:val="22"/>
          <w:lang w:val="es-ES_tradnl"/>
        </w:rPr>
        <w:t xml:space="preserve"> en el citado informe de la Dirección FONAVI.  Lo anterior, conforme se indica en el </w:t>
      </w:r>
      <w:r w:rsidR="00FD1DE3" w:rsidRPr="00FD1DE3">
        <w:rPr>
          <w:rFonts w:cs="Arial"/>
          <w:b/>
          <w:bCs/>
          <w:sz w:val="22"/>
          <w:lang w:val="es-ES_tradnl"/>
        </w:rPr>
        <w:t>Acuerdo N° 3</w:t>
      </w:r>
      <w:r w:rsidR="00FD1DE3">
        <w:rPr>
          <w:rFonts w:cs="Arial"/>
          <w:sz w:val="22"/>
          <w:lang w:val="es-ES_tradnl"/>
        </w:rPr>
        <w:t xml:space="preserve"> que se anexa a esta minuta.</w:t>
      </w:r>
    </w:p>
    <w:p w14:paraId="7D60F415" w14:textId="77777777" w:rsidR="009D03FE" w:rsidRPr="00D14EAF" w:rsidRDefault="009D03FE" w:rsidP="009D03FE">
      <w:pPr>
        <w:spacing w:line="360" w:lineRule="auto"/>
        <w:jc w:val="both"/>
        <w:rPr>
          <w:rFonts w:cs="Arial"/>
          <w:b/>
          <w:sz w:val="22"/>
        </w:rPr>
      </w:pPr>
      <w:r w:rsidRPr="00D14EAF">
        <w:rPr>
          <w:rFonts w:cs="Arial"/>
          <w:b/>
          <w:sz w:val="22"/>
        </w:rPr>
        <w:t>************</w:t>
      </w:r>
    </w:p>
    <w:p w14:paraId="0B80CA0F" w14:textId="77777777" w:rsidR="00D13B6B" w:rsidRDefault="00D13B6B" w:rsidP="002D0146">
      <w:pPr>
        <w:spacing w:line="360" w:lineRule="auto"/>
        <w:jc w:val="both"/>
        <w:rPr>
          <w:rFonts w:cs="Arial"/>
          <w:b/>
          <w:bCs/>
          <w:sz w:val="22"/>
          <w:szCs w:val="22"/>
          <w:u w:val="single"/>
          <w:lang w:val="es-ES_tradnl"/>
        </w:rPr>
      </w:pPr>
    </w:p>
    <w:p w14:paraId="21EB84A2" w14:textId="74AC4B0B" w:rsidR="001F5F07" w:rsidRPr="001F5F07" w:rsidRDefault="00320F35" w:rsidP="001F5F07">
      <w:pPr>
        <w:spacing w:line="360" w:lineRule="auto"/>
        <w:jc w:val="both"/>
        <w:rPr>
          <w:rFonts w:cs="Arial"/>
          <w:b/>
          <w:bCs/>
          <w:sz w:val="22"/>
          <w:u w:val="single"/>
        </w:rPr>
      </w:pPr>
      <w:r>
        <w:rPr>
          <w:rFonts w:cs="Arial"/>
          <w:b/>
          <w:sz w:val="22"/>
          <w:szCs w:val="22"/>
          <w:lang w:val="es-ES_tradnl"/>
        </w:rPr>
        <w:t xml:space="preserve">3° </w:t>
      </w:r>
      <w:r w:rsidR="001F5F07" w:rsidRPr="001F5F07">
        <w:rPr>
          <w:rFonts w:cs="Arial"/>
          <w:b/>
          <w:bCs/>
          <w:sz w:val="22"/>
          <w:u w:val="single"/>
          <w:lang w:val="es-ES_tradnl"/>
        </w:rPr>
        <w:t>Propuesta de actualización de la “</w:t>
      </w:r>
      <w:r w:rsidR="001F5F07" w:rsidRPr="001F5F07">
        <w:rPr>
          <w:rFonts w:cs="Arial"/>
          <w:b/>
          <w:bCs/>
          <w:i/>
          <w:iCs/>
          <w:sz w:val="22"/>
          <w:u w:val="single"/>
          <w:lang w:val="es-ES_tradnl"/>
        </w:rPr>
        <w:t>Metodología para el análisis de la capacidad de pago de las entidades deudoras del BANHVI</w:t>
      </w:r>
      <w:r w:rsidR="001F5F07" w:rsidRPr="001F5F07">
        <w:rPr>
          <w:rFonts w:cs="Arial"/>
          <w:b/>
          <w:bCs/>
          <w:sz w:val="22"/>
          <w:u w:val="single"/>
          <w:lang w:val="es-ES_tradnl"/>
        </w:rPr>
        <w:t>”</w:t>
      </w:r>
    </w:p>
    <w:p w14:paraId="7CB94386" w14:textId="77777777" w:rsidR="009D03FE" w:rsidRDefault="009D03FE" w:rsidP="009D03FE">
      <w:pPr>
        <w:spacing w:line="360" w:lineRule="auto"/>
        <w:jc w:val="both"/>
        <w:rPr>
          <w:rFonts w:cs="Arial"/>
          <w:sz w:val="22"/>
          <w:szCs w:val="22"/>
        </w:rPr>
      </w:pPr>
    </w:p>
    <w:p w14:paraId="6A605926" w14:textId="381AB347" w:rsidR="009D03FE" w:rsidRDefault="009D03FE" w:rsidP="009D03FE">
      <w:pPr>
        <w:spacing w:line="360" w:lineRule="auto"/>
        <w:jc w:val="both"/>
        <w:rPr>
          <w:rFonts w:cs="Arial"/>
          <w:sz w:val="22"/>
          <w:lang w:val="es-ES_tradnl"/>
        </w:rPr>
      </w:pPr>
      <w:r w:rsidRPr="0039311E">
        <w:rPr>
          <w:rFonts w:cs="Arial"/>
          <w:sz w:val="22"/>
          <w:u w:val="single"/>
          <w:lang w:val="es-ES_tradnl"/>
        </w:rPr>
        <w:t xml:space="preserve">Minuto </w:t>
      </w:r>
      <w:r w:rsidR="00C40BA5">
        <w:rPr>
          <w:rFonts w:cs="Arial"/>
          <w:sz w:val="22"/>
          <w:u w:val="single"/>
          <w:lang w:val="es-ES_tradnl"/>
        </w:rPr>
        <w:t>63</w:t>
      </w:r>
      <w:r w:rsidRPr="0039311E">
        <w:rPr>
          <w:rFonts w:cs="Arial"/>
          <w:sz w:val="22"/>
          <w:u w:val="single"/>
          <w:lang w:val="es-ES_tradnl"/>
        </w:rPr>
        <w:t>:</w:t>
      </w:r>
      <w:r w:rsidR="00C40BA5">
        <w:rPr>
          <w:rFonts w:cs="Arial"/>
          <w:sz w:val="22"/>
          <w:u w:val="single"/>
          <w:lang w:val="es-ES_tradnl"/>
        </w:rPr>
        <w:t>10</w:t>
      </w:r>
      <w:r>
        <w:rPr>
          <w:rFonts w:cs="Arial"/>
          <w:sz w:val="22"/>
          <w:lang w:val="es-ES_tradnl"/>
        </w:rPr>
        <w:t xml:space="preserve"> Se conoce el oficio </w:t>
      </w:r>
      <w:r w:rsidR="00C40BA5">
        <w:rPr>
          <w:rFonts w:cs="Arial"/>
          <w:sz w:val="22"/>
          <w:lang w:val="es-ES_tradnl"/>
        </w:rPr>
        <w:t xml:space="preserve">GG-ME-0692-2020 del 24 de junio de 2020, mediante el cual, la </w:t>
      </w:r>
      <w:r w:rsidR="00C40BA5" w:rsidRPr="00C40BA5">
        <w:rPr>
          <w:rFonts w:cs="Arial"/>
          <w:sz w:val="22"/>
          <w:lang w:val="es-ES_tradnl"/>
        </w:rPr>
        <w:t>Gerencia General</w:t>
      </w:r>
      <w:r w:rsidR="008703E9">
        <w:rPr>
          <w:rFonts w:cs="Arial"/>
          <w:sz w:val="22"/>
          <w:lang w:val="es-ES_tradnl"/>
        </w:rPr>
        <w:t xml:space="preserve"> remite el informe DFNV-248-2020 de la Dirección FONAV</w:t>
      </w:r>
      <w:r w:rsidR="009D75D6">
        <w:rPr>
          <w:rFonts w:cs="Arial"/>
          <w:sz w:val="22"/>
          <w:lang w:val="es-ES_tradnl"/>
        </w:rPr>
        <w:t>I</w:t>
      </w:r>
      <w:r w:rsidR="008703E9">
        <w:rPr>
          <w:rFonts w:cs="Arial"/>
          <w:sz w:val="22"/>
          <w:lang w:val="es-ES_tradnl"/>
        </w:rPr>
        <w:t xml:space="preserve">, que contiene una propuesta de actualización de la “Metodología para el análisis de la capacidad de pago de las entidades deudoras del BANHVI” </w:t>
      </w:r>
      <w:r w:rsidR="008703E9" w:rsidRPr="008703E9">
        <w:rPr>
          <w:rFonts w:cs="Arial"/>
          <w:sz w:val="22"/>
          <w:lang w:val="es-CR"/>
        </w:rPr>
        <w:t>(FON</w:t>
      </w:r>
      <w:r w:rsidR="008703E9">
        <w:rPr>
          <w:rFonts w:cs="Arial"/>
          <w:sz w:val="22"/>
          <w:lang w:val="es-CR"/>
        </w:rPr>
        <w:t>-</w:t>
      </w:r>
      <w:r w:rsidR="008703E9" w:rsidRPr="008703E9">
        <w:rPr>
          <w:rFonts w:cs="Arial"/>
          <w:sz w:val="22"/>
          <w:lang w:val="es-CR"/>
        </w:rPr>
        <w:t>MET</w:t>
      </w:r>
      <w:r w:rsidR="008703E9">
        <w:rPr>
          <w:rFonts w:cs="Arial"/>
          <w:sz w:val="22"/>
          <w:lang w:val="es-CR"/>
        </w:rPr>
        <w:t>-</w:t>
      </w:r>
      <w:r w:rsidR="008703E9" w:rsidRPr="008703E9">
        <w:rPr>
          <w:rFonts w:cs="Arial"/>
          <w:sz w:val="22"/>
          <w:lang w:val="es-CR"/>
        </w:rPr>
        <w:t>CRE</w:t>
      </w:r>
      <w:r w:rsidR="008703E9">
        <w:rPr>
          <w:rFonts w:cs="Arial"/>
          <w:sz w:val="22"/>
          <w:lang w:val="es-CR"/>
        </w:rPr>
        <w:t>-</w:t>
      </w:r>
      <w:r w:rsidR="008703E9" w:rsidRPr="008703E9">
        <w:rPr>
          <w:rFonts w:cs="Arial"/>
          <w:sz w:val="22"/>
          <w:lang w:val="es-CR"/>
        </w:rPr>
        <w:t>01),</w:t>
      </w:r>
      <w:r w:rsidR="009D75D6">
        <w:rPr>
          <w:rFonts w:cs="Arial"/>
          <w:sz w:val="22"/>
          <w:lang w:val="es-CR"/>
        </w:rPr>
        <w:t xml:space="preserve"> </w:t>
      </w:r>
      <w:r w:rsidR="008703E9">
        <w:rPr>
          <w:rFonts w:cs="Arial"/>
          <w:sz w:val="22"/>
          <w:lang w:val="es-ES_tradnl"/>
        </w:rPr>
        <w:t>según lo analizado por el Comité de Crédito en su sesión N° 04-2020 del 02 de junio de 2020.  Dichos documentos se adjuntan al expediente del acta.</w:t>
      </w:r>
    </w:p>
    <w:p w14:paraId="0AF325F3" w14:textId="2D039F3D" w:rsidR="008703E9" w:rsidRDefault="008703E9" w:rsidP="009D03FE">
      <w:pPr>
        <w:spacing w:line="360" w:lineRule="auto"/>
        <w:jc w:val="both"/>
        <w:rPr>
          <w:rFonts w:cs="Arial"/>
          <w:sz w:val="22"/>
          <w:lang w:val="es-ES_tradnl"/>
        </w:rPr>
      </w:pPr>
    </w:p>
    <w:p w14:paraId="7F00B754" w14:textId="1497473B" w:rsidR="008703E9" w:rsidRDefault="008703E9" w:rsidP="009D03FE">
      <w:pPr>
        <w:spacing w:line="360" w:lineRule="auto"/>
        <w:jc w:val="both"/>
        <w:rPr>
          <w:rFonts w:cs="Arial"/>
          <w:sz w:val="22"/>
          <w:lang w:val="es-ES_tradnl"/>
        </w:rPr>
      </w:pPr>
      <w:r>
        <w:rPr>
          <w:rFonts w:cs="Arial"/>
          <w:sz w:val="22"/>
          <w:lang w:val="es-ES_tradnl"/>
        </w:rPr>
        <w:t>La licenciada Hernández Brenes expone el contenido del citado informe, destacando que se han realizado, fundamentalmente, los siguientes cambios:</w:t>
      </w:r>
    </w:p>
    <w:p w14:paraId="52D948FF" w14:textId="62C7382D" w:rsidR="008703E9" w:rsidRPr="008703E9" w:rsidRDefault="008703E9" w:rsidP="008703E9">
      <w:pPr>
        <w:spacing w:line="360" w:lineRule="auto"/>
        <w:jc w:val="both"/>
        <w:rPr>
          <w:rFonts w:cs="Arial"/>
          <w:sz w:val="22"/>
          <w:szCs w:val="22"/>
          <w:lang w:val="es-CR"/>
        </w:rPr>
      </w:pPr>
      <w:r>
        <w:rPr>
          <w:rFonts w:cs="Arial"/>
          <w:sz w:val="22"/>
          <w:szCs w:val="22"/>
          <w:lang w:val="es-CR"/>
        </w:rPr>
        <w:t xml:space="preserve">a) </w:t>
      </w:r>
      <w:r w:rsidRPr="008703E9">
        <w:rPr>
          <w:rFonts w:cs="Arial"/>
          <w:sz w:val="22"/>
          <w:szCs w:val="22"/>
          <w:lang w:val="es-CR"/>
        </w:rPr>
        <w:t xml:space="preserve">Se modifican las </w:t>
      </w:r>
      <w:r>
        <w:rPr>
          <w:rFonts w:cs="Arial"/>
          <w:sz w:val="22"/>
          <w:szCs w:val="22"/>
          <w:lang w:val="es-CR"/>
        </w:rPr>
        <w:t>á</w:t>
      </w:r>
      <w:r w:rsidRPr="008703E9">
        <w:rPr>
          <w:rFonts w:cs="Arial"/>
          <w:sz w:val="22"/>
          <w:szCs w:val="22"/>
          <w:lang w:val="es-CR"/>
        </w:rPr>
        <w:t>reas de an</w:t>
      </w:r>
      <w:r>
        <w:rPr>
          <w:rFonts w:cs="Arial"/>
          <w:sz w:val="22"/>
          <w:szCs w:val="22"/>
          <w:lang w:val="es-CR"/>
        </w:rPr>
        <w:t>á</w:t>
      </w:r>
      <w:r w:rsidRPr="008703E9">
        <w:rPr>
          <w:rFonts w:cs="Arial"/>
          <w:sz w:val="22"/>
          <w:szCs w:val="22"/>
          <w:lang w:val="es-CR"/>
        </w:rPr>
        <w:t xml:space="preserve">lisis a evaluar y las ponderaciones que dentro de </w:t>
      </w:r>
      <w:r>
        <w:rPr>
          <w:rFonts w:cs="Arial"/>
          <w:sz w:val="22"/>
          <w:szCs w:val="22"/>
          <w:lang w:val="es-CR"/>
        </w:rPr>
        <w:t>la</w:t>
      </w:r>
      <w:r w:rsidRPr="008703E9">
        <w:rPr>
          <w:rFonts w:cs="Arial"/>
          <w:sz w:val="22"/>
          <w:szCs w:val="22"/>
          <w:lang w:val="es-CR"/>
        </w:rPr>
        <w:t xml:space="preserve"> calificaci</w:t>
      </w:r>
      <w:r>
        <w:rPr>
          <w:rFonts w:cs="Arial"/>
          <w:sz w:val="22"/>
          <w:szCs w:val="22"/>
          <w:lang w:val="es-CR"/>
        </w:rPr>
        <w:t xml:space="preserve">ón </w:t>
      </w:r>
      <w:r w:rsidRPr="008703E9">
        <w:rPr>
          <w:rFonts w:cs="Arial"/>
          <w:sz w:val="22"/>
          <w:szCs w:val="22"/>
          <w:lang w:val="es-CR"/>
        </w:rPr>
        <w:t>se</w:t>
      </w:r>
      <w:r>
        <w:rPr>
          <w:rFonts w:cs="Arial"/>
          <w:sz w:val="22"/>
          <w:szCs w:val="22"/>
          <w:lang w:val="es-CR"/>
        </w:rPr>
        <w:t xml:space="preserve"> </w:t>
      </w:r>
      <w:r w:rsidRPr="008703E9">
        <w:rPr>
          <w:rFonts w:cs="Arial"/>
          <w:sz w:val="22"/>
          <w:szCs w:val="22"/>
          <w:lang w:val="es-CR"/>
        </w:rPr>
        <w:t xml:space="preserve">asignan a cada </w:t>
      </w:r>
      <w:r>
        <w:rPr>
          <w:rFonts w:cs="Arial"/>
          <w:sz w:val="22"/>
          <w:szCs w:val="22"/>
          <w:lang w:val="es-CR"/>
        </w:rPr>
        <w:t>á</w:t>
      </w:r>
      <w:r w:rsidRPr="008703E9">
        <w:rPr>
          <w:rFonts w:cs="Arial"/>
          <w:sz w:val="22"/>
          <w:szCs w:val="22"/>
          <w:lang w:val="es-CR"/>
        </w:rPr>
        <w:t>rea.</w:t>
      </w:r>
    </w:p>
    <w:p w14:paraId="74D240B7" w14:textId="034FF98C" w:rsidR="008703E9" w:rsidRPr="008703E9" w:rsidRDefault="008703E9" w:rsidP="008703E9">
      <w:pPr>
        <w:spacing w:line="360" w:lineRule="auto"/>
        <w:jc w:val="both"/>
        <w:rPr>
          <w:rFonts w:cs="Arial"/>
          <w:sz w:val="22"/>
          <w:szCs w:val="22"/>
          <w:lang w:val="es-CR"/>
        </w:rPr>
      </w:pPr>
      <w:r>
        <w:rPr>
          <w:rFonts w:cs="Arial"/>
          <w:sz w:val="22"/>
          <w:szCs w:val="22"/>
          <w:lang w:val="es-CR"/>
        </w:rPr>
        <w:t xml:space="preserve">b) </w:t>
      </w:r>
      <w:r w:rsidRPr="008703E9">
        <w:rPr>
          <w:rFonts w:cs="Arial"/>
          <w:sz w:val="22"/>
          <w:szCs w:val="22"/>
          <w:lang w:val="es-CR"/>
        </w:rPr>
        <w:t xml:space="preserve">Se revisan e incorporan indicadores relevantes en cada </w:t>
      </w:r>
      <w:r>
        <w:rPr>
          <w:rFonts w:cs="Arial"/>
          <w:sz w:val="22"/>
          <w:szCs w:val="22"/>
          <w:lang w:val="es-CR"/>
        </w:rPr>
        <w:t>á</w:t>
      </w:r>
      <w:r w:rsidRPr="008703E9">
        <w:rPr>
          <w:rFonts w:cs="Arial"/>
          <w:sz w:val="22"/>
          <w:szCs w:val="22"/>
          <w:lang w:val="es-CR"/>
        </w:rPr>
        <w:t>rea de an</w:t>
      </w:r>
      <w:r>
        <w:rPr>
          <w:rFonts w:cs="Arial"/>
          <w:sz w:val="22"/>
          <w:szCs w:val="22"/>
          <w:lang w:val="es-CR"/>
        </w:rPr>
        <w:t>á</w:t>
      </w:r>
      <w:r w:rsidRPr="008703E9">
        <w:rPr>
          <w:rFonts w:cs="Arial"/>
          <w:sz w:val="22"/>
          <w:szCs w:val="22"/>
          <w:lang w:val="es-CR"/>
        </w:rPr>
        <w:t>lisis.</w:t>
      </w:r>
    </w:p>
    <w:p w14:paraId="4109A3C4" w14:textId="789C96DF" w:rsidR="008703E9" w:rsidRPr="008703E9" w:rsidRDefault="008703E9" w:rsidP="008703E9">
      <w:pPr>
        <w:spacing w:line="360" w:lineRule="auto"/>
        <w:jc w:val="both"/>
        <w:rPr>
          <w:rFonts w:cs="Arial"/>
          <w:sz w:val="22"/>
          <w:szCs w:val="22"/>
          <w:lang w:val="es-CR"/>
        </w:rPr>
      </w:pPr>
      <w:r>
        <w:rPr>
          <w:rFonts w:cs="Arial"/>
          <w:sz w:val="22"/>
          <w:szCs w:val="22"/>
          <w:lang w:val="es-CR"/>
        </w:rPr>
        <w:t>c)</w:t>
      </w:r>
      <w:r w:rsidRPr="008703E9">
        <w:rPr>
          <w:rFonts w:cs="Arial"/>
          <w:sz w:val="22"/>
          <w:szCs w:val="22"/>
          <w:lang w:val="es-CR"/>
        </w:rPr>
        <w:t xml:space="preserve"> Se ajustan las escalas de calificaci</w:t>
      </w:r>
      <w:r>
        <w:rPr>
          <w:rFonts w:cs="Arial"/>
          <w:sz w:val="22"/>
          <w:szCs w:val="22"/>
          <w:lang w:val="es-CR"/>
        </w:rPr>
        <w:t xml:space="preserve">ón </w:t>
      </w:r>
      <w:r w:rsidRPr="008703E9">
        <w:rPr>
          <w:rFonts w:cs="Arial"/>
          <w:sz w:val="22"/>
          <w:szCs w:val="22"/>
          <w:lang w:val="es-CR"/>
        </w:rPr>
        <w:t xml:space="preserve">de los diferentes indicadores incluidos en </w:t>
      </w:r>
      <w:r>
        <w:rPr>
          <w:rFonts w:cs="Arial"/>
          <w:sz w:val="22"/>
          <w:szCs w:val="22"/>
          <w:lang w:val="es-CR"/>
        </w:rPr>
        <w:t>la</w:t>
      </w:r>
      <w:r w:rsidRPr="008703E9">
        <w:rPr>
          <w:rFonts w:cs="Arial"/>
          <w:sz w:val="22"/>
          <w:szCs w:val="22"/>
          <w:lang w:val="es-CR"/>
        </w:rPr>
        <w:t xml:space="preserve"> metodolog</w:t>
      </w:r>
      <w:r>
        <w:rPr>
          <w:rFonts w:cs="Arial"/>
          <w:sz w:val="22"/>
          <w:szCs w:val="22"/>
          <w:lang w:val="es-CR"/>
        </w:rPr>
        <w:t>í</w:t>
      </w:r>
      <w:r w:rsidRPr="008703E9">
        <w:rPr>
          <w:rFonts w:cs="Arial"/>
          <w:sz w:val="22"/>
          <w:szCs w:val="22"/>
          <w:lang w:val="es-CR"/>
        </w:rPr>
        <w:t>a.</w:t>
      </w:r>
    </w:p>
    <w:p w14:paraId="09C01C4A" w14:textId="6E5DFEB5" w:rsidR="008703E9" w:rsidRPr="008703E9" w:rsidRDefault="008703E9" w:rsidP="008703E9">
      <w:pPr>
        <w:spacing w:line="360" w:lineRule="auto"/>
        <w:jc w:val="both"/>
        <w:rPr>
          <w:rFonts w:cs="Arial"/>
          <w:sz w:val="22"/>
          <w:szCs w:val="22"/>
          <w:lang w:val="es-CR"/>
        </w:rPr>
      </w:pPr>
      <w:r>
        <w:rPr>
          <w:rFonts w:cs="Arial"/>
          <w:sz w:val="22"/>
          <w:szCs w:val="22"/>
          <w:lang w:val="es-CR"/>
        </w:rPr>
        <w:t xml:space="preserve">d) </w:t>
      </w:r>
      <w:r w:rsidRPr="008703E9">
        <w:rPr>
          <w:rFonts w:cs="Arial"/>
          <w:sz w:val="22"/>
          <w:szCs w:val="22"/>
          <w:lang w:val="es-CR"/>
        </w:rPr>
        <w:t xml:space="preserve">Se fortalece el tratamiento aplicado para las entidades que no son supervisadas: </w:t>
      </w:r>
      <w:r>
        <w:rPr>
          <w:rFonts w:cs="Arial"/>
          <w:sz w:val="22"/>
          <w:szCs w:val="22"/>
          <w:lang w:val="es-CR"/>
        </w:rPr>
        <w:t xml:space="preserve">inclusión de </w:t>
      </w:r>
      <w:r w:rsidRPr="008703E9">
        <w:rPr>
          <w:rFonts w:cs="Arial"/>
          <w:sz w:val="22"/>
          <w:szCs w:val="22"/>
          <w:lang w:val="es-CR"/>
        </w:rPr>
        <w:t>indicadores y aplicaci</w:t>
      </w:r>
      <w:r>
        <w:rPr>
          <w:rFonts w:cs="Arial"/>
          <w:sz w:val="22"/>
          <w:szCs w:val="22"/>
          <w:lang w:val="es-CR"/>
        </w:rPr>
        <w:t xml:space="preserve">ón </w:t>
      </w:r>
      <w:r w:rsidRPr="008703E9">
        <w:rPr>
          <w:rFonts w:cs="Arial"/>
          <w:sz w:val="22"/>
          <w:szCs w:val="22"/>
          <w:lang w:val="es-CR"/>
        </w:rPr>
        <w:t>de otros no considerados previamente.</w:t>
      </w:r>
    </w:p>
    <w:p w14:paraId="2A0A0AE4" w14:textId="50E19561" w:rsidR="008703E9" w:rsidRPr="008703E9" w:rsidRDefault="008703E9" w:rsidP="008703E9">
      <w:pPr>
        <w:spacing w:line="360" w:lineRule="auto"/>
        <w:jc w:val="both"/>
        <w:rPr>
          <w:rFonts w:cs="Arial"/>
          <w:sz w:val="22"/>
          <w:szCs w:val="22"/>
          <w:lang w:val="es-CR"/>
        </w:rPr>
      </w:pPr>
      <w:r>
        <w:rPr>
          <w:rFonts w:cs="Arial"/>
          <w:sz w:val="22"/>
          <w:szCs w:val="22"/>
          <w:lang w:val="es-CR"/>
        </w:rPr>
        <w:t xml:space="preserve">e) </w:t>
      </w:r>
      <w:r w:rsidRPr="008703E9">
        <w:rPr>
          <w:rFonts w:cs="Arial"/>
          <w:sz w:val="22"/>
          <w:szCs w:val="22"/>
          <w:lang w:val="es-CR"/>
        </w:rPr>
        <w:t xml:space="preserve">Se actualiza </w:t>
      </w:r>
      <w:r>
        <w:rPr>
          <w:rFonts w:cs="Arial"/>
          <w:sz w:val="22"/>
          <w:szCs w:val="22"/>
          <w:lang w:val="es-CR"/>
        </w:rPr>
        <w:t>la</w:t>
      </w:r>
      <w:r w:rsidRPr="008703E9">
        <w:rPr>
          <w:rFonts w:cs="Arial"/>
          <w:sz w:val="22"/>
          <w:szCs w:val="22"/>
          <w:lang w:val="es-CR"/>
        </w:rPr>
        <w:t xml:space="preserve"> nomenclatura o codificaci</w:t>
      </w:r>
      <w:r>
        <w:rPr>
          <w:rFonts w:cs="Arial"/>
          <w:sz w:val="22"/>
          <w:szCs w:val="22"/>
          <w:lang w:val="es-CR"/>
        </w:rPr>
        <w:t xml:space="preserve">ón </w:t>
      </w:r>
      <w:r w:rsidRPr="008703E9">
        <w:rPr>
          <w:rFonts w:cs="Arial"/>
          <w:sz w:val="22"/>
          <w:szCs w:val="22"/>
          <w:lang w:val="es-CR"/>
        </w:rPr>
        <w:t>de pol</w:t>
      </w:r>
      <w:r>
        <w:rPr>
          <w:rFonts w:cs="Arial"/>
          <w:sz w:val="22"/>
          <w:szCs w:val="22"/>
          <w:lang w:val="es-CR"/>
        </w:rPr>
        <w:t>í</w:t>
      </w:r>
      <w:r w:rsidRPr="008703E9">
        <w:rPr>
          <w:rFonts w:cs="Arial"/>
          <w:sz w:val="22"/>
          <w:szCs w:val="22"/>
          <w:lang w:val="es-CR"/>
        </w:rPr>
        <w:t>ticas y procedimientos asociados, de</w:t>
      </w:r>
    </w:p>
    <w:p w14:paraId="5D5BE72E" w14:textId="732CA51D" w:rsidR="008703E9" w:rsidRDefault="008703E9" w:rsidP="008703E9">
      <w:pPr>
        <w:spacing w:line="360" w:lineRule="auto"/>
        <w:jc w:val="both"/>
        <w:rPr>
          <w:rFonts w:cs="Arial"/>
          <w:sz w:val="22"/>
          <w:szCs w:val="22"/>
        </w:rPr>
      </w:pPr>
      <w:r w:rsidRPr="008703E9">
        <w:rPr>
          <w:rFonts w:cs="Arial"/>
          <w:sz w:val="22"/>
          <w:szCs w:val="22"/>
          <w:lang w:val="es-CR"/>
        </w:rPr>
        <w:t xml:space="preserve">conformidad con </w:t>
      </w:r>
      <w:r>
        <w:rPr>
          <w:rFonts w:cs="Arial"/>
          <w:sz w:val="22"/>
          <w:szCs w:val="22"/>
          <w:lang w:val="es-CR"/>
        </w:rPr>
        <w:t>la</w:t>
      </w:r>
      <w:r w:rsidRPr="008703E9">
        <w:rPr>
          <w:rFonts w:cs="Arial"/>
          <w:sz w:val="22"/>
          <w:szCs w:val="22"/>
          <w:lang w:val="es-CR"/>
        </w:rPr>
        <w:t xml:space="preserve"> estructura documental vigente.</w:t>
      </w:r>
    </w:p>
    <w:p w14:paraId="60B68690" w14:textId="555532EE" w:rsidR="008703E9" w:rsidRDefault="008703E9" w:rsidP="009D03FE">
      <w:pPr>
        <w:spacing w:line="360" w:lineRule="auto"/>
        <w:jc w:val="both"/>
        <w:rPr>
          <w:rFonts w:cs="Arial"/>
          <w:sz w:val="22"/>
          <w:szCs w:val="22"/>
        </w:rPr>
      </w:pPr>
    </w:p>
    <w:p w14:paraId="420C9286" w14:textId="4CAFA27D" w:rsidR="009D03FE" w:rsidRDefault="009D03FE" w:rsidP="009D03FE">
      <w:pPr>
        <w:spacing w:line="360" w:lineRule="auto"/>
        <w:jc w:val="both"/>
        <w:rPr>
          <w:rFonts w:cs="Arial"/>
          <w:sz w:val="22"/>
          <w:lang w:val="es-ES_tradnl"/>
        </w:rPr>
      </w:pPr>
      <w:r w:rsidRPr="00A25DB7">
        <w:rPr>
          <w:rFonts w:cs="Arial"/>
          <w:sz w:val="22"/>
          <w:u w:val="single"/>
          <w:lang w:val="es-ES_tradnl"/>
        </w:rPr>
        <w:lastRenderedPageBreak/>
        <w:t xml:space="preserve">Minuto </w:t>
      </w:r>
      <w:r w:rsidR="000B574D">
        <w:rPr>
          <w:rFonts w:cs="Arial"/>
          <w:sz w:val="22"/>
          <w:u w:val="single"/>
          <w:lang w:val="es-ES_tradnl"/>
        </w:rPr>
        <w:t>102</w:t>
      </w:r>
      <w:r w:rsidRPr="00A25DB7">
        <w:rPr>
          <w:rFonts w:cs="Arial"/>
          <w:sz w:val="22"/>
          <w:u w:val="single"/>
          <w:lang w:val="es-ES_tradnl"/>
        </w:rPr>
        <w:t>:</w:t>
      </w:r>
      <w:r w:rsidR="000B574D">
        <w:rPr>
          <w:rFonts w:cs="Arial"/>
          <w:sz w:val="22"/>
          <w:u w:val="single"/>
          <w:lang w:val="es-ES_tradnl"/>
        </w:rPr>
        <w:t>10</w:t>
      </w:r>
      <w:r>
        <w:rPr>
          <w:rFonts w:cs="Arial"/>
          <w:sz w:val="22"/>
          <w:lang w:val="es-ES_tradnl"/>
        </w:rPr>
        <w:t xml:space="preserve"> </w:t>
      </w:r>
      <w:r w:rsidR="009D75D6">
        <w:rPr>
          <w:rFonts w:cs="Arial"/>
          <w:sz w:val="22"/>
          <w:lang w:val="es-ES_tradnl"/>
        </w:rPr>
        <w:t xml:space="preserve">Conocida la propuesta de la </w:t>
      </w:r>
      <w:r w:rsidR="009D75D6" w:rsidRPr="009D75D6">
        <w:rPr>
          <w:rFonts w:cs="Arial"/>
          <w:sz w:val="22"/>
          <w:lang w:val="es-ES_tradnl"/>
        </w:rPr>
        <w:t>Administración</w:t>
      </w:r>
      <w:r w:rsidR="009D75D6">
        <w:rPr>
          <w:rFonts w:cs="Arial"/>
          <w:sz w:val="22"/>
          <w:lang w:val="es-ES_tradnl"/>
        </w:rPr>
        <w:t xml:space="preserve"> y no habiendo objeciones de los señores Directores ni por parte de los funcionarios presentes, la </w:t>
      </w:r>
      <w:r w:rsidR="009D75D6" w:rsidRPr="009D75D6">
        <w:rPr>
          <w:rFonts w:cs="Arial"/>
          <w:sz w:val="22"/>
          <w:lang w:val="es-ES_tradnl"/>
        </w:rPr>
        <w:t>Junta Directiva</w:t>
      </w:r>
      <w:r w:rsidR="009D75D6">
        <w:rPr>
          <w:rFonts w:cs="Arial"/>
          <w:sz w:val="22"/>
          <w:lang w:val="es-ES_tradnl"/>
        </w:rPr>
        <w:t xml:space="preserve"> resuelve actuar conforme lo recomendado en el informe de la Dirección FONAVI.  Lo anterior, según se consigna en el </w:t>
      </w:r>
      <w:r w:rsidR="009D75D6" w:rsidRPr="009D75D6">
        <w:rPr>
          <w:rFonts w:cs="Arial"/>
          <w:b/>
          <w:bCs/>
          <w:sz w:val="22"/>
          <w:lang w:val="es-ES_tradnl"/>
        </w:rPr>
        <w:t>Acuerdo N° 4</w:t>
      </w:r>
      <w:r w:rsidR="009D75D6">
        <w:rPr>
          <w:rFonts w:cs="Arial"/>
          <w:sz w:val="22"/>
          <w:lang w:val="es-ES_tradnl"/>
        </w:rPr>
        <w:t xml:space="preserve"> que se anexa a esta minuta.  Acto seguido, se retira de la sesión la licenciada Hernández Brenes.</w:t>
      </w:r>
    </w:p>
    <w:p w14:paraId="027959FB" w14:textId="77777777" w:rsidR="009D03FE" w:rsidRPr="00D14EAF" w:rsidRDefault="009D03FE" w:rsidP="009D03FE">
      <w:pPr>
        <w:spacing w:line="360" w:lineRule="auto"/>
        <w:jc w:val="both"/>
        <w:rPr>
          <w:rFonts w:cs="Arial"/>
          <w:b/>
          <w:sz w:val="22"/>
        </w:rPr>
      </w:pPr>
      <w:r w:rsidRPr="00D14EAF">
        <w:rPr>
          <w:rFonts w:cs="Arial"/>
          <w:b/>
          <w:sz w:val="22"/>
        </w:rPr>
        <w:t>************</w:t>
      </w:r>
    </w:p>
    <w:p w14:paraId="047D9B53" w14:textId="77777777" w:rsidR="009D03FE" w:rsidRDefault="009D03FE" w:rsidP="009D03FE">
      <w:pPr>
        <w:spacing w:line="360" w:lineRule="auto"/>
        <w:jc w:val="both"/>
        <w:rPr>
          <w:rFonts w:cs="Arial"/>
          <w:b/>
          <w:bCs/>
          <w:sz w:val="22"/>
          <w:szCs w:val="22"/>
          <w:u w:val="single"/>
          <w:lang w:val="es-ES_tradnl"/>
        </w:rPr>
      </w:pPr>
    </w:p>
    <w:p w14:paraId="61BC67EA" w14:textId="417AA816"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4°</w:t>
      </w:r>
      <w:r w:rsidRPr="001F5F07">
        <w:rPr>
          <w:rFonts w:cs="Arial"/>
          <w:bCs/>
          <w:sz w:val="22"/>
          <w:szCs w:val="22"/>
          <w:lang w:val="es-ES_tradnl"/>
        </w:rPr>
        <w:t xml:space="preserve"> </w:t>
      </w:r>
      <w:r w:rsidR="001F5F07" w:rsidRPr="001F5F07">
        <w:rPr>
          <w:rFonts w:cs="Arial"/>
          <w:b/>
          <w:bCs/>
          <w:sz w:val="22"/>
          <w:u w:val="single"/>
          <w:lang w:val="es-ES_tradnl"/>
        </w:rPr>
        <w:t>Primer informe de diagnóstico de la Oficialía de Cumplimiento Normativo</w:t>
      </w:r>
    </w:p>
    <w:p w14:paraId="13EB65A6" w14:textId="77777777" w:rsidR="009D03FE" w:rsidRDefault="009D03FE" w:rsidP="009D03FE">
      <w:pPr>
        <w:spacing w:line="360" w:lineRule="auto"/>
        <w:jc w:val="both"/>
        <w:rPr>
          <w:rFonts w:cs="Arial"/>
          <w:sz w:val="22"/>
          <w:szCs w:val="22"/>
        </w:rPr>
      </w:pPr>
    </w:p>
    <w:p w14:paraId="48A76034" w14:textId="7A76E151" w:rsidR="009D03FE" w:rsidRDefault="009D03FE" w:rsidP="009D03FE">
      <w:pPr>
        <w:spacing w:line="360" w:lineRule="auto"/>
        <w:jc w:val="both"/>
        <w:rPr>
          <w:rFonts w:cs="Arial"/>
          <w:sz w:val="22"/>
          <w:lang w:val="es-ES_tradnl"/>
        </w:rPr>
      </w:pPr>
      <w:r w:rsidRPr="0039311E">
        <w:rPr>
          <w:rFonts w:cs="Arial"/>
          <w:sz w:val="22"/>
          <w:u w:val="single"/>
          <w:lang w:val="es-ES_tradnl"/>
        </w:rPr>
        <w:t xml:space="preserve">Minuto </w:t>
      </w:r>
      <w:r w:rsidR="000B574D">
        <w:rPr>
          <w:rFonts w:cs="Arial"/>
          <w:sz w:val="22"/>
          <w:u w:val="single"/>
          <w:lang w:val="es-ES_tradnl"/>
        </w:rPr>
        <w:t>107</w:t>
      </w:r>
      <w:r w:rsidRPr="0039311E">
        <w:rPr>
          <w:rFonts w:cs="Arial"/>
          <w:sz w:val="22"/>
          <w:u w:val="single"/>
          <w:lang w:val="es-ES_tradnl"/>
        </w:rPr>
        <w:t>:</w:t>
      </w:r>
      <w:r w:rsidR="000B574D">
        <w:rPr>
          <w:rFonts w:cs="Arial"/>
          <w:sz w:val="22"/>
          <w:u w:val="single"/>
          <w:lang w:val="es-ES_tradnl"/>
        </w:rPr>
        <w:t>00</w:t>
      </w:r>
      <w:r>
        <w:rPr>
          <w:rFonts w:cs="Arial"/>
          <w:sz w:val="22"/>
          <w:lang w:val="es-ES_tradnl"/>
        </w:rPr>
        <w:t xml:space="preserve"> Se </w:t>
      </w:r>
      <w:r w:rsidR="008703E9">
        <w:rPr>
          <w:rFonts w:cs="Arial"/>
          <w:sz w:val="22"/>
          <w:lang w:val="es-ES_tradnl"/>
        </w:rPr>
        <w:t xml:space="preserve">reincorpora a la sesión el señor Gerente General y se procede a conocer el </w:t>
      </w:r>
      <w:r w:rsidR="000B574D">
        <w:rPr>
          <w:rFonts w:cs="Arial"/>
          <w:sz w:val="22"/>
          <w:lang w:val="es-ES_tradnl"/>
        </w:rPr>
        <w:t>informe diagnóstico con corte a mayo de 2020, elaborado por la Unidad de Cumplimiento Normativo, de conformidad con lo establecido en el respectivo plan de trabajo de esa unidad.  Complementariamente, se tiene a la vista un informe especial denominado “Prevenciones Legales COVID-19”.  Dichos documentos se adjuntan al expediente del acta.</w:t>
      </w:r>
    </w:p>
    <w:p w14:paraId="74531D4E" w14:textId="33982323" w:rsidR="000B574D" w:rsidRDefault="000B574D" w:rsidP="009D03FE">
      <w:pPr>
        <w:spacing w:line="360" w:lineRule="auto"/>
        <w:jc w:val="both"/>
        <w:rPr>
          <w:rFonts w:cs="Arial"/>
          <w:sz w:val="22"/>
          <w:lang w:val="es-ES_tradnl"/>
        </w:rPr>
      </w:pPr>
    </w:p>
    <w:p w14:paraId="6E88BB78" w14:textId="7EB08BBA" w:rsidR="000B574D" w:rsidRDefault="000B574D" w:rsidP="009D03FE">
      <w:pPr>
        <w:spacing w:line="360" w:lineRule="auto"/>
        <w:jc w:val="both"/>
        <w:rPr>
          <w:rFonts w:cs="Arial"/>
          <w:sz w:val="22"/>
          <w:lang w:val="es-ES_tradnl"/>
        </w:rPr>
      </w:pPr>
      <w:r>
        <w:rPr>
          <w:rFonts w:cs="Arial"/>
          <w:sz w:val="22"/>
          <w:lang w:val="es-ES_tradnl"/>
        </w:rPr>
        <w:t xml:space="preserve">Para exponer el contenido de dichos informes, se incorpora a la sesión la licenciada Merlyn Jiménez Pérez, Oficial de Cumplimiento Normativo, quien inicialmente presenta los objetivos, los alcances y los principales resultados y conclusiones del informe diagnóstico, </w:t>
      </w:r>
      <w:r w:rsidR="00BE2EB0">
        <w:rPr>
          <w:rFonts w:cs="Arial"/>
          <w:sz w:val="22"/>
          <w:lang w:val="es-ES_tradnl"/>
        </w:rPr>
        <w:t xml:space="preserve">así como el detalle del informe “Prevenciones Legales COVID-19”, </w:t>
      </w:r>
      <w:r>
        <w:rPr>
          <w:rFonts w:cs="Arial"/>
          <w:sz w:val="22"/>
          <w:lang w:val="es-ES_tradnl"/>
        </w:rPr>
        <w:t xml:space="preserve">atendiendo las consultas y las observaciones que al respecto van planteando los señores Directores, fundamentalmente, con </w:t>
      </w:r>
      <w:r w:rsidR="00BE2EB0">
        <w:rPr>
          <w:rFonts w:cs="Arial"/>
          <w:sz w:val="22"/>
          <w:lang w:val="es-ES_tradnl"/>
        </w:rPr>
        <w:t xml:space="preserve">los siguientes aspectos: </w:t>
      </w:r>
      <w:r>
        <w:rPr>
          <w:rFonts w:cs="Arial"/>
          <w:sz w:val="22"/>
          <w:lang w:val="es-ES_tradnl"/>
        </w:rPr>
        <w:t xml:space="preserve">la conveniencia de revisar </w:t>
      </w:r>
      <w:r w:rsidR="00BE2EB0">
        <w:rPr>
          <w:rFonts w:cs="Arial"/>
          <w:sz w:val="22"/>
          <w:lang w:val="es-ES_tradnl"/>
        </w:rPr>
        <w:t xml:space="preserve">los aspectos de Gobierno Corporativo pendientes de atender, la importancia de conformar los expedientes de los miembros de la </w:t>
      </w:r>
      <w:r w:rsidR="00BE2EB0" w:rsidRPr="00BE2EB0">
        <w:rPr>
          <w:rFonts w:cs="Arial"/>
          <w:sz w:val="22"/>
          <w:lang w:val="es-ES_tradnl"/>
        </w:rPr>
        <w:t>Junta Directiva</w:t>
      </w:r>
      <w:r w:rsidR="00BE2EB0">
        <w:rPr>
          <w:rFonts w:cs="Arial"/>
          <w:sz w:val="22"/>
          <w:lang w:val="es-ES_tradnl"/>
        </w:rPr>
        <w:t xml:space="preserve"> según la normativa, la conveniencia de revisar </w:t>
      </w:r>
      <w:r w:rsidR="00FA0C8E">
        <w:rPr>
          <w:rFonts w:cs="Arial"/>
          <w:sz w:val="22"/>
          <w:lang w:val="es-ES_tradnl"/>
        </w:rPr>
        <w:t xml:space="preserve">y eventualmente recomendar mejoras a </w:t>
      </w:r>
      <w:r w:rsidR="00BE2EB0">
        <w:rPr>
          <w:rFonts w:cs="Arial"/>
          <w:sz w:val="22"/>
          <w:lang w:val="es-ES_tradnl"/>
        </w:rPr>
        <w:t xml:space="preserve">la política de evaluación de la </w:t>
      </w:r>
      <w:r w:rsidR="00BE2EB0" w:rsidRPr="00BE2EB0">
        <w:rPr>
          <w:rFonts w:cs="Arial"/>
          <w:sz w:val="22"/>
          <w:lang w:val="es-ES_tradnl"/>
        </w:rPr>
        <w:t>Junta Directiva</w:t>
      </w:r>
      <w:r w:rsidR="00BE2EB0">
        <w:rPr>
          <w:rFonts w:cs="Arial"/>
          <w:sz w:val="22"/>
          <w:lang w:val="es-ES_tradnl"/>
        </w:rPr>
        <w:t xml:space="preserve"> y de los puestos clave</w:t>
      </w:r>
      <w:r w:rsidR="00FA0C8E">
        <w:rPr>
          <w:rFonts w:cs="Arial"/>
          <w:sz w:val="22"/>
          <w:lang w:val="es-ES_tradnl"/>
        </w:rPr>
        <w:t>.</w:t>
      </w:r>
    </w:p>
    <w:p w14:paraId="57766AA3" w14:textId="74E5C933" w:rsidR="00BE2EB0" w:rsidRDefault="00BE2EB0" w:rsidP="009D03FE">
      <w:pPr>
        <w:spacing w:line="360" w:lineRule="auto"/>
        <w:jc w:val="both"/>
        <w:rPr>
          <w:rFonts w:cs="Arial"/>
          <w:sz w:val="22"/>
          <w:lang w:val="es-ES_tradnl"/>
        </w:rPr>
      </w:pPr>
    </w:p>
    <w:p w14:paraId="40D499E3" w14:textId="133B039D" w:rsidR="009D03FE" w:rsidRDefault="009D03FE" w:rsidP="009D03FE">
      <w:pPr>
        <w:spacing w:line="360" w:lineRule="auto"/>
        <w:jc w:val="both"/>
        <w:rPr>
          <w:rFonts w:cs="Arial"/>
          <w:sz w:val="22"/>
          <w:lang w:val="es-ES_tradnl"/>
        </w:rPr>
      </w:pPr>
      <w:r w:rsidRPr="00A25DB7">
        <w:rPr>
          <w:rFonts w:cs="Arial"/>
          <w:sz w:val="22"/>
          <w:u w:val="single"/>
          <w:lang w:val="es-ES_tradnl"/>
        </w:rPr>
        <w:t xml:space="preserve">Minuto </w:t>
      </w:r>
      <w:r w:rsidR="00FA0C8E">
        <w:rPr>
          <w:rFonts w:cs="Arial"/>
          <w:sz w:val="22"/>
          <w:u w:val="single"/>
          <w:lang w:val="es-ES_tradnl"/>
        </w:rPr>
        <w:t>141</w:t>
      </w:r>
      <w:r w:rsidRPr="00A25DB7">
        <w:rPr>
          <w:rFonts w:cs="Arial"/>
          <w:sz w:val="22"/>
          <w:u w:val="single"/>
          <w:lang w:val="es-ES_tradnl"/>
        </w:rPr>
        <w:t>:</w:t>
      </w:r>
      <w:r w:rsidR="00FA0C8E">
        <w:rPr>
          <w:rFonts w:cs="Arial"/>
          <w:sz w:val="22"/>
          <w:u w:val="single"/>
          <w:lang w:val="es-ES_tradnl"/>
        </w:rPr>
        <w:t>00</w:t>
      </w:r>
      <w:r>
        <w:rPr>
          <w:rFonts w:cs="Arial"/>
          <w:sz w:val="22"/>
          <w:lang w:val="es-ES_tradnl"/>
        </w:rPr>
        <w:t xml:space="preserve"> </w:t>
      </w:r>
      <w:r w:rsidR="00FA0C8E">
        <w:rPr>
          <w:rFonts w:cs="Arial"/>
          <w:sz w:val="22"/>
          <w:lang w:val="es-ES_tradnl"/>
        </w:rPr>
        <w:t xml:space="preserve">La </w:t>
      </w:r>
      <w:r w:rsidR="00FA0C8E" w:rsidRPr="00FA0C8E">
        <w:rPr>
          <w:rFonts w:cs="Arial"/>
          <w:sz w:val="22"/>
          <w:lang w:val="es-ES_tradnl"/>
        </w:rPr>
        <w:t>Junta Directiva</w:t>
      </w:r>
      <w:r w:rsidR="00FA0C8E">
        <w:rPr>
          <w:rFonts w:cs="Arial"/>
          <w:sz w:val="22"/>
          <w:lang w:val="es-ES_tradnl"/>
        </w:rPr>
        <w:t xml:space="preserve"> da por conocidos los referidos informes de la Unidad de Cumplimiento Normativo, solicitándole a la licenciada Jiménez Pérez, </w:t>
      </w:r>
      <w:proofErr w:type="gramStart"/>
      <w:r w:rsidR="00FA0C8E">
        <w:rPr>
          <w:rFonts w:cs="Arial"/>
          <w:sz w:val="22"/>
          <w:lang w:val="es-ES_tradnl"/>
        </w:rPr>
        <w:t>darle</w:t>
      </w:r>
      <w:proofErr w:type="gramEnd"/>
      <w:r w:rsidR="00FA0C8E">
        <w:rPr>
          <w:rFonts w:cs="Arial"/>
          <w:sz w:val="22"/>
          <w:lang w:val="es-ES_tradnl"/>
        </w:rPr>
        <w:t xml:space="preserve"> un adecuado seguimiento a estos temas e informar a esta </w:t>
      </w:r>
      <w:r w:rsidR="00FA0C8E" w:rsidRPr="00FA0C8E">
        <w:rPr>
          <w:rFonts w:cs="Arial"/>
          <w:sz w:val="22"/>
          <w:lang w:val="es-ES_tradnl"/>
        </w:rPr>
        <w:t>Junta Directiva</w:t>
      </w:r>
      <w:r w:rsidR="00FA0C8E">
        <w:rPr>
          <w:rFonts w:cs="Arial"/>
          <w:sz w:val="22"/>
          <w:lang w:val="es-ES_tradnl"/>
        </w:rPr>
        <w:t>, sobre cualquier situación relevante que estime pertinente.</w:t>
      </w:r>
    </w:p>
    <w:p w14:paraId="2A4BC3AC" w14:textId="77777777" w:rsidR="009D03FE" w:rsidRPr="00D14EAF" w:rsidRDefault="009D03FE" w:rsidP="009D03FE">
      <w:pPr>
        <w:spacing w:line="360" w:lineRule="auto"/>
        <w:jc w:val="both"/>
        <w:rPr>
          <w:rFonts w:cs="Arial"/>
          <w:b/>
          <w:sz w:val="22"/>
        </w:rPr>
      </w:pPr>
      <w:r w:rsidRPr="00D14EAF">
        <w:rPr>
          <w:rFonts w:cs="Arial"/>
          <w:b/>
          <w:sz w:val="22"/>
        </w:rPr>
        <w:t>************</w:t>
      </w:r>
    </w:p>
    <w:p w14:paraId="379E5BAD" w14:textId="77777777" w:rsidR="009D03FE" w:rsidRDefault="009D03FE" w:rsidP="009D03FE">
      <w:pPr>
        <w:spacing w:line="360" w:lineRule="auto"/>
        <w:jc w:val="both"/>
        <w:rPr>
          <w:rFonts w:cs="Arial"/>
          <w:b/>
          <w:sz w:val="22"/>
          <w:szCs w:val="22"/>
          <w:u w:val="single"/>
          <w:lang w:val="es-ES_tradnl"/>
        </w:rPr>
      </w:pPr>
    </w:p>
    <w:p w14:paraId="0A019573" w14:textId="0C1955EF" w:rsidR="00FA4CCB" w:rsidRPr="00AB2826" w:rsidRDefault="002B71CC" w:rsidP="002D0146">
      <w:pPr>
        <w:pStyle w:val="Textoindependiente"/>
        <w:ind w:right="0"/>
        <w:rPr>
          <w:rFonts w:cs="Arial"/>
          <w:szCs w:val="22"/>
        </w:rPr>
      </w:pPr>
      <w:r w:rsidRPr="00E97960">
        <w:rPr>
          <w:rFonts w:cs="Arial"/>
          <w:szCs w:val="22"/>
          <w:u w:val="single"/>
        </w:rPr>
        <w:t xml:space="preserve">Minuto </w:t>
      </w:r>
      <w:r w:rsidR="00FA0C8E">
        <w:rPr>
          <w:rFonts w:cs="Arial"/>
          <w:szCs w:val="22"/>
          <w:u w:val="single"/>
        </w:rPr>
        <w:t>141:10</w:t>
      </w:r>
      <w:r>
        <w:rPr>
          <w:rFonts w:cs="Arial"/>
          <w:szCs w:val="22"/>
        </w:rPr>
        <w:t xml:space="preserve"> </w:t>
      </w:r>
      <w:r w:rsidR="00FA4CCB" w:rsidRPr="00AB2826">
        <w:rPr>
          <w:rFonts w:cs="Arial"/>
          <w:szCs w:val="22"/>
        </w:rPr>
        <w:t xml:space="preserve">Siendo las </w:t>
      </w:r>
      <w:r w:rsidR="00FA0C8E">
        <w:rPr>
          <w:rFonts w:cs="Arial"/>
          <w:szCs w:val="22"/>
        </w:rPr>
        <w:t>diecinueve</w:t>
      </w:r>
      <w:r w:rsidR="006A779D">
        <w:rPr>
          <w:rFonts w:cs="Arial"/>
          <w:szCs w:val="22"/>
        </w:rPr>
        <w:t xml:space="preserve"> </w:t>
      </w:r>
      <w:r w:rsidR="00FA4CCB" w:rsidRPr="00AB2826">
        <w:rPr>
          <w:rFonts w:cs="Arial"/>
          <w:szCs w:val="22"/>
        </w:rPr>
        <w:t>horas</w:t>
      </w:r>
      <w:r w:rsidR="00EC7E01">
        <w:rPr>
          <w:rFonts w:cs="Arial"/>
          <w:szCs w:val="22"/>
        </w:rPr>
        <w:t xml:space="preserve"> </w:t>
      </w:r>
      <w:r w:rsidR="006A779D">
        <w:rPr>
          <w:rFonts w:cs="Arial"/>
          <w:szCs w:val="22"/>
        </w:rPr>
        <w:t xml:space="preserve">con </w:t>
      </w:r>
      <w:r w:rsidR="00FA0C8E">
        <w:rPr>
          <w:rFonts w:cs="Arial"/>
          <w:szCs w:val="22"/>
        </w:rPr>
        <w:t>treinta</w:t>
      </w:r>
      <w:r w:rsidR="00EC7E01">
        <w:rPr>
          <w:rFonts w:cs="Arial"/>
          <w:szCs w:val="22"/>
        </w:rPr>
        <w:t xml:space="preserve"> minutos</w:t>
      </w:r>
      <w:r w:rsidR="00FA4CCB" w:rsidRPr="00AB2826">
        <w:rPr>
          <w:rFonts w:cs="Arial"/>
          <w:szCs w:val="22"/>
        </w:rPr>
        <w:t>, se levanta la sesión.</w:t>
      </w:r>
    </w:p>
    <w:p w14:paraId="79CF0D07" w14:textId="77777777" w:rsidR="006321F4" w:rsidRPr="00D14EAF" w:rsidRDefault="006321F4" w:rsidP="002D0146">
      <w:pPr>
        <w:spacing w:line="360" w:lineRule="auto"/>
        <w:jc w:val="both"/>
        <w:rPr>
          <w:rFonts w:cs="Arial"/>
          <w:b/>
          <w:sz w:val="22"/>
        </w:rPr>
      </w:pPr>
      <w:r w:rsidRPr="00D14EAF">
        <w:rPr>
          <w:rFonts w:cs="Arial"/>
          <w:b/>
          <w:sz w:val="22"/>
        </w:rPr>
        <w:t>************</w:t>
      </w:r>
    </w:p>
    <w:p w14:paraId="1733C4D9" w14:textId="77777777" w:rsidR="002B71CC" w:rsidRDefault="002B71CC">
      <w:pPr>
        <w:rPr>
          <w:rFonts w:cs="Arial"/>
          <w:sz w:val="22"/>
          <w:szCs w:val="22"/>
        </w:rPr>
      </w:pPr>
      <w:r>
        <w:rPr>
          <w:rFonts w:cs="Arial"/>
          <w:sz w:val="22"/>
          <w:szCs w:val="22"/>
        </w:rPr>
        <w:lastRenderedPageBreak/>
        <w:br w:type="page"/>
      </w:r>
    </w:p>
    <w:p w14:paraId="381383B0" w14:textId="77777777" w:rsidR="00FA4CCB" w:rsidRDefault="00FA4CCB" w:rsidP="00AB2826">
      <w:pPr>
        <w:spacing w:line="360" w:lineRule="auto"/>
        <w:jc w:val="both"/>
        <w:rPr>
          <w:rFonts w:cs="Arial"/>
          <w:sz w:val="22"/>
          <w:szCs w:val="22"/>
        </w:rPr>
      </w:pPr>
    </w:p>
    <w:p w14:paraId="5FAFBC05" w14:textId="77777777" w:rsidR="002B71CC" w:rsidRDefault="002B71CC" w:rsidP="00AB2826">
      <w:pPr>
        <w:spacing w:line="360" w:lineRule="auto"/>
        <w:jc w:val="both"/>
        <w:rPr>
          <w:rFonts w:cs="Arial"/>
          <w:sz w:val="22"/>
          <w:szCs w:val="22"/>
        </w:rPr>
      </w:pPr>
    </w:p>
    <w:p w14:paraId="73CCF7C9" w14:textId="77777777" w:rsidR="002B71CC" w:rsidRDefault="002B71CC" w:rsidP="002B71CC">
      <w:pPr>
        <w:pStyle w:val="Ttulo"/>
        <w:ind w:right="51"/>
        <w:rPr>
          <w:rFonts w:cs="Arial"/>
        </w:rPr>
      </w:pPr>
      <w:r>
        <w:rPr>
          <w:rFonts w:cs="Arial"/>
        </w:rPr>
        <w:t>BANCO HIPOTECARIO DE LA VIVIENDA</w:t>
      </w:r>
    </w:p>
    <w:p w14:paraId="194AD069" w14:textId="77777777" w:rsidR="002B71CC" w:rsidRDefault="002B71CC" w:rsidP="002B71CC">
      <w:pPr>
        <w:spacing w:line="360" w:lineRule="auto"/>
        <w:ind w:right="51"/>
        <w:jc w:val="center"/>
        <w:rPr>
          <w:rFonts w:cs="Arial"/>
          <w:b/>
          <w:sz w:val="22"/>
          <w:u w:val="single"/>
        </w:rPr>
      </w:pPr>
      <w:r>
        <w:rPr>
          <w:rFonts w:cs="Arial"/>
          <w:b/>
          <w:sz w:val="22"/>
          <w:u w:val="single"/>
        </w:rPr>
        <w:t>JUNTA DIRECTIVA</w:t>
      </w:r>
    </w:p>
    <w:p w14:paraId="6629FF52" w14:textId="77777777" w:rsidR="002B71CC" w:rsidRDefault="002B71CC" w:rsidP="002B71CC">
      <w:pPr>
        <w:spacing w:line="360" w:lineRule="auto"/>
        <w:ind w:right="51"/>
        <w:jc w:val="center"/>
        <w:rPr>
          <w:rFonts w:cs="Arial"/>
          <w:b/>
          <w:sz w:val="22"/>
          <w:u w:val="single"/>
        </w:rPr>
      </w:pPr>
    </w:p>
    <w:p w14:paraId="7434C8F3" w14:textId="28AE5ABA" w:rsidR="002B71CC" w:rsidRDefault="002B71CC" w:rsidP="002B71CC">
      <w:pPr>
        <w:spacing w:line="360" w:lineRule="auto"/>
        <w:ind w:right="51"/>
        <w:jc w:val="center"/>
        <w:rPr>
          <w:rFonts w:cs="Arial"/>
          <w:b/>
          <w:sz w:val="22"/>
          <w:u w:val="single"/>
        </w:rPr>
      </w:pPr>
      <w:r>
        <w:rPr>
          <w:rFonts w:cs="Arial"/>
          <w:b/>
          <w:sz w:val="22"/>
          <w:u w:val="single"/>
        </w:rPr>
        <w:t xml:space="preserve">ACUERDOS DE LA SESION </w:t>
      </w:r>
      <w:r w:rsidR="00F4049D">
        <w:rPr>
          <w:rFonts w:cs="Arial"/>
          <w:b/>
          <w:sz w:val="22"/>
          <w:u w:val="single"/>
        </w:rPr>
        <w:t>EXTRA</w:t>
      </w:r>
      <w:r>
        <w:rPr>
          <w:rFonts w:cs="Arial"/>
          <w:b/>
          <w:sz w:val="22"/>
          <w:u w:val="single"/>
        </w:rPr>
        <w:t xml:space="preserve">ORDINARIA N° </w:t>
      </w:r>
      <w:r w:rsidR="00F4049D">
        <w:rPr>
          <w:rFonts w:cs="Arial"/>
          <w:b/>
          <w:sz w:val="22"/>
          <w:u w:val="single"/>
        </w:rPr>
        <w:t>48</w:t>
      </w:r>
      <w:r>
        <w:rPr>
          <w:rFonts w:cs="Arial"/>
          <w:b/>
          <w:sz w:val="22"/>
          <w:u w:val="single"/>
        </w:rPr>
        <w:t>-20</w:t>
      </w:r>
      <w:r w:rsidR="00E97960">
        <w:rPr>
          <w:rFonts w:cs="Arial"/>
          <w:b/>
          <w:sz w:val="22"/>
          <w:u w:val="single"/>
        </w:rPr>
        <w:t>20</w:t>
      </w:r>
    </w:p>
    <w:p w14:paraId="280DFC27" w14:textId="3743AEA3" w:rsidR="002B71CC" w:rsidRDefault="002B71CC" w:rsidP="002B71CC">
      <w:pPr>
        <w:spacing w:line="360" w:lineRule="auto"/>
        <w:ind w:right="51"/>
        <w:jc w:val="center"/>
        <w:rPr>
          <w:rFonts w:cs="Arial"/>
          <w:b/>
          <w:sz w:val="22"/>
          <w:u w:val="single"/>
        </w:rPr>
      </w:pPr>
      <w:r>
        <w:rPr>
          <w:rFonts w:cs="Arial"/>
          <w:b/>
          <w:sz w:val="22"/>
          <w:u w:val="single"/>
        </w:rPr>
        <w:t xml:space="preserve">DEL </w:t>
      </w:r>
      <w:r w:rsidR="00F4049D">
        <w:rPr>
          <w:rFonts w:cs="Arial"/>
          <w:b/>
          <w:sz w:val="22"/>
          <w:u w:val="single"/>
        </w:rPr>
        <w:t>25</w:t>
      </w:r>
      <w:r>
        <w:rPr>
          <w:rFonts w:cs="Arial"/>
          <w:b/>
          <w:sz w:val="22"/>
          <w:u w:val="single"/>
        </w:rPr>
        <w:t xml:space="preserve"> DE </w:t>
      </w:r>
      <w:r w:rsidR="00F4049D">
        <w:rPr>
          <w:rFonts w:cs="Arial"/>
          <w:b/>
          <w:sz w:val="22"/>
          <w:u w:val="single"/>
        </w:rPr>
        <w:t>JUNIO</w:t>
      </w:r>
      <w:r>
        <w:rPr>
          <w:rFonts w:cs="Arial"/>
          <w:b/>
          <w:sz w:val="22"/>
          <w:u w:val="single"/>
        </w:rPr>
        <w:t xml:space="preserve"> DE 20</w:t>
      </w:r>
      <w:r w:rsidR="00E97960">
        <w:rPr>
          <w:rFonts w:cs="Arial"/>
          <w:b/>
          <w:sz w:val="22"/>
          <w:u w:val="single"/>
        </w:rPr>
        <w:t>20</w:t>
      </w:r>
    </w:p>
    <w:p w14:paraId="3B8F30F8" w14:textId="77777777" w:rsidR="002B71CC" w:rsidRDefault="002B71CC" w:rsidP="00AB2826">
      <w:pPr>
        <w:spacing w:line="360" w:lineRule="auto"/>
        <w:jc w:val="both"/>
        <w:rPr>
          <w:rFonts w:cs="Arial"/>
          <w:sz w:val="22"/>
          <w:szCs w:val="22"/>
        </w:rPr>
      </w:pPr>
    </w:p>
    <w:p w14:paraId="7F567AE6" w14:textId="77777777" w:rsidR="002B71CC" w:rsidRDefault="002B71CC" w:rsidP="00AB2826">
      <w:pPr>
        <w:spacing w:line="360" w:lineRule="auto"/>
        <w:jc w:val="both"/>
        <w:rPr>
          <w:rFonts w:cs="Arial"/>
          <w:sz w:val="22"/>
          <w:szCs w:val="22"/>
        </w:rPr>
      </w:pPr>
    </w:p>
    <w:p w14:paraId="33B5BD78" w14:textId="77777777" w:rsidR="002B71CC" w:rsidRDefault="002B71CC" w:rsidP="002B71CC">
      <w:pPr>
        <w:spacing w:line="360" w:lineRule="auto"/>
        <w:jc w:val="both"/>
        <w:rPr>
          <w:rFonts w:cs="Arial"/>
          <w:sz w:val="22"/>
          <w:lang w:val="es-ES_tradnl"/>
        </w:rPr>
      </w:pPr>
    </w:p>
    <w:p w14:paraId="5E327E6E"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1</w:t>
      </w:r>
      <w:r w:rsidRPr="00AB2826">
        <w:rPr>
          <w:rFonts w:cs="Arial"/>
          <w:szCs w:val="22"/>
        </w:rPr>
        <w:t>:</w:t>
      </w:r>
    </w:p>
    <w:p w14:paraId="522939FF" w14:textId="60CAEDC3" w:rsidR="002B71CC" w:rsidRDefault="00F4049D" w:rsidP="002B71CC">
      <w:pPr>
        <w:spacing w:line="360" w:lineRule="auto"/>
        <w:jc w:val="both"/>
        <w:rPr>
          <w:rFonts w:cs="Arial"/>
          <w:sz w:val="22"/>
          <w:szCs w:val="22"/>
        </w:rPr>
      </w:pPr>
      <w:r>
        <w:rPr>
          <w:rFonts w:cs="Arial"/>
          <w:sz w:val="22"/>
          <w:szCs w:val="22"/>
        </w:rPr>
        <w:t>Aprobar y autorizar su suscripción por parte del Gerente General, el siguiente:</w:t>
      </w:r>
    </w:p>
    <w:p w14:paraId="355210C8" w14:textId="77777777" w:rsidR="00F4049D" w:rsidRPr="00F4049D" w:rsidRDefault="00F4049D" w:rsidP="00F16230">
      <w:pPr>
        <w:jc w:val="both"/>
        <w:rPr>
          <w:rFonts w:cs="Arial"/>
          <w:sz w:val="22"/>
          <w:szCs w:val="22"/>
        </w:rPr>
      </w:pPr>
    </w:p>
    <w:p w14:paraId="204B3A2E" w14:textId="393719FB" w:rsidR="00F4049D" w:rsidRPr="00F16230" w:rsidRDefault="00F16230" w:rsidP="00F16230">
      <w:pPr>
        <w:pStyle w:val="Ttulo3"/>
        <w:tabs>
          <w:tab w:val="left" w:pos="8647"/>
        </w:tabs>
        <w:spacing w:before="0"/>
        <w:ind w:right="-316"/>
        <w:jc w:val="center"/>
        <w:rPr>
          <w:rFonts w:ascii="Arial" w:hAnsi="Arial" w:cs="Arial"/>
          <w:color w:val="auto"/>
          <w:sz w:val="22"/>
          <w:szCs w:val="22"/>
        </w:rPr>
      </w:pPr>
      <w:r>
        <w:rPr>
          <w:rFonts w:ascii="Arial" w:hAnsi="Arial" w:cs="Arial"/>
          <w:color w:val="auto"/>
          <w:sz w:val="22"/>
          <w:szCs w:val="22"/>
        </w:rPr>
        <w:t>«</w:t>
      </w:r>
      <w:r w:rsidR="00F4049D" w:rsidRPr="00F16230">
        <w:rPr>
          <w:rFonts w:ascii="Arial" w:hAnsi="Arial" w:cs="Arial"/>
          <w:color w:val="auto"/>
          <w:sz w:val="22"/>
          <w:szCs w:val="22"/>
        </w:rPr>
        <w:t>CONVENIO DE COLABORACIÓN INTERINSTITUCIONAL</w:t>
      </w:r>
    </w:p>
    <w:p w14:paraId="0103A911" w14:textId="77777777" w:rsidR="00F4049D" w:rsidRPr="00F4049D" w:rsidRDefault="00F4049D" w:rsidP="00F16230">
      <w:pPr>
        <w:jc w:val="center"/>
        <w:rPr>
          <w:rFonts w:cs="Arial"/>
          <w:b/>
          <w:bCs/>
          <w:sz w:val="22"/>
          <w:szCs w:val="22"/>
        </w:rPr>
      </w:pPr>
      <w:r w:rsidRPr="00F4049D">
        <w:rPr>
          <w:rFonts w:cs="Arial"/>
          <w:b/>
          <w:bCs/>
          <w:sz w:val="22"/>
          <w:szCs w:val="22"/>
        </w:rPr>
        <w:t>BANCO HIPOTECARIO DE LA VIVIENDA</w:t>
      </w:r>
    </w:p>
    <w:p w14:paraId="0479A70E" w14:textId="77777777" w:rsidR="00F4049D" w:rsidRPr="00F4049D" w:rsidRDefault="00F4049D" w:rsidP="00F16230">
      <w:pPr>
        <w:jc w:val="center"/>
        <w:rPr>
          <w:rFonts w:cs="Arial"/>
          <w:b/>
          <w:bCs/>
          <w:sz w:val="22"/>
          <w:szCs w:val="22"/>
        </w:rPr>
      </w:pPr>
      <w:r w:rsidRPr="00F4049D">
        <w:rPr>
          <w:rFonts w:cs="Arial"/>
          <w:b/>
          <w:bCs/>
          <w:sz w:val="22"/>
          <w:szCs w:val="22"/>
        </w:rPr>
        <w:t>MINISTERIO DE TRABAJO Y SEGURIDAD SOCIAL</w:t>
      </w:r>
    </w:p>
    <w:p w14:paraId="4A0A6834" w14:textId="77777777" w:rsidR="00F4049D" w:rsidRPr="00F4049D" w:rsidRDefault="00F4049D" w:rsidP="00F16230">
      <w:pPr>
        <w:jc w:val="center"/>
        <w:rPr>
          <w:rFonts w:cs="Arial"/>
          <w:b/>
          <w:bCs/>
          <w:sz w:val="22"/>
          <w:szCs w:val="22"/>
        </w:rPr>
      </w:pPr>
      <w:r w:rsidRPr="00F4049D">
        <w:rPr>
          <w:rFonts w:cs="Arial"/>
          <w:b/>
          <w:bCs/>
          <w:sz w:val="22"/>
          <w:szCs w:val="22"/>
        </w:rPr>
        <w:t>DIRECCION DESARROLLO SOCIAL Y ASIGNACIONES FAMILIARES</w:t>
      </w:r>
    </w:p>
    <w:p w14:paraId="0C4C66FF" w14:textId="77777777" w:rsidR="00F4049D" w:rsidRPr="00F4049D" w:rsidRDefault="00F4049D" w:rsidP="00F16230">
      <w:pPr>
        <w:jc w:val="center"/>
        <w:rPr>
          <w:rFonts w:cs="Arial"/>
          <w:b/>
          <w:sz w:val="22"/>
          <w:szCs w:val="22"/>
        </w:rPr>
      </w:pPr>
      <w:r w:rsidRPr="00F4049D">
        <w:rPr>
          <w:rFonts w:cs="Arial"/>
          <w:b/>
          <w:sz w:val="22"/>
          <w:szCs w:val="22"/>
        </w:rPr>
        <w:t>PROGRAMA: FONDO DE SUBSIDIOS PARA LA VIVIENDA (FOSUVI)</w:t>
      </w:r>
    </w:p>
    <w:p w14:paraId="6A17FF87" w14:textId="77777777" w:rsidR="00F4049D" w:rsidRPr="00F4049D" w:rsidRDefault="00F4049D" w:rsidP="00F16230">
      <w:pPr>
        <w:jc w:val="center"/>
        <w:rPr>
          <w:rFonts w:cs="Arial"/>
          <w:b/>
          <w:sz w:val="22"/>
          <w:szCs w:val="22"/>
        </w:rPr>
      </w:pPr>
    </w:p>
    <w:p w14:paraId="35B2D568" w14:textId="77777777" w:rsidR="00F4049D" w:rsidRPr="00F4049D" w:rsidRDefault="00F4049D" w:rsidP="00F16230">
      <w:pPr>
        <w:jc w:val="both"/>
        <w:rPr>
          <w:rFonts w:cs="Arial"/>
          <w:bCs/>
          <w:sz w:val="22"/>
          <w:szCs w:val="22"/>
        </w:rPr>
      </w:pPr>
    </w:p>
    <w:p w14:paraId="28B1B7D2" w14:textId="77777777" w:rsidR="00F4049D" w:rsidRPr="00F4049D" w:rsidRDefault="00F4049D" w:rsidP="00F16230">
      <w:pPr>
        <w:jc w:val="both"/>
        <w:rPr>
          <w:rFonts w:cs="Arial"/>
          <w:bCs/>
          <w:sz w:val="22"/>
          <w:szCs w:val="22"/>
        </w:rPr>
      </w:pPr>
      <w:r w:rsidRPr="00F4049D">
        <w:rPr>
          <w:rFonts w:cs="Arial"/>
          <w:bCs/>
          <w:sz w:val="22"/>
          <w:szCs w:val="22"/>
        </w:rPr>
        <w:t xml:space="preserve">Entre nosotros: </w:t>
      </w:r>
    </w:p>
    <w:p w14:paraId="44E5C03E" w14:textId="77777777" w:rsidR="00F4049D" w:rsidRPr="00F4049D" w:rsidRDefault="00F4049D" w:rsidP="00F16230">
      <w:pPr>
        <w:jc w:val="both"/>
        <w:rPr>
          <w:rFonts w:cs="Arial"/>
          <w:bCs/>
          <w:sz w:val="22"/>
          <w:szCs w:val="22"/>
        </w:rPr>
      </w:pPr>
    </w:p>
    <w:p w14:paraId="3D0CD2E8" w14:textId="77777777" w:rsidR="00F4049D" w:rsidRPr="00F4049D" w:rsidRDefault="00F4049D" w:rsidP="00F16230">
      <w:pPr>
        <w:jc w:val="both"/>
        <w:rPr>
          <w:rFonts w:cs="Arial"/>
          <w:bCs/>
          <w:sz w:val="22"/>
          <w:szCs w:val="22"/>
        </w:rPr>
      </w:pPr>
      <w:r w:rsidRPr="00F4049D">
        <w:rPr>
          <w:rFonts w:cs="Arial"/>
          <w:bCs/>
          <w:sz w:val="22"/>
          <w:szCs w:val="22"/>
        </w:rPr>
        <w:t xml:space="preserve">A). </w:t>
      </w:r>
      <w:r w:rsidRPr="00F4049D">
        <w:rPr>
          <w:rFonts w:cs="Arial"/>
          <w:b/>
          <w:sz w:val="22"/>
          <w:szCs w:val="22"/>
        </w:rPr>
        <w:t>El MINISTERIO DE TRABAJO Y SEGURIDAD SOCIAL</w:t>
      </w:r>
      <w:r w:rsidRPr="00F4049D">
        <w:rPr>
          <w:rFonts w:cs="Arial"/>
          <w:bCs/>
          <w:sz w:val="22"/>
          <w:szCs w:val="22"/>
        </w:rPr>
        <w:t xml:space="preserve"> representado en este acto por </w:t>
      </w:r>
      <w:r w:rsidRPr="00F4049D">
        <w:rPr>
          <w:rFonts w:cs="Arial"/>
          <w:b/>
          <w:sz w:val="22"/>
          <w:szCs w:val="22"/>
        </w:rPr>
        <w:t>GEANNINA DINARTE ROMERO</w:t>
      </w:r>
      <w:r w:rsidRPr="00F4049D">
        <w:rPr>
          <w:rFonts w:cs="Arial"/>
          <w:bCs/>
          <w:sz w:val="22"/>
          <w:szCs w:val="22"/>
        </w:rPr>
        <w:t xml:space="preserve">, mayor, viuda, Politóloga, vecina de Cartago Concepción de La Unión, cédula de identidad número 1- 1151-0925, en su condición de </w:t>
      </w:r>
      <w:r w:rsidRPr="00F4049D">
        <w:rPr>
          <w:rFonts w:cs="Arial"/>
          <w:b/>
          <w:sz w:val="22"/>
          <w:szCs w:val="22"/>
        </w:rPr>
        <w:t>MINISTRA DE TRABAJO Y SEGURIDAD SOCIAL</w:t>
      </w:r>
      <w:r w:rsidRPr="00F4049D">
        <w:rPr>
          <w:rFonts w:cs="Arial"/>
          <w:bCs/>
          <w:sz w:val="22"/>
          <w:szCs w:val="22"/>
        </w:rPr>
        <w:t>, según Acuerdo Presidencial número N° 327-P, del 3 de Octubre del 2019, y</w:t>
      </w:r>
    </w:p>
    <w:p w14:paraId="3003D397" w14:textId="77777777" w:rsidR="00F4049D" w:rsidRPr="00F4049D" w:rsidRDefault="00F4049D" w:rsidP="00F16230">
      <w:pPr>
        <w:jc w:val="both"/>
        <w:rPr>
          <w:rFonts w:cs="Arial"/>
          <w:bCs/>
          <w:sz w:val="22"/>
          <w:szCs w:val="22"/>
        </w:rPr>
      </w:pPr>
    </w:p>
    <w:p w14:paraId="1DD9225F" w14:textId="150EEBA3" w:rsidR="00F4049D" w:rsidRDefault="00F4049D" w:rsidP="00F16230">
      <w:pPr>
        <w:jc w:val="both"/>
        <w:rPr>
          <w:rFonts w:cs="Arial"/>
          <w:bCs/>
          <w:sz w:val="22"/>
          <w:szCs w:val="22"/>
        </w:rPr>
      </w:pPr>
      <w:r w:rsidRPr="00F4049D">
        <w:rPr>
          <w:rFonts w:cs="Arial"/>
          <w:bCs/>
          <w:sz w:val="22"/>
          <w:szCs w:val="22"/>
        </w:rPr>
        <w:t xml:space="preserve">B). </w:t>
      </w:r>
      <w:r w:rsidRPr="00F4049D">
        <w:rPr>
          <w:rFonts w:cs="Arial"/>
          <w:b/>
          <w:sz w:val="22"/>
          <w:szCs w:val="22"/>
        </w:rPr>
        <w:t>El BANCO HIPOTECARIO DE LA VIVIENDA</w:t>
      </w:r>
      <w:r w:rsidRPr="00F4049D">
        <w:rPr>
          <w:rFonts w:cs="Arial"/>
          <w:bCs/>
          <w:sz w:val="22"/>
          <w:szCs w:val="22"/>
        </w:rPr>
        <w:t xml:space="preserve">, representado por </w:t>
      </w:r>
      <w:r w:rsidRPr="00F4049D">
        <w:rPr>
          <w:rFonts w:cs="Arial"/>
          <w:b/>
          <w:sz w:val="22"/>
          <w:szCs w:val="22"/>
        </w:rPr>
        <w:t>DAGOBERTO HIDALGO CORTÉS</w:t>
      </w:r>
      <w:r w:rsidRPr="00F4049D">
        <w:rPr>
          <w:rFonts w:cs="Arial"/>
          <w:bCs/>
          <w:sz w:val="22"/>
          <w:szCs w:val="22"/>
        </w:rPr>
        <w:t xml:space="preserve">, mayor, casado una vez, Administrador de Empresas, cédula de identidad número 7-01290-954, en su condición de </w:t>
      </w:r>
      <w:r w:rsidRPr="00F4049D">
        <w:rPr>
          <w:rFonts w:cs="Arial"/>
          <w:b/>
          <w:sz w:val="22"/>
          <w:szCs w:val="22"/>
        </w:rPr>
        <w:t>GERENTE GENERAL</w:t>
      </w:r>
      <w:r w:rsidRPr="00F4049D">
        <w:rPr>
          <w:rFonts w:cs="Arial"/>
          <w:bCs/>
          <w:sz w:val="22"/>
          <w:szCs w:val="22"/>
        </w:rPr>
        <w:t xml:space="preserve">; ambos con facultades suficientes para este acto, acordamos celebrar el siguiente convenio: </w:t>
      </w:r>
    </w:p>
    <w:p w14:paraId="78727725" w14:textId="5A51C9B7" w:rsidR="00071A45" w:rsidRDefault="00071A45" w:rsidP="00F16230">
      <w:pPr>
        <w:jc w:val="both"/>
        <w:rPr>
          <w:rFonts w:cs="Arial"/>
          <w:bCs/>
          <w:sz w:val="22"/>
          <w:szCs w:val="22"/>
        </w:rPr>
      </w:pPr>
    </w:p>
    <w:p w14:paraId="4CB2F351" w14:textId="50A99AC9" w:rsidR="00F4049D" w:rsidRPr="00F16230" w:rsidRDefault="00F4049D" w:rsidP="00F16230">
      <w:pPr>
        <w:pStyle w:val="Ttulo3"/>
        <w:tabs>
          <w:tab w:val="left" w:pos="8647"/>
        </w:tabs>
        <w:spacing w:before="0"/>
        <w:ind w:right="-316"/>
        <w:jc w:val="center"/>
        <w:rPr>
          <w:rFonts w:ascii="Arial" w:hAnsi="Arial" w:cs="Arial"/>
          <w:bCs/>
          <w:color w:val="auto"/>
          <w:sz w:val="22"/>
          <w:szCs w:val="22"/>
        </w:rPr>
      </w:pPr>
      <w:r w:rsidRPr="00F16230">
        <w:rPr>
          <w:rFonts w:ascii="Arial" w:eastAsia="Times New Roman" w:hAnsi="Arial" w:cs="Arial"/>
          <w:bCs/>
          <w:i/>
          <w:iCs/>
          <w:color w:val="auto"/>
          <w:sz w:val="22"/>
          <w:szCs w:val="22"/>
        </w:rPr>
        <w:t xml:space="preserve">” </w:t>
      </w:r>
      <w:r w:rsidRPr="00F16230">
        <w:rPr>
          <w:rFonts w:ascii="Arial" w:eastAsia="Times New Roman" w:hAnsi="Arial" w:cs="Arial"/>
          <w:bCs/>
          <w:color w:val="auto"/>
          <w:sz w:val="22"/>
          <w:szCs w:val="22"/>
        </w:rPr>
        <w:t>Convenio de colaboración interinstitucional</w:t>
      </w:r>
      <w:r w:rsidRPr="00F16230">
        <w:rPr>
          <w:rFonts w:ascii="Arial" w:eastAsia="Times New Roman" w:hAnsi="Arial" w:cs="Arial"/>
          <w:bCs/>
          <w:i/>
          <w:iCs/>
          <w:color w:val="auto"/>
          <w:sz w:val="22"/>
          <w:szCs w:val="22"/>
        </w:rPr>
        <w:t xml:space="preserve"> </w:t>
      </w:r>
      <w:r w:rsidRPr="00F16230">
        <w:rPr>
          <w:rFonts w:ascii="Arial" w:hAnsi="Arial" w:cs="Arial"/>
          <w:bCs/>
          <w:i/>
          <w:iCs/>
          <w:color w:val="auto"/>
          <w:sz w:val="22"/>
          <w:szCs w:val="22"/>
        </w:rPr>
        <w:t xml:space="preserve">Banco hipotecario de la vivienda Ministerio de trabajo y seguridad social Dirección Desarrollo Social y Asignaciones familiares” para la ejecución del programa del Banco Hipotecario de la Vivienda denominado: FONDO DE SUBSIDIOS PARA LA VIVIENDA, en cumplimiento con los fines establecidos en las Leyes No. 5662 del 23 de diciembre de 1974 y su Reglamento, y No. 7052 del Sistema Financiero Nacional para la Vivienda del </w:t>
      </w:r>
      <w:r w:rsidRPr="00F16230">
        <w:rPr>
          <w:rFonts w:ascii="Arial" w:hAnsi="Arial" w:cs="Arial"/>
          <w:bCs/>
          <w:i/>
          <w:iCs/>
          <w:color w:val="auto"/>
          <w:sz w:val="22"/>
          <w:szCs w:val="22"/>
          <w:lang w:val="es-ES_tradnl"/>
        </w:rPr>
        <w:t xml:space="preserve">de </w:t>
      </w:r>
      <w:r w:rsidRPr="00F16230">
        <w:rPr>
          <w:rFonts w:ascii="Arial" w:hAnsi="Arial" w:cs="Arial"/>
          <w:bCs/>
          <w:i/>
          <w:iCs/>
          <w:color w:val="auto"/>
          <w:sz w:val="22"/>
          <w:szCs w:val="22"/>
        </w:rPr>
        <w:t>13 de noviembre de 1986 y su reglamentación</w:t>
      </w:r>
      <w:r w:rsidRPr="00F16230">
        <w:rPr>
          <w:rFonts w:ascii="Arial" w:hAnsi="Arial" w:cs="Arial"/>
          <w:bCs/>
          <w:color w:val="auto"/>
          <w:sz w:val="22"/>
          <w:szCs w:val="22"/>
        </w:rPr>
        <w:t>.</w:t>
      </w:r>
    </w:p>
    <w:p w14:paraId="082D398E" w14:textId="77777777" w:rsidR="00F4049D" w:rsidRPr="00F16230" w:rsidRDefault="00F4049D" w:rsidP="00F16230">
      <w:pPr>
        <w:jc w:val="both"/>
        <w:rPr>
          <w:rFonts w:cs="Arial"/>
          <w:b/>
          <w:sz w:val="22"/>
          <w:szCs w:val="22"/>
        </w:rPr>
      </w:pPr>
    </w:p>
    <w:p w14:paraId="4A05A8DE" w14:textId="77777777" w:rsidR="00F4049D" w:rsidRPr="00F4049D" w:rsidRDefault="00F4049D" w:rsidP="00F16230">
      <w:pPr>
        <w:jc w:val="both"/>
        <w:rPr>
          <w:rFonts w:cs="Arial"/>
          <w:b/>
          <w:sz w:val="22"/>
          <w:szCs w:val="22"/>
        </w:rPr>
      </w:pPr>
    </w:p>
    <w:p w14:paraId="562C33E6" w14:textId="77777777" w:rsidR="00F4049D" w:rsidRPr="00F4049D" w:rsidRDefault="00F4049D" w:rsidP="00F16230">
      <w:pPr>
        <w:jc w:val="both"/>
        <w:rPr>
          <w:rFonts w:cs="Arial"/>
          <w:b/>
          <w:sz w:val="22"/>
          <w:szCs w:val="22"/>
        </w:rPr>
      </w:pPr>
      <w:r w:rsidRPr="00F4049D">
        <w:rPr>
          <w:rFonts w:cs="Arial"/>
          <w:b/>
          <w:sz w:val="22"/>
          <w:szCs w:val="22"/>
        </w:rPr>
        <w:t xml:space="preserve">CLÁUSULA PRIMERA – DEFINICIONES:  </w:t>
      </w:r>
      <w:r w:rsidRPr="00F4049D">
        <w:rPr>
          <w:rFonts w:cs="Arial"/>
          <w:sz w:val="22"/>
          <w:szCs w:val="22"/>
        </w:rPr>
        <w:t>Para los efectos de este Convenio, se establecen las siguientes definiciones:</w:t>
      </w:r>
    </w:p>
    <w:p w14:paraId="78CFE3EE" w14:textId="77777777" w:rsidR="00F4049D" w:rsidRPr="00F4049D" w:rsidRDefault="00F4049D" w:rsidP="00F16230">
      <w:pPr>
        <w:jc w:val="both"/>
        <w:rPr>
          <w:rFonts w:cs="Arial"/>
          <w:b/>
          <w:sz w:val="22"/>
          <w:szCs w:val="22"/>
        </w:rPr>
      </w:pPr>
    </w:p>
    <w:p w14:paraId="5A681872" w14:textId="77777777" w:rsidR="00F4049D" w:rsidRPr="00F4049D" w:rsidRDefault="00F4049D" w:rsidP="00F16230">
      <w:pPr>
        <w:jc w:val="both"/>
        <w:rPr>
          <w:rFonts w:cs="Arial"/>
          <w:sz w:val="22"/>
          <w:szCs w:val="22"/>
        </w:rPr>
      </w:pPr>
      <w:r w:rsidRPr="00F4049D">
        <w:rPr>
          <w:rFonts w:cs="Arial"/>
          <w:b/>
          <w:sz w:val="22"/>
          <w:szCs w:val="22"/>
        </w:rPr>
        <w:t xml:space="preserve">BANHVI: </w:t>
      </w:r>
      <w:r w:rsidRPr="00F4049D">
        <w:rPr>
          <w:rFonts w:cs="Arial"/>
          <w:b/>
          <w:sz w:val="22"/>
          <w:szCs w:val="22"/>
        </w:rPr>
        <w:tab/>
      </w:r>
      <w:r w:rsidRPr="00F4049D">
        <w:rPr>
          <w:rFonts w:cs="Arial"/>
          <w:sz w:val="22"/>
          <w:szCs w:val="22"/>
        </w:rPr>
        <w:t xml:space="preserve">Banco Hipotecario de la Vivienda  </w:t>
      </w:r>
    </w:p>
    <w:p w14:paraId="667EB856" w14:textId="77777777" w:rsidR="00F4049D" w:rsidRPr="00F4049D" w:rsidRDefault="00F4049D" w:rsidP="00F16230">
      <w:pPr>
        <w:jc w:val="both"/>
        <w:rPr>
          <w:rFonts w:cs="Arial"/>
          <w:sz w:val="22"/>
          <w:szCs w:val="22"/>
        </w:rPr>
      </w:pPr>
      <w:r w:rsidRPr="00F4049D">
        <w:rPr>
          <w:rFonts w:cs="Arial"/>
          <w:b/>
          <w:bCs/>
          <w:sz w:val="22"/>
          <w:szCs w:val="22"/>
        </w:rPr>
        <w:lastRenderedPageBreak/>
        <w:t xml:space="preserve">FOSUVI: </w:t>
      </w:r>
      <w:r w:rsidRPr="00F4049D">
        <w:rPr>
          <w:rFonts w:cs="Arial"/>
          <w:b/>
          <w:bCs/>
          <w:sz w:val="22"/>
          <w:szCs w:val="22"/>
        </w:rPr>
        <w:tab/>
      </w:r>
      <w:r w:rsidRPr="00F4049D">
        <w:rPr>
          <w:rFonts w:cs="Arial"/>
          <w:bCs/>
          <w:sz w:val="22"/>
          <w:szCs w:val="22"/>
        </w:rPr>
        <w:t xml:space="preserve">Fondo de Subsidio para la Vivienda. </w:t>
      </w:r>
      <w:r w:rsidRPr="00F4049D">
        <w:rPr>
          <w:rFonts w:cs="Arial"/>
          <w:b/>
          <w:bCs/>
          <w:sz w:val="22"/>
          <w:szCs w:val="22"/>
        </w:rPr>
        <w:t xml:space="preserve"> </w:t>
      </w:r>
      <w:r w:rsidRPr="00F4049D">
        <w:rPr>
          <w:rFonts w:cs="Arial"/>
          <w:b/>
          <w:bCs/>
          <w:sz w:val="22"/>
          <w:szCs w:val="22"/>
        </w:rPr>
        <w:tab/>
      </w:r>
    </w:p>
    <w:p w14:paraId="26729CCD" w14:textId="77777777" w:rsidR="00F4049D" w:rsidRPr="00F4049D" w:rsidRDefault="00F4049D" w:rsidP="00F16230">
      <w:pPr>
        <w:jc w:val="both"/>
        <w:rPr>
          <w:rFonts w:cs="Arial"/>
          <w:sz w:val="22"/>
          <w:szCs w:val="22"/>
        </w:rPr>
      </w:pPr>
      <w:r w:rsidRPr="00F4049D">
        <w:rPr>
          <w:rFonts w:cs="Arial"/>
          <w:b/>
          <w:sz w:val="22"/>
          <w:szCs w:val="22"/>
        </w:rPr>
        <w:t>DESAF:</w:t>
      </w:r>
      <w:r w:rsidRPr="00F4049D">
        <w:rPr>
          <w:rFonts w:cs="Arial"/>
          <w:sz w:val="22"/>
          <w:szCs w:val="22"/>
        </w:rPr>
        <w:t xml:space="preserve"> </w:t>
      </w:r>
      <w:r w:rsidRPr="00F4049D">
        <w:rPr>
          <w:rFonts w:cs="Arial"/>
          <w:sz w:val="22"/>
          <w:szCs w:val="22"/>
        </w:rPr>
        <w:tab/>
        <w:t>Dirección General de Desarrollo Social y Asignaciones Familiares.</w:t>
      </w:r>
    </w:p>
    <w:p w14:paraId="15F62AFC" w14:textId="77777777" w:rsidR="00F4049D" w:rsidRPr="00F4049D" w:rsidRDefault="00F4049D" w:rsidP="00F16230">
      <w:pPr>
        <w:jc w:val="both"/>
        <w:rPr>
          <w:rFonts w:cs="Arial"/>
          <w:sz w:val="22"/>
          <w:szCs w:val="22"/>
        </w:rPr>
      </w:pPr>
      <w:r w:rsidRPr="00F4049D">
        <w:rPr>
          <w:rFonts w:cs="Arial"/>
          <w:b/>
          <w:sz w:val="22"/>
          <w:szCs w:val="22"/>
        </w:rPr>
        <w:t>FODESAF:</w:t>
      </w:r>
      <w:r w:rsidRPr="00F4049D">
        <w:rPr>
          <w:rFonts w:cs="Arial"/>
          <w:sz w:val="22"/>
          <w:szCs w:val="22"/>
        </w:rPr>
        <w:t xml:space="preserve"> </w:t>
      </w:r>
      <w:r w:rsidRPr="00F4049D">
        <w:rPr>
          <w:rFonts w:cs="Arial"/>
          <w:sz w:val="22"/>
          <w:szCs w:val="22"/>
        </w:rPr>
        <w:tab/>
        <w:t>Fondo de Desarrollo Social y Asignaciones Familiares.</w:t>
      </w:r>
    </w:p>
    <w:p w14:paraId="1FDBB61A" w14:textId="09F5CCAC" w:rsidR="00F4049D" w:rsidRPr="00F4049D" w:rsidRDefault="00F4049D" w:rsidP="00F16230">
      <w:pPr>
        <w:jc w:val="both"/>
        <w:rPr>
          <w:rFonts w:cs="Arial"/>
          <w:sz w:val="22"/>
          <w:szCs w:val="22"/>
        </w:rPr>
      </w:pPr>
      <w:r w:rsidRPr="00F4049D">
        <w:rPr>
          <w:rFonts w:cs="Arial"/>
          <w:b/>
          <w:sz w:val="22"/>
          <w:szCs w:val="22"/>
        </w:rPr>
        <w:t>MTSS:</w:t>
      </w:r>
      <w:r w:rsidRPr="00F4049D">
        <w:rPr>
          <w:rFonts w:cs="Arial"/>
          <w:b/>
          <w:sz w:val="22"/>
          <w:szCs w:val="22"/>
        </w:rPr>
        <w:tab/>
      </w:r>
      <w:r w:rsidR="00F16230">
        <w:rPr>
          <w:rFonts w:cs="Arial"/>
          <w:b/>
          <w:sz w:val="22"/>
          <w:szCs w:val="22"/>
        </w:rPr>
        <w:tab/>
      </w:r>
      <w:r w:rsidRPr="00F4049D">
        <w:rPr>
          <w:rFonts w:cs="Arial"/>
          <w:sz w:val="22"/>
          <w:szCs w:val="22"/>
        </w:rPr>
        <w:t>Ministerio de Trabajo y Seguridad Social.</w:t>
      </w:r>
    </w:p>
    <w:p w14:paraId="4AE5D1E5" w14:textId="77777777" w:rsidR="00F4049D" w:rsidRPr="00F4049D" w:rsidRDefault="00F4049D" w:rsidP="00F16230">
      <w:pPr>
        <w:jc w:val="both"/>
        <w:rPr>
          <w:rFonts w:cs="Arial"/>
          <w:b/>
          <w:sz w:val="22"/>
          <w:szCs w:val="22"/>
        </w:rPr>
      </w:pPr>
    </w:p>
    <w:p w14:paraId="6DB21ED9" w14:textId="77777777" w:rsidR="00F4049D" w:rsidRPr="00F4049D" w:rsidRDefault="00F4049D" w:rsidP="00F16230">
      <w:pPr>
        <w:jc w:val="both"/>
        <w:rPr>
          <w:rFonts w:cs="Arial"/>
          <w:sz w:val="22"/>
          <w:szCs w:val="22"/>
        </w:rPr>
      </w:pPr>
      <w:r w:rsidRPr="00F4049D">
        <w:rPr>
          <w:rFonts w:cs="Arial"/>
          <w:b/>
          <w:sz w:val="22"/>
          <w:szCs w:val="22"/>
        </w:rPr>
        <w:t>PROGRAMA:</w:t>
      </w:r>
      <w:r w:rsidRPr="00F4049D">
        <w:rPr>
          <w:rFonts w:cs="Arial"/>
          <w:sz w:val="22"/>
          <w:szCs w:val="22"/>
        </w:rPr>
        <w:t xml:space="preserve"> Se entenderá por </w:t>
      </w:r>
      <w:r w:rsidRPr="00F4049D">
        <w:rPr>
          <w:rFonts w:cs="Arial"/>
          <w:b/>
          <w:bCs/>
          <w:sz w:val="22"/>
          <w:szCs w:val="22"/>
        </w:rPr>
        <w:t>PROGRAMA</w:t>
      </w:r>
      <w:r w:rsidRPr="00F4049D">
        <w:rPr>
          <w:rFonts w:cs="Arial"/>
          <w:sz w:val="22"/>
          <w:szCs w:val="22"/>
        </w:rPr>
        <w:t xml:space="preserve"> el Fondo de Subsidios para la Vivienda del Banco Hipotecario de la Vivienda, creado por ley No. 7052, Ley del Sistema Financiero Nacional para la Vivienda.</w:t>
      </w:r>
    </w:p>
    <w:p w14:paraId="655650CF" w14:textId="77777777" w:rsidR="00F4049D" w:rsidRPr="00F4049D" w:rsidRDefault="00F4049D" w:rsidP="00F16230">
      <w:pPr>
        <w:jc w:val="both"/>
        <w:rPr>
          <w:rFonts w:cs="Arial"/>
          <w:b/>
          <w:sz w:val="22"/>
          <w:szCs w:val="22"/>
        </w:rPr>
      </w:pPr>
    </w:p>
    <w:p w14:paraId="3B66F748" w14:textId="1FFCB8C3" w:rsidR="00F4049D" w:rsidRDefault="00F4049D" w:rsidP="00F16230">
      <w:pPr>
        <w:jc w:val="both"/>
        <w:rPr>
          <w:rFonts w:cs="Arial"/>
          <w:sz w:val="22"/>
          <w:szCs w:val="22"/>
        </w:rPr>
      </w:pPr>
      <w:r w:rsidRPr="00F4049D">
        <w:rPr>
          <w:rFonts w:cs="Arial"/>
          <w:b/>
          <w:sz w:val="22"/>
          <w:szCs w:val="22"/>
        </w:rPr>
        <w:t xml:space="preserve">SUPERÁVIT LIBRE: </w:t>
      </w:r>
      <w:r w:rsidRPr="00F4049D">
        <w:rPr>
          <w:rFonts w:cs="Arial"/>
          <w:sz w:val="22"/>
          <w:szCs w:val="22"/>
        </w:rPr>
        <w:t xml:space="preserve">Se refiere al exceso de ingresos ejecutados sobre los gastos ejecutados al final de un ejercicio presupuestario, que son de libre disponibilidad en cuanto al tipo de gasto que puede financiar. </w:t>
      </w:r>
    </w:p>
    <w:p w14:paraId="3D48D028" w14:textId="2D6654AA" w:rsidR="00071A45" w:rsidRDefault="00071A45" w:rsidP="00F16230">
      <w:pPr>
        <w:jc w:val="both"/>
        <w:rPr>
          <w:rFonts w:cs="Arial"/>
          <w:sz w:val="22"/>
          <w:szCs w:val="22"/>
        </w:rPr>
      </w:pPr>
    </w:p>
    <w:p w14:paraId="51F82D2D" w14:textId="079749A2" w:rsidR="00F4049D" w:rsidRPr="00F4049D" w:rsidRDefault="00F4049D" w:rsidP="00F16230">
      <w:pPr>
        <w:jc w:val="both"/>
        <w:rPr>
          <w:rFonts w:cs="Arial"/>
          <w:sz w:val="22"/>
          <w:szCs w:val="22"/>
        </w:rPr>
      </w:pPr>
      <w:r w:rsidRPr="00F4049D">
        <w:rPr>
          <w:rFonts w:cs="Arial"/>
          <w:b/>
          <w:sz w:val="22"/>
          <w:szCs w:val="22"/>
        </w:rPr>
        <w:t>SUPERAVIT ESPECÍFICO</w:t>
      </w:r>
      <w:r w:rsidRPr="00F4049D">
        <w:rPr>
          <w:rFonts w:cs="Arial"/>
          <w:sz w:val="22"/>
          <w:szCs w:val="22"/>
        </w:rPr>
        <w:t xml:space="preserve">: </w:t>
      </w:r>
      <w:r w:rsidR="00F16230">
        <w:rPr>
          <w:rFonts w:cs="Arial"/>
          <w:sz w:val="22"/>
          <w:szCs w:val="22"/>
        </w:rPr>
        <w:tab/>
      </w:r>
      <w:r w:rsidRPr="00F4049D">
        <w:rPr>
          <w:rFonts w:cs="Arial"/>
          <w:sz w:val="22"/>
          <w:szCs w:val="22"/>
        </w:rPr>
        <w:t>Se refiere al exceso de ingresos ejecutados sobre los gastos ejecutados al final de un ejercicio presupuestario, que, por disposición específica o legal, tiene que destinarse a un fin específico.</w:t>
      </w:r>
    </w:p>
    <w:p w14:paraId="38E9E653" w14:textId="77777777" w:rsidR="00F4049D" w:rsidRPr="00F4049D" w:rsidRDefault="00F4049D" w:rsidP="00F16230">
      <w:pPr>
        <w:jc w:val="both"/>
        <w:rPr>
          <w:rFonts w:cs="Arial"/>
          <w:b/>
          <w:sz w:val="22"/>
          <w:szCs w:val="22"/>
        </w:rPr>
      </w:pPr>
    </w:p>
    <w:p w14:paraId="0035C2DE" w14:textId="689BF913" w:rsidR="00F4049D" w:rsidRPr="00F4049D" w:rsidRDefault="00F4049D" w:rsidP="00F16230">
      <w:pPr>
        <w:jc w:val="both"/>
        <w:rPr>
          <w:rFonts w:cs="Arial"/>
          <w:bCs/>
          <w:sz w:val="22"/>
          <w:szCs w:val="22"/>
        </w:rPr>
      </w:pPr>
      <w:r w:rsidRPr="00F4049D">
        <w:rPr>
          <w:rFonts w:cs="Arial"/>
          <w:b/>
          <w:sz w:val="22"/>
          <w:szCs w:val="22"/>
        </w:rPr>
        <w:t>INSTITUCIÓN EJECUTORA:</w:t>
      </w:r>
      <w:r w:rsidR="00F16230">
        <w:rPr>
          <w:rFonts w:cs="Arial"/>
          <w:b/>
          <w:sz w:val="22"/>
          <w:szCs w:val="22"/>
        </w:rPr>
        <w:t xml:space="preserve"> </w:t>
      </w:r>
      <w:r w:rsidRPr="00F4049D">
        <w:rPr>
          <w:rFonts w:cs="Arial"/>
          <w:b/>
          <w:sz w:val="22"/>
          <w:szCs w:val="22"/>
        </w:rPr>
        <w:t>BANHVI</w:t>
      </w:r>
      <w:r w:rsidRPr="00F4049D">
        <w:rPr>
          <w:rFonts w:cs="Arial"/>
          <w:bCs/>
          <w:sz w:val="22"/>
          <w:szCs w:val="22"/>
        </w:rPr>
        <w:t xml:space="preserve">, por medio de las entidades autorizadas del Sistema Financiero Nacional para la Vivienda. </w:t>
      </w:r>
    </w:p>
    <w:p w14:paraId="2981616B" w14:textId="77777777" w:rsidR="00F4049D" w:rsidRPr="00F4049D" w:rsidRDefault="00F4049D" w:rsidP="00F16230">
      <w:pPr>
        <w:jc w:val="both"/>
        <w:rPr>
          <w:rFonts w:cs="Arial"/>
          <w:b/>
          <w:sz w:val="22"/>
          <w:szCs w:val="22"/>
        </w:rPr>
      </w:pPr>
    </w:p>
    <w:p w14:paraId="63830423" w14:textId="7CDB0039" w:rsidR="00F4049D" w:rsidRPr="00F4049D" w:rsidRDefault="00F4049D" w:rsidP="00F16230">
      <w:pPr>
        <w:jc w:val="both"/>
        <w:rPr>
          <w:rFonts w:cs="Arial"/>
          <w:sz w:val="22"/>
          <w:szCs w:val="22"/>
          <w:lang w:val="es-CR"/>
        </w:rPr>
      </w:pPr>
      <w:r w:rsidRPr="00F4049D">
        <w:rPr>
          <w:rFonts w:cs="Arial"/>
          <w:b/>
          <w:sz w:val="22"/>
          <w:szCs w:val="22"/>
        </w:rPr>
        <w:t xml:space="preserve">CLÁUSULA SEGUNDA - OBJETO DEL CONVENIO: </w:t>
      </w:r>
      <w:r w:rsidRPr="00F4049D">
        <w:rPr>
          <w:rFonts w:cs="Arial"/>
          <w:sz w:val="22"/>
          <w:szCs w:val="22"/>
          <w:lang w:val="es-CR"/>
        </w:rPr>
        <w:t xml:space="preserve">el presente convenio se firma con la finalidad de cumplir con los objetivos previstos en las </w:t>
      </w:r>
      <w:r w:rsidR="008E66EE">
        <w:rPr>
          <w:rFonts w:cs="Arial"/>
          <w:sz w:val="22"/>
          <w:szCs w:val="22"/>
          <w:lang w:val="es-CR"/>
        </w:rPr>
        <w:t>l</w:t>
      </w:r>
      <w:r w:rsidRPr="00F4049D">
        <w:rPr>
          <w:rFonts w:cs="Arial"/>
          <w:sz w:val="22"/>
          <w:szCs w:val="22"/>
          <w:lang w:val="es-CR"/>
        </w:rPr>
        <w:t>eyes número 5662, Ley de Desarrollo Social y Asignaciones Familiares y sus reformas y número 7052 del Sistema Financiero Nacional para la Vivienda y sus reformas.</w:t>
      </w:r>
    </w:p>
    <w:p w14:paraId="344298C5" w14:textId="77777777" w:rsidR="00F4049D" w:rsidRPr="00F4049D" w:rsidRDefault="00F4049D" w:rsidP="00F16230">
      <w:pPr>
        <w:jc w:val="both"/>
        <w:rPr>
          <w:rFonts w:cs="Arial"/>
          <w:b/>
          <w:sz w:val="22"/>
          <w:szCs w:val="22"/>
        </w:rPr>
      </w:pPr>
    </w:p>
    <w:p w14:paraId="79EB802D" w14:textId="77777777" w:rsidR="00F4049D" w:rsidRPr="00F4049D" w:rsidRDefault="00F4049D" w:rsidP="00F16230">
      <w:pPr>
        <w:jc w:val="both"/>
        <w:rPr>
          <w:rFonts w:cs="Arial"/>
          <w:sz w:val="22"/>
          <w:szCs w:val="22"/>
          <w:lang w:val="es-CR"/>
        </w:rPr>
      </w:pPr>
      <w:r w:rsidRPr="00F4049D">
        <w:rPr>
          <w:rFonts w:cs="Arial"/>
          <w:b/>
          <w:sz w:val="22"/>
          <w:szCs w:val="22"/>
        </w:rPr>
        <w:t xml:space="preserve">CLÁUSULA TERCERA - OBJETO DEL PROGRAMA (FOSUVI): </w:t>
      </w:r>
      <w:r w:rsidRPr="00F4049D">
        <w:rPr>
          <w:rFonts w:cs="Arial"/>
          <w:bCs/>
          <w:sz w:val="22"/>
          <w:szCs w:val="22"/>
        </w:rPr>
        <w:t>De conformidad con lo</w:t>
      </w:r>
      <w:r w:rsidRPr="00F4049D">
        <w:rPr>
          <w:rFonts w:cs="Arial"/>
          <w:b/>
          <w:sz w:val="22"/>
          <w:szCs w:val="22"/>
        </w:rPr>
        <w:t xml:space="preserve"> </w:t>
      </w:r>
      <w:r w:rsidRPr="00F4049D">
        <w:rPr>
          <w:rFonts w:cs="Arial"/>
          <w:sz w:val="22"/>
          <w:szCs w:val="22"/>
          <w:lang w:val="es-CR"/>
        </w:rPr>
        <w:t xml:space="preserve">establecido en la Ley del Sistema Financiero Nacional para la Vivienda y su reglamentación, el objetivo del programa es </w:t>
      </w:r>
      <w:r w:rsidRPr="00F4049D">
        <w:rPr>
          <w:rFonts w:cs="Arial"/>
          <w:sz w:val="22"/>
          <w:szCs w:val="22"/>
        </w:rPr>
        <w:t>contribuir a mejorar la calidad de vida de los beneficiarios del Fondo de Subsidios para la Vivienda, dotándoles de una solución habitacional.</w:t>
      </w:r>
    </w:p>
    <w:p w14:paraId="5AA12A8B" w14:textId="77777777" w:rsidR="00F4049D" w:rsidRPr="00F4049D" w:rsidRDefault="00F4049D" w:rsidP="00F16230">
      <w:pPr>
        <w:jc w:val="both"/>
        <w:rPr>
          <w:rFonts w:cs="Arial"/>
          <w:sz w:val="22"/>
          <w:szCs w:val="22"/>
          <w:lang w:val="es-CR"/>
        </w:rPr>
      </w:pPr>
    </w:p>
    <w:p w14:paraId="73E9FB6C" w14:textId="77777777" w:rsidR="00F4049D" w:rsidRPr="00F4049D" w:rsidRDefault="00F4049D" w:rsidP="00F16230">
      <w:pPr>
        <w:jc w:val="both"/>
        <w:rPr>
          <w:rFonts w:cs="Arial"/>
          <w:b/>
          <w:sz w:val="22"/>
          <w:szCs w:val="22"/>
        </w:rPr>
      </w:pPr>
      <w:r w:rsidRPr="00F4049D">
        <w:rPr>
          <w:rFonts w:cs="Arial"/>
          <w:b/>
          <w:sz w:val="22"/>
          <w:szCs w:val="22"/>
        </w:rPr>
        <w:t xml:space="preserve">CLÁUSULA CUARTA - OBJETIVO ESPECÍFICO:  </w:t>
      </w:r>
      <w:r w:rsidRPr="00F4049D">
        <w:rPr>
          <w:rFonts w:cs="Arial"/>
          <w:sz w:val="22"/>
          <w:szCs w:val="22"/>
        </w:rPr>
        <w:t>Los</w:t>
      </w:r>
      <w:r w:rsidRPr="00F4049D">
        <w:rPr>
          <w:rFonts w:cs="Arial"/>
          <w:sz w:val="22"/>
          <w:szCs w:val="22"/>
          <w:lang w:val="es-CR"/>
        </w:rPr>
        <w:t xml:space="preserve"> objetivos específicos del Fondo de Subsidios para la Vivienda serán los establecidos en la Ficha descriptiva que remitirá el </w:t>
      </w:r>
      <w:r w:rsidRPr="00F4049D">
        <w:rPr>
          <w:rFonts w:cs="Arial"/>
          <w:b/>
          <w:sz w:val="22"/>
          <w:szCs w:val="22"/>
          <w:lang w:val="es-CR"/>
        </w:rPr>
        <w:t xml:space="preserve">BANHVI </w:t>
      </w:r>
      <w:r w:rsidRPr="00F4049D">
        <w:rPr>
          <w:rFonts w:cs="Arial"/>
          <w:sz w:val="22"/>
          <w:szCs w:val="22"/>
          <w:lang w:val="es-CR"/>
        </w:rPr>
        <w:t xml:space="preserve">a la </w:t>
      </w:r>
      <w:r w:rsidRPr="00F4049D">
        <w:rPr>
          <w:rFonts w:cs="Arial"/>
          <w:b/>
          <w:sz w:val="22"/>
          <w:szCs w:val="22"/>
          <w:lang w:val="es-CR"/>
        </w:rPr>
        <w:t>DESAF</w:t>
      </w:r>
      <w:r w:rsidRPr="00F4049D">
        <w:rPr>
          <w:rFonts w:cs="Arial"/>
          <w:sz w:val="22"/>
          <w:szCs w:val="22"/>
          <w:lang w:val="es-CR"/>
        </w:rPr>
        <w:t xml:space="preserve">, según el periodo correspondiente y de acuerdo con las necesidades de este. </w:t>
      </w:r>
    </w:p>
    <w:p w14:paraId="67529036" w14:textId="77777777" w:rsidR="00F16230" w:rsidRDefault="00F16230" w:rsidP="00F16230">
      <w:pPr>
        <w:jc w:val="both"/>
        <w:rPr>
          <w:rFonts w:cs="Arial"/>
          <w:b/>
          <w:sz w:val="22"/>
          <w:szCs w:val="22"/>
        </w:rPr>
      </w:pPr>
    </w:p>
    <w:p w14:paraId="4DD0F65D" w14:textId="0C9911F5" w:rsidR="00F4049D" w:rsidRPr="00F4049D" w:rsidRDefault="00F4049D" w:rsidP="00F16230">
      <w:pPr>
        <w:jc w:val="both"/>
        <w:rPr>
          <w:rFonts w:cs="Arial"/>
          <w:sz w:val="22"/>
          <w:szCs w:val="22"/>
        </w:rPr>
      </w:pPr>
      <w:r w:rsidRPr="00F4049D">
        <w:rPr>
          <w:rFonts w:cs="Arial"/>
          <w:b/>
          <w:sz w:val="22"/>
          <w:szCs w:val="22"/>
        </w:rPr>
        <w:t>CLÁUSULA QUINTA - METAS:</w:t>
      </w:r>
      <w:r w:rsidRPr="00F4049D">
        <w:rPr>
          <w:rFonts w:eastAsia="ArialMT" w:cs="Arial"/>
          <w:sz w:val="22"/>
          <w:szCs w:val="22"/>
        </w:rPr>
        <w:t xml:space="preserve"> Durante la vigencia de este convenio, las metas para cada presupuesto ordinario y extraordinario aprobado por la Contraloría General de la República tanto para la </w:t>
      </w:r>
      <w:r w:rsidRPr="00F4049D">
        <w:rPr>
          <w:rFonts w:eastAsia="ArialMT" w:cs="Arial"/>
          <w:b/>
          <w:sz w:val="22"/>
          <w:szCs w:val="22"/>
        </w:rPr>
        <w:t>DESAF</w:t>
      </w:r>
      <w:r w:rsidRPr="00F4049D">
        <w:rPr>
          <w:rFonts w:eastAsia="ArialMT" w:cs="Arial"/>
          <w:sz w:val="22"/>
          <w:szCs w:val="22"/>
        </w:rPr>
        <w:t xml:space="preserve"> como para el </w:t>
      </w:r>
      <w:proofErr w:type="gramStart"/>
      <w:r w:rsidRPr="00F4049D">
        <w:rPr>
          <w:rFonts w:cs="Arial"/>
          <w:b/>
          <w:sz w:val="22"/>
          <w:szCs w:val="22"/>
          <w:lang w:val="es-CR"/>
        </w:rPr>
        <w:t>BANHVI,</w:t>
      </w:r>
      <w:proofErr w:type="gramEnd"/>
      <w:r w:rsidRPr="00F4049D">
        <w:rPr>
          <w:rFonts w:cs="Arial"/>
          <w:b/>
          <w:sz w:val="22"/>
          <w:szCs w:val="22"/>
          <w:lang w:val="es-CR"/>
        </w:rPr>
        <w:t xml:space="preserve"> </w:t>
      </w:r>
      <w:r w:rsidRPr="00F4049D">
        <w:rPr>
          <w:rFonts w:eastAsia="ArialMT" w:cs="Arial"/>
          <w:sz w:val="22"/>
          <w:szCs w:val="22"/>
        </w:rPr>
        <w:t xml:space="preserve">se establecerán en los Cronogramas de Metas e Inversión que el </w:t>
      </w:r>
      <w:r w:rsidRPr="00F4049D">
        <w:rPr>
          <w:rFonts w:eastAsia="ArialMT" w:cs="Arial"/>
          <w:b/>
          <w:sz w:val="22"/>
          <w:szCs w:val="22"/>
        </w:rPr>
        <w:t xml:space="preserve">BANHVI </w:t>
      </w:r>
      <w:r w:rsidRPr="00F4049D">
        <w:rPr>
          <w:rFonts w:eastAsia="ArialMT" w:cs="Arial"/>
          <w:sz w:val="22"/>
          <w:szCs w:val="22"/>
        </w:rPr>
        <w:t xml:space="preserve">remitirá a la </w:t>
      </w:r>
      <w:r w:rsidRPr="00F4049D">
        <w:rPr>
          <w:rFonts w:eastAsia="ArialMT" w:cs="Arial"/>
          <w:b/>
          <w:sz w:val="22"/>
          <w:szCs w:val="22"/>
        </w:rPr>
        <w:t>DESAF</w:t>
      </w:r>
      <w:r w:rsidRPr="00F4049D">
        <w:rPr>
          <w:rFonts w:eastAsia="ArialMT" w:cs="Arial"/>
          <w:sz w:val="22"/>
          <w:szCs w:val="22"/>
        </w:rPr>
        <w:t>, junto con la Ficha descriptiva correspondiente</w:t>
      </w:r>
      <w:r w:rsidRPr="00F4049D">
        <w:rPr>
          <w:rFonts w:cs="Arial"/>
          <w:sz w:val="22"/>
          <w:szCs w:val="22"/>
        </w:rPr>
        <w:t xml:space="preserve"> </w:t>
      </w:r>
    </w:p>
    <w:p w14:paraId="64883B1B" w14:textId="77777777" w:rsidR="00F4049D" w:rsidRPr="00F4049D" w:rsidRDefault="00F4049D" w:rsidP="00F16230">
      <w:pPr>
        <w:jc w:val="both"/>
        <w:rPr>
          <w:rFonts w:cs="Arial"/>
          <w:b/>
          <w:sz w:val="22"/>
          <w:szCs w:val="22"/>
        </w:rPr>
      </w:pPr>
    </w:p>
    <w:p w14:paraId="5950552C" w14:textId="77777777" w:rsidR="00F4049D" w:rsidRPr="00F4049D" w:rsidRDefault="00F4049D" w:rsidP="00F16230">
      <w:pPr>
        <w:jc w:val="both"/>
        <w:rPr>
          <w:rFonts w:cs="Arial"/>
          <w:sz w:val="22"/>
          <w:szCs w:val="22"/>
        </w:rPr>
      </w:pPr>
      <w:r w:rsidRPr="00F4049D">
        <w:rPr>
          <w:rFonts w:cs="Arial"/>
          <w:b/>
          <w:sz w:val="22"/>
          <w:szCs w:val="22"/>
        </w:rPr>
        <w:t xml:space="preserve">CLÁUSULA SEXTA - PRODUCTOS: </w:t>
      </w:r>
      <w:r w:rsidRPr="00F4049D">
        <w:rPr>
          <w:rFonts w:cs="Arial"/>
          <w:sz w:val="22"/>
          <w:szCs w:val="22"/>
        </w:rPr>
        <w:t xml:space="preserve">Los subsidios del </w:t>
      </w:r>
      <w:r w:rsidRPr="00F4049D">
        <w:rPr>
          <w:rFonts w:cs="Arial"/>
          <w:b/>
          <w:bCs/>
          <w:sz w:val="22"/>
          <w:szCs w:val="22"/>
        </w:rPr>
        <w:t>FOSUVI</w:t>
      </w:r>
      <w:r w:rsidRPr="00F4049D">
        <w:rPr>
          <w:rFonts w:cs="Arial"/>
          <w:sz w:val="22"/>
          <w:szCs w:val="22"/>
        </w:rPr>
        <w:t xml:space="preserve"> se canalizarán exclusivamente por medio de las entidades autorizadas del Sistema Financiero Nacional para la Vivienda y de conformidad con la Ley Número 7052 de 13 de noviembre de 1986 y sus reformas. El trámite de proyectos de vivienda y de solicitudes individuales de bono familiar de vivienda se hará de conformidad con las disposiciones de la Ley del Sistema Financiero Nacional para la Vivienda y sus reglamentos, así como en la ficha descriptiva del programa del Fondo de Subsidios para la Vivienda que el BANHVI remite a la </w:t>
      </w:r>
      <w:r w:rsidRPr="00F4049D">
        <w:rPr>
          <w:rFonts w:cs="Arial"/>
          <w:b/>
          <w:bCs/>
          <w:sz w:val="22"/>
          <w:szCs w:val="22"/>
        </w:rPr>
        <w:t>DESAF</w:t>
      </w:r>
      <w:r w:rsidRPr="00F4049D">
        <w:rPr>
          <w:rFonts w:cs="Arial"/>
          <w:sz w:val="22"/>
          <w:szCs w:val="22"/>
        </w:rPr>
        <w:t xml:space="preserve">. </w:t>
      </w:r>
    </w:p>
    <w:p w14:paraId="79E05511" w14:textId="77777777" w:rsidR="00F4049D" w:rsidRPr="00F4049D" w:rsidRDefault="00F4049D" w:rsidP="00F16230">
      <w:pPr>
        <w:jc w:val="both"/>
        <w:rPr>
          <w:rFonts w:cs="Arial"/>
          <w:sz w:val="22"/>
          <w:szCs w:val="22"/>
        </w:rPr>
      </w:pPr>
    </w:p>
    <w:p w14:paraId="2E2C7672" w14:textId="174A7F27" w:rsidR="00F4049D" w:rsidRPr="00F4049D" w:rsidRDefault="00F4049D" w:rsidP="00F16230">
      <w:pPr>
        <w:jc w:val="both"/>
        <w:rPr>
          <w:rFonts w:cs="Arial"/>
          <w:sz w:val="22"/>
          <w:szCs w:val="22"/>
        </w:rPr>
      </w:pPr>
      <w:r w:rsidRPr="00F4049D">
        <w:rPr>
          <w:rFonts w:cs="Arial"/>
          <w:b/>
          <w:sz w:val="22"/>
          <w:szCs w:val="22"/>
        </w:rPr>
        <w:t>CLÁUSULA S</w:t>
      </w:r>
      <w:r w:rsidR="00071A45">
        <w:rPr>
          <w:rFonts w:cs="Arial"/>
          <w:b/>
          <w:sz w:val="22"/>
          <w:szCs w:val="22"/>
        </w:rPr>
        <w:t>É</w:t>
      </w:r>
      <w:r w:rsidRPr="00F4049D">
        <w:rPr>
          <w:rFonts w:cs="Arial"/>
          <w:b/>
          <w:sz w:val="22"/>
          <w:szCs w:val="22"/>
        </w:rPr>
        <w:t xml:space="preserve">TIMA - ESTRUCTURA ADMINISTRATIVA: </w:t>
      </w:r>
      <w:r w:rsidRPr="00F4049D">
        <w:rPr>
          <w:rFonts w:cs="Arial"/>
          <w:sz w:val="22"/>
          <w:szCs w:val="22"/>
          <w:lang w:val="es-CR"/>
        </w:rPr>
        <w:t xml:space="preserve">Para la ejecución del </w:t>
      </w:r>
      <w:r w:rsidRPr="00F4049D">
        <w:rPr>
          <w:rFonts w:cs="Arial"/>
          <w:b/>
          <w:bCs/>
          <w:sz w:val="22"/>
          <w:szCs w:val="22"/>
          <w:lang w:val="es-CR"/>
        </w:rPr>
        <w:t>PROGRAMA,</w:t>
      </w:r>
      <w:r w:rsidRPr="00F4049D">
        <w:rPr>
          <w:rFonts w:cs="Arial"/>
          <w:sz w:val="22"/>
          <w:szCs w:val="22"/>
          <w:lang w:val="es-CR"/>
        </w:rPr>
        <w:t xml:space="preserve"> </w:t>
      </w:r>
      <w:r w:rsidRPr="00F4049D">
        <w:rPr>
          <w:rFonts w:cs="Arial"/>
          <w:b/>
          <w:sz w:val="22"/>
          <w:szCs w:val="22"/>
          <w:lang w:val="es-CR"/>
        </w:rPr>
        <w:t xml:space="preserve">EL BANHVI </w:t>
      </w:r>
      <w:r w:rsidRPr="00F4049D">
        <w:rPr>
          <w:rFonts w:cs="Arial"/>
          <w:sz w:val="22"/>
          <w:szCs w:val="22"/>
          <w:lang w:val="es-CR"/>
        </w:rPr>
        <w:t xml:space="preserve">se compromete a utilizar la estructura administrativa y los </w:t>
      </w:r>
      <w:r w:rsidRPr="00F4049D">
        <w:rPr>
          <w:rFonts w:cs="Arial"/>
          <w:sz w:val="22"/>
          <w:szCs w:val="22"/>
          <w:lang w:val="es-CR"/>
        </w:rPr>
        <w:lastRenderedPageBreak/>
        <w:t xml:space="preserve">medios de supervisión dispuestos en el Presupuesto Ordinario en ejecución correspondiente, y durante la vigencia de este convenio. </w:t>
      </w:r>
      <w:r w:rsidRPr="00F4049D">
        <w:rPr>
          <w:rFonts w:cs="Arial"/>
          <w:sz w:val="22"/>
          <w:szCs w:val="22"/>
        </w:rPr>
        <w:t xml:space="preserve">Se entenderá como Institución Ejecutora la estructura organizativa del </w:t>
      </w:r>
      <w:r w:rsidRPr="00F4049D">
        <w:rPr>
          <w:rFonts w:cs="Arial"/>
          <w:b/>
          <w:sz w:val="22"/>
          <w:szCs w:val="22"/>
        </w:rPr>
        <w:t xml:space="preserve">BANHVI.  </w:t>
      </w:r>
    </w:p>
    <w:p w14:paraId="7AC8C442" w14:textId="77777777" w:rsidR="00F4049D" w:rsidRPr="00F4049D" w:rsidRDefault="00F4049D" w:rsidP="00F16230">
      <w:pPr>
        <w:jc w:val="both"/>
        <w:rPr>
          <w:rFonts w:cs="Arial"/>
          <w:bCs/>
          <w:sz w:val="22"/>
          <w:szCs w:val="22"/>
        </w:rPr>
      </w:pPr>
    </w:p>
    <w:p w14:paraId="031E17CF" w14:textId="77777777" w:rsidR="00F4049D" w:rsidRPr="00F4049D" w:rsidRDefault="00F4049D" w:rsidP="00F16230">
      <w:pPr>
        <w:pStyle w:val="Prrafodelista"/>
        <w:ind w:left="0"/>
        <w:jc w:val="both"/>
        <w:rPr>
          <w:rFonts w:cs="Arial"/>
          <w:sz w:val="22"/>
          <w:szCs w:val="22"/>
        </w:rPr>
      </w:pPr>
      <w:r w:rsidRPr="00F4049D">
        <w:rPr>
          <w:rFonts w:cs="Arial"/>
          <w:b/>
          <w:sz w:val="22"/>
          <w:szCs w:val="22"/>
        </w:rPr>
        <w:t>CLÁUSULA OCTAVA - ACTIVIDADES PARA LA EJECUCIÓN DEL PROGRAMA:</w:t>
      </w:r>
      <w:r w:rsidRPr="00F4049D">
        <w:rPr>
          <w:rFonts w:cs="Arial"/>
          <w:b/>
          <w:color w:val="FF0000"/>
          <w:sz w:val="22"/>
          <w:szCs w:val="22"/>
        </w:rPr>
        <w:t xml:space="preserve"> </w:t>
      </w:r>
      <w:r w:rsidRPr="00F4049D">
        <w:rPr>
          <w:rFonts w:cs="Arial"/>
          <w:b/>
          <w:sz w:val="22"/>
          <w:szCs w:val="22"/>
        </w:rPr>
        <w:t xml:space="preserve">  </w:t>
      </w:r>
      <w:r w:rsidRPr="00F4049D">
        <w:rPr>
          <w:rFonts w:cs="Arial"/>
          <w:sz w:val="22"/>
          <w:szCs w:val="22"/>
        </w:rPr>
        <w:t xml:space="preserve">Las actividades necesarias para la ejecución de este </w:t>
      </w:r>
      <w:r w:rsidRPr="00F4049D">
        <w:rPr>
          <w:rFonts w:cs="Arial"/>
          <w:b/>
          <w:bCs/>
          <w:sz w:val="22"/>
          <w:szCs w:val="22"/>
        </w:rPr>
        <w:t>PROGRAMA</w:t>
      </w:r>
      <w:r w:rsidRPr="00F4049D">
        <w:rPr>
          <w:rFonts w:cs="Arial"/>
          <w:sz w:val="22"/>
          <w:szCs w:val="22"/>
        </w:rPr>
        <w:t xml:space="preserve">, son las definidas por el </w:t>
      </w:r>
      <w:r w:rsidRPr="00F4049D">
        <w:rPr>
          <w:rFonts w:cs="Arial"/>
          <w:b/>
          <w:sz w:val="22"/>
          <w:szCs w:val="22"/>
        </w:rPr>
        <w:t>BANHVI</w:t>
      </w:r>
      <w:r w:rsidRPr="00F4049D">
        <w:rPr>
          <w:rFonts w:cs="Arial"/>
          <w:sz w:val="22"/>
          <w:szCs w:val="22"/>
        </w:rPr>
        <w:t xml:space="preserve"> en el Plan Anual Operativo del período presupuestario vigente, así como los mecanismos de ejecución, objetivos, metas e inversión definidos en dicho documento.</w:t>
      </w:r>
    </w:p>
    <w:p w14:paraId="34840F2E" w14:textId="77777777" w:rsidR="00F4049D" w:rsidRPr="00F4049D" w:rsidRDefault="00F4049D" w:rsidP="00F16230">
      <w:pPr>
        <w:pStyle w:val="Prrafodelista"/>
        <w:ind w:left="0"/>
        <w:jc w:val="both"/>
        <w:rPr>
          <w:rFonts w:cs="Arial"/>
          <w:sz w:val="22"/>
          <w:szCs w:val="22"/>
        </w:rPr>
      </w:pPr>
    </w:p>
    <w:p w14:paraId="4AA0FE45" w14:textId="1620C189" w:rsidR="00F4049D" w:rsidRPr="00F4049D" w:rsidRDefault="00F4049D" w:rsidP="00F16230">
      <w:pPr>
        <w:jc w:val="both"/>
        <w:rPr>
          <w:rFonts w:cs="Arial"/>
          <w:bCs/>
          <w:sz w:val="22"/>
          <w:szCs w:val="22"/>
        </w:rPr>
      </w:pPr>
      <w:r w:rsidRPr="00F4049D">
        <w:rPr>
          <w:rFonts w:cs="Arial"/>
          <w:b/>
          <w:sz w:val="22"/>
          <w:szCs w:val="22"/>
        </w:rPr>
        <w:t xml:space="preserve">CLÁUSULA NOVENA - DEL GIRO DE RECURSOS: </w:t>
      </w:r>
      <w:r w:rsidRPr="00F4049D">
        <w:rPr>
          <w:rFonts w:cs="Arial"/>
          <w:bCs/>
          <w:sz w:val="22"/>
          <w:szCs w:val="22"/>
        </w:rPr>
        <w:t xml:space="preserve">El giro de recursos del </w:t>
      </w:r>
      <w:r w:rsidRPr="00F4049D">
        <w:rPr>
          <w:rFonts w:cs="Arial"/>
          <w:b/>
          <w:sz w:val="22"/>
          <w:szCs w:val="22"/>
        </w:rPr>
        <w:t>FODESAF</w:t>
      </w:r>
      <w:r w:rsidRPr="00F4049D">
        <w:rPr>
          <w:rFonts w:cs="Arial"/>
          <w:bCs/>
          <w:sz w:val="22"/>
          <w:szCs w:val="22"/>
        </w:rPr>
        <w:t xml:space="preserve"> al </w:t>
      </w:r>
      <w:r w:rsidRPr="00F4049D">
        <w:rPr>
          <w:rFonts w:cs="Arial"/>
          <w:b/>
          <w:sz w:val="22"/>
          <w:szCs w:val="22"/>
        </w:rPr>
        <w:t>FOSUVI</w:t>
      </w:r>
      <w:r w:rsidRPr="00F4049D">
        <w:rPr>
          <w:rFonts w:cs="Arial"/>
          <w:bCs/>
          <w:sz w:val="22"/>
          <w:szCs w:val="22"/>
        </w:rPr>
        <w:t xml:space="preserve">, por parte de la </w:t>
      </w:r>
      <w:r w:rsidRPr="00F4049D">
        <w:rPr>
          <w:rFonts w:cs="Arial"/>
          <w:b/>
          <w:sz w:val="22"/>
          <w:szCs w:val="22"/>
        </w:rPr>
        <w:t>DESAF</w:t>
      </w:r>
      <w:r w:rsidRPr="00F4049D">
        <w:rPr>
          <w:rFonts w:cs="Arial"/>
          <w:bCs/>
          <w:sz w:val="22"/>
          <w:szCs w:val="22"/>
        </w:rPr>
        <w:t xml:space="preserve">, se hará de conformidad con los porcentajes establecidos en la Ley 5662 y sus reformas y la Ley 7052 del Sistema Financiero Nacional para la Vivienda y sus reformas. </w:t>
      </w:r>
    </w:p>
    <w:p w14:paraId="1D47721D" w14:textId="77777777" w:rsidR="00F4049D" w:rsidRPr="00F4049D" w:rsidRDefault="00F4049D" w:rsidP="00F16230">
      <w:pPr>
        <w:jc w:val="both"/>
        <w:rPr>
          <w:rFonts w:cs="Arial"/>
          <w:bCs/>
          <w:sz w:val="22"/>
          <w:szCs w:val="22"/>
        </w:rPr>
      </w:pPr>
    </w:p>
    <w:p w14:paraId="58F17C3B" w14:textId="77777777" w:rsidR="00F4049D" w:rsidRPr="00F4049D" w:rsidRDefault="00F4049D" w:rsidP="00F16230">
      <w:pPr>
        <w:jc w:val="both"/>
        <w:rPr>
          <w:rFonts w:cs="Arial"/>
          <w:bCs/>
          <w:sz w:val="22"/>
          <w:szCs w:val="22"/>
        </w:rPr>
      </w:pPr>
      <w:r w:rsidRPr="00F4049D">
        <w:rPr>
          <w:rFonts w:cs="Arial"/>
          <w:bCs/>
          <w:sz w:val="22"/>
          <w:szCs w:val="22"/>
        </w:rPr>
        <w:t xml:space="preserve">Es entendido para las partes que las transferencias de recursos no se deben detener, en virtud de que tanto la Ley 7052 del Sistema Financiero Nacional para la Vivienda y sus reformas, como la Ley 5662 </w:t>
      </w:r>
      <w:r w:rsidRPr="00F4049D">
        <w:rPr>
          <w:rFonts w:cs="Arial"/>
          <w:sz w:val="22"/>
          <w:szCs w:val="22"/>
          <w:lang w:val="es-CR"/>
        </w:rPr>
        <w:t xml:space="preserve">de Desarrollo Social y Asignaciones Familiares y sus reformas, complementarias conforme </w:t>
      </w:r>
      <w:r w:rsidRPr="00F4049D">
        <w:rPr>
          <w:rFonts w:cs="Arial"/>
          <w:bCs/>
          <w:sz w:val="22"/>
          <w:szCs w:val="22"/>
        </w:rPr>
        <w:t xml:space="preserve">a su naturaleza, así lo establecen expresamente. Además, tal condición es necesaria para mantener la operativa del </w:t>
      </w:r>
      <w:r w:rsidRPr="00F4049D">
        <w:rPr>
          <w:rFonts w:cs="Arial"/>
          <w:b/>
          <w:sz w:val="22"/>
          <w:szCs w:val="22"/>
        </w:rPr>
        <w:t>PROGRAMA</w:t>
      </w:r>
      <w:r w:rsidRPr="00F4049D">
        <w:rPr>
          <w:rFonts w:cs="Arial"/>
          <w:bCs/>
          <w:sz w:val="22"/>
          <w:szCs w:val="22"/>
        </w:rPr>
        <w:t xml:space="preserve"> </w:t>
      </w:r>
      <w:r w:rsidRPr="00F4049D">
        <w:rPr>
          <w:rFonts w:cs="Arial"/>
          <w:sz w:val="22"/>
          <w:szCs w:val="22"/>
        </w:rPr>
        <w:t xml:space="preserve">de conformidad con los principios de eficiencia y de continuidad del servicio público. Lo anterior a excepción de aquellos casos en que, siguiendo el debido proceso, conforme lo establecido en la Ley General de la Administración Pública, se llegare a determinar incumplimientos de parte del </w:t>
      </w:r>
      <w:r w:rsidRPr="00F4049D">
        <w:rPr>
          <w:rFonts w:cs="Arial"/>
          <w:b/>
          <w:bCs/>
          <w:sz w:val="22"/>
          <w:szCs w:val="22"/>
        </w:rPr>
        <w:t>BANHVI</w:t>
      </w:r>
      <w:r w:rsidRPr="00F4049D">
        <w:rPr>
          <w:rFonts w:cs="Arial"/>
          <w:sz w:val="22"/>
          <w:szCs w:val="22"/>
        </w:rPr>
        <w:t xml:space="preserve"> conforme a lo establecido en el artículo 18 de la Ley 5662, </w:t>
      </w:r>
      <w:r w:rsidRPr="00F4049D">
        <w:rPr>
          <w:rFonts w:cs="Arial"/>
          <w:sz w:val="22"/>
          <w:szCs w:val="22"/>
          <w:lang w:val="es-CR"/>
        </w:rPr>
        <w:t xml:space="preserve">Ley de Desarrollo Social y Asignaciones Familiares y sus reformas. En lo referente a los gastos administrativos para la ejecución del </w:t>
      </w:r>
      <w:r w:rsidRPr="00F4049D">
        <w:rPr>
          <w:rFonts w:cs="Arial"/>
          <w:b/>
          <w:bCs/>
          <w:sz w:val="22"/>
          <w:szCs w:val="22"/>
          <w:lang w:val="es-CR"/>
        </w:rPr>
        <w:t>PROGRAMA</w:t>
      </w:r>
      <w:r w:rsidRPr="00F4049D">
        <w:rPr>
          <w:rFonts w:cs="Arial"/>
          <w:sz w:val="22"/>
          <w:szCs w:val="22"/>
          <w:lang w:val="es-CR"/>
        </w:rPr>
        <w:t xml:space="preserve">, el </w:t>
      </w:r>
      <w:r w:rsidRPr="00F4049D">
        <w:rPr>
          <w:rFonts w:cs="Arial"/>
          <w:b/>
          <w:sz w:val="22"/>
          <w:szCs w:val="22"/>
          <w:lang w:val="es-CR"/>
        </w:rPr>
        <w:t xml:space="preserve">BANHVI </w:t>
      </w:r>
      <w:r w:rsidRPr="00F4049D">
        <w:rPr>
          <w:rFonts w:cs="Arial"/>
          <w:sz w:val="22"/>
          <w:szCs w:val="22"/>
        </w:rPr>
        <w:t xml:space="preserve">aplicará lo establecido en la Ley No. 7052 del Sistema Financiero Nacional para la Vivienda (artículo 49) y sus reformas y la Ley No. 5662 </w:t>
      </w:r>
      <w:r w:rsidRPr="00F4049D">
        <w:rPr>
          <w:rFonts w:cs="Arial"/>
          <w:sz w:val="22"/>
          <w:szCs w:val="22"/>
          <w:lang w:val="es-CR"/>
        </w:rPr>
        <w:t xml:space="preserve">de Desarrollo Social y Asignaciones Familiares (artículo 3, sub inciso i.) y sus reformas. </w:t>
      </w:r>
    </w:p>
    <w:p w14:paraId="4337B807" w14:textId="77777777" w:rsidR="00F4049D" w:rsidRPr="00F4049D" w:rsidRDefault="00F4049D" w:rsidP="00F16230">
      <w:pPr>
        <w:jc w:val="both"/>
        <w:rPr>
          <w:rFonts w:cs="Arial"/>
          <w:sz w:val="22"/>
          <w:szCs w:val="22"/>
        </w:rPr>
      </w:pPr>
    </w:p>
    <w:p w14:paraId="4B9BC127" w14:textId="2D2B2F5A" w:rsidR="00F4049D" w:rsidRDefault="00F4049D" w:rsidP="00F16230">
      <w:pPr>
        <w:jc w:val="both"/>
        <w:rPr>
          <w:rFonts w:cs="Arial"/>
          <w:sz w:val="22"/>
          <w:szCs w:val="22"/>
          <w:lang w:val="es-CR"/>
        </w:rPr>
      </w:pPr>
      <w:r w:rsidRPr="00F4049D">
        <w:rPr>
          <w:rFonts w:cs="Arial"/>
          <w:sz w:val="22"/>
          <w:szCs w:val="22"/>
        </w:rPr>
        <w:t xml:space="preserve">Los </w:t>
      </w:r>
      <w:r w:rsidRPr="00F4049D">
        <w:rPr>
          <w:rFonts w:cs="Arial"/>
          <w:sz w:val="22"/>
          <w:szCs w:val="22"/>
          <w:lang w:val="es-CR"/>
        </w:rPr>
        <w:t xml:space="preserve">recursos serán girados de acuerdo con la disponibilidad de efectivo del </w:t>
      </w:r>
      <w:r w:rsidRPr="00F4049D">
        <w:rPr>
          <w:rFonts w:cs="Arial"/>
          <w:b/>
          <w:bCs/>
          <w:sz w:val="22"/>
          <w:szCs w:val="22"/>
          <w:lang w:val="es-CR"/>
        </w:rPr>
        <w:t>FODESAF</w:t>
      </w:r>
      <w:r w:rsidRPr="00F4049D">
        <w:rPr>
          <w:rFonts w:cs="Arial"/>
          <w:sz w:val="22"/>
          <w:szCs w:val="22"/>
          <w:lang w:val="es-CR"/>
        </w:rPr>
        <w:t xml:space="preserve"> en el entendido de que están ordenados y establecidos por ley formal, a favor del </w:t>
      </w:r>
      <w:r w:rsidRPr="00F4049D">
        <w:rPr>
          <w:rFonts w:cs="Arial"/>
          <w:b/>
          <w:bCs/>
          <w:sz w:val="22"/>
          <w:szCs w:val="22"/>
          <w:lang w:val="es-CR"/>
        </w:rPr>
        <w:t>FOSUVI</w:t>
      </w:r>
      <w:r w:rsidRPr="00F4049D">
        <w:rPr>
          <w:rFonts w:cs="Arial"/>
          <w:sz w:val="22"/>
          <w:szCs w:val="22"/>
          <w:lang w:val="es-CR"/>
        </w:rPr>
        <w:t xml:space="preserve">. </w:t>
      </w:r>
    </w:p>
    <w:p w14:paraId="6CC4621D" w14:textId="44F4EB3F" w:rsidR="00071A45" w:rsidRDefault="00071A45" w:rsidP="00F16230">
      <w:pPr>
        <w:jc w:val="both"/>
        <w:rPr>
          <w:rFonts w:cs="Arial"/>
          <w:sz w:val="22"/>
          <w:szCs w:val="22"/>
          <w:lang w:val="es-CR"/>
        </w:rPr>
      </w:pPr>
    </w:p>
    <w:p w14:paraId="79C21B03" w14:textId="51FA4B06" w:rsidR="00F4049D" w:rsidRPr="00F4049D" w:rsidRDefault="00F4049D" w:rsidP="00F16230">
      <w:pPr>
        <w:jc w:val="both"/>
        <w:rPr>
          <w:rFonts w:cs="Arial"/>
          <w:sz w:val="22"/>
          <w:szCs w:val="22"/>
        </w:rPr>
      </w:pPr>
      <w:r w:rsidRPr="00F4049D">
        <w:rPr>
          <w:rFonts w:cs="Arial"/>
          <w:b/>
          <w:sz w:val="22"/>
          <w:szCs w:val="22"/>
          <w:lang w:val="es-CR"/>
        </w:rPr>
        <w:t>CLÁUSULA D</w:t>
      </w:r>
      <w:r w:rsidR="00071A45">
        <w:rPr>
          <w:rFonts w:cs="Arial"/>
          <w:b/>
          <w:sz w:val="22"/>
          <w:szCs w:val="22"/>
          <w:lang w:val="es-CR"/>
        </w:rPr>
        <w:t>É</w:t>
      </w:r>
      <w:r w:rsidRPr="00F4049D">
        <w:rPr>
          <w:rFonts w:cs="Arial"/>
          <w:b/>
          <w:sz w:val="22"/>
          <w:szCs w:val="22"/>
          <w:lang w:val="es-CR"/>
        </w:rPr>
        <w:t xml:space="preserve">CIMA - </w:t>
      </w:r>
      <w:r w:rsidRPr="00F4049D">
        <w:rPr>
          <w:rFonts w:cs="Arial"/>
          <w:b/>
          <w:sz w:val="22"/>
          <w:szCs w:val="22"/>
        </w:rPr>
        <w:t>SOBRE LAS MODIFICACIONES A ESTE CONVENIO Y DE LOS RECURSOS:</w:t>
      </w:r>
      <w:r w:rsidRPr="00F4049D">
        <w:rPr>
          <w:rFonts w:cs="Arial"/>
          <w:sz w:val="22"/>
          <w:szCs w:val="22"/>
        </w:rPr>
        <w:t xml:space="preserve">   Para cada periodo presupuestario, presupuestos extraordinarios, así como modificaciones a alguna cláusula de este convenio referente a los objetivos, productos o metas, que se modifiquen o aprueben durante la vigencia de este convenio, no será necesario la firma de adendas, ya que todas esas modificaciones se verán reflejadas en el Plan Anual Operativo, fichas descriptivas y cronogramas de metas e inversión, que el </w:t>
      </w:r>
      <w:r w:rsidRPr="00F4049D">
        <w:rPr>
          <w:rFonts w:cs="Arial"/>
          <w:b/>
          <w:sz w:val="22"/>
          <w:szCs w:val="22"/>
        </w:rPr>
        <w:t>BANHVI</w:t>
      </w:r>
      <w:r w:rsidRPr="00F4049D">
        <w:rPr>
          <w:rFonts w:cs="Arial"/>
          <w:sz w:val="22"/>
          <w:szCs w:val="22"/>
        </w:rPr>
        <w:t xml:space="preserve"> remitirá a la </w:t>
      </w:r>
      <w:r w:rsidRPr="00F4049D">
        <w:rPr>
          <w:rFonts w:cs="Arial"/>
          <w:b/>
          <w:bCs/>
          <w:sz w:val="22"/>
          <w:szCs w:val="22"/>
        </w:rPr>
        <w:t>DESAF</w:t>
      </w:r>
      <w:r w:rsidRPr="00F4049D">
        <w:rPr>
          <w:rFonts w:cs="Arial"/>
          <w:sz w:val="22"/>
          <w:szCs w:val="22"/>
        </w:rPr>
        <w:t xml:space="preserve"> según el caso. La documentación mencionada formará parte integral de este convenio. </w:t>
      </w:r>
    </w:p>
    <w:p w14:paraId="26934B5C" w14:textId="77777777" w:rsidR="00F4049D" w:rsidRPr="00F4049D" w:rsidRDefault="00F4049D" w:rsidP="00F16230">
      <w:pPr>
        <w:jc w:val="both"/>
        <w:rPr>
          <w:rFonts w:cs="Arial"/>
          <w:sz w:val="22"/>
          <w:szCs w:val="22"/>
        </w:rPr>
      </w:pPr>
    </w:p>
    <w:p w14:paraId="7BBED944" w14:textId="77777777" w:rsidR="00F4049D" w:rsidRPr="00F4049D" w:rsidRDefault="00F4049D" w:rsidP="00F16230">
      <w:pPr>
        <w:jc w:val="both"/>
        <w:rPr>
          <w:rFonts w:cs="Arial"/>
          <w:sz w:val="22"/>
          <w:szCs w:val="22"/>
          <w:lang w:val="es-CR"/>
        </w:rPr>
      </w:pPr>
      <w:r w:rsidRPr="00F4049D">
        <w:rPr>
          <w:rFonts w:cs="Arial"/>
          <w:sz w:val="22"/>
          <w:szCs w:val="22"/>
        </w:rPr>
        <w:t>Así mismo cada vez que haya una modificación presupuestaria, se procederá al giro correspondiente sin necesidad de firmar adendas para dichos giros o modificaciones. Sin embargo, e</w:t>
      </w:r>
      <w:r w:rsidRPr="00F4049D">
        <w:rPr>
          <w:rFonts w:cs="Arial"/>
          <w:sz w:val="22"/>
          <w:szCs w:val="22"/>
          <w:lang w:val="es-CR"/>
        </w:rPr>
        <w:t xml:space="preserve">l giro de los recursos queda condicionado a la aprobación presupuestaria de la Contraloría según el presupuesto correspondiente tanto para el </w:t>
      </w:r>
      <w:r w:rsidRPr="00F4049D">
        <w:rPr>
          <w:rFonts w:cs="Arial"/>
          <w:b/>
          <w:sz w:val="22"/>
          <w:szCs w:val="22"/>
          <w:lang w:val="es-CR"/>
        </w:rPr>
        <w:t>BANHVI</w:t>
      </w:r>
      <w:r w:rsidRPr="00F4049D">
        <w:rPr>
          <w:rFonts w:cs="Arial"/>
          <w:sz w:val="22"/>
          <w:szCs w:val="22"/>
          <w:lang w:val="es-CR"/>
        </w:rPr>
        <w:t xml:space="preserve">, como para el </w:t>
      </w:r>
      <w:r w:rsidRPr="00F4049D">
        <w:rPr>
          <w:rFonts w:cs="Arial"/>
          <w:b/>
          <w:bCs/>
          <w:sz w:val="22"/>
          <w:szCs w:val="22"/>
          <w:lang w:val="es-CR"/>
        </w:rPr>
        <w:t>FODESAF</w:t>
      </w:r>
      <w:r w:rsidRPr="00F4049D">
        <w:rPr>
          <w:rFonts w:cs="Arial"/>
          <w:sz w:val="22"/>
          <w:szCs w:val="22"/>
          <w:lang w:val="es-CR"/>
        </w:rPr>
        <w:t xml:space="preserve">. </w:t>
      </w:r>
    </w:p>
    <w:p w14:paraId="63A20587" w14:textId="77777777" w:rsidR="00F4049D" w:rsidRPr="00F4049D" w:rsidRDefault="00F4049D" w:rsidP="00F16230">
      <w:pPr>
        <w:jc w:val="both"/>
        <w:rPr>
          <w:rFonts w:cs="Arial"/>
          <w:sz w:val="22"/>
          <w:szCs w:val="22"/>
          <w:lang w:val="es-CR"/>
        </w:rPr>
      </w:pPr>
    </w:p>
    <w:p w14:paraId="59BB07C0" w14:textId="77777777" w:rsidR="00F4049D" w:rsidRPr="00F4049D" w:rsidRDefault="00F4049D" w:rsidP="00F16230">
      <w:pPr>
        <w:jc w:val="both"/>
        <w:rPr>
          <w:rFonts w:cs="Arial"/>
          <w:sz w:val="22"/>
          <w:szCs w:val="22"/>
        </w:rPr>
      </w:pPr>
      <w:r w:rsidRPr="00F4049D">
        <w:rPr>
          <w:rFonts w:cs="Arial"/>
          <w:b/>
          <w:sz w:val="22"/>
          <w:szCs w:val="22"/>
          <w:lang w:val="es-CR"/>
        </w:rPr>
        <w:t xml:space="preserve">CLÁUSULA DÉCIMA PRIMERA - DE LOS INFORMES: </w:t>
      </w:r>
      <w:r w:rsidRPr="00F4049D">
        <w:rPr>
          <w:rFonts w:cs="Arial"/>
          <w:sz w:val="22"/>
          <w:szCs w:val="22"/>
          <w:lang w:val="es-CR"/>
        </w:rPr>
        <w:t xml:space="preserve">El </w:t>
      </w:r>
      <w:r w:rsidRPr="00F4049D">
        <w:rPr>
          <w:rFonts w:cs="Arial"/>
          <w:b/>
          <w:sz w:val="22"/>
          <w:szCs w:val="22"/>
          <w:lang w:val="es-CR"/>
        </w:rPr>
        <w:t xml:space="preserve">BANHVI </w:t>
      </w:r>
      <w:r w:rsidRPr="00F4049D">
        <w:rPr>
          <w:rFonts w:cs="Arial"/>
          <w:sz w:val="22"/>
          <w:szCs w:val="22"/>
        </w:rPr>
        <w:t xml:space="preserve">se compromete a presentar a la </w:t>
      </w:r>
      <w:r w:rsidRPr="00F4049D">
        <w:rPr>
          <w:rFonts w:cs="Arial"/>
          <w:b/>
          <w:sz w:val="22"/>
          <w:szCs w:val="22"/>
        </w:rPr>
        <w:t>DESAF</w:t>
      </w:r>
      <w:r w:rsidRPr="00F4049D">
        <w:rPr>
          <w:rFonts w:cs="Arial"/>
          <w:sz w:val="22"/>
          <w:szCs w:val="22"/>
        </w:rPr>
        <w:t xml:space="preserve">, los siguientes informes: </w:t>
      </w:r>
    </w:p>
    <w:p w14:paraId="77252651" w14:textId="77777777" w:rsidR="00F4049D" w:rsidRPr="00F4049D" w:rsidRDefault="00F4049D" w:rsidP="00F16230">
      <w:pPr>
        <w:jc w:val="both"/>
        <w:rPr>
          <w:rFonts w:cs="Arial"/>
          <w:sz w:val="22"/>
          <w:szCs w:val="22"/>
        </w:rPr>
      </w:pPr>
    </w:p>
    <w:p w14:paraId="673BDBE6" w14:textId="77777777" w:rsidR="00F4049D" w:rsidRPr="00F4049D" w:rsidRDefault="00F4049D" w:rsidP="00F16230">
      <w:pPr>
        <w:shd w:val="clear" w:color="auto" w:fill="FFFFFF"/>
        <w:ind w:right="465"/>
        <w:jc w:val="both"/>
        <w:rPr>
          <w:rFonts w:cs="Arial"/>
          <w:b/>
          <w:bCs/>
          <w:sz w:val="22"/>
          <w:szCs w:val="22"/>
          <w:lang w:val="es-CR" w:eastAsia="es-CR"/>
        </w:rPr>
      </w:pPr>
      <w:r w:rsidRPr="00F4049D">
        <w:rPr>
          <w:rFonts w:cs="Arial"/>
          <w:b/>
          <w:bCs/>
          <w:sz w:val="22"/>
          <w:szCs w:val="22"/>
          <w:lang w:val="es-CR" w:eastAsia="es-CR"/>
        </w:rPr>
        <w:t xml:space="preserve">TRIMESTRALMENTE: </w:t>
      </w:r>
    </w:p>
    <w:p w14:paraId="7E6FE4BC" w14:textId="77777777" w:rsidR="00F4049D" w:rsidRPr="00F4049D" w:rsidRDefault="00F4049D" w:rsidP="00F16230">
      <w:pPr>
        <w:shd w:val="clear" w:color="auto" w:fill="FFFFFF"/>
        <w:ind w:right="465"/>
        <w:jc w:val="both"/>
        <w:rPr>
          <w:rFonts w:cs="Arial"/>
          <w:b/>
          <w:bCs/>
          <w:sz w:val="22"/>
          <w:szCs w:val="22"/>
          <w:lang w:val="es-CR" w:eastAsia="es-CR"/>
        </w:rPr>
      </w:pPr>
    </w:p>
    <w:p w14:paraId="25A70CDD" w14:textId="77777777" w:rsidR="00F4049D" w:rsidRPr="00F4049D" w:rsidRDefault="00F4049D" w:rsidP="00D23E79">
      <w:pPr>
        <w:numPr>
          <w:ilvl w:val="0"/>
          <w:numId w:val="17"/>
        </w:numPr>
        <w:shd w:val="clear" w:color="auto" w:fill="FFFFFF"/>
        <w:ind w:left="567" w:right="465" w:hanging="425"/>
        <w:contextualSpacing/>
        <w:jc w:val="both"/>
        <w:rPr>
          <w:rFonts w:cs="Arial"/>
          <w:bCs/>
          <w:sz w:val="22"/>
          <w:szCs w:val="22"/>
          <w:lang w:val="es-CR" w:eastAsia="es-CR"/>
        </w:rPr>
      </w:pPr>
      <w:r w:rsidRPr="00F4049D">
        <w:rPr>
          <w:rFonts w:cs="Arial"/>
          <w:bCs/>
          <w:sz w:val="22"/>
          <w:szCs w:val="22"/>
          <w:lang w:val="es-CR" w:eastAsia="es-CR"/>
        </w:rPr>
        <w:lastRenderedPageBreak/>
        <w:t xml:space="preserve">Informe de ejecución presupuestaria: cuadros 2, 3 y 4 del informe trimestral del Sistema de Información y Evaluación de los Programas Sociales de la </w:t>
      </w:r>
      <w:r w:rsidRPr="00F4049D">
        <w:rPr>
          <w:rFonts w:cs="Arial"/>
          <w:b/>
          <w:bCs/>
          <w:sz w:val="22"/>
          <w:szCs w:val="22"/>
          <w:lang w:val="es-CR" w:eastAsia="es-CR"/>
        </w:rPr>
        <w:t xml:space="preserve">DESAF </w:t>
      </w:r>
      <w:r w:rsidRPr="00F4049D">
        <w:rPr>
          <w:rFonts w:cs="Arial"/>
          <w:bCs/>
          <w:sz w:val="22"/>
          <w:szCs w:val="22"/>
          <w:lang w:val="es-CR" w:eastAsia="es-CR"/>
        </w:rPr>
        <w:t>Informe de ejecución programática, en el cual se incorpore el avance en el cumplimiento de las metas, cuadro 1 del informe trimestral del citado Sistema.</w:t>
      </w:r>
    </w:p>
    <w:p w14:paraId="248A0716" w14:textId="77777777" w:rsidR="00F4049D" w:rsidRPr="00F4049D" w:rsidRDefault="00F4049D" w:rsidP="00D23E79">
      <w:pPr>
        <w:numPr>
          <w:ilvl w:val="0"/>
          <w:numId w:val="17"/>
        </w:numPr>
        <w:shd w:val="clear" w:color="auto" w:fill="FFFFFF"/>
        <w:ind w:left="567" w:right="465" w:hanging="425"/>
        <w:contextualSpacing/>
        <w:jc w:val="both"/>
        <w:rPr>
          <w:rFonts w:cs="Arial"/>
          <w:bCs/>
          <w:sz w:val="22"/>
          <w:szCs w:val="22"/>
          <w:lang w:val="es-CR" w:eastAsia="es-CR"/>
        </w:rPr>
      </w:pPr>
      <w:r w:rsidRPr="00F4049D">
        <w:rPr>
          <w:rFonts w:cs="Arial"/>
          <w:bCs/>
          <w:sz w:val="22"/>
          <w:szCs w:val="22"/>
          <w:lang w:val="es-CR" w:eastAsia="es-CR"/>
        </w:rPr>
        <w:t xml:space="preserve">Listado de beneficiarios, conforme al documento que para tales efectos remitió la </w:t>
      </w:r>
      <w:r w:rsidRPr="00F4049D">
        <w:rPr>
          <w:rFonts w:cs="Arial"/>
          <w:b/>
          <w:bCs/>
          <w:sz w:val="22"/>
          <w:szCs w:val="22"/>
          <w:lang w:val="es-CR" w:eastAsia="es-CR"/>
        </w:rPr>
        <w:t>DESAF.</w:t>
      </w:r>
      <w:r w:rsidRPr="00F4049D">
        <w:rPr>
          <w:rFonts w:cs="Arial"/>
          <w:bCs/>
          <w:sz w:val="22"/>
          <w:szCs w:val="22"/>
          <w:lang w:val="es-CR" w:eastAsia="es-CR"/>
        </w:rPr>
        <w:t xml:space="preserve"> </w:t>
      </w:r>
    </w:p>
    <w:p w14:paraId="5E3E8B11" w14:textId="77777777" w:rsidR="00F4049D" w:rsidRPr="00F4049D" w:rsidRDefault="00F4049D" w:rsidP="00F16230">
      <w:pPr>
        <w:shd w:val="clear" w:color="auto" w:fill="FFFFFF"/>
        <w:ind w:right="465"/>
        <w:contextualSpacing/>
        <w:jc w:val="both"/>
        <w:rPr>
          <w:rFonts w:cs="Arial"/>
          <w:bCs/>
          <w:sz w:val="22"/>
          <w:szCs w:val="22"/>
          <w:lang w:val="es-CR" w:eastAsia="es-CR"/>
        </w:rPr>
      </w:pPr>
    </w:p>
    <w:p w14:paraId="2069EE3C" w14:textId="77777777" w:rsidR="00F4049D" w:rsidRPr="00F4049D" w:rsidRDefault="00F4049D" w:rsidP="00F16230">
      <w:pPr>
        <w:shd w:val="clear" w:color="auto" w:fill="FFFFFF"/>
        <w:ind w:right="465"/>
        <w:jc w:val="both"/>
        <w:rPr>
          <w:rFonts w:cs="Arial"/>
          <w:b/>
          <w:bCs/>
          <w:sz w:val="22"/>
          <w:szCs w:val="22"/>
          <w:lang w:val="es-CR" w:eastAsia="es-CR"/>
        </w:rPr>
      </w:pPr>
      <w:r w:rsidRPr="00F4049D">
        <w:rPr>
          <w:rFonts w:cs="Arial"/>
          <w:b/>
          <w:bCs/>
          <w:sz w:val="22"/>
          <w:szCs w:val="22"/>
          <w:lang w:val="es-CR" w:eastAsia="es-CR"/>
        </w:rPr>
        <w:t xml:space="preserve">ANUALMENTE: </w:t>
      </w:r>
    </w:p>
    <w:p w14:paraId="1AE52C38" w14:textId="77777777" w:rsidR="00F4049D" w:rsidRPr="00F4049D" w:rsidRDefault="00F4049D" w:rsidP="00F16230">
      <w:pPr>
        <w:shd w:val="clear" w:color="auto" w:fill="FFFFFF"/>
        <w:ind w:right="465"/>
        <w:jc w:val="both"/>
        <w:rPr>
          <w:rFonts w:cs="Arial"/>
          <w:b/>
          <w:bCs/>
          <w:sz w:val="22"/>
          <w:szCs w:val="22"/>
          <w:lang w:val="es-CR" w:eastAsia="es-CR"/>
        </w:rPr>
      </w:pPr>
    </w:p>
    <w:p w14:paraId="64DE3190" w14:textId="77777777" w:rsidR="00F4049D" w:rsidRPr="00F4049D" w:rsidRDefault="00F4049D" w:rsidP="00D23E79">
      <w:pPr>
        <w:numPr>
          <w:ilvl w:val="0"/>
          <w:numId w:val="18"/>
        </w:numPr>
        <w:shd w:val="clear" w:color="auto" w:fill="FFFFFF"/>
        <w:ind w:left="567" w:right="465" w:hanging="425"/>
        <w:jc w:val="both"/>
        <w:rPr>
          <w:rFonts w:cs="Arial"/>
          <w:bCs/>
          <w:sz w:val="22"/>
          <w:szCs w:val="22"/>
          <w:lang w:val="es-CR" w:eastAsia="es-CR"/>
        </w:rPr>
      </w:pPr>
      <w:r w:rsidRPr="00F4049D">
        <w:rPr>
          <w:rFonts w:cs="Arial"/>
          <w:bCs/>
          <w:sz w:val="22"/>
          <w:szCs w:val="22"/>
          <w:lang w:val="es-CR" w:eastAsia="es-CR"/>
        </w:rPr>
        <w:t>Informe de Ejecución Programática y Liquidación Presupuestaria</w:t>
      </w:r>
    </w:p>
    <w:p w14:paraId="63B45D59" w14:textId="77777777" w:rsidR="00F4049D" w:rsidRPr="00F4049D" w:rsidRDefault="00F4049D" w:rsidP="00D23E79">
      <w:pPr>
        <w:numPr>
          <w:ilvl w:val="0"/>
          <w:numId w:val="18"/>
        </w:numPr>
        <w:shd w:val="clear" w:color="auto" w:fill="FFFFFF"/>
        <w:ind w:left="567" w:right="465" w:hanging="425"/>
        <w:jc w:val="both"/>
        <w:rPr>
          <w:rFonts w:cs="Arial"/>
          <w:bCs/>
          <w:sz w:val="22"/>
          <w:szCs w:val="22"/>
          <w:lang w:val="es-CR" w:eastAsia="es-CR"/>
        </w:rPr>
      </w:pPr>
      <w:r w:rsidRPr="00F4049D">
        <w:rPr>
          <w:rFonts w:cs="Arial"/>
          <w:bCs/>
          <w:sz w:val="22"/>
          <w:szCs w:val="22"/>
          <w:lang w:val="es-CR" w:eastAsia="es-CR"/>
        </w:rPr>
        <w:t xml:space="preserve">Listado de beneficiarios, conforme al documento que para tales efectos remitió la </w:t>
      </w:r>
      <w:r w:rsidRPr="00F4049D">
        <w:rPr>
          <w:rFonts w:cs="Arial"/>
          <w:b/>
          <w:bCs/>
          <w:sz w:val="22"/>
          <w:szCs w:val="22"/>
          <w:lang w:val="es-CR" w:eastAsia="es-CR"/>
        </w:rPr>
        <w:t>DESAF.</w:t>
      </w:r>
      <w:r w:rsidRPr="00F4049D">
        <w:rPr>
          <w:rFonts w:cs="Arial"/>
          <w:bCs/>
          <w:sz w:val="22"/>
          <w:szCs w:val="22"/>
          <w:lang w:val="es-CR" w:eastAsia="es-CR"/>
        </w:rPr>
        <w:t xml:space="preserve">   </w:t>
      </w:r>
    </w:p>
    <w:p w14:paraId="2E49F8A3" w14:textId="77777777" w:rsidR="00F4049D" w:rsidRPr="00F4049D" w:rsidRDefault="00F4049D" w:rsidP="00D23E79">
      <w:pPr>
        <w:numPr>
          <w:ilvl w:val="0"/>
          <w:numId w:val="18"/>
        </w:numPr>
        <w:shd w:val="clear" w:color="auto" w:fill="FFFFFF"/>
        <w:ind w:left="567" w:right="465" w:hanging="425"/>
        <w:jc w:val="both"/>
        <w:rPr>
          <w:rFonts w:cs="Arial"/>
          <w:bCs/>
          <w:sz w:val="22"/>
          <w:szCs w:val="22"/>
          <w:lang w:val="es-CR" w:eastAsia="es-CR"/>
        </w:rPr>
      </w:pPr>
      <w:r w:rsidRPr="00F4049D">
        <w:rPr>
          <w:rFonts w:cs="Arial"/>
          <w:bCs/>
          <w:sz w:val="22"/>
          <w:szCs w:val="22"/>
          <w:lang w:val="es-CR" w:eastAsia="es-CR"/>
        </w:rPr>
        <w:t xml:space="preserve">Informe anual de ingresos y gastos, cuya fuente de financiamiento es </w:t>
      </w:r>
      <w:r w:rsidRPr="00F4049D">
        <w:rPr>
          <w:rFonts w:cs="Arial"/>
          <w:b/>
          <w:bCs/>
          <w:sz w:val="22"/>
          <w:szCs w:val="22"/>
          <w:lang w:val="es-CR" w:eastAsia="es-CR"/>
        </w:rPr>
        <w:t>FODESAF</w:t>
      </w:r>
      <w:r w:rsidRPr="00F4049D">
        <w:rPr>
          <w:rFonts w:cs="Arial"/>
          <w:bCs/>
          <w:sz w:val="22"/>
          <w:szCs w:val="22"/>
          <w:lang w:val="es-CR" w:eastAsia="es-CR"/>
        </w:rPr>
        <w:t xml:space="preserve"> y otras fuentes de financiamiento.</w:t>
      </w:r>
    </w:p>
    <w:p w14:paraId="78E59512" w14:textId="77777777" w:rsidR="00F4049D" w:rsidRPr="00F4049D" w:rsidRDefault="00F4049D" w:rsidP="00D23E79">
      <w:pPr>
        <w:numPr>
          <w:ilvl w:val="0"/>
          <w:numId w:val="18"/>
        </w:numPr>
        <w:ind w:left="567" w:hanging="425"/>
        <w:jc w:val="both"/>
        <w:rPr>
          <w:rFonts w:cs="Arial"/>
          <w:bCs/>
          <w:sz w:val="22"/>
          <w:szCs w:val="22"/>
          <w:lang w:val="es-CR" w:eastAsia="es-CR"/>
        </w:rPr>
      </w:pPr>
      <w:r w:rsidRPr="00F4049D">
        <w:rPr>
          <w:rFonts w:cs="Arial"/>
          <w:sz w:val="22"/>
          <w:szCs w:val="22"/>
          <w:lang w:val="es-CR" w:eastAsia="es-CR"/>
        </w:rPr>
        <w:t>Informe cantonal anual de beneficiarios atendidos y su gasto por cantón</w:t>
      </w:r>
      <w:r w:rsidRPr="00F4049D">
        <w:rPr>
          <w:rFonts w:cs="Arial"/>
          <w:bCs/>
          <w:sz w:val="22"/>
          <w:szCs w:val="22"/>
          <w:lang w:val="es-CR" w:eastAsia="es-CR"/>
        </w:rPr>
        <w:t>.</w:t>
      </w:r>
    </w:p>
    <w:p w14:paraId="5880C94E" w14:textId="77777777" w:rsidR="00F4049D" w:rsidRPr="00F4049D" w:rsidRDefault="00F4049D" w:rsidP="00D23E79">
      <w:pPr>
        <w:ind w:left="567" w:hanging="425"/>
        <w:jc w:val="both"/>
        <w:rPr>
          <w:rFonts w:cs="Arial"/>
          <w:bCs/>
          <w:sz w:val="22"/>
          <w:szCs w:val="22"/>
          <w:lang w:val="es-CR" w:eastAsia="es-CR"/>
        </w:rPr>
      </w:pPr>
      <w:r w:rsidRPr="00F4049D">
        <w:rPr>
          <w:rFonts w:cs="Arial"/>
          <w:bCs/>
          <w:sz w:val="22"/>
          <w:szCs w:val="22"/>
          <w:lang w:val="es-CR" w:eastAsia="es-CR"/>
        </w:rPr>
        <w:t xml:space="preserve">e) </w:t>
      </w:r>
      <w:r w:rsidRPr="00F4049D">
        <w:rPr>
          <w:rFonts w:cs="Arial"/>
          <w:bCs/>
          <w:sz w:val="22"/>
          <w:szCs w:val="22"/>
          <w:lang w:val="es-CR" w:eastAsia="es-CR"/>
        </w:rPr>
        <w:tab/>
        <w:t xml:space="preserve">Dato global de sexo y discapacidad de los beneficiarios atendidos. </w:t>
      </w:r>
    </w:p>
    <w:p w14:paraId="5FB7AAD2" w14:textId="77777777" w:rsidR="00F4049D" w:rsidRPr="00F4049D" w:rsidRDefault="00F4049D" w:rsidP="00071A45">
      <w:pPr>
        <w:ind w:left="709" w:hanging="425"/>
        <w:jc w:val="both"/>
        <w:rPr>
          <w:rFonts w:cs="Arial"/>
          <w:b/>
          <w:sz w:val="22"/>
          <w:szCs w:val="22"/>
          <w:lang w:val="es-CR"/>
        </w:rPr>
      </w:pPr>
    </w:p>
    <w:p w14:paraId="2421334D" w14:textId="77777777" w:rsidR="00F4049D" w:rsidRPr="00F4049D" w:rsidRDefault="00F4049D" w:rsidP="00F16230">
      <w:pPr>
        <w:jc w:val="both"/>
        <w:rPr>
          <w:rFonts w:cs="Arial"/>
          <w:sz w:val="22"/>
          <w:szCs w:val="22"/>
        </w:rPr>
      </w:pPr>
      <w:r w:rsidRPr="00F4049D">
        <w:rPr>
          <w:rFonts w:cs="Arial"/>
          <w:b/>
          <w:sz w:val="22"/>
          <w:szCs w:val="22"/>
          <w:lang w:val="es-CR"/>
        </w:rPr>
        <w:t xml:space="preserve">CLÁUSULA DÉCIMO SEGUNDA - DE LOS REGISTROS FINANCIEROS: </w:t>
      </w:r>
      <w:r w:rsidRPr="00F4049D">
        <w:rPr>
          <w:rFonts w:cs="Arial"/>
          <w:sz w:val="22"/>
          <w:szCs w:val="22"/>
        </w:rPr>
        <w:t xml:space="preserve">El </w:t>
      </w:r>
      <w:r w:rsidRPr="00F4049D">
        <w:rPr>
          <w:rFonts w:cs="Arial"/>
          <w:b/>
          <w:bCs/>
          <w:sz w:val="22"/>
          <w:szCs w:val="22"/>
        </w:rPr>
        <w:t xml:space="preserve">BANHVI </w:t>
      </w:r>
      <w:r w:rsidRPr="00F4049D">
        <w:rPr>
          <w:rFonts w:cs="Arial"/>
          <w:sz w:val="22"/>
          <w:szCs w:val="22"/>
        </w:rPr>
        <w:t xml:space="preserve">deberá contar con cuentas bancarias exclusivas para la administración de los recursos del </w:t>
      </w:r>
      <w:r w:rsidRPr="00F4049D">
        <w:rPr>
          <w:rFonts w:cs="Arial"/>
          <w:b/>
          <w:bCs/>
          <w:sz w:val="22"/>
          <w:szCs w:val="22"/>
        </w:rPr>
        <w:t>FOSUVI</w:t>
      </w:r>
      <w:r w:rsidRPr="00F4049D">
        <w:rPr>
          <w:rFonts w:cs="Arial"/>
          <w:sz w:val="22"/>
          <w:szCs w:val="22"/>
        </w:rPr>
        <w:t>, así como de los registros presupuestarios contables y de ejecución separados de sus propios sistemas, en estricto apego a lo establecido por la Normativa del Consejo Nacional de Supervisión del Sistema Financiero (</w:t>
      </w:r>
      <w:r w:rsidRPr="00F4049D">
        <w:rPr>
          <w:rFonts w:cs="Arial"/>
          <w:b/>
          <w:bCs/>
          <w:sz w:val="22"/>
          <w:szCs w:val="22"/>
        </w:rPr>
        <w:t>CONASSIF</w:t>
      </w:r>
      <w:r w:rsidRPr="00F4049D">
        <w:rPr>
          <w:rFonts w:cs="Arial"/>
          <w:sz w:val="22"/>
          <w:szCs w:val="22"/>
        </w:rPr>
        <w:t xml:space="preserve">) y la </w:t>
      </w:r>
      <w:r w:rsidRPr="00F4049D">
        <w:rPr>
          <w:rFonts w:cs="Arial"/>
          <w:b/>
          <w:bCs/>
          <w:sz w:val="22"/>
          <w:szCs w:val="22"/>
        </w:rPr>
        <w:t>Superintendencia General de Entidades Financieras</w:t>
      </w:r>
      <w:r w:rsidRPr="00F4049D">
        <w:rPr>
          <w:rFonts w:cs="Arial"/>
          <w:sz w:val="22"/>
          <w:szCs w:val="22"/>
        </w:rPr>
        <w:t xml:space="preserve"> (</w:t>
      </w:r>
      <w:r w:rsidRPr="00F4049D">
        <w:rPr>
          <w:rFonts w:cs="Arial"/>
          <w:b/>
          <w:bCs/>
          <w:sz w:val="22"/>
          <w:szCs w:val="22"/>
        </w:rPr>
        <w:t>SUGEF</w:t>
      </w:r>
      <w:r w:rsidRPr="00F4049D">
        <w:rPr>
          <w:rFonts w:cs="Arial"/>
          <w:sz w:val="22"/>
          <w:szCs w:val="22"/>
        </w:rPr>
        <w:t xml:space="preserve">) en materia contable y la </w:t>
      </w:r>
      <w:r w:rsidRPr="00F4049D">
        <w:rPr>
          <w:rFonts w:cs="Arial"/>
          <w:b/>
          <w:bCs/>
          <w:sz w:val="22"/>
          <w:szCs w:val="22"/>
        </w:rPr>
        <w:t>Contraloría General de la República</w:t>
      </w:r>
      <w:r w:rsidRPr="00F4049D">
        <w:rPr>
          <w:rFonts w:cs="Arial"/>
          <w:sz w:val="22"/>
          <w:szCs w:val="22"/>
        </w:rPr>
        <w:t xml:space="preserve"> en materia presupuestaria.</w:t>
      </w:r>
    </w:p>
    <w:p w14:paraId="28B9D1DD" w14:textId="77777777" w:rsidR="00F4049D" w:rsidRPr="00F4049D" w:rsidRDefault="00F4049D" w:rsidP="00F16230">
      <w:pPr>
        <w:jc w:val="both"/>
        <w:rPr>
          <w:rFonts w:cs="Arial"/>
          <w:b/>
          <w:sz w:val="22"/>
          <w:szCs w:val="22"/>
        </w:rPr>
      </w:pPr>
    </w:p>
    <w:p w14:paraId="61C1BC98" w14:textId="77777777" w:rsidR="00F4049D" w:rsidRPr="00F4049D" w:rsidRDefault="00F4049D" w:rsidP="00F16230">
      <w:pPr>
        <w:jc w:val="both"/>
        <w:rPr>
          <w:rFonts w:cs="Arial"/>
          <w:sz w:val="22"/>
          <w:szCs w:val="22"/>
        </w:rPr>
      </w:pPr>
      <w:bookmarkStart w:id="0" w:name="_Hlk42590241"/>
      <w:r w:rsidRPr="00F4049D">
        <w:rPr>
          <w:rFonts w:cs="Arial"/>
          <w:b/>
          <w:sz w:val="22"/>
          <w:szCs w:val="22"/>
        </w:rPr>
        <w:t xml:space="preserve">CLÁUSULA DÉCIMO TERCERA - </w:t>
      </w:r>
      <w:r w:rsidRPr="00F4049D">
        <w:rPr>
          <w:rFonts w:cs="Arial"/>
          <w:b/>
          <w:bCs/>
          <w:sz w:val="22"/>
          <w:szCs w:val="22"/>
        </w:rPr>
        <w:t>DEL USO DE RECURSOS PARA GASTOS DE EJECUCIÓN DEL PROGRAMA:</w:t>
      </w:r>
      <w:r w:rsidRPr="00F4049D">
        <w:rPr>
          <w:rFonts w:cs="Arial"/>
          <w:sz w:val="22"/>
          <w:szCs w:val="22"/>
        </w:rPr>
        <w:t xml:space="preserve"> </w:t>
      </w:r>
      <w:r w:rsidRPr="00F4049D">
        <w:rPr>
          <w:rFonts w:cs="Arial"/>
          <w:sz w:val="22"/>
          <w:szCs w:val="22"/>
          <w:lang w:val="es-CR"/>
        </w:rPr>
        <w:t xml:space="preserve">El </w:t>
      </w:r>
      <w:r w:rsidRPr="00F4049D">
        <w:rPr>
          <w:rFonts w:cs="Arial"/>
          <w:b/>
          <w:sz w:val="22"/>
          <w:szCs w:val="22"/>
          <w:lang w:val="es-CR"/>
        </w:rPr>
        <w:t xml:space="preserve">BANHVI </w:t>
      </w:r>
      <w:r w:rsidRPr="00F4049D">
        <w:rPr>
          <w:rFonts w:cs="Arial"/>
          <w:sz w:val="22"/>
          <w:szCs w:val="22"/>
        </w:rPr>
        <w:t xml:space="preserve">se compromete a utilizar los recursos que reciba del </w:t>
      </w:r>
      <w:r w:rsidRPr="00F4049D">
        <w:rPr>
          <w:rFonts w:cs="Arial"/>
          <w:b/>
          <w:bCs/>
          <w:sz w:val="22"/>
          <w:szCs w:val="22"/>
        </w:rPr>
        <w:t>FODESAF</w:t>
      </w:r>
      <w:r w:rsidRPr="00F4049D">
        <w:rPr>
          <w:rFonts w:cs="Arial"/>
          <w:sz w:val="22"/>
          <w:szCs w:val="22"/>
        </w:rPr>
        <w:t xml:space="preserve"> únicamente en gastos propios de la ejecución del Fondo de Subsidios para la Vivienda, con la salvedad de los gastos administrativos expresamente autorizados en la Ley No. 7052 del Sistema Financiero Nacional para la Vivienda (artículo 49) y sus reformas y la Ley No. 5662 </w:t>
      </w:r>
      <w:r w:rsidRPr="00F4049D">
        <w:rPr>
          <w:rFonts w:cs="Arial"/>
          <w:sz w:val="22"/>
          <w:szCs w:val="22"/>
          <w:lang w:val="es-CR"/>
        </w:rPr>
        <w:t>de Desarrollo Social y Asignaciones Familiares (artículo 3, sub inciso i.) y sus reformas.</w:t>
      </w:r>
      <w:r w:rsidRPr="00F4049D">
        <w:rPr>
          <w:rFonts w:cs="Arial"/>
          <w:sz w:val="22"/>
          <w:szCs w:val="22"/>
        </w:rPr>
        <w:t xml:space="preserve"> </w:t>
      </w:r>
      <w:bookmarkEnd w:id="0"/>
    </w:p>
    <w:p w14:paraId="606CFE24" w14:textId="77777777" w:rsidR="00F4049D" w:rsidRPr="00F4049D" w:rsidRDefault="00F4049D" w:rsidP="00F16230">
      <w:pPr>
        <w:jc w:val="both"/>
        <w:rPr>
          <w:rFonts w:cs="Arial"/>
          <w:b/>
          <w:sz w:val="22"/>
          <w:szCs w:val="22"/>
          <w:lang w:val="es-CR"/>
        </w:rPr>
      </w:pPr>
    </w:p>
    <w:p w14:paraId="505E8CA2" w14:textId="77777777" w:rsidR="00F4049D" w:rsidRPr="00F4049D" w:rsidRDefault="00F4049D" w:rsidP="00F16230">
      <w:pPr>
        <w:jc w:val="both"/>
        <w:rPr>
          <w:rFonts w:cs="Arial"/>
          <w:b/>
          <w:sz w:val="22"/>
          <w:szCs w:val="22"/>
          <w:lang w:val="es-CR"/>
        </w:rPr>
      </w:pPr>
      <w:r w:rsidRPr="00F4049D">
        <w:rPr>
          <w:rFonts w:cs="Arial"/>
          <w:b/>
          <w:sz w:val="22"/>
          <w:szCs w:val="22"/>
          <w:lang w:val="es-CR"/>
        </w:rPr>
        <w:t xml:space="preserve">CLÁUSULA DÉCIMO CUARTA - DEL ACCESO DE LA INFORMACION: </w:t>
      </w:r>
      <w:r w:rsidRPr="00F4049D">
        <w:rPr>
          <w:rFonts w:cs="Arial"/>
          <w:sz w:val="22"/>
          <w:szCs w:val="22"/>
          <w:lang w:val="es-CR"/>
        </w:rPr>
        <w:t xml:space="preserve">El </w:t>
      </w:r>
      <w:r w:rsidRPr="00F4049D">
        <w:rPr>
          <w:rFonts w:cs="Arial"/>
          <w:b/>
          <w:sz w:val="22"/>
          <w:szCs w:val="22"/>
          <w:lang w:val="es-CR"/>
        </w:rPr>
        <w:t>BANHVI</w:t>
      </w:r>
      <w:r w:rsidRPr="00F4049D">
        <w:rPr>
          <w:rFonts w:cs="Arial"/>
          <w:sz w:val="22"/>
          <w:szCs w:val="22"/>
          <w:lang w:val="es-CR"/>
        </w:rPr>
        <w:t xml:space="preserve"> se compromete a brindar la información necesaria con fines de evaluación y control de los programas que son financiados con recursos del </w:t>
      </w:r>
      <w:r w:rsidRPr="00F4049D">
        <w:rPr>
          <w:rFonts w:cs="Arial"/>
          <w:b/>
          <w:sz w:val="22"/>
          <w:szCs w:val="22"/>
          <w:lang w:val="es-CR"/>
        </w:rPr>
        <w:t xml:space="preserve">FODESAF </w:t>
      </w:r>
      <w:r w:rsidRPr="00F4049D">
        <w:rPr>
          <w:rFonts w:cs="Arial"/>
          <w:bCs/>
          <w:sz w:val="22"/>
          <w:szCs w:val="22"/>
          <w:lang w:val="es-CR"/>
        </w:rPr>
        <w:t>para brindar a dicho órgano</w:t>
      </w:r>
      <w:r w:rsidRPr="00F4049D">
        <w:rPr>
          <w:rFonts w:cs="Arial"/>
          <w:b/>
          <w:sz w:val="22"/>
          <w:szCs w:val="22"/>
          <w:lang w:val="es-CR"/>
        </w:rPr>
        <w:t xml:space="preserve"> </w:t>
      </w:r>
      <w:r w:rsidRPr="00F4049D">
        <w:rPr>
          <w:rFonts w:cs="Arial"/>
          <w:sz w:val="22"/>
          <w:szCs w:val="22"/>
          <w:lang w:val="es-CR"/>
        </w:rPr>
        <w:t xml:space="preserve">las facilidades necesarias para que realice de la mejor forma posible sus funciones. </w:t>
      </w:r>
    </w:p>
    <w:p w14:paraId="56460FB9" w14:textId="77777777" w:rsidR="00F4049D" w:rsidRPr="00F4049D" w:rsidRDefault="00F4049D" w:rsidP="00F16230">
      <w:pPr>
        <w:jc w:val="both"/>
        <w:rPr>
          <w:rFonts w:cs="Arial"/>
          <w:sz w:val="22"/>
          <w:szCs w:val="22"/>
        </w:rPr>
      </w:pPr>
    </w:p>
    <w:p w14:paraId="58D6031F" w14:textId="500FBD62" w:rsidR="00F4049D" w:rsidRDefault="00F4049D" w:rsidP="00F16230">
      <w:pPr>
        <w:jc w:val="both"/>
        <w:rPr>
          <w:rFonts w:cs="Arial"/>
          <w:bCs/>
          <w:sz w:val="22"/>
          <w:szCs w:val="22"/>
          <w:lang w:val="es-CR"/>
        </w:rPr>
      </w:pPr>
      <w:r w:rsidRPr="00F4049D">
        <w:rPr>
          <w:rFonts w:cs="Arial"/>
          <w:bCs/>
          <w:sz w:val="22"/>
          <w:szCs w:val="22"/>
          <w:lang w:val="es-CR"/>
        </w:rPr>
        <w:t xml:space="preserve">Es entendido para ambas partes que, las entidades públicas deben facilitar la información necesaria a la </w:t>
      </w:r>
      <w:r w:rsidRPr="00F4049D">
        <w:rPr>
          <w:rFonts w:cs="Arial"/>
          <w:b/>
          <w:sz w:val="22"/>
          <w:szCs w:val="22"/>
          <w:lang w:val="es-CR"/>
        </w:rPr>
        <w:t>DESAF</w:t>
      </w:r>
      <w:r w:rsidRPr="00F4049D">
        <w:rPr>
          <w:rFonts w:cs="Arial"/>
          <w:bCs/>
          <w:sz w:val="22"/>
          <w:szCs w:val="22"/>
          <w:lang w:val="es-CR"/>
        </w:rPr>
        <w:t xml:space="preserve"> sobre su ejecución presupuestaria y el cumplimiento de metas de conformidad con el </w:t>
      </w:r>
      <w:r w:rsidRPr="00F4049D">
        <w:rPr>
          <w:rFonts w:cs="Arial"/>
          <w:b/>
          <w:sz w:val="22"/>
          <w:szCs w:val="22"/>
          <w:lang w:val="es-CR"/>
        </w:rPr>
        <w:t>PLAN NACIONAL DESARROLLO</w:t>
      </w:r>
      <w:r w:rsidRPr="00F4049D">
        <w:rPr>
          <w:rFonts w:cs="Arial"/>
          <w:bCs/>
          <w:sz w:val="22"/>
          <w:szCs w:val="22"/>
          <w:lang w:val="es-CR"/>
        </w:rPr>
        <w:t xml:space="preserve">, por lo que la </w:t>
      </w:r>
      <w:r w:rsidRPr="00F4049D">
        <w:rPr>
          <w:rFonts w:cs="Arial"/>
          <w:b/>
          <w:sz w:val="22"/>
          <w:szCs w:val="22"/>
          <w:lang w:val="es-CR"/>
        </w:rPr>
        <w:t>DESAF</w:t>
      </w:r>
      <w:r w:rsidRPr="00F4049D">
        <w:rPr>
          <w:rFonts w:cs="Arial"/>
          <w:bCs/>
          <w:sz w:val="22"/>
          <w:szCs w:val="22"/>
          <w:lang w:val="es-CR"/>
        </w:rPr>
        <w:t xml:space="preserve"> tiene la potestad de evaluar el </w:t>
      </w:r>
      <w:r w:rsidRPr="00F4049D">
        <w:rPr>
          <w:rFonts w:cs="Arial"/>
          <w:b/>
          <w:sz w:val="22"/>
          <w:szCs w:val="22"/>
          <w:lang w:val="es-CR"/>
        </w:rPr>
        <w:t>PROGRAMA</w:t>
      </w:r>
      <w:r w:rsidRPr="00F4049D">
        <w:rPr>
          <w:rFonts w:cs="Arial"/>
          <w:bCs/>
          <w:sz w:val="22"/>
          <w:szCs w:val="22"/>
          <w:lang w:val="es-CR"/>
        </w:rPr>
        <w:t xml:space="preserve"> en el marco del Plan Nacional de Desarrollo. Para ello, y con la finalidad de que la </w:t>
      </w:r>
      <w:r w:rsidRPr="00F4049D">
        <w:rPr>
          <w:rFonts w:cs="Arial"/>
          <w:b/>
          <w:sz w:val="22"/>
          <w:szCs w:val="22"/>
          <w:lang w:val="es-CR"/>
        </w:rPr>
        <w:t>DESAF</w:t>
      </w:r>
      <w:r w:rsidRPr="00F4049D">
        <w:rPr>
          <w:rFonts w:cs="Arial"/>
          <w:bCs/>
          <w:sz w:val="22"/>
          <w:szCs w:val="22"/>
          <w:lang w:val="es-CR"/>
        </w:rPr>
        <w:t xml:space="preserve"> pueda llevar cabo su labor, el </w:t>
      </w:r>
      <w:r w:rsidRPr="00F4049D">
        <w:rPr>
          <w:rFonts w:cs="Arial"/>
          <w:b/>
          <w:sz w:val="22"/>
          <w:szCs w:val="22"/>
          <w:lang w:val="es-CR"/>
        </w:rPr>
        <w:t>BANHVI</w:t>
      </w:r>
      <w:r w:rsidRPr="00F4049D">
        <w:rPr>
          <w:rFonts w:cs="Arial"/>
          <w:bCs/>
          <w:sz w:val="22"/>
          <w:szCs w:val="22"/>
          <w:lang w:val="es-CR"/>
        </w:rPr>
        <w:t xml:space="preserve"> tiene la obligación de dar información en la forma y términos que indica el artículo 18 de la ley 5662 </w:t>
      </w:r>
      <w:r w:rsidRPr="00F4049D">
        <w:rPr>
          <w:rFonts w:cs="Arial"/>
          <w:sz w:val="22"/>
          <w:szCs w:val="22"/>
          <w:lang w:val="es-CR"/>
        </w:rPr>
        <w:t>de Desarrollo Social y Asignaciones Familiares</w:t>
      </w:r>
      <w:r w:rsidRPr="00F4049D">
        <w:rPr>
          <w:rFonts w:cs="Arial"/>
          <w:bCs/>
          <w:sz w:val="22"/>
          <w:szCs w:val="22"/>
          <w:lang w:val="es-CR"/>
        </w:rPr>
        <w:t xml:space="preserve">. </w:t>
      </w:r>
    </w:p>
    <w:p w14:paraId="0E82EECC" w14:textId="77777777" w:rsidR="00071A45" w:rsidRDefault="00071A45" w:rsidP="00F16230">
      <w:pPr>
        <w:jc w:val="both"/>
        <w:rPr>
          <w:rFonts w:cs="Arial"/>
          <w:sz w:val="22"/>
          <w:szCs w:val="22"/>
        </w:rPr>
      </w:pPr>
    </w:p>
    <w:p w14:paraId="525881ED" w14:textId="7502FBCD" w:rsidR="00F4049D" w:rsidRPr="00F4049D" w:rsidRDefault="00F4049D" w:rsidP="00F16230">
      <w:pPr>
        <w:jc w:val="both"/>
        <w:rPr>
          <w:rFonts w:cs="Arial"/>
          <w:sz w:val="22"/>
          <w:szCs w:val="22"/>
        </w:rPr>
      </w:pPr>
      <w:r w:rsidRPr="00F4049D">
        <w:rPr>
          <w:rFonts w:cs="Arial"/>
          <w:sz w:val="22"/>
          <w:szCs w:val="22"/>
        </w:rPr>
        <w:t xml:space="preserve">En lo referente a las competencias para evaluar la gestión del </w:t>
      </w:r>
      <w:r w:rsidRPr="00F4049D">
        <w:rPr>
          <w:rFonts w:cs="Arial"/>
          <w:b/>
          <w:bCs/>
          <w:sz w:val="22"/>
          <w:szCs w:val="22"/>
        </w:rPr>
        <w:t>BANHVI</w:t>
      </w:r>
      <w:r w:rsidRPr="00F4049D">
        <w:rPr>
          <w:rFonts w:cs="Arial"/>
          <w:sz w:val="22"/>
          <w:szCs w:val="22"/>
        </w:rPr>
        <w:t xml:space="preserve">, es entendido para ambas partes que dicha labor es competencia de la </w:t>
      </w:r>
      <w:r w:rsidRPr="00F4049D">
        <w:rPr>
          <w:rFonts w:cs="Arial"/>
          <w:b/>
          <w:bCs/>
          <w:sz w:val="22"/>
          <w:szCs w:val="22"/>
        </w:rPr>
        <w:t>Superintendencia General de Entidades Financieras</w:t>
      </w:r>
      <w:r w:rsidRPr="00F4049D">
        <w:rPr>
          <w:rFonts w:cs="Arial"/>
          <w:sz w:val="22"/>
          <w:szCs w:val="22"/>
        </w:rPr>
        <w:t xml:space="preserve"> y a la misma </w:t>
      </w:r>
      <w:r w:rsidRPr="00F4049D">
        <w:rPr>
          <w:rFonts w:cs="Arial"/>
          <w:b/>
          <w:bCs/>
          <w:sz w:val="22"/>
          <w:szCs w:val="22"/>
        </w:rPr>
        <w:t>Contraloría General de la República (CGR)</w:t>
      </w:r>
      <w:r w:rsidRPr="00F4049D">
        <w:rPr>
          <w:rFonts w:cs="Arial"/>
          <w:sz w:val="22"/>
          <w:szCs w:val="22"/>
        </w:rPr>
        <w:t xml:space="preserve">, tal como lo establece el artículo 4 de la ley 7052 del Sistema Financiero Nacional para la Vivienda. </w:t>
      </w:r>
    </w:p>
    <w:p w14:paraId="287D431B" w14:textId="77777777" w:rsidR="00F4049D" w:rsidRPr="00F4049D" w:rsidRDefault="00F4049D" w:rsidP="00F16230">
      <w:pPr>
        <w:jc w:val="both"/>
        <w:rPr>
          <w:rFonts w:cs="Arial"/>
          <w:sz w:val="22"/>
          <w:szCs w:val="22"/>
        </w:rPr>
      </w:pPr>
    </w:p>
    <w:p w14:paraId="68842CC3" w14:textId="77777777" w:rsidR="00F4049D" w:rsidRPr="00F4049D" w:rsidRDefault="00F4049D" w:rsidP="00F16230">
      <w:pPr>
        <w:jc w:val="both"/>
        <w:rPr>
          <w:rFonts w:cs="Arial"/>
          <w:sz w:val="22"/>
          <w:szCs w:val="22"/>
        </w:rPr>
      </w:pPr>
      <w:r w:rsidRPr="00F4049D">
        <w:rPr>
          <w:rFonts w:cs="Arial"/>
          <w:sz w:val="22"/>
          <w:szCs w:val="22"/>
        </w:rPr>
        <w:t xml:space="preserve">En el caso de las actividades de control, seguimiento y evaluación de la </w:t>
      </w:r>
      <w:r w:rsidRPr="00F4049D">
        <w:rPr>
          <w:rFonts w:cs="Arial"/>
          <w:b/>
          <w:bCs/>
          <w:sz w:val="22"/>
          <w:szCs w:val="22"/>
        </w:rPr>
        <w:t>DESAF</w:t>
      </w:r>
      <w:r w:rsidRPr="00F4049D">
        <w:rPr>
          <w:rFonts w:cs="Arial"/>
          <w:sz w:val="22"/>
          <w:szCs w:val="22"/>
        </w:rPr>
        <w:t xml:space="preserve">, es entendido que las mismas están estricta y exclusivamente relacionadas con lo referente a la transferencia de los recursos que se realizan del </w:t>
      </w:r>
      <w:r w:rsidRPr="00F4049D">
        <w:rPr>
          <w:rFonts w:cs="Arial"/>
          <w:b/>
          <w:bCs/>
          <w:sz w:val="22"/>
          <w:szCs w:val="22"/>
        </w:rPr>
        <w:t>FODESAF</w:t>
      </w:r>
      <w:r w:rsidRPr="00F4049D">
        <w:rPr>
          <w:rFonts w:cs="Arial"/>
          <w:sz w:val="22"/>
          <w:szCs w:val="22"/>
        </w:rPr>
        <w:t xml:space="preserve"> al </w:t>
      </w:r>
      <w:r w:rsidRPr="00F4049D">
        <w:rPr>
          <w:rFonts w:cs="Arial"/>
          <w:b/>
          <w:bCs/>
          <w:sz w:val="22"/>
          <w:szCs w:val="22"/>
        </w:rPr>
        <w:t>FOSUVI</w:t>
      </w:r>
      <w:r w:rsidRPr="00F4049D">
        <w:rPr>
          <w:rFonts w:cs="Arial"/>
          <w:sz w:val="22"/>
          <w:szCs w:val="22"/>
        </w:rPr>
        <w:t xml:space="preserve"> en los términos y condiciones que así establecen la Ley No. 7052 del Sistema Financiero Nacional para la Vivienda y sus reformas, en lo relativo a la información que establece el artículo 18 de la Ley No. 5662 </w:t>
      </w:r>
      <w:r w:rsidRPr="00F4049D">
        <w:rPr>
          <w:rFonts w:cs="Arial"/>
          <w:sz w:val="22"/>
          <w:szCs w:val="22"/>
          <w:lang w:val="es-CR"/>
        </w:rPr>
        <w:t xml:space="preserve">de Desarrollo Social y Asignaciones Familiares y sus reformas. </w:t>
      </w:r>
      <w:r w:rsidRPr="00F4049D">
        <w:rPr>
          <w:rFonts w:cs="Arial"/>
          <w:sz w:val="22"/>
          <w:szCs w:val="22"/>
        </w:rPr>
        <w:t xml:space="preserve">   </w:t>
      </w:r>
    </w:p>
    <w:p w14:paraId="31B61965" w14:textId="77777777" w:rsidR="00F4049D" w:rsidRPr="00F4049D" w:rsidRDefault="00F4049D" w:rsidP="00F16230">
      <w:pPr>
        <w:jc w:val="both"/>
        <w:rPr>
          <w:rFonts w:cs="Arial"/>
          <w:b/>
          <w:sz w:val="22"/>
          <w:szCs w:val="22"/>
          <w:lang w:val="es-CR"/>
        </w:rPr>
      </w:pPr>
    </w:p>
    <w:p w14:paraId="31F90864" w14:textId="77777777" w:rsidR="00F4049D" w:rsidRPr="00F4049D" w:rsidRDefault="00F4049D" w:rsidP="00F16230">
      <w:pPr>
        <w:jc w:val="both"/>
        <w:rPr>
          <w:rFonts w:cs="Arial"/>
          <w:vanish/>
          <w:sz w:val="22"/>
          <w:szCs w:val="22"/>
          <w:lang w:val="es-CR"/>
          <w:specVanish/>
        </w:rPr>
      </w:pPr>
      <w:r w:rsidRPr="00F4049D">
        <w:rPr>
          <w:rFonts w:cs="Arial"/>
          <w:b/>
          <w:sz w:val="22"/>
          <w:szCs w:val="22"/>
          <w:lang w:val="es-CR"/>
        </w:rPr>
        <w:t xml:space="preserve">CLÁUSULA </w:t>
      </w:r>
      <w:proofErr w:type="gramStart"/>
      <w:r w:rsidRPr="00F4049D">
        <w:rPr>
          <w:rFonts w:cs="Arial"/>
          <w:b/>
          <w:sz w:val="22"/>
          <w:szCs w:val="22"/>
          <w:lang w:val="es-CR"/>
        </w:rPr>
        <w:t>DÉCIMO QUINTA</w:t>
      </w:r>
      <w:proofErr w:type="gramEnd"/>
      <w:r w:rsidRPr="00F4049D">
        <w:rPr>
          <w:rFonts w:cs="Arial"/>
          <w:b/>
          <w:sz w:val="22"/>
          <w:szCs w:val="22"/>
          <w:lang w:val="es-CR"/>
        </w:rPr>
        <w:t xml:space="preserve"> - DE LOS PRESUPUESTOS Y SUS MODIFICACIONES: </w:t>
      </w:r>
      <w:r w:rsidRPr="00F4049D">
        <w:rPr>
          <w:rFonts w:cs="Arial"/>
          <w:sz w:val="22"/>
          <w:szCs w:val="22"/>
          <w:lang w:val="es-CR"/>
        </w:rPr>
        <w:t xml:space="preserve">El trámite de modificaciones internas o presupuestos que comprometan recursos </w:t>
      </w:r>
      <w:r w:rsidRPr="00F4049D">
        <w:rPr>
          <w:rFonts w:cs="Arial"/>
          <w:b/>
          <w:sz w:val="22"/>
          <w:szCs w:val="22"/>
          <w:lang w:val="es-CR"/>
        </w:rPr>
        <w:t xml:space="preserve">FODESAF, </w:t>
      </w:r>
      <w:r w:rsidRPr="00F4049D">
        <w:rPr>
          <w:rFonts w:cs="Arial"/>
          <w:bCs/>
          <w:sz w:val="22"/>
          <w:szCs w:val="22"/>
          <w:lang w:val="es-CR"/>
        </w:rPr>
        <w:t>los llevará</w:t>
      </w:r>
      <w:r w:rsidRPr="00F4049D">
        <w:rPr>
          <w:rFonts w:cs="Arial"/>
          <w:b/>
          <w:sz w:val="22"/>
          <w:szCs w:val="22"/>
          <w:lang w:val="es-CR"/>
        </w:rPr>
        <w:t xml:space="preserve"> </w:t>
      </w:r>
      <w:r w:rsidRPr="00F4049D">
        <w:rPr>
          <w:rFonts w:cs="Arial"/>
          <w:sz w:val="22"/>
          <w:szCs w:val="22"/>
          <w:lang w:val="es-CR"/>
        </w:rPr>
        <w:t>a</w:t>
      </w:r>
      <w:r w:rsidRPr="00F4049D">
        <w:rPr>
          <w:rFonts w:cs="Arial"/>
          <w:bCs/>
          <w:sz w:val="22"/>
          <w:szCs w:val="22"/>
          <w:lang w:val="es-CR"/>
        </w:rPr>
        <w:t xml:space="preserve"> cabo</w:t>
      </w:r>
      <w:r w:rsidRPr="00F4049D">
        <w:rPr>
          <w:rFonts w:cs="Arial"/>
          <w:sz w:val="22"/>
          <w:szCs w:val="22"/>
          <w:lang w:val="es-CR"/>
        </w:rPr>
        <w:t xml:space="preserve"> el </w:t>
      </w:r>
      <w:r w:rsidRPr="00F4049D">
        <w:rPr>
          <w:rFonts w:cs="Arial"/>
          <w:b/>
          <w:sz w:val="22"/>
          <w:szCs w:val="22"/>
          <w:lang w:val="es-CR"/>
        </w:rPr>
        <w:t xml:space="preserve">BANHVI </w:t>
      </w:r>
      <w:r w:rsidRPr="00F4049D">
        <w:rPr>
          <w:rFonts w:cs="Arial"/>
          <w:sz w:val="22"/>
          <w:szCs w:val="22"/>
          <w:lang w:val="es-CR"/>
        </w:rPr>
        <w:t>ajustándose a las disposiciones emitidas por la Contraloría General de la República</w:t>
      </w:r>
      <w:r w:rsidRPr="00F4049D">
        <w:rPr>
          <w:rFonts w:cs="Arial"/>
          <w:b/>
          <w:sz w:val="22"/>
          <w:szCs w:val="22"/>
          <w:lang w:val="es-CR"/>
        </w:rPr>
        <w:t>.</w:t>
      </w:r>
    </w:p>
    <w:p w14:paraId="39C3AFDB" w14:textId="77777777" w:rsidR="00F4049D" w:rsidRPr="00F4049D" w:rsidRDefault="00F4049D" w:rsidP="00F16230">
      <w:pPr>
        <w:jc w:val="both"/>
        <w:rPr>
          <w:rFonts w:cs="Arial"/>
          <w:b/>
          <w:sz w:val="22"/>
          <w:szCs w:val="22"/>
          <w:lang w:val="es-CR"/>
        </w:rPr>
      </w:pPr>
      <w:r w:rsidRPr="00F4049D">
        <w:rPr>
          <w:rFonts w:cs="Arial"/>
          <w:b/>
          <w:sz w:val="22"/>
          <w:szCs w:val="22"/>
          <w:lang w:val="es-CR"/>
        </w:rPr>
        <w:t xml:space="preserve"> </w:t>
      </w:r>
    </w:p>
    <w:p w14:paraId="233E41FF" w14:textId="77777777" w:rsidR="00F4049D" w:rsidRPr="00F4049D" w:rsidRDefault="00F4049D" w:rsidP="00F16230">
      <w:pPr>
        <w:jc w:val="both"/>
        <w:rPr>
          <w:rFonts w:cs="Arial"/>
          <w:b/>
          <w:sz w:val="22"/>
          <w:szCs w:val="22"/>
          <w:lang w:val="es-CR"/>
        </w:rPr>
      </w:pPr>
    </w:p>
    <w:p w14:paraId="26769A85" w14:textId="69390CA0" w:rsidR="00F4049D" w:rsidRDefault="00F4049D" w:rsidP="00F16230">
      <w:pPr>
        <w:jc w:val="both"/>
        <w:rPr>
          <w:rFonts w:cs="Arial"/>
          <w:sz w:val="22"/>
          <w:szCs w:val="22"/>
          <w:lang w:val="es-CR"/>
        </w:rPr>
      </w:pPr>
      <w:r w:rsidRPr="00F4049D">
        <w:rPr>
          <w:rFonts w:cs="Arial"/>
          <w:b/>
          <w:sz w:val="22"/>
          <w:szCs w:val="22"/>
          <w:lang w:val="es-CR"/>
        </w:rPr>
        <w:t xml:space="preserve">CLÁUSULA </w:t>
      </w:r>
      <w:proofErr w:type="gramStart"/>
      <w:r w:rsidRPr="00F4049D">
        <w:rPr>
          <w:rFonts w:cs="Arial"/>
          <w:b/>
          <w:sz w:val="22"/>
          <w:szCs w:val="22"/>
          <w:lang w:val="es-CR"/>
        </w:rPr>
        <w:t>DÉCIMO SEXTA</w:t>
      </w:r>
      <w:proofErr w:type="gramEnd"/>
      <w:r w:rsidRPr="00F4049D">
        <w:rPr>
          <w:rFonts w:cs="Arial"/>
          <w:b/>
          <w:sz w:val="22"/>
          <w:szCs w:val="22"/>
          <w:lang w:val="es-CR"/>
        </w:rPr>
        <w:t xml:space="preserve"> - DE LAS MODIFICACIONES AL CONVENIO:</w:t>
      </w:r>
      <w:r w:rsidRPr="00F4049D">
        <w:rPr>
          <w:rFonts w:cs="Arial"/>
          <w:sz w:val="22"/>
          <w:szCs w:val="22"/>
          <w:lang w:val="es-CR"/>
        </w:rPr>
        <w:t xml:space="preserve">  Para las modificaciones a los términos y condiciones estipulados en el presente convenio, no será necesario la firma de adendas, siempre y cuando estas modificaciones se vean reflejadas en el PAO, Fichas descriptivas o Cronogramas de Metas e Inversión, debidamente aprobados por el </w:t>
      </w:r>
      <w:r w:rsidRPr="00F4049D">
        <w:rPr>
          <w:rFonts w:cs="Arial"/>
          <w:b/>
          <w:bCs/>
          <w:sz w:val="22"/>
          <w:szCs w:val="22"/>
          <w:lang w:val="es-CR"/>
        </w:rPr>
        <w:t>BANHVI</w:t>
      </w:r>
      <w:r w:rsidRPr="00F4049D">
        <w:rPr>
          <w:rFonts w:cs="Arial"/>
          <w:sz w:val="22"/>
          <w:szCs w:val="22"/>
          <w:lang w:val="es-CR"/>
        </w:rPr>
        <w:t xml:space="preserve"> y presentadas a la </w:t>
      </w:r>
      <w:r w:rsidRPr="00F4049D">
        <w:rPr>
          <w:rFonts w:cs="Arial"/>
          <w:b/>
          <w:bCs/>
          <w:sz w:val="22"/>
          <w:szCs w:val="22"/>
          <w:lang w:val="es-CR"/>
        </w:rPr>
        <w:t>DESAF</w:t>
      </w:r>
      <w:r w:rsidRPr="00F4049D">
        <w:rPr>
          <w:rFonts w:cs="Arial"/>
          <w:sz w:val="22"/>
          <w:szCs w:val="22"/>
          <w:lang w:val="es-CR"/>
        </w:rPr>
        <w:t xml:space="preserve">. Este convenio podrá ser modificado total o parcialmente, en forma bilateral, atendiendo razones de interés público, conveniencia, necesidad y urgencia.  </w:t>
      </w:r>
    </w:p>
    <w:p w14:paraId="4CA63D9A" w14:textId="209610DE" w:rsidR="00D23E79" w:rsidRDefault="00D23E79" w:rsidP="00F16230">
      <w:pPr>
        <w:jc w:val="both"/>
        <w:rPr>
          <w:rFonts w:cs="Arial"/>
          <w:sz w:val="22"/>
          <w:szCs w:val="22"/>
          <w:lang w:val="es-CR"/>
        </w:rPr>
      </w:pPr>
    </w:p>
    <w:p w14:paraId="3F28ABAF" w14:textId="4DE4868C" w:rsidR="00F4049D" w:rsidRPr="00F4049D" w:rsidRDefault="00F4049D" w:rsidP="00F16230">
      <w:pPr>
        <w:jc w:val="both"/>
        <w:rPr>
          <w:rFonts w:cs="Arial"/>
          <w:b/>
          <w:sz w:val="22"/>
          <w:szCs w:val="22"/>
          <w:lang w:val="es-CR"/>
        </w:rPr>
      </w:pPr>
      <w:r w:rsidRPr="00F4049D">
        <w:rPr>
          <w:rFonts w:cs="Arial"/>
          <w:b/>
          <w:sz w:val="22"/>
          <w:szCs w:val="22"/>
          <w:lang w:val="es-CR"/>
        </w:rPr>
        <w:t xml:space="preserve">CLÁUSULA DÉCIMO SETIMA - DE LOS DOCUMENTOS: </w:t>
      </w:r>
      <w:r w:rsidRPr="00F4049D">
        <w:rPr>
          <w:rFonts w:cs="Arial"/>
          <w:sz w:val="22"/>
          <w:szCs w:val="22"/>
          <w:lang w:val="es-CR"/>
        </w:rPr>
        <w:t>Formarán parte integral de este Convenio, e</w:t>
      </w:r>
      <w:r w:rsidRPr="00F4049D">
        <w:rPr>
          <w:rFonts w:cs="Arial"/>
          <w:sz w:val="22"/>
          <w:szCs w:val="22"/>
        </w:rPr>
        <w:t xml:space="preserve">l Plan Anual Operativo, el </w:t>
      </w:r>
      <w:r w:rsidRPr="00F4049D">
        <w:rPr>
          <w:rFonts w:cs="Arial"/>
          <w:sz w:val="22"/>
          <w:szCs w:val="22"/>
          <w:lang w:val="es-CR"/>
        </w:rPr>
        <w:t xml:space="preserve">Presupuesto Ordinario y los Extraordinarios, Modificaciones Presupuestarias y Programáticas, así como aquellos otros ajustes que acuerden ambas partes y que el </w:t>
      </w:r>
      <w:r w:rsidRPr="00F4049D">
        <w:rPr>
          <w:rFonts w:cs="Arial"/>
          <w:b/>
          <w:sz w:val="22"/>
          <w:szCs w:val="22"/>
          <w:lang w:val="es-CR"/>
        </w:rPr>
        <w:t xml:space="preserve">BANHVI </w:t>
      </w:r>
      <w:r w:rsidRPr="00F4049D">
        <w:rPr>
          <w:rFonts w:cs="Arial"/>
          <w:sz w:val="22"/>
          <w:szCs w:val="22"/>
          <w:lang w:val="es-CR"/>
        </w:rPr>
        <w:t xml:space="preserve">presente a la </w:t>
      </w:r>
      <w:r w:rsidRPr="00F4049D">
        <w:rPr>
          <w:rFonts w:cs="Arial"/>
          <w:b/>
          <w:sz w:val="22"/>
          <w:szCs w:val="22"/>
          <w:lang w:val="es-CR"/>
        </w:rPr>
        <w:t xml:space="preserve">DESAF </w:t>
      </w:r>
      <w:r w:rsidRPr="00F4049D">
        <w:rPr>
          <w:rFonts w:cs="Arial"/>
          <w:sz w:val="22"/>
          <w:szCs w:val="22"/>
          <w:lang w:val="es-CR"/>
        </w:rPr>
        <w:t>y a la Contraloría General de la República para la ejecución del Fondo de Subsidios para la Vivienda</w:t>
      </w:r>
      <w:r w:rsidRPr="00F4049D">
        <w:rPr>
          <w:rFonts w:cs="Arial"/>
          <w:b/>
          <w:sz w:val="22"/>
          <w:szCs w:val="22"/>
          <w:lang w:val="es-CR"/>
        </w:rPr>
        <w:t>.</w:t>
      </w:r>
    </w:p>
    <w:p w14:paraId="164F2D05" w14:textId="77777777" w:rsidR="00F4049D" w:rsidRPr="00F4049D" w:rsidRDefault="00F4049D" w:rsidP="00F16230">
      <w:pPr>
        <w:jc w:val="both"/>
        <w:rPr>
          <w:rFonts w:cs="Arial"/>
          <w:b/>
          <w:bCs/>
          <w:sz w:val="22"/>
          <w:szCs w:val="22"/>
        </w:rPr>
      </w:pPr>
    </w:p>
    <w:p w14:paraId="767EE77D" w14:textId="77777777" w:rsidR="00F4049D" w:rsidRPr="00F4049D" w:rsidRDefault="00F4049D" w:rsidP="00F16230">
      <w:pPr>
        <w:jc w:val="both"/>
        <w:rPr>
          <w:rFonts w:cs="Arial"/>
          <w:bCs/>
          <w:strike/>
          <w:sz w:val="22"/>
          <w:szCs w:val="22"/>
        </w:rPr>
      </w:pPr>
      <w:bookmarkStart w:id="1" w:name="_Hlk43894569"/>
      <w:r w:rsidRPr="00F4049D">
        <w:rPr>
          <w:rFonts w:cs="Arial"/>
          <w:b/>
          <w:bCs/>
          <w:sz w:val="22"/>
          <w:szCs w:val="22"/>
        </w:rPr>
        <w:t xml:space="preserve">CLÁUSULA DÉCIMO OCTAVA - DEL USO DE LOS RECURSOS:   </w:t>
      </w:r>
      <w:r w:rsidRPr="00F4049D">
        <w:rPr>
          <w:rFonts w:cs="Arial"/>
          <w:sz w:val="22"/>
          <w:szCs w:val="22"/>
          <w:lang w:val="es-CR"/>
        </w:rPr>
        <w:t xml:space="preserve">El </w:t>
      </w:r>
      <w:r w:rsidRPr="00F4049D">
        <w:rPr>
          <w:rFonts w:cs="Arial"/>
          <w:b/>
          <w:sz w:val="22"/>
          <w:szCs w:val="22"/>
          <w:lang w:val="es-CR"/>
        </w:rPr>
        <w:t>BANHVI</w:t>
      </w:r>
      <w:r w:rsidRPr="00F4049D">
        <w:rPr>
          <w:rFonts w:cs="Arial"/>
          <w:bCs/>
          <w:sz w:val="22"/>
          <w:szCs w:val="22"/>
        </w:rPr>
        <w:t xml:space="preserve"> debe utilizar el dinero transferido en estricto apego al objetivo general del </w:t>
      </w:r>
      <w:r w:rsidRPr="00F4049D">
        <w:rPr>
          <w:rFonts w:cs="Arial"/>
          <w:b/>
          <w:sz w:val="22"/>
          <w:szCs w:val="22"/>
        </w:rPr>
        <w:t>PROGRAMA</w:t>
      </w:r>
      <w:r w:rsidRPr="00F4049D">
        <w:rPr>
          <w:rFonts w:cs="Arial"/>
          <w:bCs/>
          <w:sz w:val="22"/>
          <w:szCs w:val="22"/>
        </w:rPr>
        <w:t xml:space="preserve"> del Fondo de Subsidios para la Vivienda.  En ninguna circunstancia el </w:t>
      </w:r>
      <w:r w:rsidRPr="00F4049D">
        <w:rPr>
          <w:rFonts w:cs="Arial"/>
          <w:b/>
          <w:sz w:val="22"/>
          <w:szCs w:val="22"/>
        </w:rPr>
        <w:t>BANHVI</w:t>
      </w:r>
      <w:r w:rsidRPr="00F4049D">
        <w:rPr>
          <w:rFonts w:cs="Arial"/>
          <w:bCs/>
          <w:sz w:val="22"/>
          <w:szCs w:val="22"/>
        </w:rPr>
        <w:t xml:space="preserve"> podrá variar el destino de los recursos del </w:t>
      </w:r>
      <w:r w:rsidRPr="00F4049D">
        <w:rPr>
          <w:rFonts w:cs="Arial"/>
          <w:b/>
          <w:sz w:val="22"/>
          <w:szCs w:val="22"/>
        </w:rPr>
        <w:t>FODESAF</w:t>
      </w:r>
      <w:r w:rsidRPr="00F4049D">
        <w:rPr>
          <w:rFonts w:cs="Arial"/>
          <w:bCs/>
          <w:sz w:val="22"/>
          <w:szCs w:val="22"/>
        </w:rPr>
        <w:t xml:space="preserve"> que ingresen al </w:t>
      </w:r>
      <w:r w:rsidRPr="00F4049D">
        <w:rPr>
          <w:rFonts w:cs="Arial"/>
          <w:b/>
          <w:sz w:val="22"/>
          <w:szCs w:val="22"/>
        </w:rPr>
        <w:t>FOSUVI</w:t>
      </w:r>
      <w:r w:rsidRPr="00F4049D">
        <w:rPr>
          <w:rFonts w:cs="Arial"/>
          <w:bCs/>
          <w:sz w:val="22"/>
          <w:szCs w:val="22"/>
        </w:rPr>
        <w:t xml:space="preserve">, cuyos objetivos están regulados en la Ley 7052 del Sistema Financiero Nacional para la Vivienda y sus reformas y a lo dispuesto en la Ley 5662, Ley de creación del </w:t>
      </w:r>
      <w:r w:rsidRPr="00F4049D">
        <w:rPr>
          <w:rFonts w:cs="Arial"/>
          <w:b/>
          <w:sz w:val="22"/>
          <w:szCs w:val="22"/>
        </w:rPr>
        <w:t>FODESAF</w:t>
      </w:r>
      <w:r w:rsidRPr="00F4049D">
        <w:rPr>
          <w:rFonts w:cs="Arial"/>
          <w:bCs/>
          <w:sz w:val="22"/>
          <w:szCs w:val="22"/>
        </w:rPr>
        <w:t xml:space="preserve"> y su reforma integral, en lo correspondiente. </w:t>
      </w:r>
    </w:p>
    <w:p w14:paraId="7D839BF8" w14:textId="77777777" w:rsidR="00F4049D" w:rsidRPr="00F4049D" w:rsidRDefault="00F4049D" w:rsidP="00F16230">
      <w:pPr>
        <w:jc w:val="both"/>
        <w:rPr>
          <w:rFonts w:cs="Arial"/>
          <w:bCs/>
          <w:sz w:val="22"/>
          <w:szCs w:val="22"/>
        </w:rPr>
      </w:pPr>
    </w:p>
    <w:p w14:paraId="3D037926" w14:textId="77777777" w:rsidR="00F4049D" w:rsidRPr="00F4049D" w:rsidRDefault="00F4049D" w:rsidP="00F16230">
      <w:pPr>
        <w:jc w:val="both"/>
        <w:rPr>
          <w:rFonts w:cs="Arial"/>
          <w:bCs/>
          <w:sz w:val="22"/>
          <w:szCs w:val="22"/>
        </w:rPr>
      </w:pPr>
      <w:r w:rsidRPr="00F4049D">
        <w:rPr>
          <w:rFonts w:cs="Arial"/>
          <w:bCs/>
          <w:sz w:val="22"/>
          <w:szCs w:val="22"/>
        </w:rPr>
        <w:t xml:space="preserve">En cuanto al uso correcto de los recursos, el </w:t>
      </w:r>
      <w:r w:rsidRPr="00F4049D">
        <w:rPr>
          <w:rFonts w:cs="Arial"/>
          <w:b/>
          <w:sz w:val="22"/>
          <w:szCs w:val="22"/>
        </w:rPr>
        <w:t>BANHVI</w:t>
      </w:r>
      <w:r w:rsidRPr="00F4049D">
        <w:rPr>
          <w:rFonts w:cs="Arial"/>
          <w:bCs/>
          <w:sz w:val="22"/>
          <w:szCs w:val="22"/>
        </w:rPr>
        <w:t xml:space="preserve"> estará sometido a la fiscalización de la Contraloría General de la República y de su Auditoría Interna.  </w:t>
      </w:r>
    </w:p>
    <w:p w14:paraId="494B6A9D" w14:textId="77777777" w:rsidR="00F4049D" w:rsidRPr="00F4049D" w:rsidRDefault="00F4049D" w:rsidP="00F16230">
      <w:pPr>
        <w:jc w:val="both"/>
        <w:rPr>
          <w:rFonts w:cs="Arial"/>
          <w:bCs/>
          <w:sz w:val="22"/>
          <w:szCs w:val="22"/>
        </w:rPr>
      </w:pPr>
    </w:p>
    <w:p w14:paraId="6D45F1A2" w14:textId="77777777" w:rsidR="00F4049D" w:rsidRPr="00F4049D" w:rsidRDefault="00F4049D" w:rsidP="00F16230">
      <w:pPr>
        <w:jc w:val="both"/>
        <w:rPr>
          <w:rFonts w:cs="Arial"/>
          <w:sz w:val="22"/>
          <w:szCs w:val="22"/>
        </w:rPr>
      </w:pPr>
      <w:r w:rsidRPr="00F4049D">
        <w:rPr>
          <w:rFonts w:cs="Arial"/>
          <w:sz w:val="22"/>
          <w:szCs w:val="22"/>
        </w:rPr>
        <w:t xml:space="preserve">Es entendido para el </w:t>
      </w:r>
      <w:r w:rsidRPr="00F4049D">
        <w:rPr>
          <w:rFonts w:cs="Arial"/>
          <w:b/>
          <w:bCs/>
          <w:sz w:val="22"/>
          <w:szCs w:val="22"/>
        </w:rPr>
        <w:t>BANHVI</w:t>
      </w:r>
      <w:r w:rsidRPr="00F4049D">
        <w:rPr>
          <w:rFonts w:cs="Arial"/>
          <w:sz w:val="22"/>
          <w:szCs w:val="22"/>
        </w:rPr>
        <w:t xml:space="preserve"> que la no utilización de los recursos o el desvío ilegal de los mismos puede generar responsabilidad administrativa, civil o penal a sus funcionarios responsables.    </w:t>
      </w:r>
    </w:p>
    <w:p w14:paraId="2F53C392" w14:textId="77777777" w:rsidR="00F4049D" w:rsidRPr="00F4049D" w:rsidRDefault="00F4049D" w:rsidP="00F16230">
      <w:pPr>
        <w:jc w:val="both"/>
        <w:rPr>
          <w:rFonts w:cs="Arial"/>
          <w:sz w:val="22"/>
          <w:szCs w:val="22"/>
        </w:rPr>
      </w:pPr>
    </w:p>
    <w:p w14:paraId="3B828B49" w14:textId="4A145013" w:rsidR="00F4049D" w:rsidRPr="00F4049D" w:rsidRDefault="00F4049D" w:rsidP="00F16230">
      <w:pPr>
        <w:jc w:val="both"/>
        <w:rPr>
          <w:rFonts w:cs="Arial"/>
          <w:color w:val="000000"/>
          <w:sz w:val="22"/>
          <w:szCs w:val="22"/>
          <w:lang w:val="es-CR"/>
        </w:rPr>
      </w:pPr>
      <w:r w:rsidRPr="00F4049D">
        <w:rPr>
          <w:rFonts w:cs="Arial"/>
          <w:color w:val="000000"/>
          <w:sz w:val="22"/>
          <w:szCs w:val="22"/>
        </w:rPr>
        <w:t xml:space="preserve">En igual forma, el </w:t>
      </w:r>
      <w:r w:rsidRPr="00F4049D">
        <w:rPr>
          <w:rFonts w:cs="Arial"/>
          <w:b/>
          <w:bCs/>
          <w:color w:val="000000"/>
          <w:sz w:val="22"/>
          <w:szCs w:val="22"/>
        </w:rPr>
        <w:t>BANHVI</w:t>
      </w:r>
      <w:r w:rsidRPr="00F4049D">
        <w:rPr>
          <w:rFonts w:cs="Arial"/>
          <w:color w:val="000000"/>
          <w:sz w:val="22"/>
          <w:szCs w:val="22"/>
        </w:rPr>
        <w:t xml:space="preserve"> se compromete a informar,</w:t>
      </w:r>
      <w:r w:rsidR="00D23E79">
        <w:rPr>
          <w:rFonts w:cs="Arial"/>
          <w:color w:val="000000"/>
          <w:sz w:val="22"/>
          <w:szCs w:val="22"/>
        </w:rPr>
        <w:t xml:space="preserve"> </w:t>
      </w:r>
      <w:r w:rsidRPr="00F4049D">
        <w:rPr>
          <w:rFonts w:cs="Arial"/>
          <w:color w:val="000000"/>
          <w:sz w:val="22"/>
          <w:szCs w:val="22"/>
        </w:rPr>
        <w:t xml:space="preserve">a los beneficiarios o destinatarios finales de los subsidios del </w:t>
      </w:r>
      <w:r w:rsidRPr="00F4049D">
        <w:rPr>
          <w:rFonts w:cs="Arial"/>
          <w:b/>
          <w:bCs/>
          <w:color w:val="000000"/>
          <w:sz w:val="22"/>
          <w:szCs w:val="22"/>
        </w:rPr>
        <w:t>FOSUVI</w:t>
      </w:r>
      <w:r w:rsidRPr="00F4049D">
        <w:rPr>
          <w:rFonts w:cs="Arial"/>
          <w:color w:val="000000"/>
          <w:sz w:val="22"/>
          <w:szCs w:val="22"/>
        </w:rPr>
        <w:t xml:space="preserve">, y por los distintos medios que estime convenientes, que dichos fondos provienen del </w:t>
      </w:r>
      <w:r w:rsidRPr="00F4049D">
        <w:rPr>
          <w:rFonts w:cs="Arial"/>
          <w:b/>
          <w:bCs/>
          <w:color w:val="000000"/>
          <w:sz w:val="22"/>
          <w:szCs w:val="22"/>
        </w:rPr>
        <w:t>FODESAF</w:t>
      </w:r>
      <w:r w:rsidRPr="00F4049D">
        <w:rPr>
          <w:rFonts w:cs="Arial"/>
          <w:color w:val="000000"/>
          <w:sz w:val="22"/>
          <w:szCs w:val="22"/>
        </w:rPr>
        <w:t>, de conformidad con las dos leyes citadas en la presente cláusula.</w:t>
      </w:r>
      <w:bookmarkEnd w:id="1"/>
      <w:r w:rsidRPr="00F4049D">
        <w:rPr>
          <w:rFonts w:cs="Arial"/>
          <w:color w:val="000000"/>
          <w:sz w:val="22"/>
          <w:szCs w:val="22"/>
        </w:rPr>
        <w:t> </w:t>
      </w:r>
    </w:p>
    <w:p w14:paraId="1A2641CB" w14:textId="77777777" w:rsidR="00F4049D" w:rsidRPr="00F4049D" w:rsidRDefault="00F4049D" w:rsidP="00F16230">
      <w:pPr>
        <w:jc w:val="both"/>
        <w:rPr>
          <w:rFonts w:cs="Arial"/>
          <w:sz w:val="22"/>
          <w:szCs w:val="22"/>
        </w:rPr>
      </w:pPr>
    </w:p>
    <w:p w14:paraId="48B6CD28" w14:textId="77777777" w:rsidR="00F4049D" w:rsidRPr="00F4049D" w:rsidRDefault="00F4049D" w:rsidP="00F16230">
      <w:pPr>
        <w:jc w:val="both"/>
        <w:rPr>
          <w:rFonts w:cs="Arial"/>
          <w:sz w:val="22"/>
          <w:szCs w:val="22"/>
        </w:rPr>
      </w:pPr>
      <w:r w:rsidRPr="00F4049D">
        <w:rPr>
          <w:rFonts w:cs="Arial"/>
          <w:b/>
          <w:bCs/>
          <w:sz w:val="22"/>
          <w:szCs w:val="22"/>
        </w:rPr>
        <w:t xml:space="preserve">CLÁUSULA </w:t>
      </w:r>
      <w:bookmarkStart w:id="2" w:name="_Hlk43757292"/>
      <w:r w:rsidRPr="00F4049D">
        <w:rPr>
          <w:rFonts w:cs="Arial"/>
          <w:b/>
          <w:bCs/>
          <w:sz w:val="22"/>
          <w:szCs w:val="22"/>
        </w:rPr>
        <w:t xml:space="preserve">DÉCIMO </w:t>
      </w:r>
      <w:bookmarkEnd w:id="2"/>
      <w:r w:rsidRPr="00F4049D">
        <w:rPr>
          <w:rFonts w:cs="Arial"/>
          <w:b/>
          <w:bCs/>
          <w:sz w:val="22"/>
          <w:szCs w:val="22"/>
        </w:rPr>
        <w:t xml:space="preserve">NOVENA - </w:t>
      </w:r>
      <w:r w:rsidRPr="00F4049D">
        <w:rPr>
          <w:rFonts w:cs="Arial"/>
          <w:b/>
          <w:sz w:val="22"/>
          <w:szCs w:val="22"/>
          <w:lang w:val="es-CR"/>
        </w:rPr>
        <w:t xml:space="preserve">DE LA VIGENCIA: </w:t>
      </w:r>
      <w:r w:rsidRPr="00F4049D">
        <w:rPr>
          <w:rFonts w:cs="Arial"/>
          <w:sz w:val="22"/>
          <w:szCs w:val="22"/>
        </w:rPr>
        <w:t xml:space="preserve">Este Convenio es por un plazo de cuatro años, abarcando hasta el periodo presupuestario 2023. </w:t>
      </w:r>
    </w:p>
    <w:p w14:paraId="27E94B27" w14:textId="77777777" w:rsidR="00F4049D" w:rsidRPr="00F4049D" w:rsidRDefault="00F4049D" w:rsidP="00F16230">
      <w:pPr>
        <w:jc w:val="both"/>
        <w:rPr>
          <w:rFonts w:cs="Arial"/>
          <w:sz w:val="22"/>
          <w:szCs w:val="22"/>
        </w:rPr>
      </w:pPr>
    </w:p>
    <w:p w14:paraId="3BF4E5EB" w14:textId="77777777" w:rsidR="00F4049D" w:rsidRPr="00F4049D" w:rsidRDefault="00F4049D" w:rsidP="00F16230">
      <w:pPr>
        <w:jc w:val="both"/>
        <w:rPr>
          <w:rFonts w:cs="Arial"/>
          <w:b/>
          <w:bCs/>
          <w:sz w:val="22"/>
          <w:szCs w:val="22"/>
        </w:rPr>
      </w:pPr>
      <w:r w:rsidRPr="00F4049D">
        <w:rPr>
          <w:rFonts w:cs="Arial"/>
          <w:b/>
          <w:bCs/>
          <w:sz w:val="22"/>
          <w:szCs w:val="22"/>
        </w:rPr>
        <w:lastRenderedPageBreak/>
        <w:t xml:space="preserve">CLÁUSULA VIGÉSIMA - TRANSITORIOS: </w:t>
      </w:r>
      <w:r w:rsidRPr="00F4049D">
        <w:rPr>
          <w:rFonts w:cs="Arial"/>
          <w:sz w:val="22"/>
          <w:szCs w:val="22"/>
        </w:rPr>
        <w:t>Se establecen los siguientes transitorios al presente convenio:</w:t>
      </w:r>
    </w:p>
    <w:p w14:paraId="3D253E8A" w14:textId="77777777" w:rsidR="00F4049D" w:rsidRPr="00F4049D" w:rsidRDefault="00F4049D" w:rsidP="00F16230">
      <w:pPr>
        <w:jc w:val="both"/>
        <w:rPr>
          <w:rFonts w:cs="Arial"/>
          <w:b/>
          <w:bCs/>
          <w:i/>
          <w:iCs/>
          <w:sz w:val="22"/>
          <w:szCs w:val="22"/>
        </w:rPr>
      </w:pPr>
    </w:p>
    <w:p w14:paraId="32C722A2" w14:textId="77777777" w:rsidR="00F4049D" w:rsidRPr="00F4049D" w:rsidRDefault="00F4049D" w:rsidP="00F16230">
      <w:pPr>
        <w:jc w:val="both"/>
        <w:rPr>
          <w:rFonts w:cs="Arial"/>
          <w:b/>
          <w:bCs/>
          <w:i/>
          <w:iCs/>
          <w:sz w:val="22"/>
          <w:szCs w:val="22"/>
        </w:rPr>
      </w:pPr>
      <w:r w:rsidRPr="00F4049D">
        <w:rPr>
          <w:rFonts w:cs="Arial"/>
          <w:b/>
          <w:bCs/>
          <w:i/>
          <w:iCs/>
          <w:sz w:val="22"/>
          <w:szCs w:val="22"/>
        </w:rPr>
        <w:t xml:space="preserve">TRANSITORIO PRIMERO: Población Objetivo:   </w:t>
      </w:r>
    </w:p>
    <w:p w14:paraId="1C885CB9" w14:textId="77777777" w:rsidR="00F4049D" w:rsidRPr="00F4049D" w:rsidRDefault="00F4049D" w:rsidP="00F16230">
      <w:pPr>
        <w:jc w:val="both"/>
        <w:rPr>
          <w:rFonts w:cs="Arial"/>
          <w:i/>
          <w:iCs/>
          <w:sz w:val="22"/>
          <w:szCs w:val="22"/>
        </w:rPr>
      </w:pPr>
      <w:r w:rsidRPr="00F4049D">
        <w:rPr>
          <w:rFonts w:cs="Arial"/>
          <w:i/>
          <w:iCs/>
          <w:sz w:val="22"/>
          <w:szCs w:val="22"/>
        </w:rPr>
        <w:t xml:space="preserve">Es entendido para las partes que la población objetivo del Fondo de Subsidios para la Vivienda está claramente definida en lo establecido en la Ley 7052 del Sistema Financiero Nacional para la Vivienda y a lo que establece la Ley 5662 de Desarrollo Social y Asignaciones Familiares y sus reformas. No </w:t>
      </w:r>
      <w:proofErr w:type="gramStart"/>
      <w:r w:rsidRPr="00F4049D">
        <w:rPr>
          <w:rFonts w:cs="Arial"/>
          <w:i/>
          <w:iCs/>
          <w:sz w:val="22"/>
          <w:szCs w:val="22"/>
        </w:rPr>
        <w:t>obstante</w:t>
      </w:r>
      <w:proofErr w:type="gramEnd"/>
      <w:r w:rsidRPr="00F4049D">
        <w:rPr>
          <w:rFonts w:cs="Arial"/>
          <w:i/>
          <w:iCs/>
          <w:sz w:val="22"/>
          <w:szCs w:val="22"/>
        </w:rPr>
        <w:t xml:space="preserve"> lo anterior, las partes manifiestan que, con relación a este aspecto, es de su conocimiento que actualmente existe una consulta en trámite ante la Procuraduría General de la República. </w:t>
      </w:r>
    </w:p>
    <w:p w14:paraId="3659DDB4" w14:textId="77777777" w:rsidR="00F4049D" w:rsidRPr="00F4049D" w:rsidRDefault="00F4049D" w:rsidP="00F16230">
      <w:pPr>
        <w:jc w:val="both"/>
        <w:rPr>
          <w:rFonts w:cs="Arial"/>
          <w:b/>
          <w:bCs/>
          <w:i/>
          <w:iCs/>
          <w:sz w:val="22"/>
          <w:szCs w:val="22"/>
        </w:rPr>
      </w:pPr>
    </w:p>
    <w:p w14:paraId="309B1A95" w14:textId="0850CCDC" w:rsidR="00F4049D" w:rsidRDefault="00F4049D" w:rsidP="00F16230">
      <w:pPr>
        <w:jc w:val="both"/>
        <w:rPr>
          <w:rFonts w:cs="Arial"/>
          <w:bCs/>
          <w:i/>
          <w:iCs/>
          <w:sz w:val="22"/>
          <w:szCs w:val="22"/>
        </w:rPr>
      </w:pPr>
      <w:bookmarkStart w:id="3" w:name="_Hlk43376803"/>
      <w:r w:rsidRPr="00F4049D">
        <w:rPr>
          <w:rFonts w:cs="Arial"/>
          <w:b/>
          <w:i/>
          <w:iCs/>
          <w:sz w:val="22"/>
          <w:szCs w:val="22"/>
        </w:rPr>
        <w:t xml:space="preserve">TRANSITORIO SEGUNDO:  Implementación de Directriz Ejecutiva de identificación de la población objetivo:   </w:t>
      </w:r>
      <w:r w:rsidRPr="00F4049D">
        <w:rPr>
          <w:rFonts w:cs="Arial"/>
          <w:bCs/>
          <w:i/>
          <w:iCs/>
          <w:sz w:val="22"/>
          <w:szCs w:val="22"/>
        </w:rPr>
        <w:t xml:space="preserve">Para la identificación y selección de los potenciales beneficiarios del bono familiar de vivienda de los proyectos financiados con recursos del artículo 59 de la Ley del Sistema Financiero Nacional para la Vivienda, el BANHVI se compromete a implementar la directriz N° 54-MP-MIVAH, denominada “Definición de población prioritaria en proyectos de vivienda financiados al amparo del artículo 59 de la Ley del sistema financiero nacional para la vivienda”, por medio de una plataforma tecnológica que contiene los criterios de selección establecidos en dicha directriz. Posteriormente, y con base en un proceso gradual de implementación de la plataforma para la selección de la población objetivo, se estará desarrollando lo necesario para el caso de la selección de los beneficiarios de los programas conocidos de bono ordinario.  Para ello, El </w:t>
      </w:r>
      <w:r w:rsidRPr="00F4049D">
        <w:rPr>
          <w:rFonts w:cs="Arial"/>
          <w:b/>
          <w:i/>
          <w:iCs/>
          <w:sz w:val="22"/>
          <w:szCs w:val="22"/>
        </w:rPr>
        <w:t>BANHVI</w:t>
      </w:r>
      <w:r w:rsidRPr="00F4049D">
        <w:rPr>
          <w:rFonts w:cs="Arial"/>
          <w:bCs/>
          <w:i/>
          <w:iCs/>
          <w:sz w:val="22"/>
          <w:szCs w:val="22"/>
        </w:rPr>
        <w:t xml:space="preserve"> cuenta con un convenio firmado con el Sistema Nacional de Información y Registro Único de Beneficiarios del Estado, para el acceso e intercambio de información en el marco de la Ley 9137 de Creación del Sistema Nacional de Información y Registro Único de Beneficiarios del Estado. </w:t>
      </w:r>
    </w:p>
    <w:p w14:paraId="1ECFD33D" w14:textId="28350F46" w:rsidR="00D23E79" w:rsidRDefault="00D23E79" w:rsidP="00F16230">
      <w:pPr>
        <w:jc w:val="both"/>
        <w:rPr>
          <w:rFonts w:cs="Arial"/>
          <w:bCs/>
          <w:i/>
          <w:iCs/>
          <w:sz w:val="22"/>
          <w:szCs w:val="22"/>
        </w:rPr>
      </w:pPr>
    </w:p>
    <w:bookmarkEnd w:id="3"/>
    <w:p w14:paraId="525F95BF" w14:textId="49E9A69B" w:rsidR="00F4049D" w:rsidRPr="00F4049D" w:rsidRDefault="00F4049D" w:rsidP="00F16230">
      <w:pPr>
        <w:jc w:val="both"/>
        <w:rPr>
          <w:rFonts w:cs="Arial"/>
          <w:bCs/>
          <w:sz w:val="22"/>
          <w:szCs w:val="22"/>
        </w:rPr>
      </w:pPr>
      <w:r w:rsidRPr="00F4049D">
        <w:rPr>
          <w:rFonts w:cs="Arial"/>
          <w:bCs/>
          <w:sz w:val="22"/>
          <w:szCs w:val="22"/>
        </w:rPr>
        <w:t xml:space="preserve">El presente convenio, fue debidamente aprobado mediante acuerdo número uno de la Junta Directiva del BANHVI, en sesión ordinaria número cuarenta y ocho – dos mil veinte, realizada el veinticinco de junio del año dos mil veinte. </w:t>
      </w:r>
    </w:p>
    <w:p w14:paraId="3800ABAF" w14:textId="77777777" w:rsidR="00F4049D" w:rsidRPr="00F4049D" w:rsidRDefault="00F4049D" w:rsidP="00F16230">
      <w:pPr>
        <w:jc w:val="both"/>
        <w:rPr>
          <w:rFonts w:cs="Arial"/>
          <w:sz w:val="22"/>
          <w:szCs w:val="22"/>
          <w:lang w:val="es-ES_tradnl"/>
        </w:rPr>
      </w:pPr>
    </w:p>
    <w:p w14:paraId="0CC7369D" w14:textId="4E7C1323" w:rsidR="00F4049D" w:rsidRPr="00F4049D" w:rsidRDefault="00F4049D" w:rsidP="00F16230">
      <w:pPr>
        <w:jc w:val="both"/>
        <w:rPr>
          <w:rFonts w:cs="Arial"/>
          <w:sz w:val="22"/>
          <w:szCs w:val="22"/>
          <w:lang w:val="es-CR"/>
        </w:rPr>
      </w:pPr>
      <w:r w:rsidRPr="00F4049D">
        <w:rPr>
          <w:rFonts w:cs="Arial"/>
          <w:sz w:val="22"/>
          <w:szCs w:val="22"/>
          <w:lang w:val="es-CR"/>
        </w:rPr>
        <w:t xml:space="preserve">En fe de lo anterior firmamos en la ciudad de San José, el día veintiséis de junio del año dos mil veinte. </w:t>
      </w:r>
    </w:p>
    <w:p w14:paraId="08F7028C" w14:textId="4AAE21DA" w:rsidR="00F4049D" w:rsidRPr="00F4049D" w:rsidRDefault="00F4049D" w:rsidP="00F16230">
      <w:pPr>
        <w:jc w:val="both"/>
        <w:rPr>
          <w:rFonts w:cs="Arial"/>
          <w:sz w:val="22"/>
          <w:szCs w:val="22"/>
          <w:lang w:val="es-CR"/>
        </w:rPr>
      </w:pPr>
    </w:p>
    <w:p w14:paraId="7F361BF8" w14:textId="5F1C1700" w:rsidR="00F4049D" w:rsidRPr="00F4049D" w:rsidRDefault="00F4049D" w:rsidP="00F16230">
      <w:pPr>
        <w:jc w:val="both"/>
        <w:rPr>
          <w:rFonts w:cs="Arial"/>
          <w:sz w:val="22"/>
          <w:szCs w:val="22"/>
          <w:lang w:val="es-CR"/>
        </w:rPr>
      </w:pPr>
      <w:proofErr w:type="spellStart"/>
      <w:r w:rsidRPr="00F4049D">
        <w:rPr>
          <w:rFonts w:cs="Arial"/>
          <w:sz w:val="22"/>
          <w:szCs w:val="22"/>
        </w:rPr>
        <w:t>Geannina</w:t>
      </w:r>
      <w:proofErr w:type="spellEnd"/>
      <w:r w:rsidRPr="00F4049D">
        <w:rPr>
          <w:rFonts w:cs="Arial"/>
          <w:sz w:val="22"/>
          <w:szCs w:val="22"/>
        </w:rPr>
        <w:t xml:space="preserve"> </w:t>
      </w:r>
      <w:proofErr w:type="spellStart"/>
      <w:r w:rsidRPr="00F4049D">
        <w:rPr>
          <w:rFonts w:cs="Arial"/>
          <w:sz w:val="22"/>
          <w:szCs w:val="22"/>
        </w:rPr>
        <w:t>Dinarte</w:t>
      </w:r>
      <w:proofErr w:type="spellEnd"/>
      <w:r w:rsidRPr="00F4049D">
        <w:rPr>
          <w:rFonts w:cs="Arial"/>
          <w:sz w:val="22"/>
          <w:szCs w:val="22"/>
        </w:rPr>
        <w:t xml:space="preserve"> Romero / </w:t>
      </w:r>
      <w:r w:rsidRPr="00F4049D">
        <w:rPr>
          <w:rFonts w:cs="Arial"/>
          <w:sz w:val="22"/>
          <w:szCs w:val="22"/>
          <w:lang w:val="es-CR"/>
        </w:rPr>
        <w:t>Ministra de Trabajo y Seguridad Social</w:t>
      </w:r>
    </w:p>
    <w:p w14:paraId="505E9355" w14:textId="0CE335BF" w:rsidR="00F4049D" w:rsidRPr="00F4049D" w:rsidRDefault="00F4049D" w:rsidP="00F16230">
      <w:pPr>
        <w:rPr>
          <w:rFonts w:cs="Arial"/>
          <w:sz w:val="22"/>
          <w:szCs w:val="22"/>
          <w:lang w:val="es-CR"/>
        </w:rPr>
      </w:pPr>
      <w:r w:rsidRPr="00F4049D">
        <w:rPr>
          <w:rFonts w:cs="Arial"/>
          <w:sz w:val="22"/>
          <w:szCs w:val="22"/>
          <w:lang w:val="es-CR"/>
        </w:rPr>
        <w:t>Dagoberto Hidalgo Cortés / Gerente General Banco Hipotecario de la Vivienda</w:t>
      </w:r>
    </w:p>
    <w:p w14:paraId="42B26137" w14:textId="528B11DC" w:rsidR="00F4049D" w:rsidRPr="00F4049D" w:rsidRDefault="00F4049D" w:rsidP="00F16230">
      <w:pPr>
        <w:pStyle w:val="Ttulo5"/>
        <w:tabs>
          <w:tab w:val="left" w:pos="0"/>
        </w:tabs>
        <w:spacing w:before="0"/>
        <w:rPr>
          <w:rFonts w:ascii="Arial" w:hAnsi="Arial" w:cs="Arial"/>
          <w:color w:val="auto"/>
          <w:sz w:val="22"/>
          <w:szCs w:val="22"/>
        </w:rPr>
      </w:pPr>
      <w:r w:rsidRPr="00F4049D">
        <w:rPr>
          <w:rFonts w:ascii="Arial" w:hAnsi="Arial" w:cs="Arial"/>
          <w:color w:val="auto"/>
          <w:sz w:val="22"/>
          <w:szCs w:val="22"/>
        </w:rPr>
        <w:t>Greivin Hernández González / V.B. Director General DESAF</w:t>
      </w:r>
      <w:r>
        <w:rPr>
          <w:rFonts w:ascii="Arial" w:hAnsi="Arial" w:cs="Arial"/>
          <w:color w:val="auto"/>
          <w:sz w:val="22"/>
          <w:szCs w:val="22"/>
        </w:rPr>
        <w:t>»</w:t>
      </w:r>
    </w:p>
    <w:p w14:paraId="456685C4"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09269117" w14:textId="77777777" w:rsidR="002B71CC" w:rsidRPr="00D14EAF" w:rsidRDefault="002B71CC" w:rsidP="002B71CC">
      <w:pPr>
        <w:spacing w:line="360" w:lineRule="auto"/>
        <w:jc w:val="both"/>
        <w:rPr>
          <w:rFonts w:cs="Arial"/>
          <w:b/>
          <w:sz w:val="22"/>
        </w:rPr>
      </w:pPr>
      <w:r w:rsidRPr="00D14EAF">
        <w:rPr>
          <w:rFonts w:cs="Arial"/>
          <w:b/>
          <w:sz w:val="22"/>
        </w:rPr>
        <w:t>************</w:t>
      </w:r>
    </w:p>
    <w:p w14:paraId="2798CD83" w14:textId="77777777" w:rsidR="002B71CC" w:rsidRDefault="002B71CC" w:rsidP="00AB2826">
      <w:pPr>
        <w:spacing w:line="360" w:lineRule="auto"/>
        <w:jc w:val="both"/>
        <w:rPr>
          <w:rFonts w:cs="Arial"/>
          <w:sz w:val="22"/>
          <w:szCs w:val="22"/>
        </w:rPr>
      </w:pPr>
    </w:p>
    <w:p w14:paraId="20DCF8E1"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2</w:t>
      </w:r>
      <w:r w:rsidRPr="00AB2826">
        <w:rPr>
          <w:rFonts w:cs="Arial"/>
          <w:szCs w:val="22"/>
        </w:rPr>
        <w:t>:</w:t>
      </w:r>
    </w:p>
    <w:p w14:paraId="56F46414" w14:textId="6F193A61" w:rsidR="002B71CC" w:rsidRDefault="00C64AA7" w:rsidP="002B71CC">
      <w:pPr>
        <w:spacing w:line="360" w:lineRule="auto"/>
        <w:jc w:val="both"/>
        <w:rPr>
          <w:rFonts w:cs="Arial"/>
          <w:sz w:val="22"/>
          <w:szCs w:val="22"/>
        </w:rPr>
      </w:pPr>
      <w:r>
        <w:rPr>
          <w:rFonts w:cs="Arial"/>
          <w:sz w:val="22"/>
          <w:szCs w:val="22"/>
        </w:rPr>
        <w:t xml:space="preserve">Instruir a la </w:t>
      </w:r>
      <w:r w:rsidRPr="00C64AA7">
        <w:rPr>
          <w:rFonts w:cs="Arial"/>
          <w:sz w:val="22"/>
          <w:szCs w:val="22"/>
          <w:lang w:val="es-ES_tradnl"/>
        </w:rPr>
        <w:t>Administración</w:t>
      </w:r>
      <w:r>
        <w:rPr>
          <w:rFonts w:cs="Arial"/>
          <w:sz w:val="22"/>
          <w:szCs w:val="22"/>
          <w:lang w:val="es-ES_tradnl"/>
        </w:rPr>
        <w:t xml:space="preserve">, para que formule una </w:t>
      </w:r>
      <w:r>
        <w:rPr>
          <w:rFonts w:cs="Arial"/>
          <w:sz w:val="22"/>
          <w:lang w:val="es-ES_tradnl"/>
        </w:rPr>
        <w:t xml:space="preserve">consulta a la Contraloría General de la República, sobre la viabilidad legal de utilizar los recursos que reciba el FOSUVI del FODESAF, según lo establece el artículo 51 la Ley 7052, para financiar bonos de vivienda a familias cuyos ingresos no excedan el equivalente a </w:t>
      </w:r>
      <w:r w:rsidRPr="00753902">
        <w:rPr>
          <w:rFonts w:cs="Arial"/>
          <w:sz w:val="22"/>
          <w:lang w:val="es-CR"/>
        </w:rPr>
        <w:t>seis salario</w:t>
      </w:r>
      <w:r>
        <w:rPr>
          <w:rFonts w:cs="Arial"/>
          <w:sz w:val="22"/>
          <w:lang w:val="es-CR"/>
        </w:rPr>
        <w:t>s</w:t>
      </w:r>
      <w:r w:rsidRPr="00753902">
        <w:rPr>
          <w:rFonts w:cs="Arial"/>
          <w:sz w:val="22"/>
          <w:lang w:val="es-CR"/>
        </w:rPr>
        <w:t xml:space="preserve"> mínimo</w:t>
      </w:r>
      <w:r>
        <w:rPr>
          <w:rFonts w:cs="Arial"/>
          <w:sz w:val="22"/>
          <w:lang w:val="es-CR"/>
        </w:rPr>
        <w:t>s</w:t>
      </w:r>
      <w:r w:rsidRPr="00753902">
        <w:rPr>
          <w:rFonts w:cs="Arial"/>
          <w:sz w:val="22"/>
          <w:lang w:val="es-CR"/>
        </w:rPr>
        <w:t xml:space="preserve"> de una persona obrera no especializada de la industria de la construcción.</w:t>
      </w:r>
    </w:p>
    <w:p w14:paraId="78B03E56" w14:textId="77777777" w:rsidR="002B71CC" w:rsidRPr="00AB2826" w:rsidRDefault="002B71CC" w:rsidP="002B71CC">
      <w:pPr>
        <w:pStyle w:val="Ttulo2"/>
        <w:spacing w:line="360" w:lineRule="auto"/>
        <w:rPr>
          <w:rFonts w:cs="Arial"/>
          <w:szCs w:val="22"/>
          <w:lang w:val="es-ES_tradnl"/>
        </w:rPr>
      </w:pPr>
      <w:r w:rsidRPr="00AB2826">
        <w:rPr>
          <w:rFonts w:cs="Arial"/>
          <w:szCs w:val="22"/>
        </w:rPr>
        <w:lastRenderedPageBreak/>
        <w:t>Acuerdo Unánime</w:t>
      </w:r>
      <w:r>
        <w:rPr>
          <w:rFonts w:cs="Arial"/>
          <w:szCs w:val="22"/>
        </w:rPr>
        <w:t xml:space="preserve"> y Firme</w:t>
      </w:r>
      <w:r w:rsidRPr="00AB2826">
        <w:rPr>
          <w:rFonts w:cs="Arial"/>
          <w:szCs w:val="22"/>
        </w:rPr>
        <w:t>.-</w:t>
      </w:r>
    </w:p>
    <w:p w14:paraId="1C5458BD" w14:textId="77777777" w:rsidR="002B71CC" w:rsidRPr="00D14EAF" w:rsidRDefault="002B71CC" w:rsidP="002B71CC">
      <w:pPr>
        <w:spacing w:line="360" w:lineRule="auto"/>
        <w:jc w:val="both"/>
        <w:rPr>
          <w:rFonts w:cs="Arial"/>
          <w:b/>
          <w:sz w:val="22"/>
        </w:rPr>
      </w:pPr>
      <w:r w:rsidRPr="00D14EAF">
        <w:rPr>
          <w:rFonts w:cs="Arial"/>
          <w:b/>
          <w:sz w:val="22"/>
        </w:rPr>
        <w:t>************</w:t>
      </w:r>
    </w:p>
    <w:p w14:paraId="3CAC43C4" w14:textId="77777777" w:rsidR="002B71CC" w:rsidRDefault="002B71CC" w:rsidP="002B71CC">
      <w:pPr>
        <w:spacing w:line="360" w:lineRule="auto"/>
        <w:jc w:val="both"/>
        <w:rPr>
          <w:rFonts w:cs="Arial"/>
          <w:sz w:val="22"/>
          <w:lang w:val="es-ES_tradnl"/>
        </w:rPr>
      </w:pPr>
    </w:p>
    <w:p w14:paraId="37B07DC3"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3</w:t>
      </w:r>
      <w:r w:rsidRPr="00AB2826">
        <w:rPr>
          <w:rFonts w:cs="Arial"/>
          <w:szCs w:val="22"/>
        </w:rPr>
        <w:t>:</w:t>
      </w:r>
    </w:p>
    <w:p w14:paraId="4DA34016" w14:textId="77777777" w:rsidR="0023255E" w:rsidRPr="008D7AF0" w:rsidRDefault="0023255E" w:rsidP="0023255E">
      <w:pPr>
        <w:spacing w:line="360" w:lineRule="auto"/>
        <w:jc w:val="both"/>
        <w:rPr>
          <w:rFonts w:cs="Arial"/>
          <w:b/>
          <w:sz w:val="22"/>
        </w:rPr>
      </w:pPr>
      <w:r w:rsidRPr="008D7AF0">
        <w:rPr>
          <w:rFonts w:cs="Arial"/>
          <w:b/>
          <w:sz w:val="22"/>
        </w:rPr>
        <w:t>Considerando:</w:t>
      </w:r>
    </w:p>
    <w:p w14:paraId="0C4738A7" w14:textId="323FB5ED" w:rsidR="00733405" w:rsidRDefault="0023255E" w:rsidP="0023255E">
      <w:pPr>
        <w:spacing w:line="360" w:lineRule="auto"/>
        <w:jc w:val="both"/>
        <w:rPr>
          <w:rFonts w:cs="Arial"/>
          <w:sz w:val="22"/>
        </w:rPr>
      </w:pPr>
      <w:r w:rsidRPr="008D7AF0">
        <w:rPr>
          <w:rFonts w:cs="Arial"/>
          <w:b/>
          <w:sz w:val="22"/>
        </w:rPr>
        <w:t>Primero:</w:t>
      </w:r>
      <w:r>
        <w:rPr>
          <w:rFonts w:cs="Arial"/>
          <w:sz w:val="22"/>
        </w:rPr>
        <w:t xml:space="preserve"> Que por medio del oficio </w:t>
      </w:r>
      <w:r w:rsidR="00733405">
        <w:rPr>
          <w:rFonts w:cs="Arial"/>
          <w:sz w:val="22"/>
          <w:lang w:val="es-ES_tradnl"/>
        </w:rPr>
        <w:t xml:space="preserve">GG-ME-0691-2020 del 24 de junio de 2020, el asistente de la </w:t>
      </w:r>
      <w:r w:rsidR="00733405" w:rsidRPr="00733405">
        <w:rPr>
          <w:rFonts w:cs="Arial"/>
          <w:sz w:val="22"/>
          <w:lang w:val="es-ES_tradnl"/>
        </w:rPr>
        <w:t>Gerencia General</w:t>
      </w:r>
      <w:r w:rsidR="00733405">
        <w:rPr>
          <w:rFonts w:cs="Arial"/>
          <w:sz w:val="22"/>
          <w:lang w:val="es-ES_tradnl"/>
        </w:rPr>
        <w:t xml:space="preserve"> remite </w:t>
      </w:r>
      <w:r>
        <w:rPr>
          <w:rFonts w:cs="Arial"/>
          <w:sz w:val="22"/>
        </w:rPr>
        <w:t xml:space="preserve">el </w:t>
      </w:r>
      <w:r w:rsidR="00733405">
        <w:rPr>
          <w:rFonts w:cs="Arial"/>
          <w:sz w:val="22"/>
          <w:lang w:val="es-ES_tradnl"/>
        </w:rPr>
        <w:t xml:space="preserve">informe DFNV-ME-0247-2020 de la Dirección FONAVI, que contiene una propuesta para renovar el contrato del Fideicomiso 010-2002 (MUGAP), administrado por la Mutual Cartago </w:t>
      </w:r>
      <w:r w:rsidR="00733405" w:rsidRPr="00474D7E">
        <w:rPr>
          <w:rFonts w:cs="Arial"/>
          <w:sz w:val="22"/>
          <w:lang w:val="es-ES_tradnl"/>
        </w:rPr>
        <w:t>de Ahorro y Préstamo</w:t>
      </w:r>
      <w:r w:rsidR="00733405">
        <w:rPr>
          <w:rFonts w:cs="Arial"/>
          <w:sz w:val="22"/>
          <w:lang w:val="es-ES_tradnl"/>
        </w:rPr>
        <w:t>.</w:t>
      </w:r>
    </w:p>
    <w:p w14:paraId="0FD71BF0" w14:textId="77777777" w:rsidR="00733405" w:rsidRDefault="00733405" w:rsidP="0023255E">
      <w:pPr>
        <w:spacing w:line="360" w:lineRule="auto"/>
        <w:jc w:val="both"/>
        <w:rPr>
          <w:rFonts w:cs="Arial"/>
          <w:sz w:val="22"/>
        </w:rPr>
      </w:pPr>
    </w:p>
    <w:p w14:paraId="51B4B1C6" w14:textId="797487DD" w:rsidR="0023255E" w:rsidRDefault="0023255E" w:rsidP="0023255E">
      <w:pPr>
        <w:spacing w:line="360" w:lineRule="auto"/>
        <w:jc w:val="both"/>
        <w:rPr>
          <w:rFonts w:cs="Arial"/>
          <w:sz w:val="22"/>
        </w:rPr>
      </w:pPr>
      <w:r w:rsidRPr="00A44841">
        <w:rPr>
          <w:rFonts w:cs="Arial"/>
          <w:b/>
          <w:sz w:val="22"/>
        </w:rPr>
        <w:t>Segundo:</w:t>
      </w:r>
      <w:r>
        <w:rPr>
          <w:rFonts w:cs="Arial"/>
          <w:sz w:val="22"/>
        </w:rPr>
        <w:t xml:space="preserve"> Que según se desprende del análisis técnico y financiero efectuado por la Dirección FONAVI, la referida propuesta se sustenta, en</w:t>
      </w:r>
      <w:r w:rsidR="00733405">
        <w:rPr>
          <w:rFonts w:cs="Arial"/>
          <w:sz w:val="22"/>
        </w:rPr>
        <w:t xml:space="preserve"> lo conducente</w:t>
      </w:r>
      <w:r>
        <w:rPr>
          <w:rFonts w:cs="Arial"/>
          <w:sz w:val="22"/>
        </w:rPr>
        <w:t>, en las siguientes consideraciones:</w:t>
      </w:r>
    </w:p>
    <w:p w14:paraId="4707A9E2" w14:textId="068D1C27" w:rsidR="00C72E0B" w:rsidRDefault="00C72E0B" w:rsidP="00C72E0B">
      <w:pPr>
        <w:spacing w:line="360" w:lineRule="auto"/>
        <w:jc w:val="both"/>
        <w:rPr>
          <w:rFonts w:cs="Arial"/>
          <w:sz w:val="22"/>
          <w:lang w:val="es-ES_tradnl"/>
        </w:rPr>
      </w:pPr>
      <w:r>
        <w:rPr>
          <w:rFonts w:cs="Arial"/>
          <w:sz w:val="22"/>
          <w:lang w:val="es-CR"/>
        </w:rPr>
        <w:t xml:space="preserve">a) </w:t>
      </w:r>
      <w:r w:rsidRPr="00474D7E">
        <w:rPr>
          <w:rFonts w:cs="Arial"/>
          <w:sz w:val="22"/>
          <w:lang w:val="es-CR"/>
        </w:rPr>
        <w:t>Los activos que se mantienen pendientes de realizaci</w:t>
      </w:r>
      <w:r>
        <w:rPr>
          <w:rFonts w:cs="Arial"/>
          <w:sz w:val="22"/>
          <w:lang w:val="es-CR"/>
        </w:rPr>
        <w:t xml:space="preserve">ón </w:t>
      </w:r>
      <w:r w:rsidRPr="00474D7E">
        <w:rPr>
          <w:rFonts w:cs="Arial"/>
          <w:sz w:val="22"/>
          <w:lang w:val="es-CR"/>
        </w:rPr>
        <w:t>en el Fideicomiso 010-2002 (MUGAP)</w:t>
      </w:r>
      <w:r w:rsidR="00733405">
        <w:rPr>
          <w:rFonts w:cs="Arial"/>
          <w:sz w:val="22"/>
          <w:lang w:val="es-CR"/>
        </w:rPr>
        <w:t>,</w:t>
      </w:r>
      <w:r>
        <w:rPr>
          <w:rFonts w:cs="Arial"/>
          <w:sz w:val="22"/>
          <w:lang w:val="es-CR"/>
        </w:rPr>
        <w:t xml:space="preserve"> </w:t>
      </w:r>
      <w:r w:rsidRPr="00474D7E">
        <w:rPr>
          <w:rFonts w:cs="Arial"/>
          <w:sz w:val="22"/>
          <w:lang w:val="es-CR"/>
        </w:rPr>
        <w:t>corresponden principalmente a operaciones de cr</w:t>
      </w:r>
      <w:r>
        <w:rPr>
          <w:rFonts w:cs="Arial"/>
          <w:sz w:val="22"/>
          <w:lang w:val="es-CR"/>
        </w:rPr>
        <w:t>é</w:t>
      </w:r>
      <w:r w:rsidRPr="00474D7E">
        <w:rPr>
          <w:rFonts w:cs="Arial"/>
          <w:sz w:val="22"/>
          <w:lang w:val="es-CR"/>
        </w:rPr>
        <w:t>dito en cobro Judicial o incobrabilidad y</w:t>
      </w:r>
      <w:r>
        <w:rPr>
          <w:rFonts w:cs="Arial"/>
          <w:sz w:val="22"/>
          <w:lang w:val="es-CR"/>
        </w:rPr>
        <w:t xml:space="preserve"> </w:t>
      </w:r>
      <w:r w:rsidRPr="00474D7E">
        <w:rPr>
          <w:rFonts w:cs="Arial"/>
          <w:sz w:val="22"/>
          <w:lang w:val="es-CR"/>
        </w:rPr>
        <w:t>bienes individuales con problemas de orden t</w:t>
      </w:r>
      <w:r>
        <w:rPr>
          <w:rFonts w:cs="Arial"/>
          <w:sz w:val="22"/>
          <w:lang w:val="es-CR"/>
        </w:rPr>
        <w:t>é</w:t>
      </w:r>
      <w:r w:rsidRPr="00474D7E">
        <w:rPr>
          <w:rFonts w:cs="Arial"/>
          <w:sz w:val="22"/>
          <w:lang w:val="es-CR"/>
        </w:rPr>
        <w:t>cnico o legal, respecto de los cuales se considera</w:t>
      </w:r>
      <w:r>
        <w:rPr>
          <w:rFonts w:cs="Arial"/>
          <w:sz w:val="22"/>
          <w:lang w:val="es-CR"/>
        </w:rPr>
        <w:t xml:space="preserve"> </w:t>
      </w:r>
      <w:r w:rsidRPr="00474D7E">
        <w:rPr>
          <w:rFonts w:cs="Arial"/>
          <w:sz w:val="22"/>
          <w:lang w:val="es-CR"/>
        </w:rPr>
        <w:t>conveniente que el Fiduciario concluya las labores correspondientes en funci</w:t>
      </w:r>
      <w:r>
        <w:rPr>
          <w:rFonts w:cs="Arial"/>
          <w:sz w:val="22"/>
          <w:lang w:val="es-CR"/>
        </w:rPr>
        <w:t xml:space="preserve">ón </w:t>
      </w:r>
      <w:r w:rsidRPr="00474D7E">
        <w:rPr>
          <w:rFonts w:cs="Arial"/>
          <w:sz w:val="22"/>
          <w:lang w:val="es-CR"/>
        </w:rPr>
        <w:t>del conocimiento</w:t>
      </w:r>
      <w:r>
        <w:rPr>
          <w:rFonts w:cs="Arial"/>
          <w:sz w:val="22"/>
          <w:lang w:val="es-CR"/>
        </w:rPr>
        <w:t xml:space="preserve"> </w:t>
      </w:r>
      <w:r w:rsidRPr="00474D7E">
        <w:rPr>
          <w:rFonts w:cs="Arial"/>
          <w:sz w:val="22"/>
          <w:lang w:val="es-CR"/>
        </w:rPr>
        <w:t>y experiencia espec</w:t>
      </w:r>
      <w:r>
        <w:rPr>
          <w:rFonts w:cs="Arial"/>
          <w:sz w:val="22"/>
          <w:lang w:val="es-CR"/>
        </w:rPr>
        <w:t>í</w:t>
      </w:r>
      <w:r w:rsidRPr="00474D7E">
        <w:rPr>
          <w:rFonts w:cs="Arial"/>
          <w:sz w:val="22"/>
          <w:lang w:val="es-CR"/>
        </w:rPr>
        <w:t>fica sobre tales casos.</w:t>
      </w:r>
    </w:p>
    <w:p w14:paraId="0C0D257C" w14:textId="6E7DC92D" w:rsidR="00C72E0B" w:rsidRPr="00474D7E" w:rsidRDefault="00C72E0B" w:rsidP="00C72E0B">
      <w:pPr>
        <w:spacing w:line="360" w:lineRule="auto"/>
        <w:jc w:val="both"/>
        <w:rPr>
          <w:rFonts w:cs="Arial"/>
          <w:sz w:val="22"/>
          <w:lang w:val="es-CR"/>
        </w:rPr>
      </w:pPr>
      <w:r>
        <w:rPr>
          <w:rFonts w:cs="Arial"/>
          <w:sz w:val="22"/>
          <w:lang w:val="es-CR"/>
        </w:rPr>
        <w:t xml:space="preserve">b) </w:t>
      </w:r>
      <w:r w:rsidRPr="00474D7E">
        <w:rPr>
          <w:rFonts w:cs="Arial"/>
          <w:sz w:val="22"/>
          <w:lang w:val="es-CR"/>
        </w:rPr>
        <w:t>La alternativa de traslado de estos activos para su administraci</w:t>
      </w:r>
      <w:r>
        <w:rPr>
          <w:rFonts w:cs="Arial"/>
          <w:sz w:val="22"/>
          <w:lang w:val="es-CR"/>
        </w:rPr>
        <w:t xml:space="preserve">ón </w:t>
      </w:r>
      <w:r w:rsidRPr="00474D7E">
        <w:rPr>
          <w:rFonts w:cs="Arial"/>
          <w:sz w:val="22"/>
          <w:lang w:val="es-CR"/>
        </w:rPr>
        <w:t>directa en el BANHVI</w:t>
      </w:r>
      <w:r w:rsidR="00733405">
        <w:rPr>
          <w:rFonts w:cs="Arial"/>
          <w:sz w:val="22"/>
          <w:lang w:val="es-CR"/>
        </w:rPr>
        <w:t>,</w:t>
      </w:r>
      <w:r w:rsidRPr="00474D7E">
        <w:rPr>
          <w:rFonts w:cs="Arial"/>
          <w:sz w:val="22"/>
          <w:lang w:val="es-CR"/>
        </w:rPr>
        <w:t xml:space="preserve"> estar</w:t>
      </w:r>
      <w:r>
        <w:rPr>
          <w:rFonts w:cs="Arial"/>
          <w:sz w:val="22"/>
          <w:lang w:val="es-CR"/>
        </w:rPr>
        <w:t>í</w:t>
      </w:r>
      <w:r w:rsidRPr="00474D7E">
        <w:rPr>
          <w:rFonts w:cs="Arial"/>
          <w:sz w:val="22"/>
          <w:lang w:val="es-CR"/>
        </w:rPr>
        <w:t>a</w:t>
      </w:r>
      <w:r>
        <w:rPr>
          <w:rFonts w:cs="Arial"/>
          <w:sz w:val="22"/>
          <w:lang w:val="es-CR"/>
        </w:rPr>
        <w:t xml:space="preserve"> </w:t>
      </w:r>
      <w:r w:rsidRPr="00474D7E">
        <w:rPr>
          <w:rFonts w:cs="Arial"/>
          <w:sz w:val="22"/>
          <w:lang w:val="es-CR"/>
        </w:rPr>
        <w:t xml:space="preserve">generando atrasos en </w:t>
      </w:r>
      <w:r>
        <w:rPr>
          <w:rFonts w:cs="Arial"/>
          <w:sz w:val="22"/>
          <w:lang w:val="es-CR"/>
        </w:rPr>
        <w:t>la</w:t>
      </w:r>
      <w:r w:rsidRPr="00474D7E">
        <w:rPr>
          <w:rFonts w:cs="Arial"/>
          <w:sz w:val="22"/>
          <w:lang w:val="es-CR"/>
        </w:rPr>
        <w:t xml:space="preserve"> gesti</w:t>
      </w:r>
      <w:r>
        <w:rPr>
          <w:rFonts w:cs="Arial"/>
          <w:sz w:val="22"/>
          <w:lang w:val="es-CR"/>
        </w:rPr>
        <w:t>ón</w:t>
      </w:r>
      <w:r w:rsidRPr="00474D7E">
        <w:rPr>
          <w:rFonts w:cs="Arial"/>
          <w:sz w:val="22"/>
          <w:lang w:val="es-CR"/>
        </w:rPr>
        <w:t>, producto del proceso de aprendizaje interno respecto de las</w:t>
      </w:r>
      <w:r>
        <w:rPr>
          <w:rFonts w:cs="Arial"/>
          <w:sz w:val="22"/>
          <w:lang w:val="es-CR"/>
        </w:rPr>
        <w:t xml:space="preserve"> </w:t>
      </w:r>
      <w:r w:rsidRPr="00474D7E">
        <w:rPr>
          <w:rFonts w:cs="Arial"/>
          <w:sz w:val="22"/>
          <w:lang w:val="es-CR"/>
        </w:rPr>
        <w:t>condiciones espec</w:t>
      </w:r>
      <w:r>
        <w:rPr>
          <w:rFonts w:cs="Arial"/>
          <w:sz w:val="22"/>
          <w:lang w:val="es-CR"/>
        </w:rPr>
        <w:t>í</w:t>
      </w:r>
      <w:r w:rsidRPr="00474D7E">
        <w:rPr>
          <w:rFonts w:cs="Arial"/>
          <w:sz w:val="22"/>
          <w:lang w:val="es-CR"/>
        </w:rPr>
        <w:t>ficas de estos activos, as</w:t>
      </w:r>
      <w:r>
        <w:rPr>
          <w:rFonts w:cs="Arial"/>
          <w:sz w:val="22"/>
          <w:lang w:val="es-CR"/>
        </w:rPr>
        <w:t>í</w:t>
      </w:r>
      <w:r w:rsidRPr="00474D7E">
        <w:rPr>
          <w:rFonts w:cs="Arial"/>
          <w:sz w:val="22"/>
          <w:lang w:val="es-CR"/>
        </w:rPr>
        <w:t xml:space="preserve"> como debido a eventuales renuncias de abogados</w:t>
      </w:r>
      <w:r>
        <w:rPr>
          <w:rFonts w:cs="Arial"/>
          <w:sz w:val="22"/>
          <w:lang w:val="es-CR"/>
        </w:rPr>
        <w:t xml:space="preserve"> </w:t>
      </w:r>
      <w:r w:rsidRPr="00474D7E">
        <w:rPr>
          <w:rFonts w:cs="Arial"/>
          <w:sz w:val="22"/>
          <w:lang w:val="es-CR"/>
        </w:rPr>
        <w:t xml:space="preserve">directores de los procesos judiciales y a </w:t>
      </w:r>
      <w:r>
        <w:rPr>
          <w:rFonts w:cs="Arial"/>
          <w:sz w:val="22"/>
          <w:lang w:val="es-CR"/>
        </w:rPr>
        <w:t>la</w:t>
      </w:r>
      <w:r w:rsidRPr="00474D7E">
        <w:rPr>
          <w:rFonts w:cs="Arial"/>
          <w:sz w:val="22"/>
          <w:lang w:val="es-CR"/>
        </w:rPr>
        <w:t xml:space="preserve"> contrataci</w:t>
      </w:r>
      <w:r>
        <w:rPr>
          <w:rFonts w:cs="Arial"/>
          <w:sz w:val="22"/>
          <w:lang w:val="es-CR"/>
        </w:rPr>
        <w:t xml:space="preserve">ón </w:t>
      </w:r>
      <w:r w:rsidRPr="00474D7E">
        <w:rPr>
          <w:rFonts w:cs="Arial"/>
          <w:sz w:val="22"/>
          <w:lang w:val="es-CR"/>
        </w:rPr>
        <w:t>de nuevos profesionales para tales</w:t>
      </w:r>
      <w:r>
        <w:rPr>
          <w:rFonts w:cs="Arial"/>
          <w:sz w:val="22"/>
          <w:lang w:val="es-CR"/>
        </w:rPr>
        <w:t xml:space="preserve"> </w:t>
      </w:r>
      <w:r w:rsidRPr="00474D7E">
        <w:rPr>
          <w:rFonts w:cs="Arial"/>
          <w:sz w:val="22"/>
          <w:lang w:val="es-CR"/>
        </w:rPr>
        <w:t>efectos. Adicionalmente, respecto de los casos en tr</w:t>
      </w:r>
      <w:r>
        <w:rPr>
          <w:rFonts w:cs="Arial"/>
          <w:sz w:val="22"/>
          <w:lang w:val="es-CR"/>
        </w:rPr>
        <w:t>á</w:t>
      </w:r>
      <w:r w:rsidRPr="00474D7E">
        <w:rPr>
          <w:rFonts w:cs="Arial"/>
          <w:sz w:val="22"/>
          <w:lang w:val="es-CR"/>
        </w:rPr>
        <w:t>mite de incobrabilidad, el finiquito de los</w:t>
      </w:r>
      <w:r>
        <w:rPr>
          <w:rFonts w:cs="Arial"/>
          <w:sz w:val="22"/>
          <w:lang w:val="es-CR"/>
        </w:rPr>
        <w:t xml:space="preserve"> </w:t>
      </w:r>
      <w:r w:rsidRPr="00474D7E">
        <w:rPr>
          <w:rFonts w:cs="Arial"/>
          <w:sz w:val="22"/>
          <w:lang w:val="es-CR"/>
        </w:rPr>
        <w:t xml:space="preserve">contratos restringe </w:t>
      </w:r>
      <w:r>
        <w:rPr>
          <w:rFonts w:cs="Arial"/>
          <w:sz w:val="22"/>
          <w:lang w:val="es-CR"/>
        </w:rPr>
        <w:t>la</w:t>
      </w:r>
      <w:r w:rsidRPr="00474D7E">
        <w:rPr>
          <w:rFonts w:cs="Arial"/>
          <w:sz w:val="22"/>
          <w:lang w:val="es-CR"/>
        </w:rPr>
        <w:t xml:space="preserve"> disponibilidad de los responsables para </w:t>
      </w:r>
      <w:r>
        <w:rPr>
          <w:rFonts w:cs="Arial"/>
          <w:sz w:val="22"/>
          <w:lang w:val="es-CR"/>
        </w:rPr>
        <w:t>la</w:t>
      </w:r>
      <w:r w:rsidRPr="00474D7E">
        <w:rPr>
          <w:rFonts w:cs="Arial"/>
          <w:sz w:val="22"/>
          <w:lang w:val="es-CR"/>
        </w:rPr>
        <w:t xml:space="preserve"> atenci</w:t>
      </w:r>
      <w:r>
        <w:rPr>
          <w:rFonts w:cs="Arial"/>
          <w:sz w:val="22"/>
          <w:lang w:val="es-CR"/>
        </w:rPr>
        <w:t xml:space="preserve">ón </w:t>
      </w:r>
      <w:r w:rsidRPr="00474D7E">
        <w:rPr>
          <w:rFonts w:cs="Arial"/>
          <w:sz w:val="22"/>
          <w:lang w:val="es-CR"/>
        </w:rPr>
        <w:t>de las consultas que</w:t>
      </w:r>
      <w:r>
        <w:rPr>
          <w:rFonts w:cs="Arial"/>
          <w:sz w:val="22"/>
          <w:lang w:val="es-CR"/>
        </w:rPr>
        <w:t xml:space="preserve"> </w:t>
      </w:r>
      <w:r w:rsidRPr="00474D7E">
        <w:rPr>
          <w:rFonts w:cs="Arial"/>
          <w:sz w:val="22"/>
          <w:lang w:val="es-CR"/>
        </w:rPr>
        <w:t>surjan en el proceso de an</w:t>
      </w:r>
      <w:r>
        <w:rPr>
          <w:rFonts w:cs="Arial"/>
          <w:sz w:val="22"/>
          <w:lang w:val="es-CR"/>
        </w:rPr>
        <w:t>á</w:t>
      </w:r>
      <w:r w:rsidRPr="00474D7E">
        <w:rPr>
          <w:rFonts w:cs="Arial"/>
          <w:sz w:val="22"/>
          <w:lang w:val="es-CR"/>
        </w:rPr>
        <w:t>lisis, tal y como ya ha sucedido en los casos de otros Fiduciarios.</w:t>
      </w:r>
    </w:p>
    <w:p w14:paraId="6F63CC7A" w14:textId="6A9BA859" w:rsidR="00C72E0B" w:rsidRPr="00474D7E" w:rsidRDefault="00C72E0B" w:rsidP="00C72E0B">
      <w:pPr>
        <w:spacing w:line="360" w:lineRule="auto"/>
        <w:jc w:val="both"/>
        <w:rPr>
          <w:rFonts w:cs="Arial"/>
          <w:sz w:val="22"/>
          <w:lang w:val="es-CR"/>
        </w:rPr>
      </w:pPr>
      <w:r>
        <w:rPr>
          <w:rFonts w:cs="Arial"/>
          <w:sz w:val="22"/>
          <w:lang w:val="es-CR"/>
        </w:rPr>
        <w:t xml:space="preserve">c) </w:t>
      </w:r>
      <w:r w:rsidRPr="00474D7E">
        <w:rPr>
          <w:rFonts w:cs="Arial"/>
          <w:sz w:val="22"/>
          <w:lang w:val="es-CR"/>
        </w:rPr>
        <w:t xml:space="preserve">Actualmente, </w:t>
      </w:r>
      <w:r>
        <w:rPr>
          <w:rFonts w:cs="Arial"/>
          <w:sz w:val="22"/>
          <w:lang w:val="es-CR"/>
        </w:rPr>
        <w:t>la</w:t>
      </w:r>
      <w:r w:rsidRPr="00474D7E">
        <w:rPr>
          <w:rFonts w:cs="Arial"/>
          <w:sz w:val="22"/>
          <w:lang w:val="es-CR"/>
        </w:rPr>
        <w:t xml:space="preserve"> Unidad de Bienes Inmuebles y el Departamento de Fideicomisos del BANHVI</w:t>
      </w:r>
      <w:r w:rsidR="00733405">
        <w:rPr>
          <w:rFonts w:cs="Arial"/>
          <w:sz w:val="22"/>
          <w:lang w:val="es-CR"/>
        </w:rPr>
        <w:t>,</w:t>
      </w:r>
      <w:r w:rsidRPr="00474D7E">
        <w:rPr>
          <w:rFonts w:cs="Arial"/>
          <w:sz w:val="22"/>
          <w:lang w:val="es-CR"/>
        </w:rPr>
        <w:t xml:space="preserve"> se</w:t>
      </w:r>
      <w:r>
        <w:rPr>
          <w:rFonts w:cs="Arial"/>
          <w:sz w:val="22"/>
          <w:lang w:val="es-CR"/>
        </w:rPr>
        <w:t xml:space="preserve"> </w:t>
      </w:r>
      <w:r w:rsidRPr="00474D7E">
        <w:rPr>
          <w:rFonts w:cs="Arial"/>
          <w:sz w:val="22"/>
          <w:lang w:val="es-CR"/>
        </w:rPr>
        <w:t>encuentran asumiendo el proceso de administraci</w:t>
      </w:r>
      <w:r>
        <w:rPr>
          <w:rFonts w:cs="Arial"/>
          <w:sz w:val="22"/>
          <w:lang w:val="es-CR"/>
        </w:rPr>
        <w:t xml:space="preserve">ón </w:t>
      </w:r>
      <w:r w:rsidRPr="00474D7E">
        <w:rPr>
          <w:rFonts w:cs="Arial"/>
          <w:sz w:val="22"/>
          <w:lang w:val="es-CR"/>
        </w:rPr>
        <w:t>de los activos traslados a partir del finiquito</w:t>
      </w:r>
      <w:r>
        <w:rPr>
          <w:rFonts w:cs="Arial"/>
          <w:sz w:val="22"/>
          <w:lang w:val="es-CR"/>
        </w:rPr>
        <w:t xml:space="preserve"> </w:t>
      </w:r>
      <w:r w:rsidRPr="00474D7E">
        <w:rPr>
          <w:rFonts w:cs="Arial"/>
          <w:sz w:val="22"/>
          <w:lang w:val="es-CR"/>
        </w:rPr>
        <w:t xml:space="preserve">de los Fideicomisos anteriormente administrados por Grupo Mutual Alajuela </w:t>
      </w:r>
      <w:r>
        <w:rPr>
          <w:rFonts w:cs="Arial"/>
          <w:sz w:val="22"/>
          <w:lang w:val="es-CR"/>
        </w:rPr>
        <w:t xml:space="preserve">– </w:t>
      </w:r>
      <w:r w:rsidRPr="00474D7E">
        <w:rPr>
          <w:rFonts w:cs="Arial"/>
          <w:sz w:val="22"/>
          <w:lang w:val="es-CR"/>
        </w:rPr>
        <w:t>La</w:t>
      </w:r>
      <w:r>
        <w:rPr>
          <w:rFonts w:cs="Arial"/>
          <w:sz w:val="22"/>
          <w:lang w:val="es-CR"/>
        </w:rPr>
        <w:t xml:space="preserve"> </w:t>
      </w:r>
      <w:r w:rsidRPr="00474D7E">
        <w:rPr>
          <w:rFonts w:cs="Arial"/>
          <w:sz w:val="22"/>
          <w:lang w:val="es-CR"/>
        </w:rPr>
        <w:t>Vivienda, por lo</w:t>
      </w:r>
      <w:r>
        <w:rPr>
          <w:rFonts w:cs="Arial"/>
          <w:sz w:val="22"/>
          <w:lang w:val="es-CR"/>
        </w:rPr>
        <w:t xml:space="preserve"> </w:t>
      </w:r>
      <w:r w:rsidRPr="00474D7E">
        <w:rPr>
          <w:rFonts w:cs="Arial"/>
          <w:sz w:val="22"/>
          <w:lang w:val="es-CR"/>
        </w:rPr>
        <w:t xml:space="preserve">que no se considera conveniente el ingreso de nuevos activos para </w:t>
      </w:r>
      <w:r>
        <w:rPr>
          <w:rFonts w:cs="Arial"/>
          <w:sz w:val="22"/>
          <w:lang w:val="es-CR"/>
        </w:rPr>
        <w:t>la</w:t>
      </w:r>
      <w:r w:rsidRPr="00474D7E">
        <w:rPr>
          <w:rFonts w:cs="Arial"/>
          <w:sz w:val="22"/>
          <w:lang w:val="es-CR"/>
        </w:rPr>
        <w:t xml:space="preserve"> administraci</w:t>
      </w:r>
      <w:r>
        <w:rPr>
          <w:rFonts w:cs="Arial"/>
          <w:sz w:val="22"/>
          <w:lang w:val="es-CR"/>
        </w:rPr>
        <w:t xml:space="preserve">ón </w:t>
      </w:r>
      <w:r w:rsidRPr="00474D7E">
        <w:rPr>
          <w:rFonts w:cs="Arial"/>
          <w:sz w:val="22"/>
          <w:lang w:val="es-CR"/>
        </w:rPr>
        <w:t>de esas</w:t>
      </w:r>
      <w:r>
        <w:rPr>
          <w:rFonts w:cs="Arial"/>
          <w:sz w:val="22"/>
          <w:lang w:val="es-CR"/>
        </w:rPr>
        <w:t xml:space="preserve"> á</w:t>
      </w:r>
      <w:r w:rsidRPr="00474D7E">
        <w:rPr>
          <w:rFonts w:cs="Arial"/>
          <w:sz w:val="22"/>
          <w:lang w:val="es-CR"/>
        </w:rPr>
        <w:t>reas en el corto plazo.</w:t>
      </w:r>
    </w:p>
    <w:p w14:paraId="62A85AA1" w14:textId="521B061A" w:rsidR="00C72E0B" w:rsidRPr="00474D7E" w:rsidRDefault="00C72E0B" w:rsidP="00C72E0B">
      <w:pPr>
        <w:spacing w:line="360" w:lineRule="auto"/>
        <w:jc w:val="both"/>
        <w:rPr>
          <w:rFonts w:cs="Arial"/>
          <w:sz w:val="22"/>
          <w:lang w:val="es-CR"/>
        </w:rPr>
      </w:pPr>
      <w:r>
        <w:rPr>
          <w:rFonts w:cs="Arial"/>
          <w:sz w:val="22"/>
          <w:lang w:val="es-CR"/>
        </w:rPr>
        <w:t xml:space="preserve">d) </w:t>
      </w:r>
      <w:r w:rsidR="00F67499">
        <w:rPr>
          <w:rFonts w:cs="Arial"/>
          <w:sz w:val="22"/>
          <w:lang w:val="es-CR"/>
        </w:rPr>
        <w:t xml:space="preserve">El </w:t>
      </w:r>
      <w:r w:rsidRPr="00474D7E">
        <w:rPr>
          <w:rFonts w:cs="Arial"/>
          <w:sz w:val="22"/>
          <w:lang w:val="es-CR"/>
        </w:rPr>
        <w:t>traslado de los activos de referen</w:t>
      </w:r>
      <w:r>
        <w:rPr>
          <w:rFonts w:cs="Arial"/>
          <w:sz w:val="22"/>
          <w:lang w:val="es-CR"/>
        </w:rPr>
        <w:t>cia</w:t>
      </w:r>
      <w:r w:rsidRPr="00474D7E">
        <w:rPr>
          <w:rFonts w:cs="Arial"/>
          <w:sz w:val="22"/>
          <w:lang w:val="es-CR"/>
        </w:rPr>
        <w:t xml:space="preserve"> al BANHVI</w:t>
      </w:r>
      <w:r w:rsidR="00F67499">
        <w:rPr>
          <w:rFonts w:cs="Arial"/>
          <w:sz w:val="22"/>
          <w:lang w:val="es-CR"/>
        </w:rPr>
        <w:t>,</w:t>
      </w:r>
      <w:r w:rsidRPr="00474D7E">
        <w:rPr>
          <w:rFonts w:cs="Arial"/>
          <w:sz w:val="22"/>
          <w:lang w:val="es-CR"/>
        </w:rPr>
        <w:t xml:space="preserve"> implica incurrir en costos</w:t>
      </w:r>
      <w:r>
        <w:rPr>
          <w:rFonts w:cs="Arial"/>
          <w:sz w:val="22"/>
          <w:lang w:val="es-CR"/>
        </w:rPr>
        <w:t xml:space="preserve"> </w:t>
      </w:r>
      <w:r w:rsidRPr="00474D7E">
        <w:rPr>
          <w:rFonts w:cs="Arial"/>
          <w:sz w:val="22"/>
          <w:lang w:val="es-CR"/>
        </w:rPr>
        <w:t>asociados a los traspasos registrales por cesiones de hipotecas, bienes inmuebles y cesiones de</w:t>
      </w:r>
      <w:r>
        <w:rPr>
          <w:rFonts w:cs="Arial"/>
          <w:sz w:val="22"/>
          <w:lang w:val="es-CR"/>
        </w:rPr>
        <w:t xml:space="preserve"> </w:t>
      </w:r>
      <w:r w:rsidRPr="00474D7E">
        <w:rPr>
          <w:rFonts w:cs="Arial"/>
          <w:sz w:val="22"/>
          <w:lang w:val="es-CR"/>
        </w:rPr>
        <w:t>derechos litigiosos de operaciones en proceso de cobro judicial.</w:t>
      </w:r>
    </w:p>
    <w:p w14:paraId="6FA9CB7F" w14:textId="71C60183" w:rsidR="00C72E0B" w:rsidRPr="00474D7E" w:rsidRDefault="00C72E0B" w:rsidP="00C72E0B">
      <w:pPr>
        <w:spacing w:line="360" w:lineRule="auto"/>
        <w:jc w:val="both"/>
        <w:rPr>
          <w:rFonts w:cs="Arial"/>
          <w:sz w:val="22"/>
          <w:lang w:val="es-CR"/>
        </w:rPr>
      </w:pPr>
      <w:r>
        <w:rPr>
          <w:rFonts w:cs="Arial"/>
          <w:sz w:val="22"/>
          <w:lang w:val="es-CR"/>
        </w:rPr>
        <w:lastRenderedPageBreak/>
        <w:t xml:space="preserve">e) </w:t>
      </w:r>
      <w:r w:rsidRPr="00474D7E">
        <w:rPr>
          <w:rFonts w:cs="Arial"/>
          <w:sz w:val="22"/>
          <w:lang w:val="es-CR"/>
        </w:rPr>
        <w:t>La comisi</w:t>
      </w:r>
      <w:r>
        <w:rPr>
          <w:rFonts w:cs="Arial"/>
          <w:sz w:val="22"/>
          <w:lang w:val="es-CR"/>
        </w:rPr>
        <w:t xml:space="preserve">ón </w:t>
      </w:r>
      <w:r w:rsidRPr="00474D7E">
        <w:rPr>
          <w:rFonts w:cs="Arial"/>
          <w:sz w:val="22"/>
          <w:lang w:val="es-CR"/>
        </w:rPr>
        <w:t>m</w:t>
      </w:r>
      <w:r>
        <w:rPr>
          <w:rFonts w:cs="Arial"/>
          <w:sz w:val="22"/>
          <w:lang w:val="es-CR"/>
        </w:rPr>
        <w:t>í</w:t>
      </w:r>
      <w:r w:rsidRPr="00474D7E">
        <w:rPr>
          <w:rFonts w:cs="Arial"/>
          <w:sz w:val="22"/>
          <w:lang w:val="es-CR"/>
        </w:rPr>
        <w:t>nima que se cancela en forma mensual a MUCAP en su calidad de Fiduciario del</w:t>
      </w:r>
      <w:r>
        <w:rPr>
          <w:rFonts w:cs="Arial"/>
          <w:sz w:val="22"/>
          <w:lang w:val="es-CR"/>
        </w:rPr>
        <w:t xml:space="preserve"> </w:t>
      </w:r>
      <w:r w:rsidRPr="00474D7E">
        <w:rPr>
          <w:rFonts w:cs="Arial"/>
          <w:sz w:val="22"/>
          <w:lang w:val="es-CR"/>
        </w:rPr>
        <w:t>BANHVI</w:t>
      </w:r>
      <w:r w:rsidR="00F67499">
        <w:rPr>
          <w:rFonts w:cs="Arial"/>
          <w:sz w:val="22"/>
          <w:lang w:val="es-CR"/>
        </w:rPr>
        <w:t>,</w:t>
      </w:r>
      <w:r w:rsidRPr="00474D7E">
        <w:rPr>
          <w:rFonts w:cs="Arial"/>
          <w:sz w:val="22"/>
          <w:lang w:val="es-CR"/>
        </w:rPr>
        <w:t xml:space="preserve"> contempla </w:t>
      </w:r>
      <w:r>
        <w:rPr>
          <w:rFonts w:cs="Arial"/>
          <w:sz w:val="22"/>
          <w:lang w:val="es-CR"/>
        </w:rPr>
        <w:t>la</w:t>
      </w:r>
      <w:r w:rsidRPr="00474D7E">
        <w:rPr>
          <w:rFonts w:cs="Arial"/>
          <w:sz w:val="22"/>
          <w:lang w:val="es-CR"/>
        </w:rPr>
        <w:t xml:space="preserve"> administraci</w:t>
      </w:r>
      <w:r>
        <w:rPr>
          <w:rFonts w:cs="Arial"/>
          <w:sz w:val="22"/>
          <w:lang w:val="es-CR"/>
        </w:rPr>
        <w:t xml:space="preserve">ón </w:t>
      </w:r>
      <w:r w:rsidRPr="00474D7E">
        <w:rPr>
          <w:rFonts w:cs="Arial"/>
          <w:sz w:val="22"/>
          <w:lang w:val="es-CR"/>
        </w:rPr>
        <w:t>de los tres Fideicomisos administrados. En este sentido,</w:t>
      </w:r>
      <w:r>
        <w:rPr>
          <w:rFonts w:cs="Arial"/>
          <w:sz w:val="22"/>
          <w:lang w:val="es-CR"/>
        </w:rPr>
        <w:t xml:space="preserve"> </w:t>
      </w:r>
      <w:r w:rsidRPr="00474D7E">
        <w:rPr>
          <w:rFonts w:cs="Arial"/>
          <w:sz w:val="22"/>
          <w:lang w:val="es-CR"/>
        </w:rPr>
        <w:t xml:space="preserve">siendo que con el vencimiento del Fideicomiso 010-2002, </w:t>
      </w:r>
      <w:r>
        <w:rPr>
          <w:rFonts w:cs="Arial"/>
          <w:sz w:val="22"/>
          <w:lang w:val="es-CR"/>
        </w:rPr>
        <w:t>la</w:t>
      </w:r>
      <w:r w:rsidRPr="00474D7E">
        <w:rPr>
          <w:rFonts w:cs="Arial"/>
          <w:sz w:val="22"/>
          <w:lang w:val="es-CR"/>
        </w:rPr>
        <w:t xml:space="preserve"> Entidad tendr</w:t>
      </w:r>
      <w:r>
        <w:rPr>
          <w:rFonts w:cs="Arial"/>
          <w:sz w:val="22"/>
          <w:lang w:val="es-CR"/>
        </w:rPr>
        <w:t>á</w:t>
      </w:r>
      <w:r w:rsidRPr="00474D7E">
        <w:rPr>
          <w:rFonts w:cs="Arial"/>
          <w:sz w:val="22"/>
          <w:lang w:val="es-CR"/>
        </w:rPr>
        <w:t xml:space="preserve"> que mantener en</w:t>
      </w:r>
      <w:r>
        <w:rPr>
          <w:rFonts w:cs="Arial"/>
          <w:sz w:val="22"/>
          <w:lang w:val="es-CR"/>
        </w:rPr>
        <w:t xml:space="preserve"> </w:t>
      </w:r>
      <w:r w:rsidRPr="00474D7E">
        <w:rPr>
          <w:rFonts w:cs="Arial"/>
          <w:sz w:val="22"/>
          <w:lang w:val="es-CR"/>
        </w:rPr>
        <w:t>ejecuci</w:t>
      </w:r>
      <w:r>
        <w:rPr>
          <w:rFonts w:cs="Arial"/>
          <w:sz w:val="22"/>
          <w:lang w:val="es-CR"/>
        </w:rPr>
        <w:t>ón la</w:t>
      </w:r>
      <w:r w:rsidRPr="00474D7E">
        <w:rPr>
          <w:rFonts w:cs="Arial"/>
          <w:sz w:val="22"/>
          <w:lang w:val="es-CR"/>
        </w:rPr>
        <w:t xml:space="preserve"> mayor parte de las labores que desarrolla actualmente, el finiquito de este Contrato</w:t>
      </w:r>
      <w:r>
        <w:rPr>
          <w:rFonts w:cs="Arial"/>
          <w:sz w:val="22"/>
          <w:lang w:val="es-CR"/>
        </w:rPr>
        <w:t xml:space="preserve"> </w:t>
      </w:r>
      <w:r w:rsidRPr="00474D7E">
        <w:rPr>
          <w:rFonts w:cs="Arial"/>
          <w:sz w:val="22"/>
          <w:lang w:val="es-CR"/>
        </w:rPr>
        <w:t>no estar</w:t>
      </w:r>
      <w:r>
        <w:rPr>
          <w:rFonts w:cs="Arial"/>
          <w:sz w:val="22"/>
          <w:lang w:val="es-CR"/>
        </w:rPr>
        <w:t>í</w:t>
      </w:r>
      <w:r w:rsidRPr="00474D7E">
        <w:rPr>
          <w:rFonts w:cs="Arial"/>
          <w:sz w:val="22"/>
          <w:lang w:val="es-CR"/>
        </w:rPr>
        <w:t>a generando una reducci</w:t>
      </w:r>
      <w:r>
        <w:rPr>
          <w:rFonts w:cs="Arial"/>
          <w:sz w:val="22"/>
          <w:lang w:val="es-CR"/>
        </w:rPr>
        <w:t>ó</w:t>
      </w:r>
      <w:r w:rsidRPr="00474D7E">
        <w:rPr>
          <w:rFonts w:cs="Arial"/>
          <w:sz w:val="22"/>
          <w:lang w:val="es-CR"/>
        </w:rPr>
        <w:t>n en los gastos por concepto de comisiones fiduciarias al</w:t>
      </w:r>
      <w:r>
        <w:rPr>
          <w:rFonts w:cs="Arial"/>
          <w:sz w:val="22"/>
          <w:lang w:val="es-CR"/>
        </w:rPr>
        <w:t xml:space="preserve"> </w:t>
      </w:r>
      <w:r w:rsidRPr="00474D7E">
        <w:rPr>
          <w:rFonts w:cs="Arial"/>
          <w:sz w:val="22"/>
          <w:lang w:val="es-CR"/>
        </w:rPr>
        <w:t>BANHVI.</w:t>
      </w:r>
    </w:p>
    <w:p w14:paraId="5FF0AE63" w14:textId="77777777" w:rsidR="00C72E0B" w:rsidRDefault="00C72E0B" w:rsidP="00C72E0B">
      <w:pPr>
        <w:spacing w:line="360" w:lineRule="auto"/>
        <w:jc w:val="both"/>
        <w:rPr>
          <w:rFonts w:cs="Arial"/>
          <w:sz w:val="22"/>
          <w:lang w:val="es-ES_tradnl"/>
        </w:rPr>
      </w:pPr>
      <w:r>
        <w:rPr>
          <w:rFonts w:cs="Arial"/>
          <w:sz w:val="22"/>
          <w:lang w:val="es-CR"/>
        </w:rPr>
        <w:t xml:space="preserve">f) La </w:t>
      </w:r>
      <w:r w:rsidRPr="00474D7E">
        <w:rPr>
          <w:rFonts w:cs="Arial"/>
          <w:sz w:val="22"/>
          <w:lang w:val="es-CR"/>
        </w:rPr>
        <w:t>MUCAP ha man</w:t>
      </w:r>
      <w:r>
        <w:rPr>
          <w:rFonts w:cs="Arial"/>
          <w:sz w:val="22"/>
          <w:lang w:val="es-CR"/>
        </w:rPr>
        <w:t>i</w:t>
      </w:r>
      <w:r w:rsidRPr="00474D7E">
        <w:rPr>
          <w:rFonts w:cs="Arial"/>
          <w:sz w:val="22"/>
          <w:lang w:val="es-CR"/>
        </w:rPr>
        <w:t xml:space="preserve">festado encontrarse de acuerdo en continuar con </w:t>
      </w:r>
      <w:r>
        <w:rPr>
          <w:rFonts w:cs="Arial"/>
          <w:sz w:val="22"/>
          <w:lang w:val="es-CR"/>
        </w:rPr>
        <w:t>la</w:t>
      </w:r>
      <w:r w:rsidRPr="00474D7E">
        <w:rPr>
          <w:rFonts w:cs="Arial"/>
          <w:sz w:val="22"/>
          <w:lang w:val="es-CR"/>
        </w:rPr>
        <w:t xml:space="preserve"> administraci</w:t>
      </w:r>
      <w:r>
        <w:rPr>
          <w:rFonts w:cs="Arial"/>
          <w:sz w:val="22"/>
          <w:lang w:val="es-CR"/>
        </w:rPr>
        <w:t>ó</w:t>
      </w:r>
      <w:r w:rsidRPr="00474D7E">
        <w:rPr>
          <w:rFonts w:cs="Arial"/>
          <w:sz w:val="22"/>
          <w:lang w:val="es-CR"/>
        </w:rPr>
        <w:t>n de los tres</w:t>
      </w:r>
      <w:r>
        <w:rPr>
          <w:rFonts w:cs="Arial"/>
          <w:sz w:val="22"/>
          <w:lang w:val="es-CR"/>
        </w:rPr>
        <w:t xml:space="preserve"> </w:t>
      </w:r>
      <w:r w:rsidRPr="00474D7E">
        <w:rPr>
          <w:rFonts w:cs="Arial"/>
          <w:sz w:val="22"/>
          <w:lang w:val="es-CR"/>
        </w:rPr>
        <w:t>Fideicomisos actualmente administrados manteniendo las condiciones vigentes.</w:t>
      </w:r>
    </w:p>
    <w:p w14:paraId="22D2C2E9" w14:textId="77777777" w:rsidR="00C72E0B" w:rsidRDefault="00C72E0B" w:rsidP="0023255E">
      <w:pPr>
        <w:spacing w:line="360" w:lineRule="auto"/>
        <w:jc w:val="both"/>
        <w:rPr>
          <w:rFonts w:cs="Arial"/>
          <w:sz w:val="22"/>
        </w:rPr>
      </w:pPr>
    </w:p>
    <w:p w14:paraId="43CBD5EC" w14:textId="77777777" w:rsidR="0023255E" w:rsidRDefault="0023255E" w:rsidP="0023255E">
      <w:pPr>
        <w:spacing w:line="360" w:lineRule="auto"/>
        <w:jc w:val="both"/>
        <w:rPr>
          <w:rFonts w:cs="Arial"/>
          <w:sz w:val="22"/>
        </w:rPr>
      </w:pPr>
      <w:r>
        <w:rPr>
          <w:rFonts w:cs="Arial"/>
          <w:b/>
          <w:sz w:val="22"/>
        </w:rPr>
        <w:t>Tercero</w:t>
      </w:r>
      <w:r w:rsidRPr="008634D1">
        <w:rPr>
          <w:rFonts w:cs="Arial"/>
          <w:b/>
          <w:sz w:val="22"/>
        </w:rPr>
        <w:t>:</w:t>
      </w:r>
      <w:r>
        <w:rPr>
          <w:rFonts w:cs="Arial"/>
          <w:sz w:val="22"/>
        </w:rPr>
        <w:t xml:space="preserve"> Que esta </w:t>
      </w:r>
      <w:r w:rsidRPr="0032564B">
        <w:rPr>
          <w:rFonts w:cs="Arial"/>
          <w:sz w:val="22"/>
        </w:rPr>
        <w:t>Junta Directiva</w:t>
      </w:r>
      <w:r>
        <w:rPr>
          <w:rFonts w:cs="Arial"/>
          <w:sz w:val="22"/>
        </w:rPr>
        <w:t xml:space="preserve"> estima pertinente actuar de la forma que recomienda la </w:t>
      </w:r>
      <w:r w:rsidRPr="00C80557">
        <w:rPr>
          <w:rFonts w:cs="Arial"/>
          <w:sz w:val="22"/>
          <w:szCs w:val="22"/>
        </w:rPr>
        <w:t>Administración</w:t>
      </w:r>
      <w:r>
        <w:rPr>
          <w:rFonts w:cs="Arial"/>
          <w:sz w:val="22"/>
        </w:rPr>
        <w:t xml:space="preserve">, en el tanto se ha documentado que ésta es técnica y financieramente razonable, es jurídicamente viable y se ajusta a los intereses de este Banco y del </w:t>
      </w:r>
      <w:r w:rsidRPr="00C3092D">
        <w:rPr>
          <w:rFonts w:cs="Arial"/>
          <w:sz w:val="22"/>
        </w:rPr>
        <w:t>Sistema Financiero Nacional para la Vivienda</w:t>
      </w:r>
      <w:r>
        <w:rPr>
          <w:rFonts w:cs="Arial"/>
          <w:sz w:val="22"/>
        </w:rPr>
        <w:t>.</w:t>
      </w:r>
    </w:p>
    <w:p w14:paraId="7DDA9CFE" w14:textId="77777777" w:rsidR="0023255E" w:rsidRPr="002C3C54" w:rsidRDefault="0023255E" w:rsidP="0023255E">
      <w:pPr>
        <w:spacing w:line="360" w:lineRule="auto"/>
        <w:jc w:val="both"/>
        <w:rPr>
          <w:rFonts w:cs="Arial"/>
          <w:sz w:val="16"/>
          <w:szCs w:val="16"/>
        </w:rPr>
      </w:pPr>
    </w:p>
    <w:p w14:paraId="46C5A972" w14:textId="77777777" w:rsidR="0023255E" w:rsidRPr="00A44841" w:rsidRDefault="0023255E" w:rsidP="0023255E">
      <w:pPr>
        <w:spacing w:line="360" w:lineRule="auto"/>
        <w:jc w:val="both"/>
        <w:rPr>
          <w:rFonts w:cs="Arial"/>
          <w:b/>
          <w:sz w:val="22"/>
        </w:rPr>
      </w:pPr>
      <w:r w:rsidRPr="00A44841">
        <w:rPr>
          <w:rFonts w:cs="Arial"/>
          <w:b/>
          <w:sz w:val="22"/>
        </w:rPr>
        <w:t>Por tanto, se acuerda:</w:t>
      </w:r>
    </w:p>
    <w:p w14:paraId="0F256EAC" w14:textId="66490A41" w:rsidR="00F67499" w:rsidRDefault="0023255E" w:rsidP="00F67499">
      <w:pPr>
        <w:spacing w:line="360" w:lineRule="auto"/>
        <w:jc w:val="both"/>
        <w:rPr>
          <w:rFonts w:cs="Arial"/>
          <w:sz w:val="22"/>
          <w:szCs w:val="22"/>
          <w:lang w:val="es-CR"/>
        </w:rPr>
      </w:pPr>
      <w:r>
        <w:rPr>
          <w:rFonts w:cs="Arial"/>
          <w:sz w:val="22"/>
          <w:szCs w:val="22"/>
          <w:lang w:val="es-CR"/>
        </w:rPr>
        <w:t>Autorizar la renovación del</w:t>
      </w:r>
      <w:r w:rsidRPr="00C80557">
        <w:rPr>
          <w:rFonts w:cs="Arial"/>
          <w:sz w:val="22"/>
          <w:szCs w:val="22"/>
          <w:lang w:val="es-CR"/>
        </w:rPr>
        <w:t xml:space="preserve"> Contrato del Fideicomiso </w:t>
      </w:r>
      <w:r w:rsidR="00527DB5">
        <w:rPr>
          <w:rFonts w:cs="Arial"/>
          <w:sz w:val="22"/>
          <w:lang w:val="es-ES_tradnl"/>
        </w:rPr>
        <w:t xml:space="preserve">010-2002 (MUGAP), administrado por la Mutual Cartago </w:t>
      </w:r>
      <w:r w:rsidR="00527DB5" w:rsidRPr="00474D7E">
        <w:rPr>
          <w:rFonts w:cs="Arial"/>
          <w:sz w:val="22"/>
          <w:lang w:val="es-ES_tradnl"/>
        </w:rPr>
        <w:t>de Ahorro y Préstamo</w:t>
      </w:r>
      <w:r w:rsidR="00527DB5">
        <w:rPr>
          <w:rFonts w:cs="Arial"/>
          <w:sz w:val="22"/>
          <w:lang w:val="es-ES_tradnl"/>
        </w:rPr>
        <w:t xml:space="preserve">, </w:t>
      </w:r>
      <w:r w:rsidR="00F67499" w:rsidRPr="00F67499">
        <w:rPr>
          <w:rFonts w:cs="Arial"/>
          <w:sz w:val="22"/>
          <w:szCs w:val="22"/>
          <w:lang w:val="es-CR"/>
        </w:rPr>
        <w:t>manteniendo las</w:t>
      </w:r>
      <w:r w:rsidR="00F67499">
        <w:rPr>
          <w:rFonts w:cs="Arial"/>
          <w:sz w:val="22"/>
          <w:szCs w:val="22"/>
          <w:lang w:val="es-CR"/>
        </w:rPr>
        <w:t xml:space="preserve"> </w:t>
      </w:r>
      <w:r w:rsidR="00F67499" w:rsidRPr="00F67499">
        <w:rPr>
          <w:rFonts w:cs="Arial"/>
          <w:sz w:val="22"/>
          <w:szCs w:val="22"/>
          <w:lang w:val="es-CR"/>
        </w:rPr>
        <w:t>condiciones vigentes y por un plazo hasta el 31 de diciembre de 2021</w:t>
      </w:r>
      <w:r w:rsidR="00527DB5">
        <w:rPr>
          <w:rFonts w:cs="Arial"/>
          <w:sz w:val="22"/>
          <w:szCs w:val="22"/>
          <w:lang w:val="es-CR"/>
        </w:rPr>
        <w:t xml:space="preserve"> o</w:t>
      </w:r>
      <w:r w:rsidR="00F67499" w:rsidRPr="00F67499">
        <w:rPr>
          <w:rFonts w:cs="Arial"/>
          <w:sz w:val="22"/>
          <w:szCs w:val="22"/>
          <w:lang w:val="es-CR"/>
        </w:rPr>
        <w:t xml:space="preserve"> hasta que se agote su objeto,</w:t>
      </w:r>
      <w:r w:rsidR="00F67499">
        <w:rPr>
          <w:rFonts w:cs="Arial"/>
          <w:sz w:val="22"/>
          <w:szCs w:val="22"/>
          <w:lang w:val="es-CR"/>
        </w:rPr>
        <w:t xml:space="preserve"> </w:t>
      </w:r>
      <w:r w:rsidR="00F67499" w:rsidRPr="00F67499">
        <w:rPr>
          <w:rFonts w:cs="Arial"/>
          <w:sz w:val="22"/>
          <w:szCs w:val="22"/>
          <w:lang w:val="es-CR"/>
        </w:rPr>
        <w:t>lo que suceda primero.</w:t>
      </w:r>
    </w:p>
    <w:p w14:paraId="469B9E17" w14:textId="6DA70C89" w:rsidR="002B71CC" w:rsidRPr="00AB2826" w:rsidRDefault="002B71CC" w:rsidP="002B71CC">
      <w:pPr>
        <w:pStyle w:val="Ttulo2"/>
        <w:spacing w:line="360" w:lineRule="auto"/>
        <w:rPr>
          <w:rFonts w:cs="Arial"/>
          <w:szCs w:val="22"/>
          <w:lang w:val="es-ES_tradnl"/>
        </w:rPr>
      </w:pPr>
      <w:r w:rsidRPr="00AB2826">
        <w:rPr>
          <w:rFonts w:cs="Arial"/>
          <w:szCs w:val="22"/>
        </w:rPr>
        <w:t>Acuerdo Unánime.-</w:t>
      </w:r>
    </w:p>
    <w:p w14:paraId="5B0CC380" w14:textId="77777777" w:rsidR="002B71CC" w:rsidRPr="00D14EAF" w:rsidRDefault="002B71CC" w:rsidP="002B71CC">
      <w:pPr>
        <w:spacing w:line="360" w:lineRule="auto"/>
        <w:jc w:val="both"/>
        <w:rPr>
          <w:rFonts w:cs="Arial"/>
          <w:b/>
          <w:sz w:val="22"/>
        </w:rPr>
      </w:pPr>
      <w:r w:rsidRPr="00D14EAF">
        <w:rPr>
          <w:rFonts w:cs="Arial"/>
          <w:b/>
          <w:sz w:val="22"/>
        </w:rPr>
        <w:t>************</w:t>
      </w:r>
    </w:p>
    <w:p w14:paraId="2132ECE1" w14:textId="77777777" w:rsidR="002B71CC" w:rsidRDefault="002B71CC" w:rsidP="002B71CC">
      <w:pPr>
        <w:spacing w:line="360" w:lineRule="auto"/>
        <w:jc w:val="both"/>
        <w:rPr>
          <w:rFonts w:cs="Arial"/>
          <w:sz w:val="22"/>
          <w:lang w:val="es-ES_tradnl"/>
        </w:rPr>
      </w:pPr>
    </w:p>
    <w:p w14:paraId="39B6256B"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4</w:t>
      </w:r>
      <w:r w:rsidRPr="00AB2826">
        <w:rPr>
          <w:rFonts w:cs="Arial"/>
          <w:szCs w:val="22"/>
        </w:rPr>
        <w:t>:</w:t>
      </w:r>
    </w:p>
    <w:p w14:paraId="58B75345" w14:textId="77777777" w:rsidR="009D75D6" w:rsidRPr="00596D5F" w:rsidRDefault="009D75D6" w:rsidP="009D75D6">
      <w:pPr>
        <w:spacing w:line="360" w:lineRule="auto"/>
        <w:jc w:val="both"/>
        <w:rPr>
          <w:b/>
          <w:bCs/>
          <w:sz w:val="22"/>
          <w:szCs w:val="22"/>
        </w:rPr>
      </w:pPr>
      <w:r w:rsidRPr="00596D5F">
        <w:rPr>
          <w:b/>
          <w:bCs/>
          <w:sz w:val="22"/>
          <w:szCs w:val="22"/>
        </w:rPr>
        <w:t>Considerando:</w:t>
      </w:r>
    </w:p>
    <w:p w14:paraId="0C026FD0" w14:textId="0D07E66C" w:rsidR="009D75D6" w:rsidRPr="005F3B2E" w:rsidRDefault="009D75D6" w:rsidP="009D75D6">
      <w:pPr>
        <w:spacing w:line="360" w:lineRule="auto"/>
        <w:jc w:val="both"/>
        <w:rPr>
          <w:sz w:val="22"/>
          <w:szCs w:val="22"/>
        </w:rPr>
      </w:pPr>
      <w:r w:rsidRPr="00B373B0">
        <w:rPr>
          <w:b/>
          <w:bCs/>
          <w:sz w:val="22"/>
          <w:szCs w:val="22"/>
        </w:rPr>
        <w:t>Primero:</w:t>
      </w:r>
      <w:r>
        <w:rPr>
          <w:sz w:val="22"/>
          <w:szCs w:val="22"/>
        </w:rPr>
        <w:t xml:space="preserve"> Que por medio del oficio GG-ME-0692-2020 del 24 de junio de 2020</w:t>
      </w:r>
      <w:r w:rsidR="009F5106" w:rsidRPr="009F5106">
        <w:rPr>
          <w:sz w:val="22"/>
          <w:szCs w:val="22"/>
        </w:rPr>
        <w:t xml:space="preserve"> </w:t>
      </w:r>
      <w:r w:rsidR="009F5106">
        <w:rPr>
          <w:sz w:val="22"/>
          <w:szCs w:val="22"/>
        </w:rPr>
        <w:t xml:space="preserve">y </w:t>
      </w:r>
      <w:r w:rsidR="009F5106">
        <w:rPr>
          <w:sz w:val="22"/>
          <w:szCs w:val="22"/>
        </w:rPr>
        <w:t>de conformidad con lo establecido en el artículo 7 del Acuerdo SUGEF 1-05 “Reglamento para la calificación de deudores”,</w:t>
      </w:r>
      <w:r>
        <w:rPr>
          <w:rFonts w:cs="Arial"/>
          <w:sz w:val="22"/>
          <w:szCs w:val="22"/>
          <w:lang w:val="es-ES_tradnl"/>
        </w:rPr>
        <w:t xml:space="preserve"> la </w:t>
      </w:r>
      <w:r w:rsidRPr="00F54581">
        <w:rPr>
          <w:rFonts w:cs="Arial"/>
          <w:sz w:val="22"/>
          <w:szCs w:val="22"/>
          <w:lang w:val="es-ES_tradnl"/>
        </w:rPr>
        <w:t>Gerencia General</w:t>
      </w:r>
      <w:r>
        <w:rPr>
          <w:sz w:val="22"/>
          <w:szCs w:val="22"/>
        </w:rPr>
        <w:t xml:space="preserve"> somete a la consideración de esta Junta Directiva</w:t>
      </w:r>
      <w:r w:rsidR="009F5106">
        <w:rPr>
          <w:sz w:val="22"/>
          <w:szCs w:val="22"/>
        </w:rPr>
        <w:t>,</w:t>
      </w:r>
      <w:r w:rsidR="009F5106" w:rsidRPr="009F5106">
        <w:rPr>
          <w:rFonts w:cs="Arial"/>
          <w:sz w:val="22"/>
          <w:lang w:val="es-ES_tradnl"/>
        </w:rPr>
        <w:t xml:space="preserve"> </w:t>
      </w:r>
      <w:r w:rsidR="009F5106">
        <w:rPr>
          <w:rFonts w:cs="Arial"/>
          <w:sz w:val="22"/>
          <w:lang w:val="es-ES_tradnl"/>
        </w:rPr>
        <w:t>el informe DFNV-248-2020 de la Dirección FONAVI,</w:t>
      </w:r>
      <w:r w:rsidR="009F5106">
        <w:rPr>
          <w:rFonts w:cs="Arial"/>
          <w:sz w:val="22"/>
          <w:lang w:val="es-ES_tradnl"/>
        </w:rPr>
        <w:t xml:space="preserve"> que contiene una </w:t>
      </w:r>
      <w:r>
        <w:rPr>
          <w:sz w:val="22"/>
          <w:szCs w:val="22"/>
        </w:rPr>
        <w:t xml:space="preserve">propuesta </w:t>
      </w:r>
      <w:r w:rsidR="009F5106">
        <w:rPr>
          <w:sz w:val="22"/>
          <w:szCs w:val="22"/>
        </w:rPr>
        <w:t xml:space="preserve">para </w:t>
      </w:r>
      <w:r>
        <w:rPr>
          <w:sz w:val="22"/>
          <w:szCs w:val="22"/>
        </w:rPr>
        <w:t>actualiza</w:t>
      </w:r>
      <w:r w:rsidR="009F5106">
        <w:rPr>
          <w:sz w:val="22"/>
          <w:szCs w:val="22"/>
        </w:rPr>
        <w:t xml:space="preserve">r la </w:t>
      </w:r>
      <w:r>
        <w:rPr>
          <w:rFonts w:cs="Arial"/>
          <w:sz w:val="22"/>
          <w:lang w:val="es-ES_tradnl"/>
        </w:rPr>
        <w:t xml:space="preserve">“Metodología para el análisis de la capacidad de pago de las entidades deudoras del BANHVI” </w:t>
      </w:r>
      <w:r w:rsidRPr="008703E9">
        <w:rPr>
          <w:rFonts w:cs="Arial"/>
          <w:sz w:val="22"/>
          <w:lang w:val="es-CR"/>
        </w:rPr>
        <w:t>(FON</w:t>
      </w:r>
      <w:r>
        <w:rPr>
          <w:rFonts w:cs="Arial"/>
          <w:sz w:val="22"/>
          <w:lang w:val="es-CR"/>
        </w:rPr>
        <w:t>-</w:t>
      </w:r>
      <w:r w:rsidRPr="008703E9">
        <w:rPr>
          <w:rFonts w:cs="Arial"/>
          <w:sz w:val="22"/>
          <w:lang w:val="es-CR"/>
        </w:rPr>
        <w:t>MET</w:t>
      </w:r>
      <w:r>
        <w:rPr>
          <w:rFonts w:cs="Arial"/>
          <w:sz w:val="22"/>
          <w:lang w:val="es-CR"/>
        </w:rPr>
        <w:t>-</w:t>
      </w:r>
      <w:r w:rsidRPr="008703E9">
        <w:rPr>
          <w:rFonts w:cs="Arial"/>
          <w:sz w:val="22"/>
          <w:lang w:val="es-CR"/>
        </w:rPr>
        <w:t>CRE</w:t>
      </w:r>
      <w:r>
        <w:rPr>
          <w:rFonts w:cs="Arial"/>
          <w:sz w:val="22"/>
          <w:lang w:val="es-CR"/>
        </w:rPr>
        <w:t>-</w:t>
      </w:r>
      <w:r w:rsidRPr="008703E9">
        <w:rPr>
          <w:rFonts w:cs="Arial"/>
          <w:sz w:val="22"/>
          <w:lang w:val="es-CR"/>
        </w:rPr>
        <w:t>01),</w:t>
      </w:r>
      <w:r>
        <w:rPr>
          <w:bCs/>
          <w:sz w:val="22"/>
          <w:szCs w:val="22"/>
        </w:rPr>
        <w:t xml:space="preserve"> </w:t>
      </w:r>
      <w:r>
        <w:rPr>
          <w:sz w:val="22"/>
          <w:szCs w:val="22"/>
        </w:rPr>
        <w:t>avalada por el Comité de Crédito en la sesión N° 04-2020, celebrada el 02 de junio de 2020.</w:t>
      </w:r>
    </w:p>
    <w:p w14:paraId="548827B2" w14:textId="77777777" w:rsidR="009D75D6" w:rsidRDefault="009D75D6" w:rsidP="009D75D6">
      <w:pPr>
        <w:spacing w:line="360" w:lineRule="auto"/>
        <w:jc w:val="both"/>
        <w:rPr>
          <w:sz w:val="22"/>
          <w:szCs w:val="22"/>
        </w:rPr>
      </w:pPr>
    </w:p>
    <w:p w14:paraId="0667CD28" w14:textId="4A8390CC" w:rsidR="009D75D6" w:rsidRPr="005F3B2E" w:rsidRDefault="009D75D6" w:rsidP="009D75D6">
      <w:pPr>
        <w:spacing w:line="360" w:lineRule="auto"/>
        <w:jc w:val="both"/>
        <w:rPr>
          <w:sz w:val="22"/>
          <w:szCs w:val="22"/>
        </w:rPr>
      </w:pPr>
      <w:r w:rsidRPr="005D018E">
        <w:rPr>
          <w:b/>
          <w:bCs/>
          <w:sz w:val="22"/>
          <w:szCs w:val="22"/>
        </w:rPr>
        <w:t>Segundo:</w:t>
      </w:r>
      <w:r>
        <w:rPr>
          <w:sz w:val="22"/>
          <w:szCs w:val="22"/>
        </w:rPr>
        <w:t xml:space="preserve"> Que esta Junta Directiva no encuentra objeción en acoger la recomendación de la </w:t>
      </w:r>
      <w:r w:rsidRPr="005D018E">
        <w:rPr>
          <w:rFonts w:cs="Arial"/>
          <w:sz w:val="22"/>
          <w:szCs w:val="22"/>
          <w:lang w:val="es-ES_tradnl"/>
        </w:rPr>
        <w:t>Gerencia General</w:t>
      </w:r>
      <w:r>
        <w:rPr>
          <w:rFonts w:cs="Arial"/>
          <w:sz w:val="22"/>
          <w:szCs w:val="22"/>
          <w:lang w:val="es-ES_tradnl"/>
        </w:rPr>
        <w:t xml:space="preserve"> y de</w:t>
      </w:r>
      <w:r>
        <w:rPr>
          <w:sz w:val="22"/>
          <w:szCs w:val="22"/>
        </w:rPr>
        <w:t>l Comité de Crédito en todos sus extremos.</w:t>
      </w:r>
    </w:p>
    <w:p w14:paraId="573623D0" w14:textId="77777777" w:rsidR="009D75D6" w:rsidRDefault="009D75D6" w:rsidP="009D75D6">
      <w:pPr>
        <w:tabs>
          <w:tab w:val="left" w:pos="9360"/>
        </w:tabs>
        <w:spacing w:line="360" w:lineRule="auto"/>
        <w:jc w:val="both"/>
        <w:rPr>
          <w:sz w:val="22"/>
          <w:szCs w:val="22"/>
        </w:rPr>
      </w:pPr>
    </w:p>
    <w:p w14:paraId="5308C9D0" w14:textId="77777777" w:rsidR="009D75D6" w:rsidRPr="009A0B4C" w:rsidRDefault="009D75D6" w:rsidP="009D75D6">
      <w:pPr>
        <w:tabs>
          <w:tab w:val="left" w:pos="9360"/>
        </w:tabs>
        <w:spacing w:line="360" w:lineRule="auto"/>
        <w:jc w:val="both"/>
        <w:rPr>
          <w:b/>
          <w:bCs/>
          <w:sz w:val="22"/>
          <w:szCs w:val="22"/>
        </w:rPr>
      </w:pPr>
      <w:r w:rsidRPr="009A0B4C">
        <w:rPr>
          <w:b/>
          <w:bCs/>
          <w:sz w:val="22"/>
          <w:szCs w:val="22"/>
        </w:rPr>
        <w:t>Por tanto, se acuerda:</w:t>
      </w:r>
    </w:p>
    <w:p w14:paraId="131D42BF" w14:textId="1E1D009A" w:rsidR="002B71CC" w:rsidRDefault="009D75D6" w:rsidP="009D75D6">
      <w:pPr>
        <w:tabs>
          <w:tab w:val="left" w:pos="9360"/>
        </w:tabs>
        <w:spacing w:line="360" w:lineRule="auto"/>
        <w:jc w:val="both"/>
        <w:rPr>
          <w:rFonts w:cs="Arial"/>
          <w:sz w:val="22"/>
          <w:szCs w:val="22"/>
        </w:rPr>
      </w:pPr>
      <w:bookmarkStart w:id="4" w:name="_Hlk45001253"/>
      <w:r>
        <w:rPr>
          <w:sz w:val="22"/>
          <w:szCs w:val="22"/>
        </w:rPr>
        <w:t xml:space="preserve">Aprobar la actualización de la </w:t>
      </w:r>
      <w:r w:rsidRPr="009D75D6">
        <w:rPr>
          <w:rFonts w:cs="Arial"/>
          <w:i/>
          <w:iCs/>
          <w:sz w:val="22"/>
          <w:lang w:val="es-ES_tradnl"/>
        </w:rPr>
        <w:t xml:space="preserve">Metodología para el análisis de la capacidad de pago de las entidades deudoras del BANHVI </w:t>
      </w:r>
      <w:r w:rsidRPr="009D75D6">
        <w:rPr>
          <w:rFonts w:cs="Arial"/>
          <w:i/>
          <w:iCs/>
          <w:sz w:val="22"/>
          <w:lang w:val="es-CR"/>
        </w:rPr>
        <w:t>(FON-MET-CRE-01)</w:t>
      </w:r>
      <w:r>
        <w:rPr>
          <w:sz w:val="22"/>
          <w:szCs w:val="22"/>
        </w:rPr>
        <w:t>,</w:t>
      </w:r>
      <w:bookmarkEnd w:id="4"/>
      <w:r>
        <w:rPr>
          <w:sz w:val="22"/>
          <w:szCs w:val="22"/>
        </w:rPr>
        <w:t xml:space="preserve"> de conformidad con el documento que se adjunta al oficio GG-ME-0692-2020 de la </w:t>
      </w:r>
      <w:r w:rsidRPr="005D018E">
        <w:rPr>
          <w:rFonts w:cs="Arial"/>
          <w:sz w:val="22"/>
          <w:szCs w:val="22"/>
          <w:lang w:val="es-ES_tradnl"/>
        </w:rPr>
        <w:t>Gerencia General</w:t>
      </w:r>
      <w:r>
        <w:rPr>
          <w:sz w:val="22"/>
          <w:szCs w:val="22"/>
        </w:rPr>
        <w:t>, y el cual forma parte del expediente de la presente sesión.</w:t>
      </w:r>
    </w:p>
    <w:p w14:paraId="6496612B" w14:textId="272808C5" w:rsidR="002B71CC" w:rsidRPr="00AB2826" w:rsidRDefault="002B71CC" w:rsidP="002B71CC">
      <w:pPr>
        <w:pStyle w:val="Ttulo2"/>
        <w:spacing w:line="360" w:lineRule="auto"/>
        <w:rPr>
          <w:rFonts w:cs="Arial"/>
          <w:szCs w:val="22"/>
          <w:lang w:val="es-ES_tradnl"/>
        </w:rPr>
      </w:pPr>
      <w:r w:rsidRPr="00AB2826">
        <w:rPr>
          <w:rFonts w:cs="Arial"/>
          <w:szCs w:val="22"/>
        </w:rPr>
        <w:t>Acuerdo Unánime.-</w:t>
      </w:r>
    </w:p>
    <w:p w14:paraId="781A88E8" w14:textId="77777777" w:rsidR="002B71CC" w:rsidRPr="00D14EAF" w:rsidRDefault="002B71CC" w:rsidP="002B71CC">
      <w:pPr>
        <w:spacing w:line="360" w:lineRule="auto"/>
        <w:jc w:val="both"/>
        <w:rPr>
          <w:rFonts w:cs="Arial"/>
          <w:b/>
          <w:sz w:val="22"/>
        </w:rPr>
      </w:pPr>
      <w:r w:rsidRPr="00D14EAF">
        <w:rPr>
          <w:rFonts w:cs="Arial"/>
          <w:b/>
          <w:sz w:val="22"/>
        </w:rPr>
        <w:t>************</w:t>
      </w:r>
    </w:p>
    <w:p w14:paraId="6D194ADD" w14:textId="77777777" w:rsidR="002B71CC" w:rsidRDefault="002B71CC" w:rsidP="002B71CC">
      <w:pPr>
        <w:spacing w:line="360" w:lineRule="auto"/>
        <w:jc w:val="both"/>
        <w:rPr>
          <w:rFonts w:cs="Arial"/>
          <w:sz w:val="22"/>
          <w:lang w:val="es-ES_tradnl"/>
        </w:rPr>
      </w:pPr>
    </w:p>
    <w:p w14:paraId="46CF0A16" w14:textId="77777777" w:rsidR="002B71CC" w:rsidRPr="00AB2826" w:rsidRDefault="002B71CC" w:rsidP="00AB2826">
      <w:pPr>
        <w:spacing w:line="360" w:lineRule="auto"/>
        <w:jc w:val="both"/>
        <w:rPr>
          <w:rFonts w:cs="Arial"/>
          <w:sz w:val="22"/>
          <w:szCs w:val="22"/>
        </w:rPr>
      </w:pPr>
    </w:p>
    <w:sectPr w:rsidR="002B71CC" w:rsidRPr="00AB2826">
      <w:headerReference w:type="default" r:id="rId7"/>
      <w:pgSz w:w="12242" w:h="15842" w:code="1"/>
      <w:pgMar w:top="1418" w:right="1701" w:bottom="1418" w:left="1701" w:header="720" w:footer="720" w:gutter="0"/>
      <w:lnNumType w:countBy="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67071A" w14:textId="77777777" w:rsidR="000B574D" w:rsidRDefault="000B574D">
      <w:r>
        <w:separator/>
      </w:r>
    </w:p>
  </w:endnote>
  <w:endnote w:type="continuationSeparator" w:id="0">
    <w:p w14:paraId="213DB3B6" w14:textId="77777777" w:rsidR="000B574D" w:rsidRDefault="000B57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MT">
    <w:altName w:val="Arial"/>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C2CB35" w14:textId="77777777" w:rsidR="000B574D" w:rsidRDefault="000B574D">
      <w:r>
        <w:separator/>
      </w:r>
    </w:p>
  </w:footnote>
  <w:footnote w:type="continuationSeparator" w:id="0">
    <w:p w14:paraId="28A279A8" w14:textId="77777777" w:rsidR="000B574D" w:rsidRDefault="000B57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451EB2" w14:textId="77777777" w:rsidR="000B574D" w:rsidRDefault="000B574D">
    <w:pPr>
      <w:pStyle w:val="Encabezado"/>
      <w:rPr>
        <w:lang w:val="es-ES"/>
      </w:rPr>
    </w:pPr>
  </w:p>
  <w:p w14:paraId="16B75F05" w14:textId="3F53AC9F" w:rsidR="000B574D" w:rsidRDefault="000B574D">
    <w:pPr>
      <w:pStyle w:val="Encabezado"/>
      <w:rPr>
        <w:rStyle w:val="Nmerodepgina"/>
        <w:sz w:val="18"/>
      </w:rPr>
    </w:pPr>
    <w:r>
      <w:rPr>
        <w:sz w:val="18"/>
        <w:lang w:val="es-ES"/>
      </w:rPr>
      <w:t xml:space="preserve">    Minuta de la sesión Nº 48-2020                   25 de junio de 2020                                                         </w:t>
    </w:r>
    <w:r>
      <w:rPr>
        <w:rStyle w:val="Nmerodepgina"/>
        <w:sz w:val="18"/>
      </w:rPr>
      <w:fldChar w:fldCharType="begin"/>
    </w:r>
    <w:r>
      <w:rPr>
        <w:rStyle w:val="Nmerodepgina"/>
        <w:sz w:val="18"/>
      </w:rPr>
      <w:instrText xml:space="preserve"> PAGE </w:instrText>
    </w:r>
    <w:r>
      <w:rPr>
        <w:rStyle w:val="Nmerodepgina"/>
        <w:sz w:val="18"/>
      </w:rPr>
      <w:fldChar w:fldCharType="separate"/>
    </w:r>
    <w:r>
      <w:rPr>
        <w:rStyle w:val="Nmerodepgina"/>
        <w:noProof/>
        <w:sz w:val="18"/>
      </w:rPr>
      <w:t>17</w:t>
    </w:r>
    <w:r>
      <w:rPr>
        <w:rStyle w:val="Nmerodepgina"/>
        <w:sz w:val="18"/>
      </w:rPr>
      <w:fldChar w:fldCharType="end"/>
    </w:r>
  </w:p>
  <w:p w14:paraId="13C4F9D1" w14:textId="77777777" w:rsidR="000B574D" w:rsidRDefault="000B574D">
    <w:pPr>
      <w:pStyle w:val="Encabezado"/>
      <w:rPr>
        <w:sz w:val="18"/>
        <w:lang w:val="es-ES"/>
      </w:rPr>
    </w:pPr>
    <w:r>
      <w:rPr>
        <w:rStyle w:val="Nmerodepgina"/>
        <w:sz w:val="18"/>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64963266"/>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118323C"/>
    <w:multiLevelType w:val="hybridMultilevel"/>
    <w:tmpl w:val="D9A4FE60"/>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01A84A5B"/>
    <w:multiLevelType w:val="hybridMultilevel"/>
    <w:tmpl w:val="904C2F36"/>
    <w:lvl w:ilvl="0" w:tplc="92E4C7C0">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C2E002D"/>
    <w:multiLevelType w:val="hybridMultilevel"/>
    <w:tmpl w:val="1AF8DD08"/>
    <w:lvl w:ilvl="0" w:tplc="7B6088C2">
      <w:start w:val="1"/>
      <w:numFmt w:val="lowerLetter"/>
      <w:lvlText w:val="%1)"/>
      <w:lvlJc w:val="left"/>
      <w:pPr>
        <w:ind w:left="1380" w:hanging="435"/>
      </w:pPr>
      <w:rPr>
        <w:rFonts w:hint="default"/>
      </w:rPr>
    </w:lvl>
    <w:lvl w:ilvl="1" w:tplc="140A0019" w:tentative="1">
      <w:start w:val="1"/>
      <w:numFmt w:val="lowerLetter"/>
      <w:lvlText w:val="%2."/>
      <w:lvlJc w:val="left"/>
      <w:pPr>
        <w:ind w:left="2025" w:hanging="360"/>
      </w:pPr>
    </w:lvl>
    <w:lvl w:ilvl="2" w:tplc="140A001B" w:tentative="1">
      <w:start w:val="1"/>
      <w:numFmt w:val="lowerRoman"/>
      <w:lvlText w:val="%3."/>
      <w:lvlJc w:val="right"/>
      <w:pPr>
        <w:ind w:left="2745" w:hanging="180"/>
      </w:pPr>
    </w:lvl>
    <w:lvl w:ilvl="3" w:tplc="140A000F" w:tentative="1">
      <w:start w:val="1"/>
      <w:numFmt w:val="decimal"/>
      <w:lvlText w:val="%4."/>
      <w:lvlJc w:val="left"/>
      <w:pPr>
        <w:ind w:left="3465" w:hanging="360"/>
      </w:pPr>
    </w:lvl>
    <w:lvl w:ilvl="4" w:tplc="140A0019" w:tentative="1">
      <w:start w:val="1"/>
      <w:numFmt w:val="lowerLetter"/>
      <w:lvlText w:val="%5."/>
      <w:lvlJc w:val="left"/>
      <w:pPr>
        <w:ind w:left="4185" w:hanging="360"/>
      </w:pPr>
    </w:lvl>
    <w:lvl w:ilvl="5" w:tplc="140A001B" w:tentative="1">
      <w:start w:val="1"/>
      <w:numFmt w:val="lowerRoman"/>
      <w:lvlText w:val="%6."/>
      <w:lvlJc w:val="right"/>
      <w:pPr>
        <w:ind w:left="4905" w:hanging="180"/>
      </w:pPr>
    </w:lvl>
    <w:lvl w:ilvl="6" w:tplc="140A000F" w:tentative="1">
      <w:start w:val="1"/>
      <w:numFmt w:val="decimal"/>
      <w:lvlText w:val="%7."/>
      <w:lvlJc w:val="left"/>
      <w:pPr>
        <w:ind w:left="5625" w:hanging="360"/>
      </w:pPr>
    </w:lvl>
    <w:lvl w:ilvl="7" w:tplc="140A0019" w:tentative="1">
      <w:start w:val="1"/>
      <w:numFmt w:val="lowerLetter"/>
      <w:lvlText w:val="%8."/>
      <w:lvlJc w:val="left"/>
      <w:pPr>
        <w:ind w:left="6345" w:hanging="360"/>
      </w:pPr>
    </w:lvl>
    <w:lvl w:ilvl="8" w:tplc="140A001B" w:tentative="1">
      <w:start w:val="1"/>
      <w:numFmt w:val="lowerRoman"/>
      <w:lvlText w:val="%9."/>
      <w:lvlJc w:val="right"/>
      <w:pPr>
        <w:ind w:left="7065" w:hanging="180"/>
      </w:pPr>
    </w:lvl>
  </w:abstractNum>
  <w:abstractNum w:abstractNumId="4" w15:restartNumberingAfterBreak="0">
    <w:nsid w:val="0FDA643A"/>
    <w:multiLevelType w:val="hybridMultilevel"/>
    <w:tmpl w:val="D9E49582"/>
    <w:lvl w:ilvl="0" w:tplc="080A0011">
      <w:start w:val="1"/>
      <w:numFmt w:val="decimal"/>
      <w:lvlText w:val="%1)"/>
      <w:lvlJc w:val="left"/>
      <w:pPr>
        <w:tabs>
          <w:tab w:val="num" w:pos="360"/>
        </w:tabs>
        <w:ind w:left="360" w:hanging="360"/>
      </w:pPr>
    </w:lvl>
    <w:lvl w:ilvl="1" w:tplc="0C0A0001">
      <w:start w:val="1"/>
      <w:numFmt w:val="bullet"/>
      <w:lvlText w:val=""/>
      <w:lvlJc w:val="left"/>
      <w:pPr>
        <w:tabs>
          <w:tab w:val="num" w:pos="1080"/>
        </w:tabs>
        <w:ind w:left="1080" w:hanging="360"/>
      </w:pPr>
      <w:rPr>
        <w:rFonts w:ascii="Symbol" w:hAnsi="Symbol" w:hint="default"/>
      </w:rPr>
    </w:lvl>
    <w:lvl w:ilvl="2" w:tplc="080A001B" w:tentative="1">
      <w:start w:val="1"/>
      <w:numFmt w:val="lowerRoman"/>
      <w:lvlText w:val="%3."/>
      <w:lvlJc w:val="right"/>
      <w:pPr>
        <w:tabs>
          <w:tab w:val="num" w:pos="1800"/>
        </w:tabs>
        <w:ind w:left="1800" w:hanging="180"/>
      </w:pPr>
    </w:lvl>
    <w:lvl w:ilvl="3" w:tplc="080A000F" w:tentative="1">
      <w:start w:val="1"/>
      <w:numFmt w:val="decimal"/>
      <w:lvlText w:val="%4."/>
      <w:lvlJc w:val="left"/>
      <w:pPr>
        <w:tabs>
          <w:tab w:val="num" w:pos="2520"/>
        </w:tabs>
        <w:ind w:left="2520" w:hanging="360"/>
      </w:pPr>
    </w:lvl>
    <w:lvl w:ilvl="4" w:tplc="080A0019" w:tentative="1">
      <w:start w:val="1"/>
      <w:numFmt w:val="lowerLetter"/>
      <w:lvlText w:val="%5."/>
      <w:lvlJc w:val="left"/>
      <w:pPr>
        <w:tabs>
          <w:tab w:val="num" w:pos="3240"/>
        </w:tabs>
        <w:ind w:left="3240" w:hanging="360"/>
      </w:pPr>
    </w:lvl>
    <w:lvl w:ilvl="5" w:tplc="080A001B" w:tentative="1">
      <w:start w:val="1"/>
      <w:numFmt w:val="lowerRoman"/>
      <w:lvlText w:val="%6."/>
      <w:lvlJc w:val="right"/>
      <w:pPr>
        <w:tabs>
          <w:tab w:val="num" w:pos="3960"/>
        </w:tabs>
        <w:ind w:left="3960" w:hanging="180"/>
      </w:pPr>
    </w:lvl>
    <w:lvl w:ilvl="6" w:tplc="080A000F" w:tentative="1">
      <w:start w:val="1"/>
      <w:numFmt w:val="decimal"/>
      <w:lvlText w:val="%7."/>
      <w:lvlJc w:val="left"/>
      <w:pPr>
        <w:tabs>
          <w:tab w:val="num" w:pos="4680"/>
        </w:tabs>
        <w:ind w:left="4680" w:hanging="360"/>
      </w:pPr>
    </w:lvl>
    <w:lvl w:ilvl="7" w:tplc="080A0019" w:tentative="1">
      <w:start w:val="1"/>
      <w:numFmt w:val="lowerLetter"/>
      <w:lvlText w:val="%8."/>
      <w:lvlJc w:val="left"/>
      <w:pPr>
        <w:tabs>
          <w:tab w:val="num" w:pos="5400"/>
        </w:tabs>
        <w:ind w:left="5400" w:hanging="360"/>
      </w:pPr>
    </w:lvl>
    <w:lvl w:ilvl="8" w:tplc="080A001B" w:tentative="1">
      <w:start w:val="1"/>
      <w:numFmt w:val="lowerRoman"/>
      <w:lvlText w:val="%9."/>
      <w:lvlJc w:val="right"/>
      <w:pPr>
        <w:tabs>
          <w:tab w:val="num" w:pos="6120"/>
        </w:tabs>
        <w:ind w:left="6120" w:hanging="180"/>
      </w:pPr>
    </w:lvl>
  </w:abstractNum>
  <w:abstractNum w:abstractNumId="5" w15:restartNumberingAfterBreak="0">
    <w:nsid w:val="11366EC7"/>
    <w:multiLevelType w:val="hybridMultilevel"/>
    <w:tmpl w:val="3864D974"/>
    <w:lvl w:ilvl="0" w:tplc="A7168C2C">
      <w:start w:val="1"/>
      <w:numFmt w:val="ordin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6" w15:restartNumberingAfterBreak="0">
    <w:nsid w:val="1DE87DF3"/>
    <w:multiLevelType w:val="hybridMultilevel"/>
    <w:tmpl w:val="014C3272"/>
    <w:lvl w:ilvl="0" w:tplc="0C0A0011">
      <w:start w:val="2"/>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27C03628"/>
    <w:multiLevelType w:val="hybridMultilevel"/>
    <w:tmpl w:val="37DA2CD4"/>
    <w:lvl w:ilvl="0" w:tplc="42C26B14">
      <w:start w:val="1"/>
      <w:numFmt w:val="lowerLetter"/>
      <w:lvlText w:val="%1)"/>
      <w:lvlJc w:val="left"/>
      <w:pPr>
        <w:ind w:left="1425" w:hanging="480"/>
      </w:pPr>
      <w:rPr>
        <w:rFonts w:hint="default"/>
      </w:rPr>
    </w:lvl>
    <w:lvl w:ilvl="1" w:tplc="140A0019" w:tentative="1">
      <w:start w:val="1"/>
      <w:numFmt w:val="lowerLetter"/>
      <w:lvlText w:val="%2."/>
      <w:lvlJc w:val="left"/>
      <w:pPr>
        <w:ind w:left="2025" w:hanging="360"/>
      </w:pPr>
    </w:lvl>
    <w:lvl w:ilvl="2" w:tplc="140A001B" w:tentative="1">
      <w:start w:val="1"/>
      <w:numFmt w:val="lowerRoman"/>
      <w:lvlText w:val="%3."/>
      <w:lvlJc w:val="right"/>
      <w:pPr>
        <w:ind w:left="2745" w:hanging="180"/>
      </w:pPr>
    </w:lvl>
    <w:lvl w:ilvl="3" w:tplc="140A000F" w:tentative="1">
      <w:start w:val="1"/>
      <w:numFmt w:val="decimal"/>
      <w:lvlText w:val="%4."/>
      <w:lvlJc w:val="left"/>
      <w:pPr>
        <w:ind w:left="3465" w:hanging="360"/>
      </w:pPr>
    </w:lvl>
    <w:lvl w:ilvl="4" w:tplc="140A0019" w:tentative="1">
      <w:start w:val="1"/>
      <w:numFmt w:val="lowerLetter"/>
      <w:lvlText w:val="%5."/>
      <w:lvlJc w:val="left"/>
      <w:pPr>
        <w:ind w:left="4185" w:hanging="360"/>
      </w:pPr>
    </w:lvl>
    <w:lvl w:ilvl="5" w:tplc="140A001B" w:tentative="1">
      <w:start w:val="1"/>
      <w:numFmt w:val="lowerRoman"/>
      <w:lvlText w:val="%6."/>
      <w:lvlJc w:val="right"/>
      <w:pPr>
        <w:ind w:left="4905" w:hanging="180"/>
      </w:pPr>
    </w:lvl>
    <w:lvl w:ilvl="6" w:tplc="140A000F" w:tentative="1">
      <w:start w:val="1"/>
      <w:numFmt w:val="decimal"/>
      <w:lvlText w:val="%7."/>
      <w:lvlJc w:val="left"/>
      <w:pPr>
        <w:ind w:left="5625" w:hanging="360"/>
      </w:pPr>
    </w:lvl>
    <w:lvl w:ilvl="7" w:tplc="140A0019" w:tentative="1">
      <w:start w:val="1"/>
      <w:numFmt w:val="lowerLetter"/>
      <w:lvlText w:val="%8."/>
      <w:lvlJc w:val="left"/>
      <w:pPr>
        <w:ind w:left="6345" w:hanging="360"/>
      </w:pPr>
    </w:lvl>
    <w:lvl w:ilvl="8" w:tplc="140A001B" w:tentative="1">
      <w:start w:val="1"/>
      <w:numFmt w:val="lowerRoman"/>
      <w:lvlText w:val="%9."/>
      <w:lvlJc w:val="right"/>
      <w:pPr>
        <w:ind w:left="7065" w:hanging="180"/>
      </w:pPr>
    </w:lvl>
  </w:abstractNum>
  <w:abstractNum w:abstractNumId="8" w15:restartNumberingAfterBreak="0">
    <w:nsid w:val="34461C6F"/>
    <w:multiLevelType w:val="hybridMultilevel"/>
    <w:tmpl w:val="1CE4DDBA"/>
    <w:lvl w:ilvl="0" w:tplc="293899DE">
      <w:start w:val="1"/>
      <w:numFmt w:val="decimal"/>
      <w:lvlText w:val="%1."/>
      <w:lvlJc w:val="left"/>
      <w:pPr>
        <w:tabs>
          <w:tab w:val="num" w:pos="757"/>
        </w:tabs>
        <w:ind w:left="757" w:hanging="397"/>
      </w:pPr>
      <w:rPr>
        <w:rFonts w:ascii="Arial" w:hAnsi="Arial"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0">
    <w:nsid w:val="3699514E"/>
    <w:multiLevelType w:val="hybridMultilevel"/>
    <w:tmpl w:val="A3B00BEC"/>
    <w:lvl w:ilvl="0" w:tplc="4B66F9C4">
      <w:start w:val="1"/>
      <w:numFmt w:val="decimal"/>
      <w:lvlText w:val="%1."/>
      <w:lvlJc w:val="left"/>
      <w:pPr>
        <w:tabs>
          <w:tab w:val="num" w:pos="397"/>
        </w:tabs>
        <w:ind w:left="397" w:hanging="39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0">
    <w:nsid w:val="43D929E3"/>
    <w:multiLevelType w:val="hybridMultilevel"/>
    <w:tmpl w:val="5636ACC4"/>
    <w:lvl w:ilvl="0" w:tplc="37A634FC">
      <w:start w:val="3"/>
      <w:numFmt w:val="bullet"/>
      <w:lvlText w:val="-"/>
      <w:lvlJc w:val="left"/>
      <w:pPr>
        <w:tabs>
          <w:tab w:val="num" w:pos="284"/>
        </w:tabs>
        <w:ind w:left="284" w:hanging="284"/>
      </w:pPr>
      <w:rPr>
        <w:rFonts w:ascii="Arial" w:eastAsia="Times New Roman" w:hAnsi="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5366132"/>
    <w:multiLevelType w:val="hybridMultilevel"/>
    <w:tmpl w:val="25D24290"/>
    <w:lvl w:ilvl="0" w:tplc="140A0019">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2" w15:restartNumberingAfterBreak="0">
    <w:nsid w:val="46C36373"/>
    <w:multiLevelType w:val="hybridMultilevel"/>
    <w:tmpl w:val="F95CE5FE"/>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15:restartNumberingAfterBreak="0">
    <w:nsid w:val="56D4510F"/>
    <w:multiLevelType w:val="hybridMultilevel"/>
    <w:tmpl w:val="F0C2006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9E0221E"/>
    <w:multiLevelType w:val="hybridMultilevel"/>
    <w:tmpl w:val="13109FF2"/>
    <w:lvl w:ilvl="0" w:tplc="129A1A6C">
      <w:start w:val="1"/>
      <w:numFmt w:val="lowerLetter"/>
      <w:lvlText w:val="%1."/>
      <w:lvlJc w:val="left"/>
      <w:pPr>
        <w:ind w:left="720" w:hanging="360"/>
      </w:pPr>
      <w:rPr>
        <w:rFonts w:hint="default"/>
        <w:color w:val="00000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5" w15:restartNumberingAfterBreak="0">
    <w:nsid w:val="66E52872"/>
    <w:multiLevelType w:val="hybridMultilevel"/>
    <w:tmpl w:val="36CA627C"/>
    <w:lvl w:ilvl="0" w:tplc="4D2CE928">
      <w:numFmt w:val="bullet"/>
      <w:lvlText w:val="-"/>
      <w:lvlJc w:val="left"/>
      <w:pPr>
        <w:ind w:left="720" w:hanging="360"/>
      </w:pPr>
      <w:rPr>
        <w:rFonts w:ascii="Arial" w:eastAsia="Times New Roman" w:hAnsi="Arial" w:cs="Aria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6" w15:restartNumberingAfterBreak="0">
    <w:nsid w:val="71D97067"/>
    <w:multiLevelType w:val="hybridMultilevel"/>
    <w:tmpl w:val="F490EDFE"/>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7" w15:restartNumberingAfterBreak="0">
    <w:nsid w:val="76BC56F7"/>
    <w:multiLevelType w:val="hybridMultilevel"/>
    <w:tmpl w:val="1C1A6878"/>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8" w15:restartNumberingAfterBreak="0">
    <w:nsid w:val="79D959F1"/>
    <w:multiLevelType w:val="hybridMultilevel"/>
    <w:tmpl w:val="7DBE4A08"/>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15:restartNumberingAfterBreak="0">
    <w:nsid w:val="7CE35CD3"/>
    <w:multiLevelType w:val="hybridMultilevel"/>
    <w:tmpl w:val="CECE3B00"/>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abstractNumId w:val="9"/>
  </w:num>
  <w:num w:numId="2">
    <w:abstractNumId w:val="2"/>
  </w:num>
  <w:num w:numId="3">
    <w:abstractNumId w:val="12"/>
  </w:num>
  <w:num w:numId="4">
    <w:abstractNumId w:val="1"/>
  </w:num>
  <w:num w:numId="5">
    <w:abstractNumId w:val="0"/>
  </w:num>
  <w:num w:numId="6">
    <w:abstractNumId w:val="13"/>
  </w:num>
  <w:num w:numId="7">
    <w:abstractNumId w:val="18"/>
  </w:num>
  <w:num w:numId="8">
    <w:abstractNumId w:val="10"/>
  </w:num>
  <w:num w:numId="9">
    <w:abstractNumId w:val="8"/>
  </w:num>
  <w:num w:numId="10">
    <w:abstractNumId w:val="4"/>
  </w:num>
  <w:num w:numId="11">
    <w:abstractNumId w:val="6"/>
  </w:num>
  <w:num w:numId="12">
    <w:abstractNumId w:val="19"/>
  </w:num>
  <w:num w:numId="13">
    <w:abstractNumId w:val="16"/>
  </w:num>
  <w:num w:numId="14">
    <w:abstractNumId w:val="15"/>
  </w:num>
  <w:num w:numId="15">
    <w:abstractNumId w:val="11"/>
  </w:num>
  <w:num w:numId="16">
    <w:abstractNumId w:val="14"/>
  </w:num>
  <w:num w:numId="17">
    <w:abstractNumId w:val="3"/>
  </w:num>
  <w:num w:numId="18">
    <w:abstractNumId w:val="7"/>
  </w:num>
  <w:num w:numId="19">
    <w:abstractNumId w:val="17"/>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1" w:cryptProviderType="rsaAES" w:cryptAlgorithmClass="hash" w:cryptAlgorithmType="typeAny" w:cryptAlgorithmSid="14" w:cryptSpinCount="100000" w:hash="KQvoq3VzX9kx6zRIKxQ85sfsgbPqbf6waGYRFKzyyYoEPlYbeLY5umj5tTGPdGFmetv8vHroqJa31D95umu3JA==" w:salt="mPkrhtEZUT5J/Unkt4zfzQ=="/>
  <w:defaultTabStop w:val="708"/>
  <w:hyphenationZone w:val="425"/>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049D"/>
    <w:rsid w:val="0000085A"/>
    <w:rsid w:val="00011DC1"/>
    <w:rsid w:val="0001401F"/>
    <w:rsid w:val="00026DCA"/>
    <w:rsid w:val="00027E78"/>
    <w:rsid w:val="0003318B"/>
    <w:rsid w:val="00036A8B"/>
    <w:rsid w:val="00053A32"/>
    <w:rsid w:val="000547A2"/>
    <w:rsid w:val="00067B32"/>
    <w:rsid w:val="00071A45"/>
    <w:rsid w:val="00076A47"/>
    <w:rsid w:val="00076B6E"/>
    <w:rsid w:val="00081BB0"/>
    <w:rsid w:val="00085DF1"/>
    <w:rsid w:val="0009389D"/>
    <w:rsid w:val="000A6259"/>
    <w:rsid w:val="000B0F7B"/>
    <w:rsid w:val="000B574D"/>
    <w:rsid w:val="000C3DA8"/>
    <w:rsid w:val="000C4E35"/>
    <w:rsid w:val="000C5661"/>
    <w:rsid w:val="000F5F31"/>
    <w:rsid w:val="000F6DBD"/>
    <w:rsid w:val="00105CCE"/>
    <w:rsid w:val="0011401E"/>
    <w:rsid w:val="001147C3"/>
    <w:rsid w:val="00117E78"/>
    <w:rsid w:val="001227FE"/>
    <w:rsid w:val="00154E36"/>
    <w:rsid w:val="00183234"/>
    <w:rsid w:val="0018634C"/>
    <w:rsid w:val="001909BE"/>
    <w:rsid w:val="00193B2D"/>
    <w:rsid w:val="00196DD0"/>
    <w:rsid w:val="001B6D7C"/>
    <w:rsid w:val="001B703A"/>
    <w:rsid w:val="001C3F1B"/>
    <w:rsid w:val="001D7E23"/>
    <w:rsid w:val="001F277B"/>
    <w:rsid w:val="001F5F07"/>
    <w:rsid w:val="001F7D2C"/>
    <w:rsid w:val="002026DC"/>
    <w:rsid w:val="00204086"/>
    <w:rsid w:val="00210B7F"/>
    <w:rsid w:val="00213FA6"/>
    <w:rsid w:val="00214849"/>
    <w:rsid w:val="002163C7"/>
    <w:rsid w:val="0023255E"/>
    <w:rsid w:val="00236CA9"/>
    <w:rsid w:val="00237191"/>
    <w:rsid w:val="00240946"/>
    <w:rsid w:val="00243275"/>
    <w:rsid w:val="00243461"/>
    <w:rsid w:val="00253CA2"/>
    <w:rsid w:val="00253D8D"/>
    <w:rsid w:val="002579B3"/>
    <w:rsid w:val="00260325"/>
    <w:rsid w:val="00261C88"/>
    <w:rsid w:val="00270B9C"/>
    <w:rsid w:val="00273438"/>
    <w:rsid w:val="002736F3"/>
    <w:rsid w:val="00273AB5"/>
    <w:rsid w:val="002751C8"/>
    <w:rsid w:val="00277DD3"/>
    <w:rsid w:val="00282C93"/>
    <w:rsid w:val="0028301A"/>
    <w:rsid w:val="0028757E"/>
    <w:rsid w:val="002A51F3"/>
    <w:rsid w:val="002A6A4B"/>
    <w:rsid w:val="002B71CC"/>
    <w:rsid w:val="002D0146"/>
    <w:rsid w:val="002D158A"/>
    <w:rsid w:val="002E1BAC"/>
    <w:rsid w:val="002F3D41"/>
    <w:rsid w:val="003004E7"/>
    <w:rsid w:val="0030131C"/>
    <w:rsid w:val="003156CD"/>
    <w:rsid w:val="00317B31"/>
    <w:rsid w:val="00320F35"/>
    <w:rsid w:val="00320F9C"/>
    <w:rsid w:val="00335993"/>
    <w:rsid w:val="00343CAA"/>
    <w:rsid w:val="00345E78"/>
    <w:rsid w:val="00346C2F"/>
    <w:rsid w:val="003473D2"/>
    <w:rsid w:val="00352AFB"/>
    <w:rsid w:val="00353979"/>
    <w:rsid w:val="00367B23"/>
    <w:rsid w:val="00373725"/>
    <w:rsid w:val="00373B50"/>
    <w:rsid w:val="00374710"/>
    <w:rsid w:val="003803AB"/>
    <w:rsid w:val="00380645"/>
    <w:rsid w:val="003853CD"/>
    <w:rsid w:val="00386AA9"/>
    <w:rsid w:val="003A4E5A"/>
    <w:rsid w:val="003A5204"/>
    <w:rsid w:val="003A70CE"/>
    <w:rsid w:val="003B0676"/>
    <w:rsid w:val="003B1738"/>
    <w:rsid w:val="003B20EA"/>
    <w:rsid w:val="003B7A08"/>
    <w:rsid w:val="003C6FEB"/>
    <w:rsid w:val="00407CC4"/>
    <w:rsid w:val="00421BEA"/>
    <w:rsid w:val="00432126"/>
    <w:rsid w:val="00445673"/>
    <w:rsid w:val="00474D7E"/>
    <w:rsid w:val="004755F8"/>
    <w:rsid w:val="0047593B"/>
    <w:rsid w:val="0048086A"/>
    <w:rsid w:val="0048746C"/>
    <w:rsid w:val="004930AA"/>
    <w:rsid w:val="00496B93"/>
    <w:rsid w:val="00497711"/>
    <w:rsid w:val="004A7CA2"/>
    <w:rsid w:val="004B373F"/>
    <w:rsid w:val="004B7456"/>
    <w:rsid w:val="004C5B22"/>
    <w:rsid w:val="004C724E"/>
    <w:rsid w:val="004E10F9"/>
    <w:rsid w:val="004E1777"/>
    <w:rsid w:val="004E5D21"/>
    <w:rsid w:val="005011AD"/>
    <w:rsid w:val="00513B4F"/>
    <w:rsid w:val="00527DB5"/>
    <w:rsid w:val="00531B93"/>
    <w:rsid w:val="005459D0"/>
    <w:rsid w:val="005504E6"/>
    <w:rsid w:val="0057519A"/>
    <w:rsid w:val="00585347"/>
    <w:rsid w:val="00595395"/>
    <w:rsid w:val="0059625B"/>
    <w:rsid w:val="00596AB4"/>
    <w:rsid w:val="005A32C2"/>
    <w:rsid w:val="005B45E6"/>
    <w:rsid w:val="005B67A2"/>
    <w:rsid w:val="005C18D2"/>
    <w:rsid w:val="005C6147"/>
    <w:rsid w:val="005E7559"/>
    <w:rsid w:val="00615FBF"/>
    <w:rsid w:val="00623D36"/>
    <w:rsid w:val="006321F4"/>
    <w:rsid w:val="00646C5C"/>
    <w:rsid w:val="0066494B"/>
    <w:rsid w:val="0066756A"/>
    <w:rsid w:val="00681878"/>
    <w:rsid w:val="00683504"/>
    <w:rsid w:val="00692A55"/>
    <w:rsid w:val="006A474B"/>
    <w:rsid w:val="006A779D"/>
    <w:rsid w:val="006B7846"/>
    <w:rsid w:val="006C0086"/>
    <w:rsid w:val="006C1542"/>
    <w:rsid w:val="006C1D3B"/>
    <w:rsid w:val="006C1F07"/>
    <w:rsid w:val="006C772C"/>
    <w:rsid w:val="006D5482"/>
    <w:rsid w:val="006E31FB"/>
    <w:rsid w:val="006E7C0F"/>
    <w:rsid w:val="006F7DB3"/>
    <w:rsid w:val="007062BD"/>
    <w:rsid w:val="00711E6C"/>
    <w:rsid w:val="00723211"/>
    <w:rsid w:val="00733405"/>
    <w:rsid w:val="00735384"/>
    <w:rsid w:val="00737234"/>
    <w:rsid w:val="00751002"/>
    <w:rsid w:val="00753902"/>
    <w:rsid w:val="007605D2"/>
    <w:rsid w:val="00765327"/>
    <w:rsid w:val="007749FC"/>
    <w:rsid w:val="00780AB2"/>
    <w:rsid w:val="00797660"/>
    <w:rsid w:val="007B2EB9"/>
    <w:rsid w:val="007B5EDF"/>
    <w:rsid w:val="007C2929"/>
    <w:rsid w:val="007C3229"/>
    <w:rsid w:val="007C39B9"/>
    <w:rsid w:val="007D6EF8"/>
    <w:rsid w:val="007E31DD"/>
    <w:rsid w:val="007F614F"/>
    <w:rsid w:val="007F66D6"/>
    <w:rsid w:val="008006FA"/>
    <w:rsid w:val="008110AA"/>
    <w:rsid w:val="00811427"/>
    <w:rsid w:val="00825856"/>
    <w:rsid w:val="0083243B"/>
    <w:rsid w:val="008343A2"/>
    <w:rsid w:val="00834957"/>
    <w:rsid w:val="00834A2F"/>
    <w:rsid w:val="00846281"/>
    <w:rsid w:val="00851373"/>
    <w:rsid w:val="00854DE9"/>
    <w:rsid w:val="00861680"/>
    <w:rsid w:val="00870163"/>
    <w:rsid w:val="008703E9"/>
    <w:rsid w:val="00876E43"/>
    <w:rsid w:val="008845F3"/>
    <w:rsid w:val="00895A5D"/>
    <w:rsid w:val="00896BC6"/>
    <w:rsid w:val="008A2AE0"/>
    <w:rsid w:val="008B728B"/>
    <w:rsid w:val="008D35D8"/>
    <w:rsid w:val="008D6E0F"/>
    <w:rsid w:val="008E66EE"/>
    <w:rsid w:val="008F38A8"/>
    <w:rsid w:val="008F6C96"/>
    <w:rsid w:val="0091039C"/>
    <w:rsid w:val="00911F06"/>
    <w:rsid w:val="00940420"/>
    <w:rsid w:val="009669CF"/>
    <w:rsid w:val="00986348"/>
    <w:rsid w:val="009C11C0"/>
    <w:rsid w:val="009D03FE"/>
    <w:rsid w:val="009D70A8"/>
    <w:rsid w:val="009D75D6"/>
    <w:rsid w:val="009D78B0"/>
    <w:rsid w:val="009E1B07"/>
    <w:rsid w:val="009F2788"/>
    <w:rsid w:val="009F5106"/>
    <w:rsid w:val="009F62A9"/>
    <w:rsid w:val="00A235C9"/>
    <w:rsid w:val="00A3046D"/>
    <w:rsid w:val="00A3146D"/>
    <w:rsid w:val="00A330FA"/>
    <w:rsid w:val="00A536DE"/>
    <w:rsid w:val="00A57ECD"/>
    <w:rsid w:val="00A70A82"/>
    <w:rsid w:val="00A73DC5"/>
    <w:rsid w:val="00A775DD"/>
    <w:rsid w:val="00A837EB"/>
    <w:rsid w:val="00AA4E2A"/>
    <w:rsid w:val="00AB15C1"/>
    <w:rsid w:val="00AB1E41"/>
    <w:rsid w:val="00AB2826"/>
    <w:rsid w:val="00AB4B39"/>
    <w:rsid w:val="00AD4F06"/>
    <w:rsid w:val="00AE7AB3"/>
    <w:rsid w:val="00AF4C49"/>
    <w:rsid w:val="00B00832"/>
    <w:rsid w:val="00B019A0"/>
    <w:rsid w:val="00B2152C"/>
    <w:rsid w:val="00B34414"/>
    <w:rsid w:val="00B3640B"/>
    <w:rsid w:val="00B36CE6"/>
    <w:rsid w:val="00B5583C"/>
    <w:rsid w:val="00B56F87"/>
    <w:rsid w:val="00B64449"/>
    <w:rsid w:val="00B66D8C"/>
    <w:rsid w:val="00BA3517"/>
    <w:rsid w:val="00BA3C35"/>
    <w:rsid w:val="00BA58F6"/>
    <w:rsid w:val="00BA7805"/>
    <w:rsid w:val="00BB034D"/>
    <w:rsid w:val="00BC1E08"/>
    <w:rsid w:val="00BD11AC"/>
    <w:rsid w:val="00BE0F52"/>
    <w:rsid w:val="00BE2EB0"/>
    <w:rsid w:val="00BE452A"/>
    <w:rsid w:val="00BF0C80"/>
    <w:rsid w:val="00BF124E"/>
    <w:rsid w:val="00C0084E"/>
    <w:rsid w:val="00C01425"/>
    <w:rsid w:val="00C12152"/>
    <w:rsid w:val="00C308C3"/>
    <w:rsid w:val="00C36F84"/>
    <w:rsid w:val="00C40BA5"/>
    <w:rsid w:val="00C42332"/>
    <w:rsid w:val="00C4730D"/>
    <w:rsid w:val="00C50AAF"/>
    <w:rsid w:val="00C64AA7"/>
    <w:rsid w:val="00C676D8"/>
    <w:rsid w:val="00C72E0B"/>
    <w:rsid w:val="00C80B39"/>
    <w:rsid w:val="00CA3661"/>
    <w:rsid w:val="00CA42F6"/>
    <w:rsid w:val="00CC0A79"/>
    <w:rsid w:val="00CC60FC"/>
    <w:rsid w:val="00CC7940"/>
    <w:rsid w:val="00CD7A02"/>
    <w:rsid w:val="00CF0E50"/>
    <w:rsid w:val="00CF4BE9"/>
    <w:rsid w:val="00D034AB"/>
    <w:rsid w:val="00D13B6B"/>
    <w:rsid w:val="00D22B80"/>
    <w:rsid w:val="00D23E79"/>
    <w:rsid w:val="00D32725"/>
    <w:rsid w:val="00D330C4"/>
    <w:rsid w:val="00D35784"/>
    <w:rsid w:val="00D37592"/>
    <w:rsid w:val="00D509A7"/>
    <w:rsid w:val="00D54758"/>
    <w:rsid w:val="00D60482"/>
    <w:rsid w:val="00D61F89"/>
    <w:rsid w:val="00D72C3B"/>
    <w:rsid w:val="00DA156E"/>
    <w:rsid w:val="00DA4C56"/>
    <w:rsid w:val="00DB38FB"/>
    <w:rsid w:val="00DC32CD"/>
    <w:rsid w:val="00DE0BBA"/>
    <w:rsid w:val="00DE7715"/>
    <w:rsid w:val="00DF0537"/>
    <w:rsid w:val="00E0071B"/>
    <w:rsid w:val="00E2143B"/>
    <w:rsid w:val="00E31F79"/>
    <w:rsid w:val="00E6222D"/>
    <w:rsid w:val="00E63068"/>
    <w:rsid w:val="00E63BC8"/>
    <w:rsid w:val="00E646C7"/>
    <w:rsid w:val="00E76C46"/>
    <w:rsid w:val="00E8788A"/>
    <w:rsid w:val="00E97960"/>
    <w:rsid w:val="00E979D2"/>
    <w:rsid w:val="00EA53B9"/>
    <w:rsid w:val="00EC02B6"/>
    <w:rsid w:val="00EC6324"/>
    <w:rsid w:val="00EC7E01"/>
    <w:rsid w:val="00EE139E"/>
    <w:rsid w:val="00EE228C"/>
    <w:rsid w:val="00EE4383"/>
    <w:rsid w:val="00EE491C"/>
    <w:rsid w:val="00EF7D85"/>
    <w:rsid w:val="00F00FF1"/>
    <w:rsid w:val="00F1305E"/>
    <w:rsid w:val="00F16230"/>
    <w:rsid w:val="00F16E81"/>
    <w:rsid w:val="00F30531"/>
    <w:rsid w:val="00F31891"/>
    <w:rsid w:val="00F343EA"/>
    <w:rsid w:val="00F357CB"/>
    <w:rsid w:val="00F4049D"/>
    <w:rsid w:val="00F42278"/>
    <w:rsid w:val="00F541D9"/>
    <w:rsid w:val="00F67499"/>
    <w:rsid w:val="00F76EAE"/>
    <w:rsid w:val="00F83C00"/>
    <w:rsid w:val="00F9130B"/>
    <w:rsid w:val="00F97718"/>
    <w:rsid w:val="00FA0C8E"/>
    <w:rsid w:val="00FA1809"/>
    <w:rsid w:val="00FA2104"/>
    <w:rsid w:val="00FA4CCB"/>
    <w:rsid w:val="00FC257F"/>
    <w:rsid w:val="00FD1DE3"/>
    <w:rsid w:val="00FE310F"/>
    <w:rsid w:val="00FE4822"/>
    <w:rsid w:val="00FE57D3"/>
    <w:rsid w:val="00FF1BB7"/>
    <w:rsid w:val="00FF7258"/>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DA222A"/>
  <w15:docId w15:val="{F1B0D068-AD93-4E07-8EF5-E356598DA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s-CR" w:eastAsia="es-C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4"/>
      <w:szCs w:val="24"/>
      <w:lang w:val="es-ES" w:eastAsia="es-ES"/>
    </w:rPr>
  </w:style>
  <w:style w:type="paragraph" w:styleId="Ttulo1">
    <w:name w:val="heading 1"/>
    <w:basedOn w:val="Normal"/>
    <w:next w:val="Normal"/>
    <w:qFormat/>
    <w:pPr>
      <w:keepNext/>
      <w:spacing w:line="360" w:lineRule="auto"/>
      <w:ind w:right="-233"/>
      <w:jc w:val="center"/>
      <w:outlineLvl w:val="0"/>
    </w:pPr>
    <w:rPr>
      <w:b/>
      <w:sz w:val="22"/>
      <w:szCs w:val="20"/>
      <w:u w:val="single"/>
    </w:rPr>
  </w:style>
  <w:style w:type="paragraph" w:styleId="Ttulo2">
    <w:name w:val="heading 2"/>
    <w:basedOn w:val="Normal"/>
    <w:next w:val="Normal"/>
    <w:link w:val="Ttulo2Car"/>
    <w:qFormat/>
    <w:pPr>
      <w:keepNext/>
      <w:jc w:val="both"/>
      <w:outlineLvl w:val="1"/>
    </w:pPr>
    <w:rPr>
      <w:b/>
      <w:i/>
      <w:sz w:val="22"/>
      <w:szCs w:val="20"/>
      <w:u w:val="single"/>
    </w:rPr>
  </w:style>
  <w:style w:type="paragraph" w:styleId="Ttulo3">
    <w:name w:val="heading 3"/>
    <w:basedOn w:val="Normal"/>
    <w:next w:val="Normal"/>
    <w:link w:val="Ttulo3Car"/>
    <w:uiPriority w:val="9"/>
    <w:semiHidden/>
    <w:unhideWhenUsed/>
    <w:qFormat/>
    <w:rsid w:val="00F4049D"/>
    <w:pPr>
      <w:keepNext/>
      <w:keepLines/>
      <w:spacing w:before="40"/>
      <w:outlineLvl w:val="2"/>
    </w:pPr>
    <w:rPr>
      <w:rFonts w:asciiTheme="majorHAnsi" w:eastAsiaTheme="majorEastAsia" w:hAnsiTheme="majorHAnsi" w:cstheme="majorBidi"/>
      <w:color w:val="243F60" w:themeColor="accent1" w:themeShade="7F"/>
    </w:rPr>
  </w:style>
  <w:style w:type="paragraph" w:styleId="Ttulo4">
    <w:name w:val="heading 4"/>
    <w:basedOn w:val="Normal"/>
    <w:next w:val="Normal"/>
    <w:qFormat/>
    <w:pPr>
      <w:keepNext/>
      <w:outlineLvl w:val="3"/>
    </w:pPr>
    <w:rPr>
      <w:b/>
      <w:sz w:val="22"/>
      <w:szCs w:val="20"/>
      <w:u w:val="single"/>
      <w:lang w:val="es-CR"/>
    </w:rPr>
  </w:style>
  <w:style w:type="paragraph" w:styleId="Ttulo5">
    <w:name w:val="heading 5"/>
    <w:basedOn w:val="Normal"/>
    <w:next w:val="Normal"/>
    <w:link w:val="Ttulo5Car"/>
    <w:uiPriority w:val="9"/>
    <w:unhideWhenUsed/>
    <w:qFormat/>
    <w:rsid w:val="00F4049D"/>
    <w:pPr>
      <w:keepNext/>
      <w:keepLines/>
      <w:spacing w:before="4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qFormat/>
    <w:pPr>
      <w:spacing w:line="360" w:lineRule="auto"/>
      <w:ind w:right="-233"/>
      <w:jc w:val="center"/>
    </w:pPr>
    <w:rPr>
      <w:b/>
      <w:sz w:val="22"/>
      <w:szCs w:val="20"/>
      <w:u w:val="single"/>
    </w:rPr>
  </w:style>
  <w:style w:type="paragraph" w:styleId="Textoindependiente">
    <w:name w:val="Body Text"/>
    <w:basedOn w:val="Normal"/>
    <w:link w:val="TextoindependienteCar"/>
    <w:pPr>
      <w:spacing w:line="360" w:lineRule="auto"/>
      <w:ind w:right="51"/>
      <w:jc w:val="both"/>
    </w:pPr>
    <w:rPr>
      <w:sz w:val="22"/>
      <w:szCs w:val="20"/>
    </w:rPr>
  </w:style>
  <w:style w:type="paragraph" w:styleId="Encabezado">
    <w:name w:val="header"/>
    <w:basedOn w:val="Normal"/>
    <w:pPr>
      <w:tabs>
        <w:tab w:val="center" w:pos="4252"/>
        <w:tab w:val="right" w:pos="8504"/>
      </w:tabs>
    </w:pPr>
    <w:rPr>
      <w:sz w:val="22"/>
      <w:szCs w:val="20"/>
      <w:lang w:val="es-CR"/>
    </w:rPr>
  </w:style>
  <w:style w:type="character" w:styleId="Nmerodepgina">
    <w:name w:val="page number"/>
    <w:basedOn w:val="Fuentedeprrafopredeter"/>
  </w:style>
  <w:style w:type="paragraph" w:styleId="Textoindependiente2">
    <w:name w:val="Body Text 2"/>
    <w:basedOn w:val="Normal"/>
    <w:pPr>
      <w:spacing w:line="360" w:lineRule="auto"/>
      <w:jc w:val="both"/>
    </w:pPr>
    <w:rPr>
      <w:rFonts w:cs="Arial"/>
      <w:bCs/>
      <w:sz w:val="22"/>
    </w:rPr>
  </w:style>
  <w:style w:type="paragraph" w:styleId="Sangra2detindependiente">
    <w:name w:val="Body Text Indent 2"/>
    <w:basedOn w:val="Normal"/>
    <w:link w:val="Sangra2detindependienteCar"/>
    <w:pPr>
      <w:spacing w:line="360" w:lineRule="auto"/>
      <w:ind w:left="360" w:hanging="360"/>
      <w:jc w:val="both"/>
    </w:pPr>
    <w:rPr>
      <w:rFonts w:cs="Arial"/>
      <w:sz w:val="22"/>
    </w:rPr>
  </w:style>
  <w:style w:type="paragraph" w:styleId="Piedepgina">
    <w:name w:val="footer"/>
    <w:basedOn w:val="Normal"/>
    <w:pPr>
      <w:tabs>
        <w:tab w:val="center" w:pos="4252"/>
        <w:tab w:val="right" w:pos="8504"/>
      </w:tabs>
    </w:pPr>
  </w:style>
  <w:style w:type="character" w:styleId="Nmerodelnea">
    <w:name w:val="line number"/>
    <w:basedOn w:val="Fuentedeprrafopredeter"/>
  </w:style>
  <w:style w:type="paragraph" w:styleId="Textoindependiente3">
    <w:name w:val="Body Text 3"/>
    <w:basedOn w:val="Normal"/>
    <w:pPr>
      <w:ind w:right="51"/>
      <w:jc w:val="both"/>
    </w:pPr>
    <w:rPr>
      <w:rFonts w:cs="Arial"/>
      <w:i/>
      <w:iCs/>
      <w:sz w:val="20"/>
    </w:rPr>
  </w:style>
  <w:style w:type="paragraph" w:styleId="Listaconvietas">
    <w:name w:val="List Bullet"/>
    <w:basedOn w:val="Normal"/>
    <w:autoRedefine/>
    <w:pPr>
      <w:numPr>
        <w:numId w:val="5"/>
      </w:numPr>
    </w:pPr>
  </w:style>
  <w:style w:type="paragraph" w:customStyle="1" w:styleId="CarCarCar1CarCarCarCarCarCar">
    <w:name w:val="Car Car Car1 Car Car Car Car Car Car"/>
    <w:basedOn w:val="Normal"/>
    <w:rsid w:val="00C12152"/>
    <w:pPr>
      <w:spacing w:after="160" w:line="240" w:lineRule="exact"/>
    </w:pPr>
    <w:rPr>
      <w:sz w:val="20"/>
      <w:szCs w:val="20"/>
      <w:lang w:val="en-US" w:eastAsia="en-US"/>
    </w:rPr>
  </w:style>
  <w:style w:type="paragraph" w:styleId="Textodebloque">
    <w:name w:val="Block Text"/>
    <w:basedOn w:val="Normal"/>
    <w:rsid w:val="004E1777"/>
    <w:pPr>
      <w:ind w:left="360" w:right="333"/>
      <w:jc w:val="both"/>
    </w:pPr>
    <w:rPr>
      <w:rFonts w:ascii="Times New Roman" w:hAnsi="Times New Roman"/>
      <w:szCs w:val="20"/>
      <w:lang w:val="es-ES_tradnl"/>
    </w:rPr>
  </w:style>
  <w:style w:type="table" w:styleId="Tablaconcuadrcula">
    <w:name w:val="Table Grid"/>
    <w:basedOn w:val="Tablanormal"/>
    <w:rsid w:val="00253D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link w:val="PrrafodelistaCar"/>
    <w:uiPriority w:val="34"/>
    <w:qFormat/>
    <w:rsid w:val="00EC7E01"/>
    <w:pPr>
      <w:ind w:left="720"/>
      <w:contextualSpacing/>
    </w:pPr>
  </w:style>
  <w:style w:type="character" w:customStyle="1" w:styleId="Ttulo2Car">
    <w:name w:val="Título 2 Car"/>
    <w:basedOn w:val="Fuentedeprrafopredeter"/>
    <w:link w:val="Ttulo2"/>
    <w:rsid w:val="003A5204"/>
    <w:rPr>
      <w:rFonts w:ascii="Arial" w:hAnsi="Arial"/>
      <w:b/>
      <w:i/>
      <w:sz w:val="22"/>
      <w:u w:val="single"/>
      <w:lang w:val="es-ES" w:eastAsia="es-ES"/>
    </w:rPr>
  </w:style>
  <w:style w:type="character" w:customStyle="1" w:styleId="TextoindependienteCar">
    <w:name w:val="Texto independiente Car"/>
    <w:basedOn w:val="Fuentedeprrafopredeter"/>
    <w:link w:val="Textoindependiente"/>
    <w:rsid w:val="003A5204"/>
    <w:rPr>
      <w:rFonts w:ascii="Arial" w:hAnsi="Arial"/>
      <w:sz w:val="22"/>
      <w:lang w:val="es-ES" w:eastAsia="es-ES"/>
    </w:rPr>
  </w:style>
  <w:style w:type="character" w:customStyle="1" w:styleId="Sangra2detindependienteCar">
    <w:name w:val="Sangría 2 de t. independiente Car"/>
    <w:basedOn w:val="Fuentedeprrafopredeter"/>
    <w:link w:val="Sangra2detindependiente"/>
    <w:rsid w:val="003A5204"/>
    <w:rPr>
      <w:rFonts w:ascii="Arial" w:hAnsi="Arial" w:cs="Arial"/>
      <w:sz w:val="22"/>
      <w:szCs w:val="24"/>
      <w:lang w:val="es-ES" w:eastAsia="es-ES"/>
    </w:rPr>
  </w:style>
  <w:style w:type="character" w:customStyle="1" w:styleId="Ttulo3Car">
    <w:name w:val="Título 3 Car"/>
    <w:basedOn w:val="Fuentedeprrafopredeter"/>
    <w:link w:val="Ttulo3"/>
    <w:uiPriority w:val="9"/>
    <w:semiHidden/>
    <w:rsid w:val="00F4049D"/>
    <w:rPr>
      <w:rFonts w:asciiTheme="majorHAnsi" w:eastAsiaTheme="majorEastAsia" w:hAnsiTheme="majorHAnsi" w:cstheme="majorBidi"/>
      <w:color w:val="243F60" w:themeColor="accent1" w:themeShade="7F"/>
      <w:sz w:val="24"/>
      <w:szCs w:val="24"/>
      <w:lang w:val="es-ES" w:eastAsia="es-ES"/>
    </w:rPr>
  </w:style>
  <w:style w:type="character" w:customStyle="1" w:styleId="Ttulo5Car">
    <w:name w:val="Título 5 Car"/>
    <w:basedOn w:val="Fuentedeprrafopredeter"/>
    <w:link w:val="Ttulo5"/>
    <w:uiPriority w:val="9"/>
    <w:rsid w:val="00F4049D"/>
    <w:rPr>
      <w:rFonts w:asciiTheme="majorHAnsi" w:eastAsiaTheme="majorEastAsia" w:hAnsiTheme="majorHAnsi" w:cstheme="majorBidi"/>
      <w:color w:val="365F91" w:themeColor="accent1" w:themeShade="BF"/>
      <w:sz w:val="24"/>
      <w:szCs w:val="24"/>
      <w:lang w:val="es-ES" w:eastAsia="es-ES"/>
    </w:rPr>
  </w:style>
  <w:style w:type="character" w:customStyle="1" w:styleId="PrrafodelistaCar">
    <w:name w:val="Párrafo de lista Car"/>
    <w:link w:val="Prrafodelista"/>
    <w:uiPriority w:val="34"/>
    <w:rsid w:val="00F4049D"/>
    <w:rPr>
      <w:rFonts w:ascii="Arial" w:hAnsi="Arial"/>
      <w:sz w:val="24"/>
      <w:szCs w:val="24"/>
      <w:lang w:val="es-ES" w:eastAsia="es-ES"/>
    </w:rPr>
  </w:style>
  <w:style w:type="character" w:styleId="Refdecomentario">
    <w:name w:val="annotation reference"/>
    <w:uiPriority w:val="99"/>
    <w:semiHidden/>
    <w:unhideWhenUsed/>
    <w:rsid w:val="00F4049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Personal\Documents\Plantillas%20personalizadas%20de%20Office\Plantilla%20act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Plantilla acta</Template>
  <TotalTime>334</TotalTime>
  <Pages>15</Pages>
  <Words>4952</Words>
  <Characters>27297</Characters>
  <Application>Microsoft Office Word</Application>
  <DocSecurity>8</DocSecurity>
  <Lines>227</Lines>
  <Paragraphs>64</Paragraphs>
  <ScaleCrop>false</ScaleCrop>
  <HeadingPairs>
    <vt:vector size="2" baseType="variant">
      <vt:variant>
        <vt:lpstr>Título</vt:lpstr>
      </vt:variant>
      <vt:variant>
        <vt:i4>1</vt:i4>
      </vt:variant>
    </vt:vector>
  </HeadingPairs>
  <TitlesOfParts>
    <vt:vector size="1" baseType="lpstr">
      <vt:lpstr>BANCO HIPOTECARIO DE LA VIVIENDA</vt:lpstr>
    </vt:vector>
  </TitlesOfParts>
  <Company>B.Hipotecario de la Vivienda</Company>
  <LinksUpToDate>false</LinksUpToDate>
  <CharactersWithSpaces>32185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BANCO HIPOTECARIO DE LA VIVIENDA</dc:title>
  <dc:creator>López Pacheco David</dc:creator>
  <cp:lastModifiedBy>López Pacheco David</cp:lastModifiedBy>
  <cp:revision>26</cp:revision>
  <cp:lastPrinted>2011-09-07T16:03:00Z</cp:lastPrinted>
  <dcterms:created xsi:type="dcterms:W3CDTF">2020-06-26T00:04:00Z</dcterms:created>
  <dcterms:modified xsi:type="dcterms:W3CDTF">2020-07-07T14:05:00Z</dcterms:modified>
</cp:coreProperties>
</file>