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DEC11" w14:textId="77777777" w:rsidR="00FA4CCB" w:rsidRDefault="00FA4CCB">
      <w:pPr>
        <w:pStyle w:val="Ttulo"/>
        <w:ind w:right="51"/>
        <w:rPr>
          <w:rFonts w:cs="Arial"/>
        </w:rPr>
      </w:pPr>
      <w:r>
        <w:rPr>
          <w:rFonts w:cs="Arial"/>
        </w:rPr>
        <w:t>BANCO HIPOTECARIO DE LA VIVIENDA</w:t>
      </w:r>
    </w:p>
    <w:p w14:paraId="6ED63CC3" w14:textId="77777777" w:rsidR="00FA4CCB" w:rsidRDefault="00FA4CCB">
      <w:pPr>
        <w:spacing w:line="360" w:lineRule="auto"/>
        <w:ind w:right="51"/>
        <w:jc w:val="center"/>
        <w:rPr>
          <w:rFonts w:cs="Arial"/>
          <w:b/>
          <w:sz w:val="22"/>
          <w:u w:val="single"/>
        </w:rPr>
      </w:pPr>
      <w:r>
        <w:rPr>
          <w:rFonts w:cs="Arial"/>
          <w:b/>
          <w:sz w:val="22"/>
          <w:u w:val="single"/>
        </w:rPr>
        <w:t>JUNTA DIRECTIVA</w:t>
      </w:r>
    </w:p>
    <w:p w14:paraId="2BE5F6F5" w14:textId="77777777" w:rsidR="00FA4CCB" w:rsidRDefault="00FA4CCB">
      <w:pPr>
        <w:spacing w:line="360" w:lineRule="auto"/>
        <w:ind w:right="51"/>
        <w:jc w:val="center"/>
        <w:rPr>
          <w:rFonts w:cs="Arial"/>
          <w:b/>
          <w:sz w:val="22"/>
          <w:u w:val="single"/>
        </w:rPr>
      </w:pPr>
    </w:p>
    <w:p w14:paraId="303FE10F" w14:textId="7777777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665670">
        <w:rPr>
          <w:rFonts w:cs="Arial"/>
          <w:b/>
          <w:sz w:val="22"/>
          <w:u w:val="single"/>
        </w:rPr>
        <w:t>EXTRA</w:t>
      </w:r>
      <w:r w:rsidR="00FA4CCB">
        <w:rPr>
          <w:rFonts w:cs="Arial"/>
          <w:b/>
          <w:sz w:val="22"/>
          <w:u w:val="single"/>
        </w:rPr>
        <w:t xml:space="preserve">ORDINARIA </w:t>
      </w:r>
      <w:r>
        <w:rPr>
          <w:rFonts w:cs="Arial"/>
          <w:b/>
          <w:sz w:val="22"/>
          <w:u w:val="single"/>
        </w:rPr>
        <w:t xml:space="preserve">N° </w:t>
      </w:r>
      <w:r w:rsidR="00665670">
        <w:rPr>
          <w:rFonts w:cs="Arial"/>
          <w:b/>
          <w:sz w:val="22"/>
          <w:u w:val="single"/>
        </w:rPr>
        <w:t>04</w:t>
      </w:r>
      <w:r>
        <w:rPr>
          <w:rFonts w:cs="Arial"/>
          <w:b/>
          <w:sz w:val="22"/>
          <w:u w:val="single"/>
        </w:rPr>
        <w:t>-20</w:t>
      </w:r>
      <w:r w:rsidR="00E97960">
        <w:rPr>
          <w:rFonts w:cs="Arial"/>
          <w:b/>
          <w:sz w:val="22"/>
          <w:u w:val="single"/>
        </w:rPr>
        <w:t>20</w:t>
      </w:r>
    </w:p>
    <w:p w14:paraId="1DA9BDF0" w14:textId="77777777" w:rsidR="00FA4CCB" w:rsidRDefault="00FA4CCB">
      <w:pPr>
        <w:spacing w:line="360" w:lineRule="auto"/>
        <w:ind w:right="51"/>
        <w:jc w:val="center"/>
        <w:rPr>
          <w:rFonts w:cs="Arial"/>
          <w:b/>
          <w:sz w:val="22"/>
          <w:u w:val="single"/>
        </w:rPr>
      </w:pPr>
      <w:r>
        <w:rPr>
          <w:rFonts w:cs="Arial"/>
          <w:b/>
          <w:sz w:val="22"/>
          <w:u w:val="single"/>
        </w:rPr>
        <w:t xml:space="preserve">DEL </w:t>
      </w:r>
      <w:r w:rsidR="00665670">
        <w:rPr>
          <w:rFonts w:cs="Arial"/>
          <w:b/>
          <w:sz w:val="22"/>
          <w:u w:val="single"/>
        </w:rPr>
        <w:t>16</w:t>
      </w:r>
      <w:r>
        <w:rPr>
          <w:rFonts w:cs="Arial"/>
          <w:b/>
          <w:sz w:val="22"/>
          <w:u w:val="single"/>
        </w:rPr>
        <w:t xml:space="preserve"> DE </w:t>
      </w:r>
      <w:r w:rsidR="00665670">
        <w:rPr>
          <w:rFonts w:cs="Arial"/>
          <w:b/>
          <w:sz w:val="22"/>
          <w:u w:val="single"/>
        </w:rPr>
        <w:t>ENERO</w:t>
      </w:r>
      <w:r>
        <w:rPr>
          <w:rFonts w:cs="Arial"/>
          <w:b/>
          <w:sz w:val="22"/>
          <w:u w:val="single"/>
        </w:rPr>
        <w:t xml:space="preserve"> DE 20</w:t>
      </w:r>
      <w:r w:rsidR="00E97960">
        <w:rPr>
          <w:rFonts w:cs="Arial"/>
          <w:b/>
          <w:sz w:val="22"/>
          <w:u w:val="single"/>
        </w:rPr>
        <w:t>20</w:t>
      </w:r>
    </w:p>
    <w:p w14:paraId="13E87097"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57340082" w14:textId="77777777" w:rsidR="00FA4CCB" w:rsidRDefault="00FA4CCB">
      <w:pPr>
        <w:spacing w:line="360" w:lineRule="auto"/>
        <w:ind w:right="51"/>
        <w:jc w:val="center"/>
        <w:rPr>
          <w:rFonts w:cs="Arial"/>
          <w:b/>
          <w:sz w:val="22"/>
          <w:u w:val="single"/>
        </w:rPr>
      </w:pPr>
    </w:p>
    <w:p w14:paraId="01046927" w14:textId="759442C4"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0E0E7D">
        <w:rPr>
          <w:rFonts w:cs="Arial"/>
          <w:sz w:val="22"/>
        </w:rPr>
        <w:t>Guillermo Alvarado Herrera,</w:t>
      </w:r>
      <w:r w:rsidR="000E0E7D" w:rsidRPr="000E0E7D">
        <w:rPr>
          <w:rFonts w:cs="Arial"/>
          <w:sz w:val="22"/>
        </w:rPr>
        <w:t xml:space="preserve"> </w:t>
      </w:r>
      <w:r w:rsidR="000E0E7D">
        <w:rPr>
          <w:rFonts w:cs="Arial"/>
          <w:sz w:val="22"/>
        </w:rPr>
        <w:t xml:space="preserve">Marian Pérez Gutiérrez y Kenneth Pérez Venegas. Los Directores Eloísa Ulibarri Pernús, </w:t>
      </w:r>
      <w:r w:rsidR="006E7C0F">
        <w:rPr>
          <w:rFonts w:cs="Arial"/>
          <w:sz w:val="22"/>
        </w:rPr>
        <w:t xml:space="preserve">Dania Chavarría Núñez, Vicepresidenta; </w:t>
      </w:r>
      <w:r w:rsidR="000E0E7D">
        <w:rPr>
          <w:rFonts w:cs="Arial"/>
          <w:sz w:val="22"/>
        </w:rPr>
        <w:t xml:space="preserve">y </w:t>
      </w:r>
      <w:r w:rsidR="006E7C0F">
        <w:rPr>
          <w:rFonts w:cs="Arial"/>
          <w:sz w:val="22"/>
        </w:rPr>
        <w:t>Jorge Carranza González,</w:t>
      </w:r>
      <w:r w:rsidR="000E0E7D">
        <w:rPr>
          <w:rFonts w:cs="Arial"/>
          <w:sz w:val="22"/>
        </w:rPr>
        <w:t xml:space="preserve"> se incorporan a la sesión a partir de los minutos 01:2</w:t>
      </w:r>
      <w:r w:rsidR="00176E63">
        <w:rPr>
          <w:rFonts w:cs="Arial"/>
          <w:sz w:val="22"/>
        </w:rPr>
        <w:t>4</w:t>
      </w:r>
      <w:r w:rsidR="000E0E7D">
        <w:rPr>
          <w:rFonts w:cs="Arial"/>
          <w:sz w:val="22"/>
        </w:rPr>
        <w:t>, 05:39 y 05:40, respectivamente.</w:t>
      </w:r>
    </w:p>
    <w:p w14:paraId="21429C31" w14:textId="77777777" w:rsidR="00AD4F06" w:rsidRDefault="00AD4F06" w:rsidP="0066494B">
      <w:pPr>
        <w:spacing w:line="360" w:lineRule="auto"/>
        <w:jc w:val="both"/>
        <w:rPr>
          <w:rFonts w:cs="Arial"/>
          <w:sz w:val="22"/>
        </w:rPr>
      </w:pPr>
    </w:p>
    <w:p w14:paraId="136EBEEC" w14:textId="6D7C4A4A"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y David López Pacheco, Secretario de Junta Directiva.</w:t>
      </w:r>
      <w:r w:rsidR="00176E63" w:rsidRPr="00176E63">
        <w:rPr>
          <w:rFonts w:cs="Arial"/>
          <w:sz w:val="22"/>
        </w:rPr>
        <w:t xml:space="preserve"> </w:t>
      </w:r>
      <w:r w:rsidR="00176E63">
        <w:rPr>
          <w:rFonts w:cs="Arial"/>
          <w:sz w:val="22"/>
        </w:rPr>
        <w:t xml:space="preserve">La licenciada Ericka Masís Calderón, funcionaria de la </w:t>
      </w:r>
      <w:r w:rsidR="00176E63" w:rsidRPr="00176E63">
        <w:rPr>
          <w:rFonts w:cs="Arial"/>
          <w:sz w:val="22"/>
          <w:szCs w:val="22"/>
        </w:rPr>
        <w:t>Asesoría Legal</w:t>
      </w:r>
      <w:r w:rsidR="00176E63">
        <w:rPr>
          <w:rFonts w:cs="Arial"/>
          <w:sz w:val="22"/>
          <w:szCs w:val="22"/>
        </w:rPr>
        <w:t>, se incorpora a la sesión a partir del minuto 01:25.</w:t>
      </w:r>
    </w:p>
    <w:p w14:paraId="09ABBAE4" w14:textId="77777777" w:rsidR="006321F4" w:rsidRPr="00D14EAF" w:rsidRDefault="006321F4" w:rsidP="006321F4">
      <w:pPr>
        <w:spacing w:line="360" w:lineRule="auto"/>
        <w:jc w:val="both"/>
        <w:rPr>
          <w:rFonts w:cs="Arial"/>
          <w:b/>
          <w:sz w:val="22"/>
        </w:rPr>
      </w:pPr>
      <w:r w:rsidRPr="00D14EAF">
        <w:rPr>
          <w:rFonts w:cs="Arial"/>
          <w:b/>
          <w:sz w:val="22"/>
        </w:rPr>
        <w:t>************</w:t>
      </w:r>
    </w:p>
    <w:p w14:paraId="1C2D6764" w14:textId="77777777" w:rsidR="00FA4CCB" w:rsidRDefault="00FA4CCB" w:rsidP="0066494B">
      <w:pPr>
        <w:spacing w:line="360" w:lineRule="auto"/>
        <w:jc w:val="both"/>
        <w:rPr>
          <w:rFonts w:cs="Arial"/>
          <w:sz w:val="22"/>
        </w:rPr>
      </w:pPr>
    </w:p>
    <w:p w14:paraId="14E42167" w14:textId="77777777" w:rsidR="00FA4CCB" w:rsidRDefault="00FA4CCB" w:rsidP="0066494B">
      <w:pPr>
        <w:pStyle w:val="Ttulo4"/>
        <w:spacing w:line="360" w:lineRule="auto"/>
        <w:jc w:val="both"/>
        <w:rPr>
          <w:rFonts w:cs="Arial"/>
        </w:rPr>
      </w:pPr>
      <w:r>
        <w:rPr>
          <w:rFonts w:cs="Arial"/>
        </w:rPr>
        <w:t>Asuntos conocidos en la presente sesión</w:t>
      </w:r>
    </w:p>
    <w:p w14:paraId="0EE21721" w14:textId="77777777" w:rsidR="00FA4CCB" w:rsidRDefault="00FA4CCB" w:rsidP="0066494B">
      <w:pPr>
        <w:spacing w:line="360" w:lineRule="auto"/>
        <w:jc w:val="both"/>
        <w:rPr>
          <w:rFonts w:cs="Arial"/>
          <w:b/>
          <w:sz w:val="22"/>
        </w:rPr>
      </w:pPr>
    </w:p>
    <w:p w14:paraId="129E14FF"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2C6A08CB" w14:textId="73641864" w:rsidR="00CC263E" w:rsidRPr="00F453C9" w:rsidRDefault="00CC263E" w:rsidP="00F453C9">
      <w:pPr>
        <w:pStyle w:val="Prrafodelista"/>
        <w:numPr>
          <w:ilvl w:val="0"/>
          <w:numId w:val="18"/>
        </w:numPr>
        <w:spacing w:line="360" w:lineRule="auto"/>
        <w:ind w:left="426" w:hanging="426"/>
        <w:jc w:val="both"/>
        <w:rPr>
          <w:rFonts w:cs="Arial"/>
          <w:sz w:val="22"/>
          <w:lang w:val="es-ES_tradnl"/>
        </w:rPr>
      </w:pPr>
      <w:r w:rsidRPr="00F453C9">
        <w:rPr>
          <w:rFonts w:cs="Arial"/>
          <w:sz w:val="22"/>
          <w:lang w:val="es-ES_tradnl"/>
        </w:rPr>
        <w:t>Propuesta de reforma al “Reglamento de los programas de crédito y avales del Fondo Nacional para la Vivienda del Banco Hipotecario de la Vivienda”.</w:t>
      </w:r>
    </w:p>
    <w:p w14:paraId="05C2FF59" w14:textId="2135403A" w:rsidR="00CC263E" w:rsidRPr="00F453C9" w:rsidRDefault="00CC263E" w:rsidP="00F453C9">
      <w:pPr>
        <w:pStyle w:val="Prrafodelista"/>
        <w:numPr>
          <w:ilvl w:val="0"/>
          <w:numId w:val="18"/>
        </w:numPr>
        <w:spacing w:line="360" w:lineRule="auto"/>
        <w:ind w:left="426" w:hanging="426"/>
        <w:jc w:val="both"/>
        <w:rPr>
          <w:rFonts w:cs="Arial"/>
          <w:sz w:val="22"/>
          <w:lang w:val="es-ES_tradnl"/>
        </w:rPr>
      </w:pPr>
      <w:r w:rsidRPr="00F453C9">
        <w:rPr>
          <w:rFonts w:cs="Arial"/>
          <w:sz w:val="22"/>
          <w:lang w:val="es-ES_tradnl"/>
        </w:rPr>
        <w:t>Solicitud de crédito presentada por el Banco Popular y de Desarrollo Comunal, dentro del Programa Integral de Financiamiento para Familias de Ingresos Medios.</w:t>
      </w:r>
    </w:p>
    <w:p w14:paraId="0F3A4887" w14:textId="19C78DD8" w:rsidR="00CC263E" w:rsidRPr="00F453C9" w:rsidRDefault="00CC263E" w:rsidP="00F453C9">
      <w:pPr>
        <w:pStyle w:val="Prrafodelista"/>
        <w:numPr>
          <w:ilvl w:val="0"/>
          <w:numId w:val="18"/>
        </w:numPr>
        <w:spacing w:line="360" w:lineRule="auto"/>
        <w:ind w:left="426" w:hanging="426"/>
        <w:jc w:val="both"/>
        <w:rPr>
          <w:rFonts w:cs="Arial"/>
          <w:sz w:val="22"/>
          <w:lang w:val="es-ES_tradnl"/>
        </w:rPr>
      </w:pPr>
      <w:r w:rsidRPr="00F453C9">
        <w:rPr>
          <w:rFonts w:cs="Arial"/>
          <w:sz w:val="22"/>
          <w:lang w:val="es-ES_tradnl"/>
        </w:rPr>
        <w:t>Informe sobre el estado de los Planes de Mitigación y Control de Riesgos.</w:t>
      </w:r>
    </w:p>
    <w:p w14:paraId="0F9A63DE" w14:textId="4BB11905" w:rsidR="00CC263E" w:rsidRPr="00F453C9" w:rsidRDefault="00CC263E" w:rsidP="00F453C9">
      <w:pPr>
        <w:pStyle w:val="Prrafodelista"/>
        <w:numPr>
          <w:ilvl w:val="0"/>
          <w:numId w:val="18"/>
        </w:numPr>
        <w:spacing w:line="360" w:lineRule="auto"/>
        <w:ind w:left="426" w:hanging="426"/>
        <w:jc w:val="both"/>
        <w:rPr>
          <w:rFonts w:cs="Arial"/>
          <w:sz w:val="22"/>
          <w:lang w:val="es-ES_tradnl"/>
        </w:rPr>
      </w:pPr>
      <w:r w:rsidRPr="00F453C9">
        <w:rPr>
          <w:rFonts w:cs="Arial"/>
          <w:sz w:val="22"/>
          <w:lang w:val="es-ES_tradnl"/>
        </w:rPr>
        <w:t>Propuesta de actualización de la Metodología para la Valoración y Administración del Riesgo Institucional, período 2019.</w:t>
      </w:r>
    </w:p>
    <w:p w14:paraId="44520519" w14:textId="45CBE4B0" w:rsidR="007749FC" w:rsidRPr="00F453C9" w:rsidRDefault="00CC263E" w:rsidP="00F453C9">
      <w:pPr>
        <w:pStyle w:val="Prrafodelista"/>
        <w:numPr>
          <w:ilvl w:val="0"/>
          <w:numId w:val="18"/>
        </w:numPr>
        <w:spacing w:line="360" w:lineRule="auto"/>
        <w:ind w:left="426" w:hanging="426"/>
        <w:jc w:val="both"/>
        <w:rPr>
          <w:rFonts w:cs="Arial"/>
          <w:sz w:val="22"/>
        </w:rPr>
      </w:pPr>
      <w:r w:rsidRPr="00F453C9">
        <w:rPr>
          <w:rFonts w:cs="Arial"/>
          <w:sz w:val="22"/>
          <w:lang w:val="es-ES_tradnl"/>
        </w:rPr>
        <w:t>Informe sobre la gestión de riesgos, período setiembre-noviembre 2019.</w:t>
      </w:r>
    </w:p>
    <w:p w14:paraId="199A6BDF" w14:textId="77777777" w:rsidR="006321F4" w:rsidRPr="00D14EAF" w:rsidRDefault="006321F4" w:rsidP="006321F4">
      <w:pPr>
        <w:spacing w:line="360" w:lineRule="auto"/>
        <w:jc w:val="both"/>
        <w:rPr>
          <w:rFonts w:cs="Arial"/>
          <w:b/>
          <w:sz w:val="22"/>
        </w:rPr>
      </w:pPr>
      <w:r w:rsidRPr="00D14EAF">
        <w:rPr>
          <w:rFonts w:cs="Arial"/>
          <w:b/>
          <w:sz w:val="22"/>
        </w:rPr>
        <w:t>************</w:t>
      </w:r>
    </w:p>
    <w:p w14:paraId="5429110B" w14:textId="77777777" w:rsidR="007F614F" w:rsidRPr="00AB2826" w:rsidRDefault="007F614F" w:rsidP="002D0146">
      <w:pPr>
        <w:spacing w:line="360" w:lineRule="auto"/>
        <w:jc w:val="both"/>
        <w:rPr>
          <w:rFonts w:cs="Arial"/>
          <w:b/>
          <w:sz w:val="22"/>
          <w:szCs w:val="22"/>
          <w:u w:val="single"/>
          <w:lang w:val="es-ES_tradnl"/>
        </w:rPr>
      </w:pPr>
    </w:p>
    <w:p w14:paraId="467FB454" w14:textId="45FAD908"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F453C9" w:rsidRPr="00CC263E">
        <w:rPr>
          <w:rFonts w:cs="Arial"/>
          <w:b/>
          <w:bCs/>
          <w:sz w:val="22"/>
          <w:u w:val="single"/>
          <w:lang w:val="es-ES_tradnl"/>
        </w:rPr>
        <w:t>Propuesta de reforma al “Reglamento de los programas de crédito y avales del Fondo Nacional para la Vivienda del Banco Hipotecario de la Vivienda”</w:t>
      </w:r>
    </w:p>
    <w:p w14:paraId="2C35D27C" w14:textId="77777777" w:rsidR="00FA4CCB" w:rsidRDefault="00FA4CCB" w:rsidP="002D0146">
      <w:pPr>
        <w:spacing w:line="360" w:lineRule="auto"/>
        <w:jc w:val="both"/>
        <w:rPr>
          <w:rFonts w:cs="Arial"/>
          <w:sz w:val="22"/>
          <w:szCs w:val="22"/>
        </w:rPr>
      </w:pPr>
    </w:p>
    <w:p w14:paraId="41F842D1" w14:textId="50E19C99" w:rsidR="00176E63"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176E63">
        <w:rPr>
          <w:rFonts w:cs="Arial"/>
          <w:sz w:val="22"/>
          <w:u w:val="single"/>
          <w:lang w:val="es-ES_tradnl"/>
        </w:rPr>
        <w:t>01</w:t>
      </w:r>
      <w:r w:rsidRPr="0039311E">
        <w:rPr>
          <w:rFonts w:cs="Arial"/>
          <w:sz w:val="22"/>
          <w:u w:val="single"/>
          <w:lang w:val="es-ES_tradnl"/>
        </w:rPr>
        <w:t>:</w:t>
      </w:r>
      <w:r w:rsidR="00176E63">
        <w:rPr>
          <w:rFonts w:cs="Arial"/>
          <w:sz w:val="22"/>
          <w:u w:val="single"/>
          <w:lang w:val="es-ES_tradnl"/>
        </w:rPr>
        <w:t>3</w:t>
      </w:r>
      <w:r w:rsidRPr="0039311E">
        <w:rPr>
          <w:rFonts w:cs="Arial"/>
          <w:sz w:val="22"/>
          <w:u w:val="single"/>
          <w:lang w:val="es-ES_tradnl"/>
        </w:rPr>
        <w:t>0</w:t>
      </w:r>
      <w:r>
        <w:rPr>
          <w:rFonts w:cs="Arial"/>
          <w:sz w:val="22"/>
          <w:lang w:val="es-ES_tradnl"/>
        </w:rPr>
        <w:t xml:space="preserve"> </w:t>
      </w:r>
      <w:r w:rsidR="00176E63">
        <w:rPr>
          <w:rFonts w:cs="Arial"/>
          <w:sz w:val="22"/>
          <w:lang w:val="es-ES_tradnl"/>
        </w:rPr>
        <w:t xml:space="preserve">Luego de darle la bienvenida al señor Gerente General, la </w:t>
      </w:r>
      <w:r w:rsidRPr="00FA2104">
        <w:rPr>
          <w:rFonts w:cs="Arial"/>
          <w:sz w:val="22"/>
          <w:szCs w:val="22"/>
          <w:lang w:val="es-ES_tradnl"/>
        </w:rPr>
        <w:t>Junta Directiva</w:t>
      </w:r>
      <w:r w:rsidR="00176E63">
        <w:rPr>
          <w:rFonts w:cs="Arial"/>
          <w:sz w:val="22"/>
          <w:szCs w:val="22"/>
          <w:lang w:val="es-ES_tradnl"/>
        </w:rPr>
        <w:t xml:space="preserve"> conoce el oficio GG-ME-0040-2020 del 14 de enero de 2020, mediante el cual, la </w:t>
      </w:r>
      <w:r w:rsidR="00176E63" w:rsidRPr="00176E63">
        <w:rPr>
          <w:rFonts w:cs="Arial"/>
          <w:sz w:val="22"/>
          <w:szCs w:val="22"/>
          <w:lang w:val="es-ES_tradnl"/>
        </w:rPr>
        <w:t>Gerencia General</w:t>
      </w:r>
      <w:r w:rsidR="00176E63">
        <w:rPr>
          <w:rFonts w:cs="Arial"/>
          <w:sz w:val="22"/>
          <w:szCs w:val="22"/>
          <w:lang w:val="es-ES_tradnl"/>
        </w:rPr>
        <w:t xml:space="preserve"> remite y avala el informe DFNV-ME-016-2020 de la Dirección FONAVI, que contiene una </w:t>
      </w:r>
      <w:r w:rsidR="001F18FE">
        <w:rPr>
          <w:rFonts w:cs="Arial"/>
          <w:sz w:val="22"/>
          <w:szCs w:val="22"/>
          <w:lang w:val="es-ES_tradnl"/>
        </w:rPr>
        <w:t xml:space="preserve">propuesta para reformar los incisos j) y k) del artículo 30 del “Reglamento de los programas de crédito y avales del Fondo Nacional para la Vivienda del </w:t>
      </w:r>
      <w:r w:rsidR="001F18FE" w:rsidRPr="00335F63">
        <w:rPr>
          <w:rFonts w:cs="Arial"/>
          <w:sz w:val="22"/>
          <w:szCs w:val="22"/>
          <w:lang w:val="es-ES_tradnl"/>
        </w:rPr>
        <w:t>Banco Hipotecario para la Vivienda</w:t>
      </w:r>
      <w:r w:rsidR="001F18FE">
        <w:rPr>
          <w:rFonts w:cs="Arial"/>
          <w:sz w:val="22"/>
          <w:szCs w:val="22"/>
          <w:lang w:val="es-ES_tradnl"/>
        </w:rPr>
        <w:t>”.  Dichos documentos se adjuntan al expediente del acta.</w:t>
      </w:r>
    </w:p>
    <w:p w14:paraId="5874C1F2" w14:textId="6388AD0E" w:rsidR="00176E63" w:rsidRDefault="00176E63" w:rsidP="009D03FE">
      <w:pPr>
        <w:spacing w:line="360" w:lineRule="auto"/>
        <w:jc w:val="both"/>
        <w:rPr>
          <w:rFonts w:cs="Arial"/>
          <w:sz w:val="22"/>
          <w:szCs w:val="22"/>
          <w:lang w:val="es-ES_tradnl"/>
        </w:rPr>
      </w:pPr>
    </w:p>
    <w:p w14:paraId="278E505A" w14:textId="016AFA7D" w:rsidR="00D14DB1" w:rsidRPr="00D14DB1" w:rsidRDefault="0023430C" w:rsidP="00D14DB1">
      <w:pPr>
        <w:spacing w:line="360" w:lineRule="auto"/>
        <w:jc w:val="both"/>
        <w:rPr>
          <w:rFonts w:cs="Arial"/>
          <w:sz w:val="22"/>
          <w:szCs w:val="22"/>
          <w:lang w:val="es-CR"/>
        </w:rPr>
      </w:pPr>
      <w:r>
        <w:rPr>
          <w:rFonts w:cs="Arial"/>
          <w:sz w:val="22"/>
          <w:szCs w:val="22"/>
          <w:lang w:val="es-ES_tradnl"/>
        </w:rPr>
        <w:t>Para exponer el contenido del referido informe y atender eventuales consultas de carácter técnico sobre éste y el siguiente tema, se incorpora</w:t>
      </w:r>
      <w:r w:rsidR="00D14DB1">
        <w:rPr>
          <w:rFonts w:cs="Arial"/>
          <w:sz w:val="22"/>
          <w:szCs w:val="22"/>
          <w:lang w:val="es-ES_tradnl"/>
        </w:rPr>
        <w:t>n</w:t>
      </w:r>
      <w:r>
        <w:rPr>
          <w:rFonts w:cs="Arial"/>
          <w:sz w:val="22"/>
          <w:szCs w:val="22"/>
          <w:lang w:val="es-ES_tradnl"/>
        </w:rPr>
        <w:t xml:space="preserve"> a la sesión </w:t>
      </w:r>
      <w:r w:rsidR="00D14DB1">
        <w:rPr>
          <w:rFonts w:cs="Arial"/>
          <w:sz w:val="22"/>
          <w:szCs w:val="22"/>
          <w:lang w:val="es-ES_tradnl"/>
        </w:rPr>
        <w:t xml:space="preserve">los licenciados Carlos Castro Miranda, asistente de la </w:t>
      </w:r>
      <w:r w:rsidR="00D14DB1" w:rsidRPr="00D14DB1">
        <w:rPr>
          <w:rFonts w:cs="Arial"/>
          <w:sz w:val="22"/>
          <w:szCs w:val="22"/>
          <w:lang w:val="es-ES_tradnl"/>
        </w:rPr>
        <w:t>Gerencia General</w:t>
      </w:r>
      <w:r w:rsidR="00D14DB1">
        <w:rPr>
          <w:rFonts w:cs="Arial"/>
          <w:sz w:val="22"/>
          <w:szCs w:val="22"/>
          <w:lang w:val="es-ES_tradnl"/>
        </w:rPr>
        <w:t xml:space="preserve">, y </w:t>
      </w:r>
      <w:r>
        <w:rPr>
          <w:rFonts w:cs="Arial"/>
          <w:sz w:val="22"/>
          <w:szCs w:val="22"/>
          <w:lang w:val="es-ES_tradnl"/>
        </w:rPr>
        <w:t xml:space="preserve">Tricia Hernández Brenes, Directora del FONAVI, quien destaca que </w:t>
      </w:r>
      <w:r w:rsidR="00D14DB1">
        <w:rPr>
          <w:rFonts w:cs="Arial"/>
          <w:sz w:val="22"/>
          <w:szCs w:val="22"/>
          <w:lang w:val="es-ES_tradnl"/>
        </w:rPr>
        <w:t>de</w:t>
      </w:r>
      <w:r w:rsidR="00D14DB1" w:rsidRPr="00D14DB1">
        <w:rPr>
          <w:rFonts w:cs="Arial"/>
          <w:sz w:val="22"/>
          <w:szCs w:val="22"/>
          <w:lang w:val="es-CR"/>
        </w:rPr>
        <w:t xml:space="preserve"> conformidad con lo señalado en el Artículo 30 del Reglamento </w:t>
      </w:r>
      <w:r w:rsidR="00D14DB1">
        <w:rPr>
          <w:rFonts w:cs="Arial"/>
          <w:sz w:val="22"/>
          <w:szCs w:val="22"/>
          <w:lang w:val="es-CR"/>
        </w:rPr>
        <w:t>vigente</w:t>
      </w:r>
      <w:r w:rsidR="00D14DB1" w:rsidRPr="00D14DB1">
        <w:rPr>
          <w:rFonts w:cs="Arial"/>
          <w:sz w:val="22"/>
          <w:szCs w:val="22"/>
          <w:lang w:val="es-CR"/>
        </w:rPr>
        <w:t>, la garantía conformada por créditos hipotecarios que fueron acompañados del otorgamiento de un Bono para el financiamiento de la solución habitacional</w:t>
      </w:r>
      <w:r w:rsidR="00D14DB1">
        <w:rPr>
          <w:rFonts w:cs="Arial"/>
          <w:sz w:val="22"/>
          <w:szCs w:val="22"/>
          <w:lang w:val="es-CR"/>
        </w:rPr>
        <w:t>,</w:t>
      </w:r>
      <w:r w:rsidR="00D14DB1" w:rsidRPr="00D14DB1">
        <w:rPr>
          <w:rFonts w:cs="Arial"/>
          <w:sz w:val="22"/>
          <w:szCs w:val="22"/>
          <w:lang w:val="es-CR"/>
        </w:rPr>
        <w:t xml:space="preserve"> solamente es admisible en caso en que la Entidad Autorizada no disponga de otras garantías que cumplan con las condiciones requeridas por el BANHVI</w:t>
      </w:r>
      <w:r w:rsidR="00D14DB1">
        <w:rPr>
          <w:rFonts w:cs="Arial"/>
          <w:sz w:val="22"/>
          <w:szCs w:val="22"/>
          <w:lang w:val="es-CR"/>
        </w:rPr>
        <w:t xml:space="preserve">; </w:t>
      </w:r>
      <w:r w:rsidR="00D14DB1" w:rsidRPr="00D14DB1">
        <w:rPr>
          <w:rFonts w:cs="Arial"/>
          <w:sz w:val="22"/>
          <w:szCs w:val="22"/>
          <w:lang w:val="es-CR"/>
        </w:rPr>
        <w:t xml:space="preserve">condición </w:t>
      </w:r>
      <w:r w:rsidR="00D14DB1">
        <w:rPr>
          <w:rFonts w:cs="Arial"/>
          <w:sz w:val="22"/>
          <w:szCs w:val="22"/>
          <w:lang w:val="es-CR"/>
        </w:rPr>
        <w:t xml:space="preserve">que </w:t>
      </w:r>
      <w:r w:rsidR="00D14DB1" w:rsidRPr="00D14DB1">
        <w:rPr>
          <w:rFonts w:cs="Arial"/>
          <w:sz w:val="22"/>
          <w:szCs w:val="22"/>
          <w:lang w:val="es-CR"/>
        </w:rPr>
        <w:t xml:space="preserve">dificulta a las </w:t>
      </w:r>
      <w:r w:rsidR="00D14DB1">
        <w:rPr>
          <w:rFonts w:cs="Arial"/>
          <w:sz w:val="22"/>
          <w:szCs w:val="22"/>
          <w:lang w:val="es-CR"/>
        </w:rPr>
        <w:t>e</w:t>
      </w:r>
      <w:r w:rsidR="00D14DB1" w:rsidRPr="00D14DB1">
        <w:rPr>
          <w:rFonts w:cs="Arial"/>
          <w:sz w:val="22"/>
          <w:szCs w:val="22"/>
          <w:lang w:val="es-CR"/>
        </w:rPr>
        <w:t>ntidades deudoras la entrega de la garantía definitiva cuando su actividad de financiamiento para vivienda se encuentra dirigida a la atención de familias que requieren del subsidio de vivienda y genera una contradicción cuando el financiamiento otorgado por el BANHVI se encuentra dirigido exclusivamente a la atención de estos segmentos de la población.</w:t>
      </w:r>
    </w:p>
    <w:p w14:paraId="19AD5202" w14:textId="77777777" w:rsidR="00D14DB1" w:rsidRPr="00D14DB1" w:rsidRDefault="00D14DB1" w:rsidP="00D14DB1">
      <w:pPr>
        <w:spacing w:line="360" w:lineRule="auto"/>
        <w:jc w:val="both"/>
        <w:rPr>
          <w:rFonts w:cs="Arial"/>
          <w:sz w:val="22"/>
          <w:szCs w:val="22"/>
          <w:lang w:val="es-CR"/>
        </w:rPr>
      </w:pPr>
    </w:p>
    <w:p w14:paraId="35E86CB8" w14:textId="6659077E" w:rsidR="00D14DB1" w:rsidRDefault="00D14DB1" w:rsidP="00D14DB1">
      <w:pPr>
        <w:spacing w:line="360" w:lineRule="auto"/>
        <w:jc w:val="both"/>
        <w:rPr>
          <w:rFonts w:cs="Arial"/>
          <w:sz w:val="22"/>
          <w:szCs w:val="22"/>
          <w:lang w:val="es-CR"/>
        </w:rPr>
      </w:pPr>
      <w:r>
        <w:rPr>
          <w:rFonts w:cs="Arial"/>
          <w:sz w:val="22"/>
          <w:szCs w:val="22"/>
          <w:lang w:val="es-CR"/>
        </w:rPr>
        <w:t xml:space="preserve">Agrega que este </w:t>
      </w:r>
      <w:r w:rsidRPr="00D14DB1">
        <w:rPr>
          <w:rFonts w:cs="Arial"/>
          <w:sz w:val="22"/>
          <w:szCs w:val="22"/>
          <w:lang w:val="es-CR"/>
        </w:rPr>
        <w:t>es el caso del Programa Integral de Financiamiento para Familias de Ingresos Medios, en el que el BANHVI ha establecido como población objetivo a las familias de los segmentos medios, identificados concretamente como los estratos 1.5 al 6 según la definición de la Ley 7052 y las operaciones que se formalicen al amparo de este Programa deben cumplir con el requisito de incorporar el beneficio del B</w:t>
      </w:r>
      <w:r>
        <w:rPr>
          <w:rFonts w:cs="Arial"/>
          <w:sz w:val="22"/>
          <w:szCs w:val="22"/>
          <w:lang w:val="es-CR"/>
        </w:rPr>
        <w:t>ono</w:t>
      </w:r>
      <w:r w:rsidRPr="00D14DB1">
        <w:rPr>
          <w:rFonts w:cs="Arial"/>
          <w:sz w:val="22"/>
          <w:szCs w:val="22"/>
          <w:lang w:val="es-CR"/>
        </w:rPr>
        <w:t>.</w:t>
      </w:r>
      <w:r>
        <w:rPr>
          <w:rFonts w:cs="Arial"/>
          <w:sz w:val="22"/>
          <w:szCs w:val="22"/>
          <w:lang w:val="es-CR"/>
        </w:rPr>
        <w:t xml:space="preserve">  Y en </w:t>
      </w:r>
      <w:r w:rsidRPr="00D14DB1">
        <w:rPr>
          <w:rFonts w:cs="Arial"/>
          <w:sz w:val="22"/>
          <w:szCs w:val="22"/>
          <w:lang w:val="es-CR"/>
        </w:rPr>
        <w:t xml:space="preserve">función de </w:t>
      </w:r>
      <w:r>
        <w:rPr>
          <w:rFonts w:cs="Arial"/>
          <w:sz w:val="22"/>
          <w:szCs w:val="22"/>
          <w:lang w:val="es-CR"/>
        </w:rPr>
        <w:t>lo anterior</w:t>
      </w:r>
      <w:r w:rsidRPr="00D14DB1">
        <w:rPr>
          <w:rFonts w:cs="Arial"/>
          <w:sz w:val="22"/>
          <w:szCs w:val="22"/>
          <w:lang w:val="es-CR"/>
        </w:rPr>
        <w:t xml:space="preserve">, se considera necesario realizar una modificación en las condiciones de las garantías requeridas por el BANHVI para facilitar su entrega por parte de las </w:t>
      </w:r>
      <w:r>
        <w:rPr>
          <w:rFonts w:cs="Arial"/>
          <w:sz w:val="22"/>
          <w:szCs w:val="22"/>
          <w:lang w:val="es-CR"/>
        </w:rPr>
        <w:t>e</w:t>
      </w:r>
      <w:r w:rsidRPr="00D14DB1">
        <w:rPr>
          <w:rFonts w:cs="Arial"/>
          <w:sz w:val="22"/>
          <w:szCs w:val="22"/>
          <w:lang w:val="es-CR"/>
        </w:rPr>
        <w:t>ntidades deudoras en los casos de programas con condiciones especiales, como lo es el Programa Integral de Financiamiento para Familias de Ingresos Medios</w:t>
      </w:r>
      <w:r>
        <w:rPr>
          <w:rFonts w:cs="Arial"/>
          <w:sz w:val="22"/>
          <w:szCs w:val="22"/>
          <w:lang w:val="es-CR"/>
        </w:rPr>
        <w:t xml:space="preserve">, en el sentido que </w:t>
      </w:r>
      <w:r w:rsidRPr="00D14DB1">
        <w:rPr>
          <w:rFonts w:cs="Arial"/>
          <w:sz w:val="22"/>
          <w:szCs w:val="22"/>
          <w:lang w:val="es-CR"/>
        </w:rPr>
        <w:t>para estos programas especiales se contemple la posibilidad de entrega de operaciones hipotecarias formalizadas con la incorporación del B</w:t>
      </w:r>
      <w:r>
        <w:rPr>
          <w:rFonts w:cs="Arial"/>
          <w:sz w:val="22"/>
          <w:szCs w:val="22"/>
          <w:lang w:val="es-CR"/>
        </w:rPr>
        <w:t>ono</w:t>
      </w:r>
      <w:r w:rsidRPr="00D14DB1">
        <w:rPr>
          <w:rFonts w:cs="Arial"/>
          <w:sz w:val="22"/>
          <w:szCs w:val="22"/>
          <w:lang w:val="es-CR"/>
        </w:rPr>
        <w:t xml:space="preserve"> y, adicionalmente, se incremente el plazo para la entrega de la garantía definitiva en función del aumento en el porcentaje de cobertura de </w:t>
      </w:r>
      <w:r w:rsidRPr="00D14DB1">
        <w:rPr>
          <w:rFonts w:cs="Arial"/>
          <w:sz w:val="22"/>
          <w:szCs w:val="22"/>
          <w:lang w:val="es-CR"/>
        </w:rPr>
        <w:lastRenderedPageBreak/>
        <w:t>la garantía asociada a estas operaciones hipotecarias y a la mayor complejidad que involucra el proceso de formalización de las operaciones de crédito que incorporan el subsidio.</w:t>
      </w:r>
    </w:p>
    <w:p w14:paraId="00815B86" w14:textId="77777777" w:rsidR="00D14DB1" w:rsidRPr="00D14DB1" w:rsidRDefault="00D14DB1" w:rsidP="00D14DB1">
      <w:pPr>
        <w:spacing w:line="360" w:lineRule="auto"/>
        <w:jc w:val="both"/>
        <w:rPr>
          <w:rFonts w:cs="Arial"/>
          <w:sz w:val="22"/>
          <w:szCs w:val="22"/>
          <w:lang w:val="es-CR"/>
        </w:rPr>
      </w:pPr>
    </w:p>
    <w:p w14:paraId="646ED2F7" w14:textId="540A5903" w:rsidR="0089037A" w:rsidRDefault="00D14DB1" w:rsidP="0089037A">
      <w:pPr>
        <w:spacing w:line="360" w:lineRule="auto"/>
        <w:jc w:val="both"/>
        <w:rPr>
          <w:rFonts w:cs="Arial"/>
          <w:sz w:val="22"/>
          <w:szCs w:val="22"/>
          <w:lang w:val="es-CR"/>
        </w:rPr>
      </w:pPr>
      <w:r w:rsidRPr="00D14DB1">
        <w:rPr>
          <w:rFonts w:cs="Arial"/>
          <w:sz w:val="22"/>
          <w:u w:val="single"/>
          <w:lang w:val="es-ES_tradnl"/>
        </w:rPr>
        <w:t xml:space="preserve">Minuto </w:t>
      </w:r>
      <w:r w:rsidR="0089037A">
        <w:rPr>
          <w:rFonts w:cs="Arial"/>
          <w:sz w:val="22"/>
          <w:u w:val="single"/>
          <w:lang w:val="es-ES_tradnl"/>
        </w:rPr>
        <w:t>13</w:t>
      </w:r>
      <w:r w:rsidRPr="00D14DB1">
        <w:rPr>
          <w:rFonts w:cs="Arial"/>
          <w:sz w:val="22"/>
          <w:u w:val="single"/>
          <w:lang w:val="es-ES_tradnl"/>
        </w:rPr>
        <w:t>:</w:t>
      </w:r>
      <w:r w:rsidR="0089037A">
        <w:rPr>
          <w:rFonts w:cs="Arial"/>
          <w:sz w:val="22"/>
          <w:u w:val="single"/>
          <w:lang w:val="es-ES_tradnl"/>
        </w:rPr>
        <w:t>32</w:t>
      </w:r>
      <w:r w:rsidRPr="00D14DB1">
        <w:rPr>
          <w:rFonts w:cs="Arial"/>
          <w:sz w:val="22"/>
          <w:lang w:val="es-ES_tradnl"/>
        </w:rPr>
        <w:t xml:space="preserve">  Conocida y suficientemente discutida la propuesta de la Dirección FONAVI</w:t>
      </w:r>
      <w:r w:rsidR="0089037A">
        <w:rPr>
          <w:rFonts w:cs="Arial"/>
          <w:sz w:val="22"/>
          <w:lang w:val="es-ES_tradnl"/>
        </w:rPr>
        <w:t xml:space="preserve">, </w:t>
      </w:r>
      <w:r w:rsidR="0089037A" w:rsidRPr="00D14DB1">
        <w:rPr>
          <w:rFonts w:cs="Arial"/>
          <w:sz w:val="22"/>
          <w:lang w:val="es-ES_tradnl"/>
        </w:rPr>
        <w:t xml:space="preserve">y siendo que la </w:t>
      </w:r>
      <w:r w:rsidR="0089037A" w:rsidRPr="00D14DB1">
        <w:rPr>
          <w:rFonts w:cs="Arial"/>
          <w:sz w:val="22"/>
          <w:szCs w:val="22"/>
          <w:lang w:val="es-ES_tradnl"/>
        </w:rPr>
        <w:t xml:space="preserve">Asesoría Legal no tiene objeciones al respecto (minuto </w:t>
      </w:r>
      <w:r w:rsidR="0089037A">
        <w:rPr>
          <w:rFonts w:cs="Arial"/>
          <w:sz w:val="22"/>
          <w:szCs w:val="22"/>
          <w:lang w:val="es-ES_tradnl"/>
        </w:rPr>
        <w:t>10</w:t>
      </w:r>
      <w:r w:rsidR="0089037A" w:rsidRPr="00D14DB1">
        <w:rPr>
          <w:rFonts w:cs="Arial"/>
          <w:sz w:val="22"/>
          <w:szCs w:val="22"/>
          <w:lang w:val="es-ES_tradnl"/>
        </w:rPr>
        <w:t>:</w:t>
      </w:r>
      <w:r w:rsidR="0089037A">
        <w:rPr>
          <w:rFonts w:cs="Arial"/>
          <w:sz w:val="22"/>
          <w:szCs w:val="22"/>
          <w:lang w:val="es-ES_tradnl"/>
        </w:rPr>
        <w:t>53</w:t>
      </w:r>
      <w:r w:rsidR="0089037A" w:rsidRPr="00D14DB1">
        <w:rPr>
          <w:rFonts w:cs="Arial"/>
          <w:sz w:val="22"/>
          <w:szCs w:val="22"/>
          <w:lang w:val="es-ES_tradnl"/>
        </w:rPr>
        <w:t xml:space="preserve">), </w:t>
      </w:r>
      <w:r w:rsidR="0089037A">
        <w:rPr>
          <w:rFonts w:cs="Arial"/>
          <w:sz w:val="22"/>
          <w:lang w:val="es-ES_tradnl"/>
        </w:rPr>
        <w:t xml:space="preserve">el Director Alvarado Herrera se manifiesta a favor de actuar de la forma que recomienda la </w:t>
      </w:r>
      <w:r w:rsidR="0089037A" w:rsidRPr="0089037A">
        <w:rPr>
          <w:rFonts w:cs="Arial"/>
          <w:sz w:val="22"/>
          <w:lang w:val="es-ES_tradnl"/>
        </w:rPr>
        <w:t>Administración</w:t>
      </w:r>
      <w:r w:rsidR="0089037A">
        <w:rPr>
          <w:rFonts w:cs="Arial"/>
          <w:sz w:val="22"/>
          <w:lang w:val="es-ES_tradnl"/>
        </w:rPr>
        <w:t>, señalando que</w:t>
      </w:r>
      <w:r w:rsidR="002122C9">
        <w:rPr>
          <w:rFonts w:cs="Arial"/>
          <w:sz w:val="22"/>
          <w:lang w:val="es-ES_tradnl"/>
        </w:rPr>
        <w:t xml:space="preserve"> además de los razonamientos indicados por la Dirección FONAVI,</w:t>
      </w:r>
      <w:r w:rsidR="0089037A">
        <w:rPr>
          <w:rFonts w:cs="Arial"/>
          <w:sz w:val="22"/>
          <w:lang w:val="es-ES_tradnl"/>
        </w:rPr>
        <w:t xml:space="preserve"> de</w:t>
      </w:r>
      <w:r w:rsidR="0089037A" w:rsidRPr="005362E0">
        <w:rPr>
          <w:rFonts w:cs="Arial"/>
          <w:sz w:val="22"/>
          <w:szCs w:val="22"/>
          <w:lang w:val="es-CR"/>
        </w:rPr>
        <w:t xml:space="preserve"> acuerdo con el artículo 26 inciso d) de la Ley del del Sistema Financiero Nacional para la Vivienda y el artículo 103.1 de la Ley General de la Administración Pública, corresponde al BAHNVI la emisión de los reglamentos autónomos que regirán el funcionamiento del Sistema, y según el artículo 132.4 de la Ley General de la Administración Pública permite adaptar el contenido del acto administrativo a su respectivo fin, mediante la inserción discrecional de condiciones, términos y modos, siempre que sean legalmente compatibles con la parte reglada del mismo.</w:t>
      </w:r>
    </w:p>
    <w:p w14:paraId="08E6CE61" w14:textId="77777777" w:rsidR="0089037A" w:rsidRDefault="0089037A" w:rsidP="009D03FE">
      <w:pPr>
        <w:spacing w:line="360" w:lineRule="auto"/>
        <w:jc w:val="both"/>
        <w:rPr>
          <w:rFonts w:cs="Arial"/>
          <w:sz w:val="22"/>
          <w:lang w:val="es-ES_tradnl"/>
        </w:rPr>
      </w:pPr>
    </w:p>
    <w:p w14:paraId="4B70D549" w14:textId="0D095C3F" w:rsidR="0023430C" w:rsidRDefault="0089037A" w:rsidP="009D03FE">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18</w:t>
      </w:r>
      <w:r w:rsidRPr="0039311E">
        <w:rPr>
          <w:rFonts w:cs="Arial"/>
          <w:sz w:val="22"/>
          <w:u w:val="single"/>
          <w:lang w:val="es-ES_tradnl"/>
        </w:rPr>
        <w:t>:</w:t>
      </w:r>
      <w:r>
        <w:rPr>
          <w:rFonts w:cs="Arial"/>
          <w:sz w:val="22"/>
          <w:u w:val="single"/>
          <w:lang w:val="es-ES_tradnl"/>
        </w:rPr>
        <w:t>50</w:t>
      </w:r>
      <w:r>
        <w:rPr>
          <w:rFonts w:cs="Arial"/>
          <w:sz w:val="22"/>
          <w:lang w:val="es-ES_tradnl"/>
        </w:rPr>
        <w:t xml:space="preserve"> La </w:t>
      </w:r>
      <w:r w:rsidRPr="00FA2104">
        <w:rPr>
          <w:rFonts w:cs="Arial"/>
          <w:sz w:val="22"/>
          <w:szCs w:val="22"/>
          <w:lang w:val="es-ES_tradnl"/>
        </w:rPr>
        <w:t>Junta Directiva</w:t>
      </w:r>
      <w:r w:rsidR="00D14DB1">
        <w:rPr>
          <w:rFonts w:cs="Arial"/>
          <w:sz w:val="22"/>
          <w:szCs w:val="22"/>
          <w:lang w:val="es-ES_tradnl"/>
        </w:rPr>
        <w:t xml:space="preserve"> estima pertinente actuar de la forma que recomienda la </w:t>
      </w:r>
      <w:r w:rsidR="00D14DB1" w:rsidRPr="005005FD">
        <w:rPr>
          <w:rFonts w:cs="Arial"/>
          <w:sz w:val="22"/>
          <w:szCs w:val="22"/>
          <w:lang w:val="es-ES_tradnl"/>
        </w:rPr>
        <w:t>Administración</w:t>
      </w:r>
      <w:r w:rsidR="00D14DB1">
        <w:rPr>
          <w:rFonts w:cs="Arial"/>
          <w:sz w:val="22"/>
          <w:szCs w:val="22"/>
          <w:lang w:val="es-ES_tradnl"/>
        </w:rPr>
        <w:t xml:space="preserve">, en el tanto –según se ha documentado– las reformas que se proponen a las </w:t>
      </w:r>
      <w:r w:rsidR="00D14DB1" w:rsidRPr="005005FD">
        <w:rPr>
          <w:rFonts w:cs="Arial"/>
          <w:sz w:val="22"/>
          <w:szCs w:val="22"/>
          <w:lang w:val="es-CR"/>
        </w:rPr>
        <w:t>condiciones de las garantías requeridas por el BANHVI</w:t>
      </w:r>
      <w:r w:rsidR="00D14DB1">
        <w:rPr>
          <w:rFonts w:cs="Arial"/>
          <w:sz w:val="22"/>
          <w:szCs w:val="22"/>
          <w:lang w:val="es-CR"/>
        </w:rPr>
        <w:t xml:space="preserve">, permitirán </w:t>
      </w:r>
      <w:r w:rsidR="00D14DB1" w:rsidRPr="005005FD">
        <w:rPr>
          <w:rFonts w:cs="Arial"/>
          <w:sz w:val="22"/>
          <w:szCs w:val="22"/>
          <w:lang w:val="es-CR"/>
        </w:rPr>
        <w:t xml:space="preserve">facilitar su entrega por parte de las </w:t>
      </w:r>
      <w:r w:rsidR="00D14DB1">
        <w:rPr>
          <w:rFonts w:cs="Arial"/>
          <w:sz w:val="22"/>
          <w:szCs w:val="22"/>
          <w:lang w:val="es-CR"/>
        </w:rPr>
        <w:t>e</w:t>
      </w:r>
      <w:r w:rsidR="00D14DB1" w:rsidRPr="005005FD">
        <w:rPr>
          <w:rFonts w:cs="Arial"/>
          <w:sz w:val="22"/>
          <w:szCs w:val="22"/>
          <w:lang w:val="es-CR"/>
        </w:rPr>
        <w:t>ntidades deudoras en los casos de programas con condiciones especiales, como lo es el Programa Integral de Financiamiento para Familias de Ingresos Medios</w:t>
      </w:r>
      <w:r w:rsidR="00D14DB1">
        <w:rPr>
          <w:rFonts w:cs="Arial"/>
          <w:sz w:val="22"/>
          <w:szCs w:val="22"/>
          <w:lang w:val="es-CR"/>
        </w:rPr>
        <w:t>.</w:t>
      </w:r>
      <w:r>
        <w:rPr>
          <w:rFonts w:cs="Arial"/>
          <w:sz w:val="22"/>
          <w:szCs w:val="22"/>
          <w:lang w:val="es-CR"/>
        </w:rPr>
        <w:t xml:space="preserve">  Lo anterior, según se consigna en el </w:t>
      </w:r>
      <w:r w:rsidRPr="0089037A">
        <w:rPr>
          <w:rFonts w:cs="Arial"/>
          <w:b/>
          <w:bCs/>
          <w:sz w:val="22"/>
          <w:szCs w:val="22"/>
          <w:lang w:val="es-CR"/>
        </w:rPr>
        <w:t>Acuerdo N° 1</w:t>
      </w:r>
      <w:r>
        <w:rPr>
          <w:rFonts w:cs="Arial"/>
          <w:sz w:val="22"/>
          <w:szCs w:val="22"/>
          <w:lang w:val="es-CR"/>
        </w:rPr>
        <w:t xml:space="preserve"> que se anexa a esta minuta.</w:t>
      </w:r>
    </w:p>
    <w:p w14:paraId="0CE9129A" w14:textId="77777777" w:rsidR="007749FC" w:rsidRPr="00D14EAF" w:rsidRDefault="007749FC" w:rsidP="007749FC">
      <w:pPr>
        <w:spacing w:line="360" w:lineRule="auto"/>
        <w:jc w:val="both"/>
        <w:rPr>
          <w:rFonts w:cs="Arial"/>
          <w:b/>
          <w:sz w:val="22"/>
        </w:rPr>
      </w:pPr>
      <w:r w:rsidRPr="00D14EAF">
        <w:rPr>
          <w:rFonts w:cs="Arial"/>
          <w:b/>
          <w:sz w:val="22"/>
        </w:rPr>
        <w:t>************</w:t>
      </w:r>
    </w:p>
    <w:p w14:paraId="647B656D" w14:textId="77777777" w:rsidR="00FA4CCB" w:rsidRDefault="00FA4CCB" w:rsidP="002D0146">
      <w:pPr>
        <w:spacing w:line="360" w:lineRule="auto"/>
        <w:jc w:val="both"/>
        <w:rPr>
          <w:rFonts w:cs="Arial"/>
          <w:b/>
          <w:sz w:val="22"/>
          <w:szCs w:val="22"/>
          <w:u w:val="single"/>
          <w:lang w:val="es-ES_tradnl"/>
        </w:rPr>
      </w:pPr>
    </w:p>
    <w:p w14:paraId="6CEF025E" w14:textId="11A8C920"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F453C9" w:rsidRPr="00CC263E">
        <w:rPr>
          <w:rFonts w:cs="Arial"/>
          <w:b/>
          <w:bCs/>
          <w:sz w:val="22"/>
          <w:u w:val="single"/>
          <w:lang w:val="es-ES_tradnl"/>
        </w:rPr>
        <w:t>Solicitud de crédito presentada por el Banco Popular y de Desarrollo Comunal, dentro del Programa Integral de Financiamiento para Familias de Ingresos Medios</w:t>
      </w:r>
    </w:p>
    <w:p w14:paraId="283AC3C4" w14:textId="77777777" w:rsidR="009D03FE" w:rsidRDefault="009D03FE" w:rsidP="009D03FE">
      <w:pPr>
        <w:spacing w:line="360" w:lineRule="auto"/>
        <w:jc w:val="both"/>
        <w:rPr>
          <w:rFonts w:cs="Arial"/>
          <w:sz w:val="22"/>
          <w:szCs w:val="22"/>
        </w:rPr>
      </w:pPr>
    </w:p>
    <w:p w14:paraId="0216F708" w14:textId="7EFE558A" w:rsidR="006371D0" w:rsidRDefault="006371D0" w:rsidP="006371D0">
      <w:pPr>
        <w:spacing w:line="360" w:lineRule="auto"/>
        <w:jc w:val="both"/>
        <w:rPr>
          <w:rFonts w:cs="Arial"/>
          <w:bCs/>
          <w:sz w:val="22"/>
          <w:szCs w:val="22"/>
          <w:lang w:val="es-ES_tradnl"/>
        </w:rPr>
      </w:pPr>
      <w:r w:rsidRPr="0039311E">
        <w:rPr>
          <w:rFonts w:cs="Arial"/>
          <w:sz w:val="22"/>
          <w:u w:val="single"/>
          <w:lang w:val="es-ES_tradnl"/>
        </w:rPr>
        <w:t xml:space="preserve">Minuto </w:t>
      </w:r>
      <w:r w:rsidR="00186009">
        <w:rPr>
          <w:rFonts w:cs="Arial"/>
          <w:sz w:val="22"/>
          <w:u w:val="single"/>
          <w:lang w:val="es-ES_tradnl"/>
        </w:rPr>
        <w:t>19</w:t>
      </w:r>
      <w:r w:rsidRPr="0039311E">
        <w:rPr>
          <w:rFonts w:cs="Arial"/>
          <w:sz w:val="22"/>
          <w:u w:val="single"/>
          <w:lang w:val="es-ES_tradnl"/>
        </w:rPr>
        <w:t>:</w:t>
      </w:r>
      <w:r w:rsidR="00186009">
        <w:rPr>
          <w:rFonts w:cs="Arial"/>
          <w:sz w:val="22"/>
          <w:u w:val="single"/>
          <w:lang w:val="es-ES_tradnl"/>
        </w:rPr>
        <w:t>5</w:t>
      </w:r>
      <w:r>
        <w:rPr>
          <w:rFonts w:cs="Arial"/>
          <w:sz w:val="22"/>
          <w:u w:val="single"/>
          <w:lang w:val="es-ES_tradnl"/>
        </w:rPr>
        <w:t>0</w:t>
      </w:r>
      <w:r>
        <w:rPr>
          <w:rFonts w:cs="Arial"/>
          <w:sz w:val="22"/>
          <w:lang w:val="es-ES_tradnl"/>
        </w:rPr>
        <w:t xml:space="preserve"> Se conoce el oficio </w:t>
      </w:r>
      <w:r>
        <w:rPr>
          <w:rFonts w:cs="Arial"/>
          <w:sz w:val="22"/>
        </w:rPr>
        <w:t>GG-ME-</w:t>
      </w:r>
      <w:r w:rsidR="00186009">
        <w:rPr>
          <w:rFonts w:cs="Arial"/>
          <w:sz w:val="22"/>
        </w:rPr>
        <w:t>0048</w:t>
      </w:r>
      <w:r>
        <w:rPr>
          <w:rFonts w:cs="Arial"/>
          <w:sz w:val="22"/>
        </w:rPr>
        <w:t>-20</w:t>
      </w:r>
      <w:r w:rsidR="00186009">
        <w:rPr>
          <w:rFonts w:cs="Arial"/>
          <w:sz w:val="22"/>
        </w:rPr>
        <w:t>20</w:t>
      </w:r>
      <w:r>
        <w:rPr>
          <w:rFonts w:cs="Arial"/>
          <w:sz w:val="22"/>
        </w:rPr>
        <w:t xml:space="preserve"> del </w:t>
      </w:r>
      <w:r w:rsidR="00186009">
        <w:rPr>
          <w:rFonts w:cs="Arial"/>
          <w:sz w:val="22"/>
        </w:rPr>
        <w:t>15</w:t>
      </w:r>
      <w:r>
        <w:rPr>
          <w:rFonts w:cs="Arial"/>
          <w:sz w:val="22"/>
        </w:rPr>
        <w:t xml:space="preserve"> de </w:t>
      </w:r>
      <w:r w:rsidR="00186009">
        <w:rPr>
          <w:rFonts w:cs="Arial"/>
          <w:sz w:val="22"/>
        </w:rPr>
        <w:t>enero de 2020</w:t>
      </w:r>
      <w:r>
        <w:rPr>
          <w:rFonts w:cs="Arial"/>
          <w:sz w:val="22"/>
        </w:rPr>
        <w:t xml:space="preserve">, </w:t>
      </w:r>
      <w:r>
        <w:rPr>
          <w:rFonts w:cs="Arial"/>
          <w:bCs/>
          <w:sz w:val="22"/>
          <w:lang w:val="es-ES_tradnl"/>
        </w:rPr>
        <w:t xml:space="preserve">mediante el cual, la </w:t>
      </w:r>
      <w:r w:rsidRPr="004A152D">
        <w:rPr>
          <w:rFonts w:cs="Arial"/>
          <w:bCs/>
          <w:sz w:val="22"/>
          <w:lang w:val="es-ES_tradnl"/>
        </w:rPr>
        <w:t>Gerencia General</w:t>
      </w:r>
      <w:r>
        <w:rPr>
          <w:rFonts w:cs="Arial"/>
          <w:bCs/>
          <w:sz w:val="22"/>
          <w:lang w:val="es-ES_tradnl"/>
        </w:rPr>
        <w:t xml:space="preserve"> remite y avala el informe DFNV-ME-0</w:t>
      </w:r>
      <w:r w:rsidR="00186009">
        <w:rPr>
          <w:rFonts w:cs="Arial"/>
          <w:bCs/>
          <w:sz w:val="22"/>
          <w:lang w:val="es-ES_tradnl"/>
        </w:rPr>
        <w:t>20</w:t>
      </w:r>
      <w:r>
        <w:rPr>
          <w:rFonts w:cs="Arial"/>
          <w:bCs/>
          <w:sz w:val="22"/>
          <w:lang w:val="es-ES_tradnl"/>
        </w:rPr>
        <w:t>-20</w:t>
      </w:r>
      <w:r w:rsidR="00186009">
        <w:rPr>
          <w:rFonts w:cs="Arial"/>
          <w:bCs/>
          <w:sz w:val="22"/>
          <w:lang w:val="es-ES_tradnl"/>
        </w:rPr>
        <w:t>20</w:t>
      </w:r>
      <w:r>
        <w:rPr>
          <w:rFonts w:cs="Arial"/>
          <w:bCs/>
          <w:sz w:val="22"/>
          <w:lang w:val="es-ES_tradnl"/>
        </w:rPr>
        <w:t xml:space="preserve"> de la Dirección FONAVI, que contiene los resultados del estudio efectuado a la solicitud de financiamiento presentada por </w:t>
      </w:r>
      <w:r w:rsidR="00186009">
        <w:rPr>
          <w:rFonts w:cs="Arial"/>
          <w:bCs/>
          <w:sz w:val="22"/>
          <w:lang w:val="es-ES_tradnl"/>
        </w:rPr>
        <w:t>el Banco Popular y de Desarrollo Comunal</w:t>
      </w:r>
      <w:r>
        <w:rPr>
          <w:rFonts w:cs="Arial"/>
          <w:bCs/>
          <w:sz w:val="22"/>
          <w:szCs w:val="22"/>
          <w:lang w:val="es-ES_tradnl"/>
        </w:rPr>
        <w:t>,</w:t>
      </w:r>
      <w:r>
        <w:rPr>
          <w:rFonts w:cs="Arial"/>
          <w:bCs/>
          <w:sz w:val="22"/>
          <w:lang w:val="es-ES_tradnl"/>
        </w:rPr>
        <w:t xml:space="preserve"> por un monto de ¢</w:t>
      </w:r>
      <w:r w:rsidR="00186009">
        <w:rPr>
          <w:rFonts w:cs="Arial"/>
          <w:bCs/>
          <w:sz w:val="22"/>
          <w:lang w:val="es-ES_tradnl"/>
        </w:rPr>
        <w:t>10</w:t>
      </w:r>
      <w:r>
        <w:rPr>
          <w:rFonts w:cs="Arial"/>
          <w:bCs/>
          <w:sz w:val="22"/>
          <w:lang w:val="es-ES_tradnl"/>
        </w:rPr>
        <w:t>.</w:t>
      </w:r>
      <w:r w:rsidR="00186009">
        <w:rPr>
          <w:rFonts w:cs="Arial"/>
          <w:bCs/>
          <w:sz w:val="22"/>
          <w:lang w:val="es-ES_tradnl"/>
        </w:rPr>
        <w:t>0</w:t>
      </w:r>
      <w:r>
        <w:rPr>
          <w:rFonts w:cs="Arial"/>
          <w:bCs/>
          <w:sz w:val="22"/>
          <w:lang w:val="es-ES_tradnl"/>
        </w:rPr>
        <w:t xml:space="preserve">00,0 millones y bajo la modalidad de línea de crédito revolutiva, a un plazo de veinte años y al amparo del </w:t>
      </w:r>
      <w:r w:rsidRPr="00BB2B15">
        <w:rPr>
          <w:rFonts w:cs="Arial"/>
          <w:bCs/>
          <w:i/>
          <w:sz w:val="22"/>
          <w:lang w:val="es-ES_tradnl"/>
        </w:rPr>
        <w:t xml:space="preserve">Programa </w:t>
      </w:r>
      <w:r w:rsidR="00186009">
        <w:rPr>
          <w:rFonts w:cs="Arial"/>
          <w:i/>
          <w:sz w:val="22"/>
          <w:szCs w:val="22"/>
        </w:rPr>
        <w:t>Integral de Financiamiento para Familias de Ingresos Medios</w:t>
      </w:r>
      <w:r w:rsidRPr="00BB2B15">
        <w:rPr>
          <w:rFonts w:cs="Arial"/>
          <w:bCs/>
          <w:i/>
          <w:sz w:val="22"/>
          <w:lang w:val="es-ES_tradnl"/>
        </w:rPr>
        <w:t xml:space="preserve"> del FONAVI</w:t>
      </w:r>
      <w:r>
        <w:rPr>
          <w:rFonts w:cs="Arial"/>
          <w:bCs/>
          <w:sz w:val="22"/>
          <w:lang w:val="es-ES_tradnl"/>
        </w:rPr>
        <w:t xml:space="preserve">.  Dichos documentos se adjuntan al expediente del acta </w:t>
      </w:r>
      <w:r w:rsidRPr="00D36875">
        <w:rPr>
          <w:rFonts w:cs="Arial"/>
          <w:bCs/>
          <w:sz w:val="22"/>
          <w:szCs w:val="22"/>
          <w:lang w:val="es-ES_tradnl"/>
        </w:rPr>
        <w:t xml:space="preserve">y, según </w:t>
      </w:r>
      <w:r>
        <w:rPr>
          <w:rFonts w:cs="Arial"/>
          <w:bCs/>
          <w:sz w:val="22"/>
          <w:szCs w:val="22"/>
          <w:lang w:val="es-ES_tradnl"/>
        </w:rPr>
        <w:t xml:space="preserve">se indica en la </w:t>
      </w:r>
      <w:r>
        <w:rPr>
          <w:rFonts w:cs="Arial"/>
          <w:bCs/>
          <w:sz w:val="22"/>
          <w:szCs w:val="22"/>
          <w:lang w:val="es-ES_tradnl"/>
        </w:rPr>
        <w:lastRenderedPageBreak/>
        <w:t xml:space="preserve">citada nota de la </w:t>
      </w:r>
      <w:r w:rsidRPr="00A81A57">
        <w:rPr>
          <w:rFonts w:cs="Arial"/>
          <w:bCs/>
          <w:sz w:val="22"/>
          <w:szCs w:val="22"/>
          <w:lang w:val="es-ES_tradnl"/>
        </w:rPr>
        <w:t>Gerencia General</w:t>
      </w:r>
      <w:r w:rsidRPr="00D36875">
        <w:rPr>
          <w:rFonts w:cs="Arial"/>
          <w:bCs/>
          <w:sz w:val="22"/>
          <w:szCs w:val="22"/>
          <w:lang w:val="es-ES_tradnl"/>
        </w:rPr>
        <w:t xml:space="preserve">, fueron </w:t>
      </w:r>
      <w:r>
        <w:rPr>
          <w:rFonts w:cs="Arial"/>
          <w:bCs/>
          <w:sz w:val="22"/>
          <w:szCs w:val="22"/>
          <w:lang w:val="es-ES_tradnl"/>
        </w:rPr>
        <w:t>analizados</w:t>
      </w:r>
      <w:r w:rsidRPr="00D36875">
        <w:rPr>
          <w:rFonts w:cs="Arial"/>
          <w:bCs/>
          <w:sz w:val="22"/>
          <w:szCs w:val="22"/>
          <w:lang w:val="es-ES_tradnl"/>
        </w:rPr>
        <w:t xml:space="preserve"> </w:t>
      </w:r>
      <w:r>
        <w:rPr>
          <w:rFonts w:cs="Arial"/>
          <w:bCs/>
          <w:sz w:val="22"/>
          <w:szCs w:val="22"/>
          <w:lang w:val="es-ES_tradnl"/>
        </w:rPr>
        <w:t>y respaldados</w:t>
      </w:r>
      <w:r w:rsidRPr="00D36875">
        <w:rPr>
          <w:rFonts w:cs="Arial"/>
          <w:bCs/>
          <w:sz w:val="22"/>
          <w:szCs w:val="22"/>
          <w:lang w:val="es-ES_tradnl"/>
        </w:rPr>
        <w:t xml:space="preserve"> por el Comité de </w:t>
      </w:r>
      <w:r>
        <w:rPr>
          <w:rFonts w:cs="Arial"/>
          <w:bCs/>
          <w:sz w:val="22"/>
          <w:szCs w:val="22"/>
          <w:lang w:val="es-ES_tradnl"/>
        </w:rPr>
        <w:t>Crédito, en su sesión N° 0</w:t>
      </w:r>
      <w:r w:rsidR="00186009">
        <w:rPr>
          <w:rFonts w:cs="Arial"/>
          <w:bCs/>
          <w:sz w:val="22"/>
          <w:szCs w:val="22"/>
          <w:lang w:val="es-ES_tradnl"/>
        </w:rPr>
        <w:t>1</w:t>
      </w:r>
      <w:r>
        <w:rPr>
          <w:rFonts w:cs="Arial"/>
          <w:bCs/>
          <w:sz w:val="22"/>
          <w:szCs w:val="22"/>
          <w:lang w:val="es-ES_tradnl"/>
        </w:rPr>
        <w:t>-20</w:t>
      </w:r>
      <w:r w:rsidR="00186009">
        <w:rPr>
          <w:rFonts w:cs="Arial"/>
          <w:bCs/>
          <w:sz w:val="22"/>
          <w:szCs w:val="22"/>
          <w:lang w:val="es-ES_tradnl"/>
        </w:rPr>
        <w:t>20</w:t>
      </w:r>
      <w:r>
        <w:rPr>
          <w:rFonts w:cs="Arial"/>
          <w:bCs/>
          <w:sz w:val="22"/>
          <w:szCs w:val="22"/>
          <w:lang w:val="es-ES_tradnl"/>
        </w:rPr>
        <w:t xml:space="preserve"> del pasado </w:t>
      </w:r>
      <w:r w:rsidR="00186009">
        <w:rPr>
          <w:rFonts w:cs="Arial"/>
          <w:bCs/>
          <w:sz w:val="22"/>
          <w:szCs w:val="22"/>
          <w:lang w:val="es-ES_tradnl"/>
        </w:rPr>
        <w:t>13</w:t>
      </w:r>
      <w:r>
        <w:rPr>
          <w:rFonts w:cs="Arial"/>
          <w:bCs/>
          <w:sz w:val="22"/>
          <w:szCs w:val="22"/>
          <w:lang w:val="es-ES_tradnl"/>
        </w:rPr>
        <w:t xml:space="preserve"> de </w:t>
      </w:r>
      <w:r w:rsidR="00186009">
        <w:rPr>
          <w:rFonts w:cs="Arial"/>
          <w:bCs/>
          <w:sz w:val="22"/>
          <w:szCs w:val="22"/>
          <w:lang w:val="es-ES_tradnl"/>
        </w:rPr>
        <w:t>enero</w:t>
      </w:r>
      <w:r w:rsidRPr="00D36875">
        <w:rPr>
          <w:rFonts w:cs="Arial"/>
          <w:bCs/>
          <w:sz w:val="22"/>
          <w:szCs w:val="22"/>
          <w:lang w:val="es-ES_tradnl"/>
        </w:rPr>
        <w:t>.</w:t>
      </w:r>
    </w:p>
    <w:p w14:paraId="460F9ED6" w14:textId="77777777" w:rsidR="006371D0" w:rsidRDefault="006371D0" w:rsidP="006371D0">
      <w:pPr>
        <w:spacing w:line="360" w:lineRule="auto"/>
        <w:jc w:val="both"/>
        <w:rPr>
          <w:rFonts w:cs="Arial"/>
          <w:bCs/>
          <w:sz w:val="22"/>
          <w:szCs w:val="22"/>
          <w:lang w:val="es-ES_tradnl"/>
        </w:rPr>
      </w:pPr>
    </w:p>
    <w:p w14:paraId="604D42AC" w14:textId="77777777" w:rsidR="006371D0" w:rsidRDefault="006371D0" w:rsidP="006371D0">
      <w:pPr>
        <w:spacing w:line="360" w:lineRule="auto"/>
        <w:jc w:val="both"/>
        <w:rPr>
          <w:rFonts w:cs="Arial"/>
          <w:bCs/>
          <w:sz w:val="22"/>
          <w:lang w:val="es-ES_tradnl"/>
        </w:rPr>
      </w:pPr>
      <w:r>
        <w:rPr>
          <w:rFonts w:cs="Arial"/>
          <w:bCs/>
          <w:sz w:val="22"/>
          <w:lang w:val="es-ES_tradnl"/>
        </w:rPr>
        <w:t>La licenciada Hernández Brenes expone los alcances del citado informe, presentando las condiciones de plazo, tasa de interés, forma de pago y garantías del financiamiento requerido, así como los resultados del análisis efectuado a la capacidad de pago de la entidad y los indicadores de morosidad, comportamiento histórico de pago, garantías aportadas, límite de crédito, situación financiera y aplicación de la política Conozca a su Cliente,</w:t>
      </w:r>
      <w:r w:rsidRPr="00071934">
        <w:rPr>
          <w:szCs w:val="22"/>
        </w:rPr>
        <w:t xml:space="preserve"> </w:t>
      </w:r>
      <w:r w:rsidRPr="00071934">
        <w:rPr>
          <w:rFonts w:cs="Arial"/>
          <w:bCs/>
          <w:sz w:val="22"/>
        </w:rPr>
        <w:t xml:space="preserve">concluyendo que </w:t>
      </w:r>
      <w:r>
        <w:rPr>
          <w:rFonts w:cs="Arial"/>
          <w:bCs/>
          <w:sz w:val="22"/>
        </w:rPr>
        <w:t xml:space="preserve">la solicitud de crédito </w:t>
      </w:r>
      <w:r w:rsidRPr="00071934">
        <w:rPr>
          <w:rFonts w:cs="Arial"/>
          <w:bCs/>
          <w:sz w:val="22"/>
        </w:rPr>
        <w:t>se adapta a los parámetros para el otorgamiento de créditos establecidos por el BANHVI, y por lo tanto recomienda su aprobación</w:t>
      </w:r>
      <w:r>
        <w:rPr>
          <w:rFonts w:cs="Arial"/>
          <w:bCs/>
          <w:sz w:val="22"/>
        </w:rPr>
        <w:t>.</w:t>
      </w:r>
    </w:p>
    <w:p w14:paraId="0F03A38B" w14:textId="77777777" w:rsidR="006371D0" w:rsidRPr="000305E3" w:rsidRDefault="006371D0" w:rsidP="006371D0">
      <w:pPr>
        <w:spacing w:line="360" w:lineRule="auto"/>
        <w:jc w:val="both"/>
        <w:rPr>
          <w:rFonts w:cs="Arial"/>
          <w:bCs/>
          <w:sz w:val="20"/>
          <w:szCs w:val="20"/>
          <w:lang w:val="es-ES_tradnl"/>
        </w:rPr>
      </w:pPr>
    </w:p>
    <w:p w14:paraId="2A1EDE79" w14:textId="7F6B04CC" w:rsidR="009D03FE" w:rsidRPr="00186009" w:rsidRDefault="006371D0" w:rsidP="009D03FE">
      <w:pPr>
        <w:spacing w:line="360" w:lineRule="auto"/>
        <w:jc w:val="both"/>
        <w:rPr>
          <w:rFonts w:cs="Arial"/>
          <w:sz w:val="22"/>
          <w:szCs w:val="22"/>
        </w:rPr>
      </w:pPr>
      <w:r w:rsidRPr="00A25DB7">
        <w:rPr>
          <w:rFonts w:cs="Arial"/>
          <w:sz w:val="22"/>
          <w:u w:val="single"/>
          <w:lang w:val="es-ES_tradnl"/>
        </w:rPr>
        <w:t xml:space="preserve">Minuto </w:t>
      </w:r>
      <w:r w:rsidR="00186009">
        <w:rPr>
          <w:rFonts w:cs="Arial"/>
          <w:sz w:val="22"/>
          <w:u w:val="single"/>
          <w:lang w:val="es-ES_tradnl"/>
        </w:rPr>
        <w:t>49</w:t>
      </w:r>
      <w:r w:rsidRPr="00A25DB7">
        <w:rPr>
          <w:rFonts w:cs="Arial"/>
          <w:sz w:val="22"/>
          <w:u w:val="single"/>
          <w:lang w:val="es-ES_tradnl"/>
        </w:rPr>
        <w:t>:</w:t>
      </w:r>
      <w:r w:rsidR="00186009">
        <w:rPr>
          <w:rFonts w:cs="Arial"/>
          <w:sz w:val="22"/>
          <w:u w:val="single"/>
          <w:lang w:val="es-ES_tradnl"/>
        </w:rPr>
        <w:t>40</w:t>
      </w:r>
      <w:r w:rsidRPr="00BF503E">
        <w:rPr>
          <w:rFonts w:cs="Arial"/>
          <w:color w:val="000000"/>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BF503E">
        <w:rPr>
          <w:rFonts w:cs="Arial"/>
          <w:bCs/>
          <w:sz w:val="22"/>
          <w:szCs w:val="22"/>
        </w:rPr>
        <w:t>Administración</w:t>
      </w:r>
      <w:r>
        <w:rPr>
          <w:rFonts w:cs="Arial"/>
          <w:bCs/>
          <w:sz w:val="22"/>
          <w:szCs w:val="22"/>
        </w:rPr>
        <w:t>, la Junta Directiva estima pertinente autorizar el crédito solicitado</w:t>
      </w:r>
      <w:r w:rsidRPr="004B0C08">
        <w:rPr>
          <w:sz w:val="22"/>
          <w:szCs w:val="22"/>
        </w:rPr>
        <w:t>.</w:t>
      </w:r>
      <w:r w:rsidRPr="004B0C08">
        <w:rPr>
          <w:rFonts w:cs="Arial"/>
          <w:sz w:val="22"/>
          <w:szCs w:val="22"/>
        </w:rPr>
        <w:t xml:space="preserve"> </w:t>
      </w:r>
      <w:r>
        <w:rPr>
          <w:rFonts w:cs="Arial"/>
          <w:sz w:val="22"/>
          <w:szCs w:val="22"/>
        </w:rPr>
        <w:t xml:space="preserve">Lo anterior, en los términos que se indican en el </w:t>
      </w:r>
      <w:r>
        <w:rPr>
          <w:rFonts w:cs="Arial"/>
          <w:b/>
          <w:sz w:val="22"/>
          <w:szCs w:val="22"/>
        </w:rPr>
        <w:t>A</w:t>
      </w:r>
      <w:r w:rsidRPr="00ED0EF0">
        <w:rPr>
          <w:rFonts w:cs="Arial"/>
          <w:b/>
          <w:sz w:val="22"/>
          <w:szCs w:val="22"/>
        </w:rPr>
        <w:t xml:space="preserve">cuerdo N° </w:t>
      </w:r>
      <w:r>
        <w:rPr>
          <w:rFonts w:cs="Arial"/>
          <w:b/>
          <w:sz w:val="22"/>
          <w:szCs w:val="22"/>
        </w:rPr>
        <w:t>2</w:t>
      </w:r>
      <w:r>
        <w:rPr>
          <w:rFonts w:cs="Arial"/>
          <w:sz w:val="22"/>
          <w:szCs w:val="22"/>
        </w:rPr>
        <w:t xml:space="preserve"> que se anexa a esta minuta.</w:t>
      </w:r>
      <w:r w:rsidR="00186009">
        <w:rPr>
          <w:rFonts w:cs="Arial"/>
          <w:sz w:val="22"/>
          <w:szCs w:val="22"/>
        </w:rPr>
        <w:t xml:space="preserve">  Acto seguido, se retiran de la sesión los funcionarios Castro Miranda y Hernández Brenes.</w:t>
      </w:r>
    </w:p>
    <w:p w14:paraId="7D498B9D" w14:textId="77777777" w:rsidR="009D03FE" w:rsidRPr="00D14EAF" w:rsidRDefault="009D03FE" w:rsidP="009D03FE">
      <w:pPr>
        <w:spacing w:line="360" w:lineRule="auto"/>
        <w:jc w:val="both"/>
        <w:rPr>
          <w:rFonts w:cs="Arial"/>
          <w:b/>
          <w:sz w:val="22"/>
        </w:rPr>
      </w:pPr>
      <w:r w:rsidRPr="00D14EAF">
        <w:rPr>
          <w:rFonts w:cs="Arial"/>
          <w:b/>
          <w:sz w:val="22"/>
        </w:rPr>
        <w:t>************</w:t>
      </w:r>
    </w:p>
    <w:p w14:paraId="097E0711" w14:textId="77777777" w:rsidR="00D13B6B" w:rsidRDefault="00D13B6B" w:rsidP="002D0146">
      <w:pPr>
        <w:spacing w:line="360" w:lineRule="auto"/>
        <w:jc w:val="both"/>
        <w:rPr>
          <w:rFonts w:cs="Arial"/>
          <w:b/>
          <w:bCs/>
          <w:sz w:val="22"/>
          <w:szCs w:val="22"/>
          <w:u w:val="single"/>
          <w:lang w:val="es-ES_tradnl"/>
        </w:rPr>
      </w:pPr>
    </w:p>
    <w:p w14:paraId="42E1C28F" w14:textId="055AE45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F453C9" w:rsidRPr="00CC263E">
        <w:rPr>
          <w:rFonts w:cs="Arial"/>
          <w:b/>
          <w:bCs/>
          <w:sz w:val="22"/>
          <w:u w:val="single"/>
          <w:lang w:val="es-ES_tradnl"/>
        </w:rPr>
        <w:t>Informe sobre el estado de los Planes de Mitigación y Control de Riesgos</w:t>
      </w:r>
    </w:p>
    <w:p w14:paraId="69F1C84E" w14:textId="77777777" w:rsidR="009D03FE" w:rsidRDefault="009D03FE" w:rsidP="009D03FE">
      <w:pPr>
        <w:spacing w:line="360" w:lineRule="auto"/>
        <w:jc w:val="both"/>
        <w:rPr>
          <w:rFonts w:cs="Arial"/>
          <w:sz w:val="22"/>
          <w:szCs w:val="22"/>
        </w:rPr>
      </w:pPr>
    </w:p>
    <w:p w14:paraId="7B9E48CD" w14:textId="3C88AC61"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86009">
        <w:rPr>
          <w:rFonts w:cs="Arial"/>
          <w:sz w:val="22"/>
          <w:u w:val="single"/>
          <w:lang w:val="es-ES_tradnl"/>
        </w:rPr>
        <w:t>5</w:t>
      </w:r>
      <w:r w:rsidR="00D443FE">
        <w:rPr>
          <w:rFonts w:cs="Arial"/>
          <w:sz w:val="22"/>
          <w:u w:val="single"/>
          <w:lang w:val="es-ES_tradnl"/>
        </w:rPr>
        <w:t>1</w:t>
      </w:r>
      <w:r w:rsidRPr="0039311E">
        <w:rPr>
          <w:rFonts w:cs="Arial"/>
          <w:sz w:val="22"/>
          <w:u w:val="single"/>
          <w:lang w:val="es-ES_tradnl"/>
        </w:rPr>
        <w:t>:</w:t>
      </w:r>
      <w:r w:rsidR="00D443FE">
        <w:rPr>
          <w:rFonts w:cs="Arial"/>
          <w:sz w:val="22"/>
          <w:u w:val="single"/>
          <w:lang w:val="es-ES_tradnl"/>
        </w:rPr>
        <w:t>54</w:t>
      </w:r>
      <w:r>
        <w:rPr>
          <w:rFonts w:cs="Arial"/>
          <w:sz w:val="22"/>
          <w:lang w:val="es-ES_tradnl"/>
        </w:rPr>
        <w:t xml:space="preserve"> </w:t>
      </w:r>
      <w:r w:rsidR="00D443FE">
        <w:rPr>
          <w:rFonts w:cs="Arial"/>
          <w:sz w:val="22"/>
          <w:lang w:val="es-ES_tradnl"/>
        </w:rPr>
        <w:t xml:space="preserve">Se </w:t>
      </w:r>
      <w:r>
        <w:rPr>
          <w:rFonts w:cs="Arial"/>
          <w:sz w:val="22"/>
          <w:lang w:val="es-ES_tradnl"/>
        </w:rPr>
        <w:t xml:space="preserve">conoce el oficio </w:t>
      </w:r>
      <w:r w:rsidR="00E939AA">
        <w:rPr>
          <w:rFonts w:cs="Arial"/>
          <w:sz w:val="22"/>
          <w:lang w:val="es-ES_tradnl"/>
        </w:rPr>
        <w:t xml:space="preserve">CR-IN08-021-2019 del 06 de diciembre de 2019, mediante el cual, de conformidad con lo establecido en el artículo 9, inciso h), del Acuerdo SUGEF 2-10 </w:t>
      </w:r>
      <w:r w:rsidR="00E939AA" w:rsidRPr="00E873C3">
        <w:rPr>
          <w:rFonts w:cs="Arial"/>
          <w:i/>
          <w:iCs/>
          <w:sz w:val="22"/>
          <w:lang w:val="es-ES_tradnl"/>
        </w:rPr>
        <w:t>Reglamento sobre la Administración Integral de Riesgos</w:t>
      </w:r>
      <w:r w:rsidR="00E939AA">
        <w:rPr>
          <w:rFonts w:cs="Arial"/>
          <w:sz w:val="22"/>
          <w:lang w:val="es-ES_tradnl"/>
        </w:rPr>
        <w:t xml:space="preserve">, el Comité de Riesgos somete al conocimiento de esta </w:t>
      </w:r>
      <w:r w:rsidR="00E939AA" w:rsidRPr="00E939AA">
        <w:rPr>
          <w:rFonts w:cs="Arial"/>
          <w:sz w:val="22"/>
          <w:lang w:val="es-ES_tradnl"/>
        </w:rPr>
        <w:t>Junta Directiva</w:t>
      </w:r>
      <w:r w:rsidR="00E939AA">
        <w:rPr>
          <w:rFonts w:cs="Arial"/>
          <w:sz w:val="22"/>
          <w:lang w:val="es-ES_tradnl"/>
        </w:rPr>
        <w:t xml:space="preserve">, el </w:t>
      </w:r>
      <w:r w:rsidR="00E873C3">
        <w:rPr>
          <w:rFonts w:cs="Arial"/>
          <w:sz w:val="22"/>
          <w:lang w:val="es-ES_tradnl"/>
        </w:rPr>
        <w:t>“</w:t>
      </w:r>
      <w:r w:rsidR="00E939AA">
        <w:rPr>
          <w:rFonts w:cs="Arial"/>
          <w:sz w:val="22"/>
          <w:lang w:val="es-ES_tradnl"/>
        </w:rPr>
        <w:t>Reporte anual sobre el estado de los planes de mitigación y control de riesgos</w:t>
      </w:r>
      <w:r w:rsidR="00E873C3">
        <w:rPr>
          <w:rFonts w:cs="Arial"/>
          <w:sz w:val="22"/>
          <w:lang w:val="es-ES_tradnl"/>
        </w:rPr>
        <w:t>”</w:t>
      </w:r>
      <w:r w:rsidR="00E939AA">
        <w:rPr>
          <w:rFonts w:cs="Arial"/>
          <w:sz w:val="22"/>
          <w:lang w:val="es-ES_tradnl"/>
        </w:rPr>
        <w:t>.  Dichos documentos se adjuntan al expediente del acta.</w:t>
      </w:r>
    </w:p>
    <w:p w14:paraId="539AE34D" w14:textId="780EEEBD" w:rsidR="00E939AA" w:rsidRDefault="00E939AA" w:rsidP="009D03FE">
      <w:pPr>
        <w:spacing w:line="360" w:lineRule="auto"/>
        <w:jc w:val="both"/>
        <w:rPr>
          <w:rFonts w:cs="Arial"/>
          <w:sz w:val="22"/>
          <w:lang w:val="es-ES_tradnl"/>
        </w:rPr>
      </w:pPr>
    </w:p>
    <w:p w14:paraId="6FE9CCD5" w14:textId="46D474D2" w:rsidR="00E939AA" w:rsidRDefault="00E939AA" w:rsidP="009D03FE">
      <w:pPr>
        <w:spacing w:line="360" w:lineRule="auto"/>
        <w:jc w:val="both"/>
        <w:rPr>
          <w:rFonts w:cs="Arial"/>
          <w:sz w:val="22"/>
          <w:lang w:val="es-ES_tradnl"/>
        </w:rPr>
      </w:pPr>
      <w:r>
        <w:rPr>
          <w:rFonts w:cs="Arial"/>
          <w:sz w:val="22"/>
          <w:lang w:val="es-ES_tradnl"/>
        </w:rPr>
        <w:t xml:space="preserve">Para exponer los alcances del citado informe y atender eventuales consultas de carácter técnico sobre éste y los siguientes dos temas, se incorpora a la sesión la licenciada Vilma Loría Ruiz, jefa de la Unidad de Riegos, quien </w:t>
      </w:r>
      <w:r w:rsidR="00D443FE">
        <w:rPr>
          <w:rFonts w:cs="Arial"/>
          <w:sz w:val="22"/>
          <w:lang w:val="es-ES_tradnl"/>
        </w:rPr>
        <w:t xml:space="preserve">se refiere </w:t>
      </w:r>
      <w:r w:rsidR="00E873C3">
        <w:rPr>
          <w:rFonts w:cs="Arial"/>
          <w:sz w:val="22"/>
          <w:lang w:val="es-ES_tradnl"/>
        </w:rPr>
        <w:t>al cumplimiento general de los planes de mitigación, así como a las acciones pendientes de implementación, atendiendo las consultas y observaciones que al respecto van planteando los señores Directores.</w:t>
      </w:r>
    </w:p>
    <w:p w14:paraId="025BD2F8" w14:textId="77777777" w:rsidR="009D03FE" w:rsidRDefault="009D03FE" w:rsidP="009D03FE">
      <w:pPr>
        <w:spacing w:line="360" w:lineRule="auto"/>
        <w:jc w:val="both"/>
        <w:rPr>
          <w:rFonts w:cs="Arial"/>
          <w:sz w:val="22"/>
          <w:szCs w:val="22"/>
        </w:rPr>
      </w:pPr>
    </w:p>
    <w:p w14:paraId="3294FBB8" w14:textId="1504E023" w:rsidR="009D03FE" w:rsidRPr="007101CC" w:rsidRDefault="007101CC" w:rsidP="009D03FE">
      <w:pPr>
        <w:spacing w:line="360" w:lineRule="auto"/>
        <w:jc w:val="both"/>
        <w:rPr>
          <w:rFonts w:cs="Arial"/>
          <w:bCs/>
          <w:sz w:val="22"/>
          <w:szCs w:val="22"/>
        </w:rPr>
      </w:pPr>
      <w:r w:rsidRPr="00A25DB7">
        <w:rPr>
          <w:rFonts w:cs="Arial"/>
          <w:sz w:val="22"/>
          <w:u w:val="single"/>
          <w:lang w:val="es-ES_tradnl"/>
        </w:rPr>
        <w:t xml:space="preserve">Minuto </w:t>
      </w:r>
      <w:r>
        <w:rPr>
          <w:rFonts w:cs="Arial"/>
          <w:sz w:val="22"/>
          <w:u w:val="single"/>
          <w:lang w:val="es-ES_tradnl"/>
        </w:rPr>
        <w:t>86</w:t>
      </w:r>
      <w:r w:rsidRPr="00A25DB7">
        <w:rPr>
          <w:rFonts w:cs="Arial"/>
          <w:sz w:val="22"/>
          <w:u w:val="single"/>
          <w:lang w:val="es-ES_tradnl"/>
        </w:rPr>
        <w:t>:</w:t>
      </w:r>
      <w:r>
        <w:rPr>
          <w:rFonts w:cs="Arial"/>
          <w:sz w:val="22"/>
          <w:u w:val="single"/>
          <w:lang w:val="es-ES_tradnl"/>
        </w:rPr>
        <w:t>00</w:t>
      </w:r>
      <w:r w:rsidRPr="00BF503E">
        <w:rPr>
          <w:rFonts w:cs="Arial"/>
          <w:color w:val="000000"/>
          <w:sz w:val="22"/>
          <w:szCs w:val="22"/>
        </w:rPr>
        <w:t xml:space="preserve"> </w:t>
      </w:r>
      <w:r>
        <w:rPr>
          <w:rFonts w:cs="Arial"/>
          <w:color w:val="000000"/>
          <w:sz w:val="22"/>
          <w:szCs w:val="22"/>
        </w:rPr>
        <w:t>Cono</w:t>
      </w:r>
      <w:r>
        <w:rPr>
          <w:rFonts w:cs="Arial"/>
          <w:bCs/>
          <w:sz w:val="22"/>
          <w:szCs w:val="22"/>
        </w:rPr>
        <w:t xml:space="preserve">cido y suficientemente discutido el informe del Comité de Riesgos, la Junta Directiva resuelve instruí a la </w:t>
      </w:r>
      <w:r w:rsidRPr="007101CC">
        <w:rPr>
          <w:rFonts w:cs="Arial"/>
          <w:bCs/>
          <w:sz w:val="22"/>
          <w:szCs w:val="22"/>
          <w:lang w:val="es-ES_tradnl"/>
        </w:rPr>
        <w:t>Administración</w:t>
      </w:r>
      <w:r>
        <w:rPr>
          <w:rFonts w:cs="Arial"/>
          <w:bCs/>
          <w:sz w:val="22"/>
          <w:szCs w:val="22"/>
          <w:lang w:val="es-ES_tradnl"/>
        </w:rPr>
        <w:t xml:space="preserve">, para darle seguimiento </w:t>
      </w:r>
      <w:r>
        <w:rPr>
          <w:rFonts w:cs="Arial"/>
          <w:sz w:val="22"/>
          <w:lang w:val="es-ES_tradnl"/>
        </w:rPr>
        <w:t xml:space="preserve">a la </w:t>
      </w:r>
      <w:r>
        <w:rPr>
          <w:rFonts w:cs="Arial"/>
          <w:sz w:val="22"/>
          <w:lang w:val="es-ES_tradnl"/>
        </w:rPr>
        <w:lastRenderedPageBreak/>
        <w:t>implementación efectiva y oportuna de las acciones dirigidas a la mitigación y control de los riesgos identificados.  Lo anterior,</w:t>
      </w:r>
      <w:r>
        <w:rPr>
          <w:rFonts w:cs="Arial"/>
          <w:sz w:val="22"/>
          <w:szCs w:val="22"/>
        </w:rPr>
        <w:t xml:space="preserve"> según se consigna en el </w:t>
      </w:r>
      <w:r>
        <w:rPr>
          <w:rFonts w:cs="Arial"/>
          <w:b/>
          <w:sz w:val="22"/>
          <w:szCs w:val="22"/>
        </w:rPr>
        <w:t>A</w:t>
      </w:r>
      <w:r w:rsidRPr="00ED0EF0">
        <w:rPr>
          <w:rFonts w:cs="Arial"/>
          <w:b/>
          <w:sz w:val="22"/>
          <w:szCs w:val="22"/>
        </w:rPr>
        <w:t xml:space="preserve">cuerdo N° </w:t>
      </w:r>
      <w:r>
        <w:rPr>
          <w:rFonts w:cs="Arial"/>
          <w:b/>
          <w:sz w:val="22"/>
          <w:szCs w:val="22"/>
        </w:rPr>
        <w:t>3</w:t>
      </w:r>
      <w:r>
        <w:rPr>
          <w:rFonts w:cs="Arial"/>
          <w:sz w:val="22"/>
          <w:szCs w:val="22"/>
        </w:rPr>
        <w:t xml:space="preserve"> que se anexa a esta minuta.  </w:t>
      </w:r>
    </w:p>
    <w:p w14:paraId="1BE85B47" w14:textId="77777777" w:rsidR="009D03FE" w:rsidRPr="00D14EAF" w:rsidRDefault="009D03FE" w:rsidP="009D03FE">
      <w:pPr>
        <w:spacing w:line="360" w:lineRule="auto"/>
        <w:jc w:val="both"/>
        <w:rPr>
          <w:rFonts w:cs="Arial"/>
          <w:b/>
          <w:sz w:val="22"/>
        </w:rPr>
      </w:pPr>
      <w:r w:rsidRPr="00D14EAF">
        <w:rPr>
          <w:rFonts w:cs="Arial"/>
          <w:b/>
          <w:sz w:val="22"/>
        </w:rPr>
        <w:t>************</w:t>
      </w:r>
    </w:p>
    <w:p w14:paraId="3C0267B1" w14:textId="77777777" w:rsidR="009D03FE" w:rsidRDefault="009D03FE" w:rsidP="009D03FE">
      <w:pPr>
        <w:spacing w:line="360" w:lineRule="auto"/>
        <w:jc w:val="both"/>
        <w:rPr>
          <w:rFonts w:cs="Arial"/>
          <w:b/>
          <w:bCs/>
          <w:sz w:val="22"/>
          <w:szCs w:val="22"/>
          <w:u w:val="single"/>
          <w:lang w:val="es-ES_tradnl"/>
        </w:rPr>
      </w:pPr>
    </w:p>
    <w:p w14:paraId="4350D448" w14:textId="02E154C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F453C9">
        <w:rPr>
          <w:rFonts w:cs="Arial"/>
          <w:b/>
          <w:sz w:val="22"/>
          <w:szCs w:val="22"/>
          <w:lang w:val="es-ES_tradnl"/>
        </w:rPr>
        <w:t xml:space="preserve"> </w:t>
      </w:r>
      <w:r w:rsidR="00F453C9" w:rsidRPr="00CC263E">
        <w:rPr>
          <w:rFonts w:cs="Arial"/>
          <w:b/>
          <w:bCs/>
          <w:sz w:val="22"/>
          <w:u w:val="single"/>
          <w:lang w:val="es-ES_tradnl"/>
        </w:rPr>
        <w:t>Propuesta de actualización de la Metodología para la Valoración y Administración del Riesgo Institucional, período 2019</w:t>
      </w:r>
    </w:p>
    <w:p w14:paraId="0EECA5FA" w14:textId="77777777" w:rsidR="009D03FE" w:rsidRDefault="009D03FE" w:rsidP="009D03FE">
      <w:pPr>
        <w:spacing w:line="360" w:lineRule="auto"/>
        <w:jc w:val="both"/>
        <w:rPr>
          <w:rFonts w:cs="Arial"/>
          <w:sz w:val="22"/>
          <w:szCs w:val="22"/>
        </w:rPr>
      </w:pPr>
    </w:p>
    <w:p w14:paraId="7BB08B8A" w14:textId="2BD677EF" w:rsidR="007101CC" w:rsidRDefault="009D03FE" w:rsidP="007101CC">
      <w:pPr>
        <w:spacing w:line="360" w:lineRule="auto"/>
        <w:jc w:val="both"/>
        <w:rPr>
          <w:sz w:val="22"/>
          <w:szCs w:val="22"/>
        </w:rPr>
      </w:pPr>
      <w:r w:rsidRPr="0039311E">
        <w:rPr>
          <w:rFonts w:cs="Arial"/>
          <w:sz w:val="22"/>
          <w:u w:val="single"/>
          <w:lang w:val="es-ES_tradnl"/>
        </w:rPr>
        <w:t xml:space="preserve">Minuto </w:t>
      </w:r>
      <w:r w:rsidR="007101CC">
        <w:rPr>
          <w:rFonts w:cs="Arial"/>
          <w:sz w:val="22"/>
          <w:u w:val="single"/>
          <w:lang w:val="es-ES_tradnl"/>
        </w:rPr>
        <w:t>86</w:t>
      </w:r>
      <w:r w:rsidRPr="0039311E">
        <w:rPr>
          <w:rFonts w:cs="Arial"/>
          <w:sz w:val="22"/>
          <w:u w:val="single"/>
          <w:lang w:val="es-ES_tradnl"/>
        </w:rPr>
        <w:t>:</w:t>
      </w:r>
      <w:r w:rsidR="007101CC">
        <w:rPr>
          <w:rFonts w:cs="Arial"/>
          <w:sz w:val="22"/>
          <w:u w:val="single"/>
          <w:lang w:val="es-ES_tradnl"/>
        </w:rPr>
        <w:t>30</w:t>
      </w:r>
      <w:r>
        <w:rPr>
          <w:rFonts w:cs="Arial"/>
          <w:sz w:val="22"/>
          <w:lang w:val="es-ES_tradnl"/>
        </w:rPr>
        <w:t xml:space="preserve"> Se conoce el oficio</w:t>
      </w:r>
      <w:r w:rsidR="007101CC">
        <w:rPr>
          <w:rFonts w:cs="Arial"/>
          <w:sz w:val="22"/>
          <w:lang w:val="es-ES_tradnl"/>
        </w:rPr>
        <w:t xml:space="preserve"> </w:t>
      </w:r>
      <w:r w:rsidR="007101CC">
        <w:rPr>
          <w:sz w:val="22"/>
          <w:szCs w:val="22"/>
        </w:rPr>
        <w:t xml:space="preserve">CR-ME-022-2019 del 18 de diciembre de 2019, mediante el cual, el Comité de Riesgos somete a la consideración de esta Junta Directiva, la propuesta de actualización de la </w:t>
      </w:r>
      <w:r w:rsidR="007101CC" w:rsidRPr="00C60914">
        <w:rPr>
          <w:sz w:val="22"/>
          <w:szCs w:val="22"/>
        </w:rPr>
        <w:t>M</w:t>
      </w:r>
      <w:r w:rsidR="007101CC">
        <w:rPr>
          <w:sz w:val="22"/>
          <w:szCs w:val="22"/>
        </w:rPr>
        <w:t>etodología para la Valoración y Administración del Riesgo Institucional, correspondiente al período 2019, avalada por ese Comité en su sesión N° 12-2019 celebrada el 02 de diciembre de 2019.  Dichos documentos se adjuntan a la presente acta.</w:t>
      </w:r>
    </w:p>
    <w:p w14:paraId="3EE620BF" w14:textId="77777777" w:rsidR="007101CC" w:rsidRDefault="007101CC" w:rsidP="007101CC">
      <w:pPr>
        <w:spacing w:line="360" w:lineRule="auto"/>
        <w:jc w:val="both"/>
        <w:rPr>
          <w:sz w:val="22"/>
          <w:szCs w:val="22"/>
        </w:rPr>
      </w:pPr>
    </w:p>
    <w:p w14:paraId="1D8323B8" w14:textId="315C1D5B" w:rsidR="007101CC" w:rsidRDefault="007101CC" w:rsidP="007101CC">
      <w:pPr>
        <w:spacing w:line="360" w:lineRule="auto"/>
        <w:jc w:val="both"/>
        <w:rPr>
          <w:sz w:val="22"/>
          <w:szCs w:val="22"/>
        </w:rPr>
      </w:pPr>
      <w:r>
        <w:rPr>
          <w:rFonts w:cs="Arial"/>
          <w:sz w:val="22"/>
          <w:lang w:val="es-ES_tradnl"/>
        </w:rPr>
        <w:t>La licenciada Loría Ruiz expone los alcances del citado informe, presentando</w:t>
      </w:r>
      <w:r>
        <w:rPr>
          <w:rFonts w:cs="Arial"/>
          <w:sz w:val="22"/>
          <w:szCs w:val="22"/>
        </w:rPr>
        <w:t xml:space="preserve"> </w:t>
      </w:r>
      <w:r w:rsidRPr="0092008A">
        <w:rPr>
          <w:rFonts w:cs="Arial"/>
          <w:sz w:val="22"/>
          <w:szCs w:val="22"/>
        </w:rPr>
        <w:t xml:space="preserve">los </w:t>
      </w:r>
      <w:r>
        <w:rPr>
          <w:sz w:val="22"/>
          <w:szCs w:val="22"/>
        </w:rPr>
        <w:t>antecedentes normativos y las justificaciones de la citada propuesta de actualización, refiriéndose luego a los principales cambios que se plantean con respecto a la Metodología vigente</w:t>
      </w:r>
      <w:r w:rsidR="008111A3">
        <w:rPr>
          <w:sz w:val="22"/>
          <w:szCs w:val="22"/>
        </w:rPr>
        <w:t xml:space="preserve"> y sobre lo que se hace especial énfasis en la importancia del levantamiento de los procesos institucionales, para la valoración y administración de los riesgos institucionales.</w:t>
      </w:r>
    </w:p>
    <w:p w14:paraId="4AFE05A3" w14:textId="77777777" w:rsidR="007101CC" w:rsidRDefault="007101CC" w:rsidP="007101CC">
      <w:pPr>
        <w:spacing w:line="360" w:lineRule="auto"/>
        <w:jc w:val="both"/>
        <w:rPr>
          <w:sz w:val="22"/>
          <w:szCs w:val="22"/>
        </w:rPr>
      </w:pPr>
    </w:p>
    <w:p w14:paraId="087DF811" w14:textId="33C8405C" w:rsidR="008111A3" w:rsidRDefault="007101CC" w:rsidP="007101CC">
      <w:pPr>
        <w:spacing w:line="360" w:lineRule="auto"/>
        <w:jc w:val="both"/>
        <w:rPr>
          <w:sz w:val="22"/>
          <w:szCs w:val="22"/>
        </w:rPr>
      </w:pPr>
      <w:r w:rsidRPr="00A25DB7">
        <w:rPr>
          <w:rFonts w:cs="Arial"/>
          <w:sz w:val="22"/>
          <w:u w:val="single"/>
          <w:lang w:val="es-ES_tradnl"/>
        </w:rPr>
        <w:t xml:space="preserve">Minuto </w:t>
      </w:r>
      <w:r w:rsidR="008111A3">
        <w:rPr>
          <w:rFonts w:cs="Arial"/>
          <w:sz w:val="22"/>
          <w:u w:val="single"/>
          <w:lang w:val="es-ES_tradnl"/>
        </w:rPr>
        <w:t>126</w:t>
      </w:r>
      <w:r w:rsidRPr="00A25DB7">
        <w:rPr>
          <w:rFonts w:cs="Arial"/>
          <w:sz w:val="22"/>
          <w:u w:val="single"/>
          <w:lang w:val="es-ES_tradnl"/>
        </w:rPr>
        <w:t>:</w:t>
      </w:r>
      <w:r w:rsidR="008111A3">
        <w:rPr>
          <w:rFonts w:cs="Arial"/>
          <w:sz w:val="22"/>
          <w:u w:val="single"/>
          <w:lang w:val="es-ES_tradnl"/>
        </w:rPr>
        <w:t>20</w:t>
      </w:r>
      <w:r>
        <w:rPr>
          <w:rFonts w:cs="Arial"/>
          <w:sz w:val="22"/>
          <w:lang w:val="es-ES_tradnl"/>
        </w:rPr>
        <w:t xml:space="preserve"> </w:t>
      </w:r>
      <w:r w:rsidR="008111A3">
        <w:rPr>
          <w:rFonts w:cs="Arial"/>
          <w:sz w:val="22"/>
          <w:lang w:val="es-ES_tradnl"/>
        </w:rPr>
        <w:t xml:space="preserve">El señor Gerente General señala que el éxito que se logre en </w:t>
      </w:r>
      <w:r w:rsidR="008111A3">
        <w:rPr>
          <w:sz w:val="22"/>
          <w:szCs w:val="22"/>
        </w:rPr>
        <w:t xml:space="preserve">la valoración y administración del riesgo institucional está directamente relacionado con el trabajo que recientemente se ha concluido para levantar los procesos institucionales y que, según lo dispuesto por esta </w:t>
      </w:r>
      <w:r w:rsidR="008111A3" w:rsidRPr="008111A3">
        <w:rPr>
          <w:rFonts w:cs="Arial"/>
          <w:sz w:val="22"/>
          <w:szCs w:val="22"/>
          <w:lang w:val="es-ES_tradnl"/>
        </w:rPr>
        <w:t>Junta Directiva</w:t>
      </w:r>
      <w:r w:rsidR="008111A3">
        <w:rPr>
          <w:rFonts w:cs="Arial"/>
          <w:sz w:val="22"/>
          <w:szCs w:val="22"/>
          <w:lang w:val="es-ES_tradnl"/>
        </w:rPr>
        <w:t xml:space="preserve">, se tendrán que validar en las próximas semanas.  Y en este sentido, solicita posponer la resolución de este asunto por un plazo máximo de un mes, con el fin de integrar </w:t>
      </w:r>
      <w:r w:rsidR="00E564E4">
        <w:rPr>
          <w:rFonts w:cs="Arial"/>
          <w:sz w:val="22"/>
          <w:szCs w:val="22"/>
          <w:lang w:val="es-ES_tradnl"/>
        </w:rPr>
        <w:t xml:space="preserve">adecuadamente </w:t>
      </w:r>
      <w:r w:rsidR="008111A3">
        <w:rPr>
          <w:rFonts w:cs="Arial"/>
          <w:sz w:val="22"/>
          <w:szCs w:val="22"/>
          <w:lang w:val="es-ES_tradnl"/>
        </w:rPr>
        <w:t>los procesos institucionales</w:t>
      </w:r>
      <w:r w:rsidR="00E564E4">
        <w:rPr>
          <w:rFonts w:cs="Arial"/>
          <w:sz w:val="22"/>
          <w:szCs w:val="22"/>
          <w:lang w:val="es-ES_tradnl"/>
        </w:rPr>
        <w:t>,</w:t>
      </w:r>
      <w:r w:rsidR="008111A3">
        <w:rPr>
          <w:rFonts w:cs="Arial"/>
          <w:sz w:val="22"/>
          <w:szCs w:val="22"/>
          <w:lang w:val="es-ES_tradnl"/>
        </w:rPr>
        <w:t xml:space="preserve"> con </w:t>
      </w:r>
      <w:r w:rsidR="00E564E4">
        <w:rPr>
          <w:rFonts w:cs="Arial"/>
          <w:sz w:val="22"/>
          <w:szCs w:val="22"/>
          <w:lang w:val="es-ES_tradnl"/>
        </w:rPr>
        <w:t xml:space="preserve">el proceso de </w:t>
      </w:r>
      <w:r w:rsidR="00E564E4">
        <w:rPr>
          <w:sz w:val="22"/>
          <w:szCs w:val="22"/>
        </w:rPr>
        <w:t>valoración y administración de los riesgos, estableciendo además las prioridades en cuanto a la atención de este tema.</w:t>
      </w:r>
    </w:p>
    <w:p w14:paraId="637A10D3" w14:textId="0962F1D2" w:rsidR="008111A3" w:rsidRDefault="008111A3" w:rsidP="007101CC">
      <w:pPr>
        <w:spacing w:line="360" w:lineRule="auto"/>
        <w:jc w:val="both"/>
        <w:rPr>
          <w:sz w:val="22"/>
          <w:szCs w:val="22"/>
        </w:rPr>
      </w:pPr>
    </w:p>
    <w:p w14:paraId="4A738D92" w14:textId="169F4060" w:rsidR="00E564E4" w:rsidRDefault="00E564E4" w:rsidP="00E564E4">
      <w:pPr>
        <w:spacing w:line="360" w:lineRule="auto"/>
        <w:jc w:val="both"/>
        <w:rPr>
          <w:rFonts w:cs="Arial"/>
          <w:sz w:val="22"/>
          <w:lang w:val="es-ES_tradnl"/>
        </w:rPr>
      </w:pPr>
      <w:r>
        <w:rPr>
          <w:rFonts w:cs="Arial"/>
          <w:sz w:val="22"/>
          <w:u w:val="single"/>
          <w:lang w:val="es-ES_tradnl"/>
        </w:rPr>
        <w:t>Minuto 132</w:t>
      </w:r>
      <w:r w:rsidRPr="0039311E">
        <w:rPr>
          <w:rFonts w:cs="Arial"/>
          <w:sz w:val="22"/>
          <w:u w:val="single"/>
          <w:lang w:val="es-ES_tradnl"/>
        </w:rPr>
        <w:t>:</w:t>
      </w:r>
      <w:r>
        <w:rPr>
          <w:rFonts w:cs="Arial"/>
          <w:sz w:val="22"/>
          <w:u w:val="single"/>
          <w:lang w:val="es-ES_tradnl"/>
        </w:rPr>
        <w:t>30</w:t>
      </w:r>
      <w:r>
        <w:rPr>
          <w:rFonts w:cs="Arial"/>
          <w:sz w:val="22"/>
          <w:lang w:val="es-ES_tradnl"/>
        </w:rPr>
        <w:t xml:space="preserve"> La </w:t>
      </w:r>
      <w:r w:rsidRPr="00E564E4">
        <w:rPr>
          <w:rFonts w:cs="Arial"/>
          <w:sz w:val="22"/>
          <w:lang w:val="es-ES_tradnl"/>
        </w:rPr>
        <w:t>Junta Directiva</w:t>
      </w:r>
      <w:r>
        <w:rPr>
          <w:rFonts w:cs="Arial"/>
          <w:sz w:val="22"/>
          <w:lang w:val="es-ES_tradnl"/>
        </w:rPr>
        <w:t xml:space="preserve"> concuerda en la pertinencia de actuar de la forma que recomienda el señor Gerente General y, en consecuencia, toma el </w:t>
      </w:r>
      <w:r w:rsidRPr="00E564E4">
        <w:rPr>
          <w:rFonts w:cs="Arial"/>
          <w:b/>
          <w:bCs/>
          <w:sz w:val="22"/>
          <w:lang w:val="es-ES_tradnl"/>
        </w:rPr>
        <w:t>Acuerdo N° 3</w:t>
      </w:r>
      <w:r>
        <w:rPr>
          <w:rFonts w:cs="Arial"/>
          <w:sz w:val="22"/>
          <w:lang w:val="es-ES_tradnl"/>
        </w:rPr>
        <w:t xml:space="preserve"> que se anexa a esta minuta.</w:t>
      </w:r>
    </w:p>
    <w:p w14:paraId="3C1B2EA0" w14:textId="77777777" w:rsidR="009D03FE" w:rsidRPr="00D14EAF" w:rsidRDefault="009D03FE" w:rsidP="009D03FE">
      <w:pPr>
        <w:spacing w:line="360" w:lineRule="auto"/>
        <w:jc w:val="both"/>
        <w:rPr>
          <w:rFonts w:cs="Arial"/>
          <w:b/>
          <w:sz w:val="22"/>
        </w:rPr>
      </w:pPr>
      <w:r w:rsidRPr="00D14EAF">
        <w:rPr>
          <w:rFonts w:cs="Arial"/>
          <w:b/>
          <w:sz w:val="22"/>
        </w:rPr>
        <w:t>************</w:t>
      </w:r>
    </w:p>
    <w:p w14:paraId="79D87641" w14:textId="77777777" w:rsidR="009D03FE" w:rsidRDefault="009D03FE" w:rsidP="009D03FE">
      <w:pPr>
        <w:spacing w:line="360" w:lineRule="auto"/>
        <w:jc w:val="both"/>
        <w:rPr>
          <w:rFonts w:cs="Arial"/>
          <w:b/>
          <w:sz w:val="22"/>
          <w:szCs w:val="22"/>
          <w:u w:val="single"/>
          <w:lang w:val="es-ES_tradnl"/>
        </w:rPr>
      </w:pPr>
    </w:p>
    <w:p w14:paraId="003D9C6B" w14:textId="54BA010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F453C9" w:rsidRPr="00CC263E">
        <w:rPr>
          <w:rFonts w:cs="Arial"/>
          <w:b/>
          <w:bCs/>
          <w:sz w:val="22"/>
          <w:u w:val="single"/>
          <w:lang w:val="es-ES_tradnl"/>
        </w:rPr>
        <w:t>Informe sobre la gestión de riesgos, período setiembre-noviembre 2019</w:t>
      </w:r>
    </w:p>
    <w:p w14:paraId="56A671A3" w14:textId="77777777" w:rsidR="009D03FE" w:rsidRDefault="009D03FE" w:rsidP="009D03FE">
      <w:pPr>
        <w:spacing w:line="360" w:lineRule="auto"/>
        <w:jc w:val="both"/>
        <w:rPr>
          <w:rFonts w:cs="Arial"/>
          <w:sz w:val="22"/>
          <w:szCs w:val="22"/>
        </w:rPr>
      </w:pPr>
    </w:p>
    <w:p w14:paraId="78C57319" w14:textId="77DE10A5" w:rsidR="00222AC1" w:rsidRPr="0095175A" w:rsidRDefault="00222AC1" w:rsidP="00222AC1">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132</w:t>
      </w:r>
      <w:r w:rsidRPr="0039311E">
        <w:rPr>
          <w:rFonts w:cs="Arial"/>
          <w:sz w:val="22"/>
          <w:u w:val="single"/>
          <w:lang w:val="es-ES_tradnl"/>
        </w:rPr>
        <w:t>:</w:t>
      </w:r>
      <w:r>
        <w:rPr>
          <w:rFonts w:cs="Arial"/>
          <w:sz w:val="22"/>
          <w:u w:val="single"/>
          <w:lang w:val="es-ES_tradnl"/>
        </w:rPr>
        <w:t>55</w:t>
      </w:r>
      <w:r>
        <w:rPr>
          <w:rFonts w:cs="Arial"/>
          <w:sz w:val="22"/>
          <w:lang w:val="es-ES_tradnl"/>
        </w:rPr>
        <w:t xml:space="preserve"> Se conoce el oficio </w:t>
      </w:r>
      <w:r w:rsidRPr="0095175A">
        <w:rPr>
          <w:rFonts w:cs="Arial"/>
          <w:sz w:val="22"/>
          <w:szCs w:val="22"/>
        </w:rPr>
        <w:t>CR-IN0</w:t>
      </w:r>
      <w:r>
        <w:rPr>
          <w:rFonts w:cs="Arial"/>
          <w:sz w:val="22"/>
          <w:szCs w:val="22"/>
        </w:rPr>
        <w:t>2</w:t>
      </w:r>
      <w:r w:rsidRPr="0095175A">
        <w:rPr>
          <w:rFonts w:cs="Arial"/>
          <w:sz w:val="22"/>
          <w:szCs w:val="22"/>
        </w:rPr>
        <w:t>-</w:t>
      </w:r>
      <w:r>
        <w:rPr>
          <w:rFonts w:cs="Arial"/>
          <w:sz w:val="22"/>
          <w:szCs w:val="22"/>
        </w:rPr>
        <w:t>023</w:t>
      </w:r>
      <w:r w:rsidRPr="0095175A">
        <w:rPr>
          <w:rFonts w:cs="Arial"/>
          <w:sz w:val="22"/>
          <w:szCs w:val="22"/>
        </w:rPr>
        <w:t>-20</w:t>
      </w:r>
      <w:r>
        <w:rPr>
          <w:rFonts w:cs="Arial"/>
          <w:sz w:val="22"/>
          <w:szCs w:val="22"/>
        </w:rPr>
        <w:t>19</w:t>
      </w:r>
      <w:r w:rsidRPr="0095175A">
        <w:rPr>
          <w:rFonts w:cs="Arial"/>
          <w:sz w:val="22"/>
          <w:szCs w:val="22"/>
        </w:rPr>
        <w:t xml:space="preserve"> del </w:t>
      </w:r>
      <w:r>
        <w:rPr>
          <w:rFonts w:cs="Arial"/>
          <w:sz w:val="22"/>
          <w:szCs w:val="22"/>
        </w:rPr>
        <w:t xml:space="preserve">19 de diciembre de 2019, mediante el cual, el </w:t>
      </w:r>
      <w:r w:rsidRPr="0095175A">
        <w:rPr>
          <w:rFonts w:cs="Arial"/>
          <w:sz w:val="22"/>
          <w:szCs w:val="22"/>
        </w:rPr>
        <w:t>Comité de Riesgos de este Banco</w:t>
      </w:r>
      <w:r>
        <w:rPr>
          <w:rFonts w:cs="Arial"/>
          <w:sz w:val="22"/>
          <w:szCs w:val="22"/>
        </w:rPr>
        <w:t xml:space="preserve"> remite</w:t>
      </w:r>
      <w:r w:rsidRPr="0095175A">
        <w:rPr>
          <w:rFonts w:cs="Arial"/>
          <w:sz w:val="22"/>
          <w:szCs w:val="22"/>
        </w:rPr>
        <w:t xml:space="preserve"> </w:t>
      </w:r>
      <w:r>
        <w:rPr>
          <w:rFonts w:cs="Arial"/>
          <w:sz w:val="22"/>
          <w:szCs w:val="22"/>
        </w:rPr>
        <w:t xml:space="preserve">el informe sobre la </w:t>
      </w:r>
      <w:r w:rsidRPr="0095175A">
        <w:rPr>
          <w:rFonts w:cs="Arial"/>
          <w:sz w:val="22"/>
          <w:szCs w:val="22"/>
        </w:rPr>
        <w:t>Gestión de Riesgos</w:t>
      </w:r>
      <w:r>
        <w:rPr>
          <w:rFonts w:cs="Arial"/>
          <w:sz w:val="22"/>
          <w:szCs w:val="22"/>
        </w:rPr>
        <w:t>,</w:t>
      </w:r>
      <w:r w:rsidRPr="0095175A">
        <w:rPr>
          <w:rFonts w:cs="Arial"/>
          <w:sz w:val="22"/>
          <w:szCs w:val="22"/>
        </w:rPr>
        <w:t xml:space="preserve"> </w:t>
      </w:r>
      <w:r>
        <w:rPr>
          <w:rFonts w:cs="Arial"/>
          <w:sz w:val="22"/>
          <w:szCs w:val="22"/>
        </w:rPr>
        <w:t xml:space="preserve">correspondiente al período comprendido entre los meses de setiembre y noviembre de 2019, </w:t>
      </w:r>
      <w:r w:rsidRPr="0095175A">
        <w:rPr>
          <w:rFonts w:cs="Arial"/>
          <w:sz w:val="22"/>
          <w:szCs w:val="22"/>
        </w:rPr>
        <w:t>según fue conocido y aprobado por ese Comité en su</w:t>
      </w:r>
      <w:r>
        <w:rPr>
          <w:rFonts w:cs="Arial"/>
          <w:sz w:val="22"/>
          <w:szCs w:val="22"/>
        </w:rPr>
        <w:t>s</w:t>
      </w:r>
      <w:r w:rsidRPr="0095175A">
        <w:rPr>
          <w:rFonts w:cs="Arial"/>
          <w:sz w:val="22"/>
          <w:szCs w:val="22"/>
        </w:rPr>
        <w:t xml:space="preserve"> sesi</w:t>
      </w:r>
      <w:r>
        <w:rPr>
          <w:rFonts w:cs="Arial"/>
          <w:sz w:val="22"/>
          <w:szCs w:val="22"/>
        </w:rPr>
        <w:t>ones</w:t>
      </w:r>
      <w:r w:rsidRPr="002D1C55">
        <w:rPr>
          <w:rFonts w:cs="Arial"/>
          <w:sz w:val="22"/>
          <w:szCs w:val="22"/>
        </w:rPr>
        <w:t xml:space="preserve"> </w:t>
      </w:r>
      <w:r w:rsidRPr="0095175A">
        <w:rPr>
          <w:rFonts w:cs="Arial"/>
          <w:sz w:val="22"/>
          <w:szCs w:val="22"/>
        </w:rPr>
        <w:t xml:space="preserve">Nº </w:t>
      </w:r>
      <w:r>
        <w:rPr>
          <w:rFonts w:cs="Arial"/>
          <w:sz w:val="22"/>
          <w:szCs w:val="22"/>
        </w:rPr>
        <w:t>11</w:t>
      </w:r>
      <w:r w:rsidRPr="0095175A">
        <w:rPr>
          <w:rFonts w:cs="Arial"/>
          <w:sz w:val="22"/>
          <w:szCs w:val="22"/>
        </w:rPr>
        <w:t>-201</w:t>
      </w:r>
      <w:r>
        <w:rPr>
          <w:rFonts w:cs="Arial"/>
          <w:sz w:val="22"/>
          <w:szCs w:val="22"/>
        </w:rPr>
        <w:t>9 del 28/10/2019, N° 12-2019 del 02/12/2019 y N° 13-2019 del 16/12/2019.</w:t>
      </w:r>
      <w:r w:rsidRPr="0095175A">
        <w:rPr>
          <w:rFonts w:cs="Arial"/>
          <w:sz w:val="22"/>
          <w:szCs w:val="22"/>
        </w:rPr>
        <w:t xml:space="preserve"> </w:t>
      </w:r>
      <w:r>
        <w:rPr>
          <w:rFonts w:cs="Arial"/>
          <w:sz w:val="22"/>
          <w:szCs w:val="22"/>
        </w:rPr>
        <w:t xml:space="preserve"> </w:t>
      </w:r>
      <w:r w:rsidRPr="0095175A">
        <w:rPr>
          <w:rFonts w:cs="Arial"/>
          <w:sz w:val="22"/>
          <w:szCs w:val="22"/>
        </w:rPr>
        <w:t>Dicho</w:t>
      </w:r>
      <w:r>
        <w:rPr>
          <w:rFonts w:cs="Arial"/>
          <w:sz w:val="22"/>
          <w:szCs w:val="22"/>
        </w:rPr>
        <w:t>s</w:t>
      </w:r>
      <w:r w:rsidRPr="0095175A">
        <w:rPr>
          <w:rFonts w:cs="Arial"/>
          <w:sz w:val="22"/>
          <w:szCs w:val="22"/>
        </w:rPr>
        <w:t xml:space="preserve"> documento</w:t>
      </w:r>
      <w:r>
        <w:rPr>
          <w:rFonts w:cs="Arial"/>
          <w:sz w:val="22"/>
          <w:szCs w:val="22"/>
        </w:rPr>
        <w:t>s</w:t>
      </w:r>
      <w:r w:rsidRPr="0095175A">
        <w:rPr>
          <w:rFonts w:cs="Arial"/>
          <w:sz w:val="22"/>
          <w:szCs w:val="22"/>
        </w:rPr>
        <w:t xml:space="preserve"> se adjunta</w:t>
      </w:r>
      <w:r>
        <w:rPr>
          <w:rFonts w:cs="Arial"/>
          <w:sz w:val="22"/>
          <w:szCs w:val="22"/>
        </w:rPr>
        <w:t>n</w:t>
      </w:r>
      <w:r w:rsidRPr="0095175A">
        <w:rPr>
          <w:rFonts w:cs="Arial"/>
          <w:sz w:val="22"/>
          <w:szCs w:val="22"/>
        </w:rPr>
        <w:t xml:space="preserve"> a</w:t>
      </w:r>
      <w:r>
        <w:rPr>
          <w:rFonts w:cs="Arial"/>
          <w:sz w:val="22"/>
          <w:szCs w:val="22"/>
        </w:rPr>
        <w:t xml:space="preserve">l expediente del </w:t>
      </w:r>
      <w:r w:rsidRPr="0095175A">
        <w:rPr>
          <w:rFonts w:cs="Arial"/>
          <w:sz w:val="22"/>
          <w:szCs w:val="22"/>
        </w:rPr>
        <w:t>acta.</w:t>
      </w:r>
    </w:p>
    <w:p w14:paraId="49DD7161" w14:textId="77777777" w:rsidR="00222AC1" w:rsidRDefault="00222AC1" w:rsidP="00222AC1">
      <w:pPr>
        <w:spacing w:line="360" w:lineRule="auto"/>
        <w:jc w:val="both"/>
        <w:rPr>
          <w:rFonts w:cs="Arial"/>
          <w:sz w:val="22"/>
          <w:szCs w:val="22"/>
        </w:rPr>
      </w:pPr>
    </w:p>
    <w:p w14:paraId="4F537446" w14:textId="0368FF18" w:rsidR="00222AC1" w:rsidRDefault="00222AC1" w:rsidP="00222AC1">
      <w:pPr>
        <w:spacing w:line="360" w:lineRule="auto"/>
        <w:jc w:val="both"/>
        <w:rPr>
          <w:rFonts w:cs="Arial"/>
          <w:bCs/>
          <w:sz w:val="22"/>
          <w:szCs w:val="22"/>
        </w:rPr>
      </w:pPr>
      <w:r>
        <w:rPr>
          <w:rFonts w:cs="Arial"/>
          <w:bCs/>
          <w:sz w:val="22"/>
          <w:szCs w:val="22"/>
        </w:rPr>
        <w:t xml:space="preserve">La licenciada Loría Ruiz expone el contenido del citado informe, refiriéndose a las principales conclusiones reportadas en el período y haciendo énfasis en las variaciones que se presentaron en el riesgo de crédito, riesgo operativo, </w:t>
      </w:r>
      <w:r>
        <w:rPr>
          <w:rFonts w:cs="Arial"/>
          <w:sz w:val="22"/>
          <w:lang w:val="es-ES_tradnl"/>
        </w:rPr>
        <w:t xml:space="preserve">riesgo reputacional y riesgo legal, </w:t>
      </w:r>
      <w:r>
        <w:rPr>
          <w:rFonts w:cs="Arial"/>
          <w:bCs/>
          <w:sz w:val="22"/>
          <w:szCs w:val="22"/>
        </w:rPr>
        <w:t>atendiendo las consultas que al respecto van planteando los señores Directores.</w:t>
      </w:r>
    </w:p>
    <w:p w14:paraId="4FA079B2" w14:textId="77777777" w:rsidR="00222AC1" w:rsidRDefault="00222AC1" w:rsidP="00222AC1">
      <w:pPr>
        <w:spacing w:line="360" w:lineRule="auto"/>
        <w:jc w:val="both"/>
        <w:rPr>
          <w:rFonts w:cs="Arial"/>
          <w:bCs/>
          <w:sz w:val="22"/>
          <w:szCs w:val="22"/>
        </w:rPr>
      </w:pPr>
    </w:p>
    <w:p w14:paraId="65942435" w14:textId="6E9F90B1" w:rsidR="009D03FE" w:rsidRDefault="00222AC1"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164</w:t>
      </w:r>
      <w:r w:rsidRPr="00A25DB7">
        <w:rPr>
          <w:rFonts w:cs="Arial"/>
          <w:sz w:val="22"/>
          <w:u w:val="single"/>
          <w:lang w:val="es-ES_tradnl"/>
        </w:rPr>
        <w:t>:</w:t>
      </w:r>
      <w:r>
        <w:rPr>
          <w:rFonts w:cs="Arial"/>
          <w:sz w:val="22"/>
          <w:u w:val="single"/>
          <w:lang w:val="es-ES_tradnl"/>
        </w:rPr>
        <w:t>00</w:t>
      </w:r>
      <w:r>
        <w:rPr>
          <w:rFonts w:cs="Arial"/>
          <w:sz w:val="22"/>
          <w:lang w:val="es-ES_tradnl"/>
        </w:rPr>
        <w:t xml:space="preserve"> De conformidad con el análisis realizado, la </w:t>
      </w:r>
      <w:r w:rsidRPr="00647047">
        <w:rPr>
          <w:rFonts w:cs="Arial"/>
          <w:sz w:val="22"/>
          <w:szCs w:val="22"/>
          <w:lang w:val="es-CR"/>
        </w:rPr>
        <w:t>Junta Directiva</w:t>
      </w:r>
      <w:r>
        <w:rPr>
          <w:rFonts w:cs="Arial"/>
          <w:sz w:val="22"/>
          <w:szCs w:val="22"/>
          <w:lang w:val="es-CR"/>
        </w:rPr>
        <w:t xml:space="preserve"> resuelve aprobar dicho informe y </w:t>
      </w:r>
      <w:r w:rsidR="00C6254D">
        <w:rPr>
          <w:rFonts w:cs="Arial"/>
          <w:sz w:val="22"/>
          <w:szCs w:val="22"/>
          <w:lang w:val="es-CR"/>
        </w:rPr>
        <w:t>solicitarle a la Unidad de Riegos que discuta el detalle de este informe con el Gerente General, particularmente lo referido a las oportunidades de mejora y el estado de las recomendaciones.</w:t>
      </w:r>
      <w:r>
        <w:rPr>
          <w:rFonts w:cs="Arial"/>
          <w:sz w:val="22"/>
          <w:szCs w:val="22"/>
          <w:lang w:val="es-CR"/>
        </w:rPr>
        <w:t xml:space="preserve">  Lo anterior, en los términos que se indican en el </w:t>
      </w:r>
      <w:r w:rsidRPr="00647047">
        <w:rPr>
          <w:rFonts w:cs="Arial"/>
          <w:b/>
          <w:bCs/>
          <w:sz w:val="22"/>
          <w:szCs w:val="22"/>
          <w:lang w:val="es-CR"/>
        </w:rPr>
        <w:t xml:space="preserve">Acuerdo N° </w:t>
      </w:r>
      <w:r w:rsidR="00C6254D">
        <w:rPr>
          <w:rFonts w:cs="Arial"/>
          <w:b/>
          <w:bCs/>
          <w:sz w:val="22"/>
          <w:szCs w:val="22"/>
          <w:lang w:val="es-CR"/>
        </w:rPr>
        <w:t>5</w:t>
      </w:r>
      <w:r>
        <w:rPr>
          <w:rFonts w:cs="Arial"/>
          <w:sz w:val="22"/>
          <w:szCs w:val="22"/>
          <w:lang w:val="es-CR"/>
        </w:rPr>
        <w:t xml:space="preserve"> que se anexa a esta minuta.</w:t>
      </w:r>
    </w:p>
    <w:p w14:paraId="7F3DE8FB" w14:textId="77777777" w:rsidR="009D03FE" w:rsidRPr="00D14EAF" w:rsidRDefault="009D03FE" w:rsidP="009D03FE">
      <w:pPr>
        <w:spacing w:line="360" w:lineRule="auto"/>
        <w:jc w:val="both"/>
        <w:rPr>
          <w:rFonts w:cs="Arial"/>
          <w:b/>
          <w:sz w:val="22"/>
        </w:rPr>
      </w:pPr>
      <w:r w:rsidRPr="00D14EAF">
        <w:rPr>
          <w:rFonts w:cs="Arial"/>
          <w:b/>
          <w:sz w:val="22"/>
        </w:rPr>
        <w:t>************</w:t>
      </w:r>
    </w:p>
    <w:p w14:paraId="051FDC53" w14:textId="77777777" w:rsidR="009D03FE" w:rsidRDefault="009D03FE" w:rsidP="009D03FE">
      <w:pPr>
        <w:spacing w:line="360" w:lineRule="auto"/>
        <w:jc w:val="both"/>
        <w:rPr>
          <w:rFonts w:cs="Arial"/>
          <w:b/>
          <w:bCs/>
          <w:sz w:val="22"/>
          <w:szCs w:val="22"/>
          <w:u w:val="single"/>
          <w:lang w:val="es-ES_tradnl"/>
        </w:rPr>
      </w:pPr>
    </w:p>
    <w:p w14:paraId="759E02F9" w14:textId="5B1BEC03"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8940A4">
        <w:rPr>
          <w:rFonts w:cs="Arial"/>
          <w:szCs w:val="22"/>
          <w:u w:val="single"/>
        </w:rPr>
        <w:t>165:10</w:t>
      </w:r>
      <w:r>
        <w:rPr>
          <w:rFonts w:cs="Arial"/>
          <w:szCs w:val="22"/>
        </w:rPr>
        <w:t xml:space="preserve"> </w:t>
      </w:r>
      <w:r w:rsidR="00FA4CCB" w:rsidRPr="00AB2826">
        <w:rPr>
          <w:rFonts w:cs="Arial"/>
          <w:szCs w:val="22"/>
        </w:rPr>
        <w:t xml:space="preserve">Siendo las </w:t>
      </w:r>
      <w:r w:rsidR="00C55A63">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C55A63">
        <w:rPr>
          <w:rFonts w:cs="Arial"/>
          <w:szCs w:val="22"/>
        </w:rPr>
        <w:t>cuarenta y cinco</w:t>
      </w:r>
      <w:r w:rsidR="00EC7E01">
        <w:rPr>
          <w:rFonts w:cs="Arial"/>
          <w:szCs w:val="22"/>
        </w:rPr>
        <w:t xml:space="preserve"> minutos</w:t>
      </w:r>
      <w:r w:rsidR="00FA4CCB" w:rsidRPr="00AB2826">
        <w:rPr>
          <w:rFonts w:cs="Arial"/>
          <w:szCs w:val="22"/>
        </w:rPr>
        <w:t>, se levanta la sesión.</w:t>
      </w:r>
    </w:p>
    <w:p w14:paraId="49E4F65A" w14:textId="77777777" w:rsidR="006321F4" w:rsidRPr="00D14EAF" w:rsidRDefault="006321F4" w:rsidP="002D0146">
      <w:pPr>
        <w:spacing w:line="360" w:lineRule="auto"/>
        <w:jc w:val="both"/>
        <w:rPr>
          <w:rFonts w:cs="Arial"/>
          <w:b/>
          <w:sz w:val="22"/>
        </w:rPr>
      </w:pPr>
      <w:r w:rsidRPr="00D14EAF">
        <w:rPr>
          <w:rFonts w:cs="Arial"/>
          <w:b/>
          <w:sz w:val="22"/>
        </w:rPr>
        <w:t>************</w:t>
      </w:r>
    </w:p>
    <w:p w14:paraId="6FCBCA1C" w14:textId="77777777" w:rsidR="002B71CC" w:rsidRDefault="002B71CC">
      <w:pPr>
        <w:rPr>
          <w:rFonts w:cs="Arial"/>
          <w:sz w:val="22"/>
          <w:szCs w:val="22"/>
        </w:rPr>
      </w:pPr>
      <w:r>
        <w:rPr>
          <w:rFonts w:cs="Arial"/>
          <w:sz w:val="22"/>
          <w:szCs w:val="22"/>
        </w:rPr>
        <w:br w:type="page"/>
      </w:r>
    </w:p>
    <w:p w14:paraId="78159831" w14:textId="77777777" w:rsidR="00FA4CCB" w:rsidRDefault="00FA4CCB" w:rsidP="00AB2826">
      <w:pPr>
        <w:spacing w:line="360" w:lineRule="auto"/>
        <w:jc w:val="both"/>
        <w:rPr>
          <w:rFonts w:cs="Arial"/>
          <w:sz w:val="22"/>
          <w:szCs w:val="22"/>
        </w:rPr>
      </w:pPr>
    </w:p>
    <w:p w14:paraId="6F7C9219" w14:textId="77777777" w:rsidR="002B71CC" w:rsidRDefault="002B71CC" w:rsidP="00AB2826">
      <w:pPr>
        <w:spacing w:line="360" w:lineRule="auto"/>
        <w:jc w:val="both"/>
        <w:rPr>
          <w:rFonts w:cs="Arial"/>
          <w:sz w:val="22"/>
          <w:szCs w:val="22"/>
        </w:rPr>
      </w:pPr>
    </w:p>
    <w:p w14:paraId="18FDC47E" w14:textId="77777777" w:rsidR="002B71CC" w:rsidRDefault="002B71CC" w:rsidP="002B71CC">
      <w:pPr>
        <w:pStyle w:val="Ttulo"/>
        <w:ind w:right="51"/>
        <w:rPr>
          <w:rFonts w:cs="Arial"/>
        </w:rPr>
      </w:pPr>
      <w:r>
        <w:rPr>
          <w:rFonts w:cs="Arial"/>
        </w:rPr>
        <w:t>BANCO HIPOTECARIO DE LA VIVIENDA</w:t>
      </w:r>
    </w:p>
    <w:p w14:paraId="5A67CF8B"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5B91E30F" w14:textId="77777777" w:rsidR="002B71CC" w:rsidRDefault="002B71CC" w:rsidP="002B71CC">
      <w:pPr>
        <w:spacing w:line="360" w:lineRule="auto"/>
        <w:ind w:right="51"/>
        <w:jc w:val="center"/>
        <w:rPr>
          <w:rFonts w:cs="Arial"/>
          <w:b/>
          <w:sz w:val="22"/>
          <w:u w:val="single"/>
        </w:rPr>
      </w:pPr>
    </w:p>
    <w:p w14:paraId="06C08EF1" w14:textId="6D8C5EBA"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5E0E2D">
        <w:rPr>
          <w:rFonts w:cs="Arial"/>
          <w:b/>
          <w:sz w:val="22"/>
          <w:u w:val="single"/>
        </w:rPr>
        <w:t>EXTRA</w:t>
      </w:r>
      <w:r>
        <w:rPr>
          <w:rFonts w:cs="Arial"/>
          <w:b/>
          <w:sz w:val="22"/>
          <w:u w:val="single"/>
        </w:rPr>
        <w:t xml:space="preserve">ORDINARIA N° </w:t>
      </w:r>
      <w:r w:rsidR="005E0E2D">
        <w:rPr>
          <w:rFonts w:cs="Arial"/>
          <w:b/>
          <w:sz w:val="22"/>
          <w:u w:val="single"/>
        </w:rPr>
        <w:t>04</w:t>
      </w:r>
      <w:r>
        <w:rPr>
          <w:rFonts w:cs="Arial"/>
          <w:b/>
          <w:sz w:val="22"/>
          <w:u w:val="single"/>
        </w:rPr>
        <w:t>-20</w:t>
      </w:r>
      <w:r w:rsidR="00E97960">
        <w:rPr>
          <w:rFonts w:cs="Arial"/>
          <w:b/>
          <w:sz w:val="22"/>
          <w:u w:val="single"/>
        </w:rPr>
        <w:t>20</w:t>
      </w:r>
    </w:p>
    <w:p w14:paraId="24387AE2" w14:textId="57393280" w:rsidR="002B71CC" w:rsidRDefault="002B71CC" w:rsidP="002B71CC">
      <w:pPr>
        <w:spacing w:line="360" w:lineRule="auto"/>
        <w:ind w:right="51"/>
        <w:jc w:val="center"/>
        <w:rPr>
          <w:rFonts w:cs="Arial"/>
          <w:b/>
          <w:sz w:val="22"/>
          <w:u w:val="single"/>
        </w:rPr>
      </w:pPr>
      <w:r>
        <w:rPr>
          <w:rFonts w:cs="Arial"/>
          <w:b/>
          <w:sz w:val="22"/>
          <w:u w:val="single"/>
        </w:rPr>
        <w:t xml:space="preserve">DEL </w:t>
      </w:r>
      <w:r w:rsidR="005E0E2D">
        <w:rPr>
          <w:rFonts w:cs="Arial"/>
          <w:b/>
          <w:sz w:val="22"/>
          <w:u w:val="single"/>
        </w:rPr>
        <w:t>16</w:t>
      </w:r>
      <w:r>
        <w:rPr>
          <w:rFonts w:cs="Arial"/>
          <w:b/>
          <w:sz w:val="22"/>
          <w:u w:val="single"/>
        </w:rPr>
        <w:t xml:space="preserve"> DE </w:t>
      </w:r>
      <w:r w:rsidR="005E0E2D">
        <w:rPr>
          <w:rFonts w:cs="Arial"/>
          <w:b/>
          <w:sz w:val="22"/>
          <w:u w:val="single"/>
        </w:rPr>
        <w:t>ENERO</w:t>
      </w:r>
      <w:r>
        <w:rPr>
          <w:rFonts w:cs="Arial"/>
          <w:b/>
          <w:sz w:val="22"/>
          <w:u w:val="single"/>
        </w:rPr>
        <w:t xml:space="preserve"> DE 20</w:t>
      </w:r>
      <w:r w:rsidR="00E97960">
        <w:rPr>
          <w:rFonts w:cs="Arial"/>
          <w:b/>
          <w:sz w:val="22"/>
          <w:u w:val="single"/>
        </w:rPr>
        <w:t>20</w:t>
      </w:r>
    </w:p>
    <w:p w14:paraId="25CF06F2" w14:textId="77777777" w:rsidR="002B71CC" w:rsidRDefault="002B71CC" w:rsidP="00AB2826">
      <w:pPr>
        <w:spacing w:line="360" w:lineRule="auto"/>
        <w:jc w:val="both"/>
        <w:rPr>
          <w:rFonts w:cs="Arial"/>
          <w:sz w:val="22"/>
          <w:szCs w:val="22"/>
        </w:rPr>
      </w:pPr>
    </w:p>
    <w:p w14:paraId="4488BC78" w14:textId="77777777" w:rsidR="002B71CC" w:rsidRDefault="002B71CC" w:rsidP="002B71CC">
      <w:pPr>
        <w:spacing w:line="360" w:lineRule="auto"/>
        <w:jc w:val="both"/>
        <w:rPr>
          <w:rFonts w:cs="Arial"/>
          <w:sz w:val="22"/>
          <w:lang w:val="es-ES_tradnl"/>
        </w:rPr>
      </w:pPr>
    </w:p>
    <w:p w14:paraId="4CB32D3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C28B0DD" w14:textId="7BD8DE96" w:rsidR="002B71CC" w:rsidRPr="006371D0" w:rsidRDefault="003D2273" w:rsidP="002B71CC">
      <w:pPr>
        <w:spacing w:line="360" w:lineRule="auto"/>
        <w:jc w:val="both"/>
        <w:rPr>
          <w:rFonts w:cs="Arial"/>
          <w:b/>
          <w:bCs/>
          <w:sz w:val="22"/>
          <w:szCs w:val="22"/>
        </w:rPr>
      </w:pPr>
      <w:r w:rsidRPr="006371D0">
        <w:rPr>
          <w:rFonts w:cs="Arial"/>
          <w:b/>
          <w:bCs/>
          <w:sz w:val="22"/>
          <w:szCs w:val="22"/>
        </w:rPr>
        <w:t>Considerando:</w:t>
      </w:r>
    </w:p>
    <w:p w14:paraId="7045D6F6" w14:textId="2C7B2624" w:rsidR="00335F63" w:rsidRDefault="003D2273" w:rsidP="002B71CC">
      <w:pPr>
        <w:spacing w:line="360" w:lineRule="auto"/>
        <w:jc w:val="both"/>
        <w:rPr>
          <w:rFonts w:cs="Arial"/>
          <w:sz w:val="22"/>
          <w:szCs w:val="22"/>
        </w:rPr>
      </w:pPr>
      <w:r w:rsidRPr="006371D0">
        <w:rPr>
          <w:rFonts w:cs="Arial"/>
          <w:b/>
          <w:bCs/>
          <w:sz w:val="22"/>
          <w:szCs w:val="22"/>
        </w:rPr>
        <w:t>Primero:</w:t>
      </w:r>
      <w:r>
        <w:rPr>
          <w:rFonts w:cs="Arial"/>
          <w:sz w:val="22"/>
          <w:szCs w:val="22"/>
        </w:rPr>
        <w:t xml:space="preserve"> Que </w:t>
      </w:r>
      <w:r w:rsidR="005D46B8">
        <w:rPr>
          <w:rFonts w:cs="Arial"/>
          <w:sz w:val="22"/>
          <w:szCs w:val="22"/>
        </w:rPr>
        <w:t xml:space="preserve">por medio del oficio </w:t>
      </w:r>
      <w:r w:rsidR="00335F63">
        <w:rPr>
          <w:rFonts w:cs="Arial"/>
          <w:sz w:val="22"/>
          <w:szCs w:val="22"/>
        </w:rPr>
        <w:t xml:space="preserve">GG-ME-0040-2020, del 14 de enero de 2020, la </w:t>
      </w:r>
      <w:r w:rsidR="00335F63" w:rsidRPr="00335F63">
        <w:rPr>
          <w:rFonts w:cs="Arial"/>
          <w:sz w:val="22"/>
          <w:szCs w:val="22"/>
          <w:lang w:val="es-ES_tradnl"/>
        </w:rPr>
        <w:t>Gerencia General</w:t>
      </w:r>
      <w:r w:rsidR="00335F63">
        <w:rPr>
          <w:rFonts w:cs="Arial"/>
          <w:sz w:val="22"/>
          <w:szCs w:val="22"/>
          <w:lang w:val="es-ES_tradnl"/>
        </w:rPr>
        <w:t xml:space="preserve"> somete a la consideración de esta </w:t>
      </w:r>
      <w:r w:rsidR="00335F63" w:rsidRPr="00335F63">
        <w:rPr>
          <w:rFonts w:cs="Arial"/>
          <w:sz w:val="22"/>
          <w:szCs w:val="22"/>
          <w:lang w:val="es-ES_tradnl"/>
        </w:rPr>
        <w:t>Junta Directiva</w:t>
      </w:r>
      <w:r w:rsidR="00335F63">
        <w:rPr>
          <w:rFonts w:cs="Arial"/>
          <w:sz w:val="22"/>
          <w:szCs w:val="22"/>
          <w:lang w:val="es-ES_tradnl"/>
        </w:rPr>
        <w:t xml:space="preserve">, una propuesta </w:t>
      </w:r>
      <w:r w:rsidR="00702AF2">
        <w:rPr>
          <w:rFonts w:cs="Arial"/>
          <w:sz w:val="22"/>
          <w:szCs w:val="22"/>
          <w:lang w:val="es-ES_tradnl"/>
        </w:rPr>
        <w:t xml:space="preserve">para reformar </w:t>
      </w:r>
      <w:r w:rsidR="00740C51">
        <w:rPr>
          <w:rFonts w:cs="Arial"/>
          <w:sz w:val="22"/>
          <w:szCs w:val="22"/>
          <w:lang w:val="es-ES_tradnl"/>
        </w:rPr>
        <w:t xml:space="preserve">los incisos </w:t>
      </w:r>
      <w:r w:rsidR="00C53A85">
        <w:rPr>
          <w:rFonts w:cs="Arial"/>
          <w:sz w:val="22"/>
          <w:szCs w:val="22"/>
          <w:lang w:val="es-ES_tradnl"/>
        </w:rPr>
        <w:t>j</w:t>
      </w:r>
      <w:r w:rsidR="00740C51">
        <w:rPr>
          <w:rFonts w:cs="Arial"/>
          <w:sz w:val="22"/>
          <w:szCs w:val="22"/>
          <w:lang w:val="es-ES_tradnl"/>
        </w:rPr>
        <w:t>) y k) d</w:t>
      </w:r>
      <w:r w:rsidR="00702AF2">
        <w:rPr>
          <w:rFonts w:cs="Arial"/>
          <w:sz w:val="22"/>
          <w:szCs w:val="22"/>
          <w:lang w:val="es-ES_tradnl"/>
        </w:rPr>
        <w:t>e</w:t>
      </w:r>
      <w:r w:rsidR="00D44541">
        <w:rPr>
          <w:rFonts w:cs="Arial"/>
          <w:sz w:val="22"/>
          <w:szCs w:val="22"/>
          <w:lang w:val="es-ES_tradnl"/>
        </w:rPr>
        <w:t xml:space="preserve">l artículo 30 del </w:t>
      </w:r>
      <w:r w:rsidR="00335F63">
        <w:rPr>
          <w:rFonts w:cs="Arial"/>
          <w:sz w:val="22"/>
          <w:szCs w:val="22"/>
          <w:lang w:val="es-ES_tradnl"/>
        </w:rPr>
        <w:t xml:space="preserve">“Reglamento de los programas de crédito y avales del Fondo Nacional para la Vivienda del </w:t>
      </w:r>
      <w:r w:rsidR="00335F63" w:rsidRPr="00335F63">
        <w:rPr>
          <w:rFonts w:cs="Arial"/>
          <w:sz w:val="22"/>
          <w:szCs w:val="22"/>
          <w:lang w:val="es-ES_tradnl"/>
        </w:rPr>
        <w:t>Banco Hipotecario para la Vivienda</w:t>
      </w:r>
      <w:r w:rsidR="00335F63">
        <w:rPr>
          <w:rFonts w:cs="Arial"/>
          <w:sz w:val="22"/>
          <w:szCs w:val="22"/>
          <w:lang w:val="es-ES_tradnl"/>
        </w:rPr>
        <w:t>”</w:t>
      </w:r>
      <w:r w:rsidR="00D44541">
        <w:rPr>
          <w:rFonts w:cs="Arial"/>
          <w:sz w:val="22"/>
          <w:szCs w:val="22"/>
          <w:lang w:val="es-ES_tradnl"/>
        </w:rPr>
        <w:t>, elaborada por la Dirección FONAVI y contenida en el memorando DFNV-ME-016-2020.</w:t>
      </w:r>
    </w:p>
    <w:p w14:paraId="3E4676CF" w14:textId="77777777" w:rsidR="00335F63" w:rsidRDefault="00335F63" w:rsidP="002B71CC">
      <w:pPr>
        <w:spacing w:line="360" w:lineRule="auto"/>
        <w:jc w:val="both"/>
        <w:rPr>
          <w:rFonts w:cs="Arial"/>
          <w:sz w:val="22"/>
          <w:szCs w:val="22"/>
        </w:rPr>
      </w:pPr>
    </w:p>
    <w:p w14:paraId="3E853A5B" w14:textId="2F6C1B83" w:rsidR="003D2273" w:rsidRDefault="003D2273" w:rsidP="002B71CC">
      <w:pPr>
        <w:spacing w:line="360" w:lineRule="auto"/>
        <w:jc w:val="both"/>
        <w:rPr>
          <w:rFonts w:cs="Arial"/>
          <w:sz w:val="22"/>
          <w:szCs w:val="22"/>
        </w:rPr>
      </w:pPr>
      <w:r w:rsidRPr="006371D0">
        <w:rPr>
          <w:rFonts w:cs="Arial"/>
          <w:b/>
          <w:bCs/>
          <w:sz w:val="22"/>
          <w:szCs w:val="22"/>
        </w:rPr>
        <w:t>Segundo:</w:t>
      </w:r>
      <w:r>
        <w:rPr>
          <w:rFonts w:cs="Arial"/>
          <w:sz w:val="22"/>
          <w:szCs w:val="22"/>
        </w:rPr>
        <w:t xml:space="preserve"> Que</w:t>
      </w:r>
      <w:r w:rsidR="00702AF2">
        <w:rPr>
          <w:rFonts w:cs="Arial"/>
          <w:sz w:val="22"/>
          <w:szCs w:val="22"/>
        </w:rPr>
        <w:t xml:space="preserve"> para justificar la indicada propuesta y según se desprende del citado informe DFNV-ME-016-2020, la Dirección FONAVI señal</w:t>
      </w:r>
      <w:r w:rsidR="00163756">
        <w:rPr>
          <w:rFonts w:cs="Arial"/>
          <w:sz w:val="22"/>
          <w:szCs w:val="22"/>
        </w:rPr>
        <w:t>a, en lo conducente, lo siguiente:</w:t>
      </w:r>
    </w:p>
    <w:p w14:paraId="5D7ADE2E" w14:textId="4DAA76FB" w:rsidR="003D2273" w:rsidRPr="005005FD" w:rsidRDefault="003D2273" w:rsidP="005005FD">
      <w:pPr>
        <w:ind w:left="142" w:right="193"/>
        <w:jc w:val="both"/>
        <w:rPr>
          <w:rFonts w:asciiTheme="minorHAnsi" w:hAnsiTheme="minorHAnsi" w:cstheme="minorHAnsi"/>
        </w:rPr>
      </w:pPr>
    </w:p>
    <w:p w14:paraId="011A9FF6" w14:textId="66FC51CA" w:rsidR="0039437A" w:rsidRPr="005005FD" w:rsidRDefault="00163756" w:rsidP="005005FD">
      <w:pPr>
        <w:ind w:left="142" w:right="193"/>
        <w:jc w:val="both"/>
        <w:rPr>
          <w:rFonts w:asciiTheme="minorHAnsi" w:hAnsiTheme="minorHAnsi" w:cstheme="minorHAnsi"/>
          <w:lang w:val="es-CR"/>
        </w:rPr>
      </w:pPr>
      <w:r w:rsidRPr="005005FD">
        <w:rPr>
          <w:rFonts w:asciiTheme="minorHAnsi" w:hAnsiTheme="minorHAnsi" w:cstheme="minorHAnsi"/>
          <w:lang w:val="es-CR"/>
        </w:rPr>
        <w:t>“</w:t>
      </w:r>
      <w:r w:rsidR="0039437A" w:rsidRPr="005005FD">
        <w:rPr>
          <w:rFonts w:asciiTheme="minorHAnsi" w:hAnsiTheme="minorHAnsi" w:cstheme="minorHAnsi"/>
          <w:lang w:val="es-CR"/>
        </w:rPr>
        <w:t>De conformidad con lo señalado en el Artículo 30 del Reglamento de los Programas de Crédito y Avales del Fondo Nacional para la Vivienda indicado, la garantía conformada por créditos hipotecarios que fueron acompañados del otorgamiento de un Bono Familiar de Vivienda (BFV) para el financiamiento de la solución habitacional solamente es admisible en caso en que la Entidad Autorizada no disponga de otras garantías que cumplan con las condiciones requeridas por el BANHVI. Esta condición dificulta a las Entidades deudoras la entrega de la garantía definitiva cuando su actividad de financiamiento para vivienda se encuentra dirigida a la atención de familias que requieren del subsidio de vivienda y genera una contradicción cuando el financiamiento otorgado por el BANHVI se encuentra dirigido exclusivamente a la atención de estos segmentos de la población.</w:t>
      </w:r>
    </w:p>
    <w:p w14:paraId="78DA9596" w14:textId="77777777" w:rsidR="00F940A3" w:rsidRPr="005005FD" w:rsidRDefault="00F940A3" w:rsidP="005005FD">
      <w:pPr>
        <w:ind w:left="142" w:right="193"/>
        <w:jc w:val="both"/>
        <w:rPr>
          <w:rFonts w:asciiTheme="minorHAnsi" w:hAnsiTheme="minorHAnsi" w:cstheme="minorHAnsi"/>
          <w:lang w:val="es-CR"/>
        </w:rPr>
      </w:pPr>
    </w:p>
    <w:p w14:paraId="18ACBF32" w14:textId="74A98836" w:rsidR="0039437A" w:rsidRPr="005005FD" w:rsidRDefault="0039437A" w:rsidP="005005FD">
      <w:pPr>
        <w:ind w:left="142" w:right="193"/>
        <w:jc w:val="both"/>
        <w:rPr>
          <w:rFonts w:asciiTheme="minorHAnsi" w:hAnsiTheme="minorHAnsi" w:cstheme="minorHAnsi"/>
          <w:lang w:val="es-CR"/>
        </w:rPr>
      </w:pPr>
      <w:r w:rsidRPr="005005FD">
        <w:rPr>
          <w:rFonts w:asciiTheme="minorHAnsi" w:hAnsiTheme="minorHAnsi" w:cstheme="minorHAnsi"/>
          <w:lang w:val="es-CR"/>
        </w:rPr>
        <w:t>Este es el caso del Programa Integral de Financiamiento para Familias de Ingresos Medios, en el que el BANHVI ha establecido como población objetivo a las familias de los segmentos medios, identificados concretamente como los estratos 1.5 al 6 según la definición de la Ley 7052 y las operaciones que se formalicen al amparo de este Programa deben cumplir con el requisito de incorporar el beneficio del BFV.</w:t>
      </w:r>
    </w:p>
    <w:p w14:paraId="26DB6F0A" w14:textId="77777777" w:rsidR="00F940A3" w:rsidRPr="005005FD" w:rsidRDefault="00F940A3" w:rsidP="005005FD">
      <w:pPr>
        <w:ind w:left="142" w:right="193"/>
        <w:jc w:val="both"/>
        <w:rPr>
          <w:rFonts w:asciiTheme="minorHAnsi" w:hAnsiTheme="minorHAnsi" w:cstheme="minorHAnsi"/>
          <w:lang w:val="es-CR"/>
        </w:rPr>
      </w:pPr>
    </w:p>
    <w:p w14:paraId="590A28EC" w14:textId="6972378B" w:rsidR="0039437A" w:rsidRPr="005005FD" w:rsidRDefault="0039437A" w:rsidP="005005FD">
      <w:pPr>
        <w:ind w:left="142" w:right="193"/>
        <w:jc w:val="both"/>
        <w:rPr>
          <w:rFonts w:asciiTheme="minorHAnsi" w:hAnsiTheme="minorHAnsi" w:cstheme="minorHAnsi"/>
          <w:lang w:val="es-CR"/>
        </w:rPr>
      </w:pPr>
      <w:r w:rsidRPr="005005FD">
        <w:rPr>
          <w:rFonts w:asciiTheme="minorHAnsi" w:hAnsiTheme="minorHAnsi" w:cstheme="minorHAnsi"/>
          <w:lang w:val="es-CR"/>
        </w:rPr>
        <w:lastRenderedPageBreak/>
        <w:t>En función de lo indicado, se considera necesario realizar una modificación en las condiciones de las garantías requeridas por el BANHVI para facilitar su entrega por parte de las Entidades deudoras en los casos de programas con condiciones especiales, como lo es el Programa Integral de Financiamiento para Familias de Ingresos Medios. En este sentido, se estima conveniente que para estos programas especiales se contemple la posibilidad de entrega de operaciones hipotecarias formalizadas con la incorporación del BFV y, adicionalmente, se incremente el plazo para la entrega de la garantía definitiva en función del aumento en el porcentaje de cobertura de la garantía asociada a estas operaciones hipotecarias y a la mayor complejidad que involucra el proceso de formalización de las operaciones de crédito que incorporan el subsidio.</w:t>
      </w:r>
      <w:r w:rsidR="00C357FD" w:rsidRPr="005005FD">
        <w:rPr>
          <w:rFonts w:asciiTheme="minorHAnsi" w:hAnsiTheme="minorHAnsi" w:cstheme="minorHAnsi"/>
          <w:lang w:val="es-CR"/>
        </w:rPr>
        <w:t>”</w:t>
      </w:r>
    </w:p>
    <w:p w14:paraId="5F9E2B1E" w14:textId="77777777" w:rsidR="00F940A3" w:rsidRPr="0039437A" w:rsidRDefault="00F940A3" w:rsidP="0039437A">
      <w:pPr>
        <w:spacing w:line="360" w:lineRule="auto"/>
        <w:jc w:val="both"/>
        <w:rPr>
          <w:rFonts w:cs="Arial"/>
          <w:sz w:val="22"/>
          <w:szCs w:val="22"/>
          <w:lang w:val="es-CR"/>
        </w:rPr>
      </w:pPr>
    </w:p>
    <w:p w14:paraId="4A821B0E" w14:textId="6E8746F6" w:rsidR="003D2273" w:rsidRDefault="003D2273" w:rsidP="002B71CC">
      <w:pPr>
        <w:spacing w:line="360" w:lineRule="auto"/>
        <w:jc w:val="both"/>
        <w:rPr>
          <w:rFonts w:cs="Arial"/>
          <w:sz w:val="22"/>
          <w:szCs w:val="22"/>
          <w:lang w:val="es-CR"/>
        </w:rPr>
      </w:pPr>
      <w:r w:rsidRPr="00311D75">
        <w:rPr>
          <w:rFonts w:cs="Arial"/>
          <w:b/>
          <w:bCs/>
          <w:sz w:val="22"/>
          <w:szCs w:val="22"/>
        </w:rPr>
        <w:t>Tercero:</w:t>
      </w:r>
      <w:r>
        <w:rPr>
          <w:rFonts w:cs="Arial"/>
          <w:sz w:val="22"/>
          <w:szCs w:val="22"/>
        </w:rPr>
        <w:t xml:space="preserve"> Que </w:t>
      </w:r>
      <w:r w:rsidR="005005FD">
        <w:rPr>
          <w:rFonts w:cs="Arial"/>
          <w:sz w:val="22"/>
          <w:szCs w:val="22"/>
        </w:rPr>
        <w:t xml:space="preserve">esta </w:t>
      </w:r>
      <w:r w:rsidR="005005FD" w:rsidRPr="005005FD">
        <w:rPr>
          <w:rFonts w:cs="Arial"/>
          <w:sz w:val="22"/>
          <w:szCs w:val="22"/>
          <w:lang w:val="es-ES_tradnl"/>
        </w:rPr>
        <w:t>Junta Directiva</w:t>
      </w:r>
      <w:r w:rsidR="005005FD">
        <w:rPr>
          <w:rFonts w:cs="Arial"/>
          <w:sz w:val="22"/>
          <w:szCs w:val="22"/>
          <w:lang w:val="es-ES_tradnl"/>
        </w:rPr>
        <w:t xml:space="preserve"> estima pertinente actuar de la forma que recomienda la </w:t>
      </w:r>
      <w:r w:rsidR="005005FD" w:rsidRPr="005005FD">
        <w:rPr>
          <w:rFonts w:cs="Arial"/>
          <w:sz w:val="22"/>
          <w:szCs w:val="22"/>
          <w:lang w:val="es-ES_tradnl"/>
        </w:rPr>
        <w:t>Administración</w:t>
      </w:r>
      <w:r w:rsidR="005005FD">
        <w:rPr>
          <w:rFonts w:cs="Arial"/>
          <w:sz w:val="22"/>
          <w:szCs w:val="22"/>
          <w:lang w:val="es-ES_tradnl"/>
        </w:rPr>
        <w:t xml:space="preserve">, en el tanto –según se ha documentado– las reformas que se proponen a las </w:t>
      </w:r>
      <w:r w:rsidR="005005FD" w:rsidRPr="005005FD">
        <w:rPr>
          <w:rFonts w:cs="Arial"/>
          <w:sz w:val="22"/>
          <w:szCs w:val="22"/>
          <w:lang w:val="es-CR"/>
        </w:rPr>
        <w:t xml:space="preserve">condiciones de las garantías requeridas por el </w:t>
      </w:r>
      <w:r w:rsidR="004E3839" w:rsidRPr="005005FD">
        <w:rPr>
          <w:rFonts w:cs="Arial"/>
          <w:sz w:val="22"/>
          <w:szCs w:val="22"/>
          <w:lang w:val="es-CR"/>
        </w:rPr>
        <w:t>BANHVI</w:t>
      </w:r>
      <w:r w:rsidR="004E3839">
        <w:rPr>
          <w:rFonts w:cs="Arial"/>
          <w:sz w:val="22"/>
          <w:szCs w:val="22"/>
          <w:lang w:val="es-CR"/>
        </w:rPr>
        <w:t>,</w:t>
      </w:r>
      <w:r w:rsidR="005005FD">
        <w:rPr>
          <w:rFonts w:cs="Arial"/>
          <w:sz w:val="22"/>
          <w:szCs w:val="22"/>
          <w:lang w:val="es-CR"/>
        </w:rPr>
        <w:t xml:space="preserve"> permitirán </w:t>
      </w:r>
      <w:r w:rsidR="005005FD" w:rsidRPr="005005FD">
        <w:rPr>
          <w:rFonts w:cs="Arial"/>
          <w:sz w:val="22"/>
          <w:szCs w:val="22"/>
          <w:lang w:val="es-CR"/>
        </w:rPr>
        <w:t xml:space="preserve">facilitar su entrega por parte de las </w:t>
      </w:r>
      <w:r w:rsidR="005005FD">
        <w:rPr>
          <w:rFonts w:cs="Arial"/>
          <w:sz w:val="22"/>
          <w:szCs w:val="22"/>
          <w:lang w:val="es-CR"/>
        </w:rPr>
        <w:t>e</w:t>
      </w:r>
      <w:r w:rsidR="005005FD" w:rsidRPr="005005FD">
        <w:rPr>
          <w:rFonts w:cs="Arial"/>
          <w:sz w:val="22"/>
          <w:szCs w:val="22"/>
          <w:lang w:val="es-CR"/>
        </w:rPr>
        <w:t>ntidades deudoras en los casos de programas con condiciones especiales, como lo es el Programa Integral de Financiamiento para Familias de Ingresos Medios</w:t>
      </w:r>
      <w:r w:rsidR="005005FD">
        <w:rPr>
          <w:rFonts w:cs="Arial"/>
          <w:sz w:val="22"/>
          <w:szCs w:val="22"/>
          <w:lang w:val="es-CR"/>
        </w:rPr>
        <w:t>.</w:t>
      </w:r>
    </w:p>
    <w:p w14:paraId="7360107B" w14:textId="77777777" w:rsidR="005005FD" w:rsidRDefault="005005FD" w:rsidP="002B71CC">
      <w:pPr>
        <w:spacing w:line="360" w:lineRule="auto"/>
        <w:jc w:val="both"/>
        <w:rPr>
          <w:rFonts w:cs="Arial"/>
          <w:sz w:val="22"/>
          <w:szCs w:val="22"/>
        </w:rPr>
      </w:pPr>
    </w:p>
    <w:p w14:paraId="2F45DA51" w14:textId="07A089EF" w:rsidR="003D2273" w:rsidRPr="006371D0" w:rsidRDefault="003D2273" w:rsidP="002B71CC">
      <w:pPr>
        <w:spacing w:line="360" w:lineRule="auto"/>
        <w:jc w:val="both"/>
        <w:rPr>
          <w:rFonts w:cs="Arial"/>
          <w:b/>
          <w:bCs/>
          <w:sz w:val="22"/>
          <w:szCs w:val="22"/>
        </w:rPr>
      </w:pPr>
      <w:r w:rsidRPr="006371D0">
        <w:rPr>
          <w:rFonts w:cs="Arial"/>
          <w:b/>
          <w:bCs/>
          <w:sz w:val="22"/>
          <w:szCs w:val="22"/>
        </w:rPr>
        <w:t>Por tanto, se acuerda:</w:t>
      </w:r>
    </w:p>
    <w:p w14:paraId="34D85A62" w14:textId="291F9741" w:rsidR="003D2273" w:rsidRDefault="00453085" w:rsidP="002B71CC">
      <w:pPr>
        <w:spacing w:line="360" w:lineRule="auto"/>
        <w:jc w:val="both"/>
        <w:rPr>
          <w:rFonts w:cs="Arial"/>
          <w:sz w:val="22"/>
          <w:szCs w:val="22"/>
        </w:rPr>
      </w:pPr>
      <w:r w:rsidRPr="00C22822">
        <w:rPr>
          <w:rFonts w:cs="Arial"/>
          <w:b/>
          <w:bCs/>
          <w:sz w:val="22"/>
          <w:szCs w:val="22"/>
        </w:rPr>
        <w:t>I.-</w:t>
      </w:r>
      <w:r>
        <w:rPr>
          <w:rFonts w:cs="Arial"/>
          <w:sz w:val="22"/>
          <w:szCs w:val="22"/>
        </w:rPr>
        <w:t xml:space="preserve"> </w:t>
      </w:r>
      <w:r w:rsidR="00A66A28">
        <w:rPr>
          <w:rFonts w:cs="Arial"/>
          <w:sz w:val="22"/>
          <w:szCs w:val="22"/>
        </w:rPr>
        <w:t xml:space="preserve">Reformar </w:t>
      </w:r>
      <w:r w:rsidR="00C357FD">
        <w:rPr>
          <w:rFonts w:cs="Arial"/>
          <w:sz w:val="22"/>
          <w:szCs w:val="22"/>
        </w:rPr>
        <w:t xml:space="preserve">los incisos </w:t>
      </w:r>
      <w:r w:rsidR="00C53A85">
        <w:rPr>
          <w:rFonts w:cs="Arial"/>
          <w:sz w:val="22"/>
          <w:szCs w:val="22"/>
        </w:rPr>
        <w:t>j</w:t>
      </w:r>
      <w:r w:rsidR="00C357FD">
        <w:rPr>
          <w:rFonts w:cs="Arial"/>
          <w:sz w:val="22"/>
          <w:szCs w:val="22"/>
        </w:rPr>
        <w:t>) y k) d</w:t>
      </w:r>
      <w:r w:rsidR="00A66A28">
        <w:rPr>
          <w:rFonts w:cs="Arial"/>
          <w:sz w:val="22"/>
          <w:szCs w:val="22"/>
        </w:rPr>
        <w:t xml:space="preserve">el artículo 30 del </w:t>
      </w:r>
      <w:r w:rsidR="00A66A28">
        <w:rPr>
          <w:rFonts w:cs="Arial"/>
          <w:sz w:val="22"/>
          <w:szCs w:val="22"/>
          <w:lang w:val="es-ES_tradnl"/>
        </w:rPr>
        <w:t xml:space="preserve">“Reglamento de los programas de crédito y avales del Fondo Nacional para la Vivienda del </w:t>
      </w:r>
      <w:r w:rsidR="00A66A28" w:rsidRPr="00335F63">
        <w:rPr>
          <w:rFonts w:cs="Arial"/>
          <w:sz w:val="22"/>
          <w:szCs w:val="22"/>
          <w:lang w:val="es-ES_tradnl"/>
        </w:rPr>
        <w:t>Banco Hipotecario para la Vivienda</w:t>
      </w:r>
      <w:r w:rsidR="00A66A28">
        <w:rPr>
          <w:rFonts w:cs="Arial"/>
          <w:sz w:val="22"/>
          <w:szCs w:val="22"/>
          <w:lang w:val="es-ES_tradnl"/>
        </w:rPr>
        <w:t>”, para que se lean de la siguiente forma:</w:t>
      </w:r>
    </w:p>
    <w:p w14:paraId="69ED4266" w14:textId="140D32D4" w:rsidR="003D2273" w:rsidRDefault="003D2273" w:rsidP="002B71CC">
      <w:pPr>
        <w:spacing w:line="360" w:lineRule="auto"/>
        <w:jc w:val="both"/>
        <w:rPr>
          <w:rFonts w:cs="Arial"/>
          <w:sz w:val="22"/>
          <w:szCs w:val="22"/>
        </w:rPr>
      </w:pPr>
    </w:p>
    <w:p w14:paraId="203C6B8E" w14:textId="77777777" w:rsidR="00CF23AE" w:rsidRDefault="001C789F" w:rsidP="00CF23AE">
      <w:pPr>
        <w:spacing w:line="360" w:lineRule="auto"/>
        <w:jc w:val="both"/>
        <w:rPr>
          <w:rFonts w:cs="Arial"/>
          <w:color w:val="000000"/>
          <w:sz w:val="22"/>
          <w:szCs w:val="22"/>
          <w:lang w:val="es-ES_tradnl"/>
        </w:rPr>
      </w:pPr>
      <w:r>
        <w:rPr>
          <w:rFonts w:cs="Arial"/>
          <w:b/>
          <w:color w:val="000000"/>
          <w:sz w:val="22"/>
          <w:szCs w:val="22"/>
          <w:lang w:val="es-ES_tradnl"/>
        </w:rPr>
        <w:t>“</w:t>
      </w:r>
      <w:r w:rsidR="00335F63" w:rsidRPr="00215D40">
        <w:rPr>
          <w:rFonts w:cs="Arial"/>
          <w:b/>
          <w:color w:val="000000"/>
          <w:sz w:val="22"/>
          <w:szCs w:val="22"/>
          <w:lang w:val="es-ES_tradnl"/>
        </w:rPr>
        <w:t>j)</w:t>
      </w:r>
      <w:r w:rsidR="00335F63" w:rsidRPr="00215D40">
        <w:rPr>
          <w:rFonts w:cs="Arial"/>
          <w:color w:val="000000"/>
          <w:sz w:val="22"/>
          <w:szCs w:val="22"/>
          <w:lang w:val="es-ES_tradnl"/>
        </w:rPr>
        <w:t xml:space="preserve"> Cartera hipotecaria propiedad de la entidad autorizada y recibida en respaldo o garantía de sus propios créditos. Solo se podrán recibir créditos hipotecarios que fueron acompañados del otorgamiento de un bono de vivienda para el financiamiento de la solución habitacional, en los casos en los que se determine que la entidad autorizada no dispone de otras garantías que cumplan con las condiciones requeridas por el BANHVI</w:t>
      </w:r>
      <w:r w:rsidR="00CF23AE">
        <w:rPr>
          <w:rFonts w:cs="Arial"/>
          <w:color w:val="000000"/>
          <w:sz w:val="22"/>
          <w:szCs w:val="22"/>
          <w:lang w:val="es-ES_tradnl"/>
        </w:rPr>
        <w:t xml:space="preserve"> o si se trata de programas de financiamiento del BANHVI que incorporan como requisito el otorgamiento del subsidio; en estos casos,</w:t>
      </w:r>
      <w:r w:rsidR="00335F63" w:rsidRPr="00215D40">
        <w:rPr>
          <w:rFonts w:cs="Arial"/>
          <w:color w:val="000000"/>
          <w:sz w:val="22"/>
          <w:szCs w:val="22"/>
          <w:lang w:val="es-ES_tradnl"/>
        </w:rPr>
        <w:t xml:space="preserve"> se aplicará un requerimiento de cobertura superior en un 10% respecto del caso de créditos hipotecarios formalizados sin bono de vivienda.</w:t>
      </w:r>
    </w:p>
    <w:p w14:paraId="21895E80" w14:textId="32E5747D" w:rsidR="00335F63" w:rsidRPr="00215D40" w:rsidRDefault="00335F63" w:rsidP="00CF23AE">
      <w:pPr>
        <w:spacing w:line="360" w:lineRule="auto"/>
        <w:jc w:val="both"/>
        <w:rPr>
          <w:rFonts w:cs="Arial"/>
          <w:color w:val="000000"/>
          <w:sz w:val="22"/>
          <w:szCs w:val="22"/>
          <w:lang w:eastAsia="es-CR"/>
        </w:rPr>
      </w:pPr>
      <w:r w:rsidRPr="00215D40">
        <w:rPr>
          <w:rFonts w:cs="Arial"/>
          <w:b/>
          <w:color w:val="000000"/>
          <w:sz w:val="22"/>
          <w:szCs w:val="22"/>
          <w:lang w:val="es-ES_tradnl"/>
        </w:rPr>
        <w:t>k)</w:t>
      </w:r>
      <w:r w:rsidRPr="00215D40">
        <w:rPr>
          <w:rFonts w:cs="Arial"/>
          <w:color w:val="000000"/>
          <w:sz w:val="22"/>
          <w:szCs w:val="22"/>
          <w:lang w:val="es-ES_tradnl"/>
        </w:rPr>
        <w:t xml:space="preserve"> Garantías fiduciarias con carácter temporal, por un plazo máximo de seis meses</w:t>
      </w:r>
      <w:r w:rsidR="00CF23AE">
        <w:rPr>
          <w:rFonts w:cs="Arial"/>
          <w:color w:val="000000"/>
          <w:sz w:val="22"/>
          <w:szCs w:val="22"/>
          <w:lang w:val="es-ES_tradnl"/>
        </w:rPr>
        <w:t xml:space="preserve"> en el caso de los programas de crédito regular del FONAVI, y de hasta doce meses si se trata de programas de financiamiento que incorporan como requisito el otorgamiento del subsidio.”</w:t>
      </w:r>
      <w:r w:rsidRPr="00215D40">
        <w:rPr>
          <w:rFonts w:cs="Arial"/>
          <w:color w:val="000000"/>
          <w:sz w:val="22"/>
          <w:szCs w:val="22"/>
          <w:lang w:val="es-ES_tradnl"/>
        </w:rPr>
        <w:t xml:space="preserve"> </w:t>
      </w:r>
    </w:p>
    <w:p w14:paraId="6F6B19E8" w14:textId="77777777" w:rsidR="001F06A8" w:rsidRDefault="001F06A8" w:rsidP="00CF23AE">
      <w:pPr>
        <w:spacing w:line="360" w:lineRule="auto"/>
        <w:jc w:val="both"/>
        <w:rPr>
          <w:rFonts w:cs="Arial"/>
          <w:sz w:val="22"/>
          <w:szCs w:val="22"/>
        </w:rPr>
      </w:pPr>
    </w:p>
    <w:p w14:paraId="2F0A5841" w14:textId="2AE63C9A" w:rsidR="002B71CC" w:rsidRDefault="00453085" w:rsidP="002B71CC">
      <w:pPr>
        <w:spacing w:line="360" w:lineRule="auto"/>
        <w:jc w:val="both"/>
        <w:rPr>
          <w:rFonts w:cs="Arial"/>
          <w:sz w:val="22"/>
          <w:szCs w:val="22"/>
        </w:rPr>
      </w:pPr>
      <w:r w:rsidRPr="00C22822">
        <w:rPr>
          <w:rFonts w:cs="Arial"/>
          <w:b/>
          <w:bCs/>
          <w:sz w:val="22"/>
          <w:szCs w:val="22"/>
        </w:rPr>
        <w:t>II.-</w:t>
      </w:r>
      <w:r>
        <w:rPr>
          <w:rFonts w:cs="Arial"/>
          <w:sz w:val="22"/>
          <w:szCs w:val="22"/>
        </w:rPr>
        <w:t xml:space="preserve"> </w:t>
      </w:r>
      <w:r w:rsidR="00EE31B1" w:rsidRPr="00215D40">
        <w:rPr>
          <w:rFonts w:cs="Arial"/>
          <w:color w:val="000000"/>
          <w:sz w:val="22"/>
          <w:szCs w:val="22"/>
        </w:rPr>
        <w:t xml:space="preserve">Rige a partir de </w:t>
      </w:r>
      <w:r w:rsidR="000E2B75">
        <w:rPr>
          <w:rFonts w:cs="Arial"/>
          <w:color w:val="000000"/>
          <w:sz w:val="22"/>
          <w:szCs w:val="22"/>
        </w:rPr>
        <w:t xml:space="preserve">esta </w:t>
      </w:r>
      <w:r w:rsidR="00EE31B1" w:rsidRPr="00215D40">
        <w:rPr>
          <w:rFonts w:cs="Arial"/>
          <w:color w:val="000000"/>
          <w:sz w:val="22"/>
          <w:szCs w:val="22"/>
        </w:rPr>
        <w:t>fecha</w:t>
      </w:r>
      <w:r w:rsidR="000E2B75">
        <w:rPr>
          <w:rFonts w:cs="Arial"/>
          <w:color w:val="000000"/>
          <w:sz w:val="22"/>
          <w:szCs w:val="22"/>
        </w:rPr>
        <w:t xml:space="preserve">. Publíquese </w:t>
      </w:r>
      <w:r w:rsidR="00EE31B1" w:rsidRPr="00215D40">
        <w:rPr>
          <w:rFonts w:cs="Arial"/>
          <w:color w:val="000000"/>
          <w:sz w:val="22"/>
          <w:szCs w:val="22"/>
        </w:rPr>
        <w:t>en el Diario Oficial La Gaceta.</w:t>
      </w:r>
    </w:p>
    <w:p w14:paraId="3AE87514"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02E05457" w14:textId="77777777" w:rsidR="002B71CC" w:rsidRPr="00D14EAF" w:rsidRDefault="002B71CC" w:rsidP="002B71CC">
      <w:pPr>
        <w:spacing w:line="360" w:lineRule="auto"/>
        <w:jc w:val="both"/>
        <w:rPr>
          <w:rFonts w:cs="Arial"/>
          <w:b/>
          <w:sz w:val="22"/>
        </w:rPr>
      </w:pPr>
      <w:r w:rsidRPr="00D14EAF">
        <w:rPr>
          <w:rFonts w:cs="Arial"/>
          <w:b/>
          <w:sz w:val="22"/>
        </w:rPr>
        <w:t>************</w:t>
      </w:r>
    </w:p>
    <w:p w14:paraId="5078617E" w14:textId="77777777" w:rsidR="002B71CC" w:rsidRDefault="002B71CC" w:rsidP="002B71CC">
      <w:pPr>
        <w:spacing w:line="360" w:lineRule="auto"/>
        <w:jc w:val="both"/>
        <w:rPr>
          <w:rFonts w:cs="Arial"/>
          <w:sz w:val="22"/>
          <w:lang w:val="es-ES_tradnl"/>
        </w:rPr>
      </w:pPr>
    </w:p>
    <w:p w14:paraId="35410D9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69EE7F92" w14:textId="77777777" w:rsidR="006371D0" w:rsidRPr="00BF6CA7" w:rsidRDefault="006371D0" w:rsidP="006371D0">
      <w:pPr>
        <w:spacing w:line="360" w:lineRule="auto"/>
        <w:jc w:val="both"/>
        <w:rPr>
          <w:rFonts w:cs="Arial"/>
          <w:b/>
          <w:bCs/>
          <w:sz w:val="22"/>
          <w:szCs w:val="22"/>
        </w:rPr>
      </w:pPr>
      <w:r w:rsidRPr="00BF6CA7">
        <w:rPr>
          <w:rFonts w:cs="Arial"/>
          <w:b/>
          <w:bCs/>
          <w:sz w:val="22"/>
          <w:szCs w:val="22"/>
        </w:rPr>
        <w:t>Considerando:</w:t>
      </w:r>
    </w:p>
    <w:p w14:paraId="7DA0E36B" w14:textId="372DE5A1" w:rsidR="006371D0" w:rsidRPr="00AC241E" w:rsidRDefault="006371D0" w:rsidP="006371D0">
      <w:pPr>
        <w:spacing w:line="360" w:lineRule="auto"/>
        <w:jc w:val="both"/>
        <w:rPr>
          <w:rFonts w:cs="Arial"/>
          <w:sz w:val="22"/>
          <w:szCs w:val="22"/>
        </w:rPr>
      </w:pPr>
      <w:r w:rsidRPr="00BF6CA7">
        <w:rPr>
          <w:b/>
          <w:bCs/>
          <w:sz w:val="22"/>
          <w:szCs w:val="22"/>
        </w:rPr>
        <w:t>Primero:</w:t>
      </w:r>
      <w:r w:rsidRPr="00BF6CA7">
        <w:rPr>
          <w:sz w:val="22"/>
          <w:szCs w:val="22"/>
        </w:rPr>
        <w:t xml:space="preserve"> Que</w:t>
      </w:r>
      <w:r>
        <w:rPr>
          <w:sz w:val="22"/>
          <w:szCs w:val="22"/>
        </w:rPr>
        <w:t xml:space="preserve"> el Banco Popular y de Desarrollo Comunal ha presentado a este Banco, solicitud</w:t>
      </w:r>
      <w:r w:rsidRPr="00BF6CA7">
        <w:rPr>
          <w:rFonts w:cs="Arial"/>
          <w:color w:val="000000"/>
          <w:sz w:val="22"/>
          <w:szCs w:val="22"/>
        </w:rPr>
        <w:t xml:space="preserve"> </w:t>
      </w:r>
      <w:r>
        <w:rPr>
          <w:rFonts w:cs="Arial"/>
          <w:color w:val="000000"/>
          <w:sz w:val="22"/>
          <w:szCs w:val="22"/>
        </w:rPr>
        <w:t xml:space="preserve">formal </w:t>
      </w:r>
      <w:r w:rsidRPr="00BF6CA7">
        <w:rPr>
          <w:rFonts w:cs="Arial"/>
          <w:color w:val="000000"/>
          <w:sz w:val="22"/>
          <w:szCs w:val="22"/>
        </w:rPr>
        <w:t xml:space="preserve">de financiamiento de largo plazo </w:t>
      </w:r>
      <w:r>
        <w:rPr>
          <w:rFonts w:cs="Arial"/>
          <w:color w:val="000000"/>
          <w:sz w:val="22"/>
          <w:szCs w:val="22"/>
        </w:rPr>
        <w:t xml:space="preserve">por un monto de ¢10.000,0 millones, en la modalidad de línea de crédito revolutiva </w:t>
      </w:r>
      <w:r w:rsidRPr="00BF6CA7">
        <w:rPr>
          <w:rFonts w:cs="Arial"/>
          <w:color w:val="000000"/>
          <w:sz w:val="22"/>
          <w:szCs w:val="22"/>
        </w:rPr>
        <w:t xml:space="preserve">y al amparo del </w:t>
      </w:r>
      <w:r w:rsidRPr="00BF6CA7">
        <w:rPr>
          <w:rFonts w:cs="Arial"/>
          <w:i/>
          <w:sz w:val="22"/>
          <w:szCs w:val="22"/>
        </w:rPr>
        <w:t xml:space="preserve">Programa </w:t>
      </w:r>
      <w:r>
        <w:rPr>
          <w:rFonts w:cs="Arial"/>
          <w:i/>
          <w:sz w:val="22"/>
          <w:szCs w:val="22"/>
        </w:rPr>
        <w:t>Integral de Financiamiento para Familias de Ingresos Medios</w:t>
      </w:r>
      <w:r w:rsidRPr="00AC241E">
        <w:rPr>
          <w:rFonts w:cs="Arial"/>
          <w:i/>
          <w:sz w:val="22"/>
          <w:szCs w:val="22"/>
        </w:rPr>
        <w:t>.</w:t>
      </w:r>
    </w:p>
    <w:p w14:paraId="204188D8" w14:textId="77777777" w:rsidR="006371D0" w:rsidRPr="00AC241E" w:rsidRDefault="006371D0" w:rsidP="006371D0">
      <w:pPr>
        <w:spacing w:line="360" w:lineRule="auto"/>
        <w:jc w:val="both"/>
        <w:rPr>
          <w:rFonts w:cs="Arial"/>
          <w:sz w:val="22"/>
          <w:szCs w:val="22"/>
        </w:rPr>
      </w:pPr>
    </w:p>
    <w:p w14:paraId="0D2B7B72" w14:textId="3B1A7D1F" w:rsidR="006371D0" w:rsidRPr="00AC241E" w:rsidRDefault="006371D0" w:rsidP="006371D0">
      <w:pPr>
        <w:pStyle w:val="Sangra2detindependiente"/>
        <w:ind w:left="0" w:firstLine="0"/>
        <w:rPr>
          <w:szCs w:val="22"/>
        </w:rPr>
      </w:pPr>
      <w:r w:rsidRPr="00AC241E">
        <w:rPr>
          <w:b/>
          <w:bCs/>
          <w:szCs w:val="22"/>
        </w:rPr>
        <w:t>Segundo:</w:t>
      </w:r>
      <w:r w:rsidRPr="00AC241E">
        <w:rPr>
          <w:szCs w:val="22"/>
        </w:rPr>
        <w:t xml:space="preserve"> Que por medio del oficio </w:t>
      </w:r>
      <w:r w:rsidRPr="00AC241E">
        <w:rPr>
          <w:bCs/>
          <w:szCs w:val="22"/>
          <w:lang w:val="es-ES_tradnl"/>
        </w:rPr>
        <w:t>DFNV-ME-0</w:t>
      </w:r>
      <w:r>
        <w:rPr>
          <w:bCs/>
          <w:szCs w:val="22"/>
          <w:lang w:val="es-ES_tradnl"/>
        </w:rPr>
        <w:t>20</w:t>
      </w:r>
      <w:r w:rsidRPr="00AC241E">
        <w:rPr>
          <w:bCs/>
          <w:szCs w:val="22"/>
          <w:lang w:val="es-ES_tradnl"/>
        </w:rPr>
        <w:t>-20</w:t>
      </w:r>
      <w:r>
        <w:rPr>
          <w:bCs/>
          <w:szCs w:val="22"/>
          <w:lang w:val="es-ES_tradnl"/>
        </w:rPr>
        <w:t>20</w:t>
      </w:r>
      <w:r w:rsidRPr="00AC241E">
        <w:rPr>
          <w:bCs/>
          <w:szCs w:val="22"/>
          <w:lang w:val="es-ES_tradnl"/>
        </w:rPr>
        <w:t xml:space="preserve"> </w:t>
      </w:r>
      <w:r w:rsidRPr="00AC241E">
        <w:rPr>
          <w:szCs w:val="22"/>
        </w:rPr>
        <w:t xml:space="preserve">del </w:t>
      </w:r>
      <w:r>
        <w:rPr>
          <w:szCs w:val="22"/>
        </w:rPr>
        <w:t>15 de enero</w:t>
      </w:r>
      <w:r w:rsidRPr="00BF6CA7">
        <w:rPr>
          <w:szCs w:val="22"/>
        </w:rPr>
        <w:t xml:space="preserve"> de 20</w:t>
      </w:r>
      <w:r>
        <w:rPr>
          <w:szCs w:val="22"/>
        </w:rPr>
        <w:t>20</w:t>
      </w:r>
      <w:r w:rsidRPr="00BF6CA7">
        <w:rPr>
          <w:szCs w:val="22"/>
        </w:rPr>
        <w:t xml:space="preserve"> –el cual es avalado por la </w:t>
      </w:r>
      <w:r w:rsidRPr="00F22404">
        <w:rPr>
          <w:szCs w:val="22"/>
        </w:rPr>
        <w:t>Gerencia General</w:t>
      </w:r>
      <w:r w:rsidRPr="00BF6CA7">
        <w:rPr>
          <w:szCs w:val="22"/>
        </w:rPr>
        <w:t xml:space="preserve"> con la nota </w:t>
      </w:r>
      <w:r>
        <w:rPr>
          <w:szCs w:val="22"/>
        </w:rPr>
        <w:t>GG</w:t>
      </w:r>
      <w:r w:rsidRPr="00BF6CA7">
        <w:rPr>
          <w:szCs w:val="22"/>
        </w:rPr>
        <w:t>-ME-</w:t>
      </w:r>
      <w:r>
        <w:rPr>
          <w:szCs w:val="22"/>
        </w:rPr>
        <w:t>0048</w:t>
      </w:r>
      <w:r w:rsidRPr="00BF6CA7">
        <w:rPr>
          <w:szCs w:val="22"/>
        </w:rPr>
        <w:t>-20</w:t>
      </w:r>
      <w:r>
        <w:rPr>
          <w:szCs w:val="22"/>
        </w:rPr>
        <w:t>20, de esa misma fecha</w:t>
      </w:r>
      <w:r w:rsidRPr="00BF6CA7">
        <w:rPr>
          <w:szCs w:val="22"/>
        </w:rPr>
        <w:t>–, la Dirección del Fondo Nacional para la Vivienda (FONAVI) presenta los resultados del análisis técnico efectuado a dicha solicitud de financiamiento, concluyendo que ésta se adapta a los parámetros para el otorgamiento de créditos establecidos por el Banco Hipotecario de la Vivienda (BANHVI), y por l</w:t>
      </w:r>
      <w:r>
        <w:rPr>
          <w:szCs w:val="22"/>
        </w:rPr>
        <w:t xml:space="preserve">o tanto recomienda su aprobación, </w:t>
      </w:r>
      <w:r w:rsidRPr="00BF6CA7">
        <w:rPr>
          <w:szCs w:val="22"/>
        </w:rPr>
        <w:t xml:space="preserve">tal y como también lo resolvió el Comité de Crédito en su sesión N° </w:t>
      </w:r>
      <w:r>
        <w:rPr>
          <w:szCs w:val="22"/>
        </w:rPr>
        <w:t>01</w:t>
      </w:r>
      <w:r w:rsidRPr="00BF6CA7">
        <w:rPr>
          <w:bCs/>
          <w:szCs w:val="22"/>
          <w:lang w:val="es-ES_tradnl"/>
        </w:rPr>
        <w:t>-20</w:t>
      </w:r>
      <w:r>
        <w:rPr>
          <w:bCs/>
          <w:szCs w:val="22"/>
          <w:lang w:val="es-ES_tradnl"/>
        </w:rPr>
        <w:t>20</w:t>
      </w:r>
      <w:r w:rsidRPr="00BF6CA7">
        <w:rPr>
          <w:bCs/>
          <w:szCs w:val="22"/>
          <w:lang w:val="es-ES_tradnl"/>
        </w:rPr>
        <w:t xml:space="preserve"> del </w:t>
      </w:r>
      <w:r>
        <w:rPr>
          <w:bCs/>
          <w:szCs w:val="22"/>
          <w:lang w:val="es-ES_tradnl"/>
        </w:rPr>
        <w:t>13</w:t>
      </w:r>
      <w:r w:rsidRPr="00BF6CA7">
        <w:rPr>
          <w:bCs/>
          <w:szCs w:val="22"/>
          <w:lang w:val="es-ES_tradnl"/>
        </w:rPr>
        <w:t xml:space="preserve"> de </w:t>
      </w:r>
      <w:r>
        <w:rPr>
          <w:bCs/>
          <w:szCs w:val="22"/>
          <w:lang w:val="es-ES_tradnl"/>
        </w:rPr>
        <w:t>enero</w:t>
      </w:r>
      <w:r w:rsidRPr="00BF6CA7">
        <w:rPr>
          <w:bCs/>
          <w:szCs w:val="22"/>
          <w:lang w:val="es-ES_tradnl"/>
        </w:rPr>
        <w:t xml:space="preserve"> de 20</w:t>
      </w:r>
      <w:r>
        <w:rPr>
          <w:bCs/>
          <w:szCs w:val="22"/>
          <w:lang w:val="es-ES_tradnl"/>
        </w:rPr>
        <w:t>20</w:t>
      </w:r>
      <w:r w:rsidRPr="00BF6CA7">
        <w:rPr>
          <w:szCs w:val="22"/>
        </w:rPr>
        <w:t xml:space="preserve">, bajo las condiciones que se </w:t>
      </w:r>
      <w:r w:rsidRPr="00AC241E">
        <w:rPr>
          <w:szCs w:val="22"/>
        </w:rPr>
        <w:t>indican en el informe técnico de esa dependencia.</w:t>
      </w:r>
    </w:p>
    <w:p w14:paraId="582B8800" w14:textId="77777777" w:rsidR="006371D0" w:rsidRPr="00AC241E" w:rsidRDefault="006371D0" w:rsidP="006371D0">
      <w:pPr>
        <w:pStyle w:val="Sangra2detindependiente"/>
        <w:ind w:left="0" w:firstLine="0"/>
        <w:rPr>
          <w:szCs w:val="22"/>
        </w:rPr>
      </w:pPr>
    </w:p>
    <w:p w14:paraId="190D3BB3" w14:textId="16E41FF4" w:rsidR="006371D0" w:rsidRDefault="006371D0" w:rsidP="006371D0">
      <w:pPr>
        <w:pStyle w:val="Sangra2detindependiente"/>
        <w:ind w:left="0" w:firstLine="0"/>
        <w:rPr>
          <w:szCs w:val="22"/>
        </w:rPr>
      </w:pPr>
      <w:r w:rsidRPr="00AC241E">
        <w:rPr>
          <w:b/>
          <w:bCs/>
          <w:szCs w:val="22"/>
        </w:rPr>
        <w:t>Tercero:</w:t>
      </w:r>
      <w:r w:rsidRPr="00AC241E">
        <w:rPr>
          <w:szCs w:val="22"/>
        </w:rPr>
        <w:t xml:space="preserve"> Que</w:t>
      </w:r>
      <w:r w:rsidR="00CB4BD1">
        <w:rPr>
          <w:szCs w:val="22"/>
        </w:rPr>
        <w:t xml:space="preserve"> una vez</w:t>
      </w:r>
      <w:r w:rsidRPr="00AC241E">
        <w:rPr>
          <w:szCs w:val="22"/>
        </w:rPr>
        <w:t xml:space="preserve"> analizados los documentos suministrados por la </w:t>
      </w:r>
      <w:r w:rsidRPr="00BF6CA7">
        <w:rPr>
          <w:szCs w:val="22"/>
        </w:rPr>
        <w:t>Gerencia General</w:t>
      </w:r>
      <w:r>
        <w:rPr>
          <w:szCs w:val="22"/>
        </w:rPr>
        <w:t xml:space="preserve">, </w:t>
      </w:r>
      <w:r w:rsidRPr="00BF6CA7">
        <w:rPr>
          <w:szCs w:val="22"/>
        </w:rPr>
        <w:t xml:space="preserve">esta Junta Directiva no encuentra objeción en avalar en todos sus extremos la recomendación de la Administración y, en consecuencia, lo que procede, como en efecto se hace en este acto, es autorizar </w:t>
      </w:r>
      <w:r>
        <w:rPr>
          <w:szCs w:val="22"/>
        </w:rPr>
        <w:t>la línea de crédito</w:t>
      </w:r>
      <w:r w:rsidRPr="00BF6CA7">
        <w:rPr>
          <w:szCs w:val="22"/>
        </w:rPr>
        <w:t xml:space="preserve"> </w:t>
      </w:r>
      <w:r>
        <w:rPr>
          <w:szCs w:val="22"/>
        </w:rPr>
        <w:t>revolutiva</w:t>
      </w:r>
      <w:r w:rsidRPr="00BF6CA7">
        <w:rPr>
          <w:szCs w:val="22"/>
        </w:rPr>
        <w:t xml:space="preserve"> solicitad</w:t>
      </w:r>
      <w:r>
        <w:rPr>
          <w:szCs w:val="22"/>
        </w:rPr>
        <w:t>a</w:t>
      </w:r>
      <w:r w:rsidRPr="00BF6CA7">
        <w:rPr>
          <w:szCs w:val="22"/>
        </w:rPr>
        <w:t xml:space="preserve"> por </w:t>
      </w:r>
      <w:r>
        <w:rPr>
          <w:szCs w:val="22"/>
        </w:rPr>
        <w:t xml:space="preserve">el Banco Popular y de Desarrollo Comunal, </w:t>
      </w:r>
      <w:r w:rsidRPr="00BF6CA7">
        <w:rPr>
          <w:szCs w:val="22"/>
        </w:rPr>
        <w:t xml:space="preserve">en los mismos términos señalados en el informe </w:t>
      </w:r>
      <w:r w:rsidRPr="00AC241E">
        <w:rPr>
          <w:bCs/>
          <w:szCs w:val="22"/>
          <w:lang w:val="es-ES_tradnl"/>
        </w:rPr>
        <w:t>DFNV-ME-0</w:t>
      </w:r>
      <w:r>
        <w:rPr>
          <w:bCs/>
          <w:szCs w:val="22"/>
          <w:lang w:val="es-ES_tradnl"/>
        </w:rPr>
        <w:t>20</w:t>
      </w:r>
      <w:r w:rsidRPr="00AC241E">
        <w:rPr>
          <w:bCs/>
          <w:szCs w:val="22"/>
          <w:lang w:val="es-ES_tradnl"/>
        </w:rPr>
        <w:t>-20</w:t>
      </w:r>
      <w:r>
        <w:rPr>
          <w:bCs/>
          <w:szCs w:val="22"/>
          <w:lang w:val="es-ES_tradnl"/>
        </w:rPr>
        <w:t>20</w:t>
      </w:r>
      <w:r>
        <w:rPr>
          <w:bCs/>
          <w:lang w:val="es-ES_tradnl"/>
        </w:rPr>
        <w:t xml:space="preserve"> </w:t>
      </w:r>
      <w:r w:rsidRPr="00BF6CA7">
        <w:rPr>
          <w:szCs w:val="22"/>
        </w:rPr>
        <w:t>de la Dirección FONAVI.</w:t>
      </w:r>
    </w:p>
    <w:p w14:paraId="2BB7F162" w14:textId="77777777" w:rsidR="006371D0" w:rsidRPr="0016481C" w:rsidRDefault="006371D0" w:rsidP="006371D0">
      <w:pPr>
        <w:pStyle w:val="Sangra2detindependiente"/>
        <w:ind w:left="0" w:firstLine="0"/>
        <w:rPr>
          <w:szCs w:val="22"/>
        </w:rPr>
      </w:pPr>
    </w:p>
    <w:p w14:paraId="4AB40EA6" w14:textId="77777777" w:rsidR="006371D0" w:rsidRPr="00BF6CA7" w:rsidRDefault="006371D0" w:rsidP="006371D0">
      <w:pPr>
        <w:spacing w:line="360" w:lineRule="auto"/>
        <w:jc w:val="both"/>
        <w:rPr>
          <w:rFonts w:cs="Arial"/>
          <w:b/>
          <w:bCs/>
          <w:sz w:val="22"/>
          <w:szCs w:val="22"/>
        </w:rPr>
      </w:pPr>
      <w:r w:rsidRPr="00BF6CA7">
        <w:rPr>
          <w:rFonts w:cs="Arial"/>
          <w:b/>
          <w:bCs/>
          <w:sz w:val="22"/>
          <w:szCs w:val="22"/>
        </w:rPr>
        <w:t>Por tanto, se acuerda:</w:t>
      </w:r>
    </w:p>
    <w:p w14:paraId="78A2CC2B" w14:textId="4FFDF9CA" w:rsidR="006371D0" w:rsidRDefault="006371D0" w:rsidP="006371D0">
      <w:pPr>
        <w:spacing w:line="360" w:lineRule="auto"/>
        <w:jc w:val="both"/>
        <w:rPr>
          <w:rFonts w:cs="Arial"/>
          <w:sz w:val="22"/>
          <w:szCs w:val="22"/>
        </w:rPr>
      </w:pPr>
      <w:r w:rsidRPr="00893010">
        <w:rPr>
          <w:rFonts w:cs="Arial"/>
          <w:b/>
          <w:sz w:val="22"/>
          <w:szCs w:val="22"/>
        </w:rPr>
        <w:t>1)</w:t>
      </w:r>
      <w:r>
        <w:rPr>
          <w:rFonts w:cs="Arial"/>
          <w:sz w:val="22"/>
          <w:szCs w:val="22"/>
        </w:rPr>
        <w:t xml:space="preserve"> </w:t>
      </w:r>
      <w:r w:rsidRPr="007E7AA0">
        <w:rPr>
          <w:rFonts w:cs="Arial"/>
          <w:sz w:val="22"/>
          <w:szCs w:val="22"/>
        </w:rPr>
        <w:t xml:space="preserve">Otorgar </w:t>
      </w:r>
      <w:r>
        <w:rPr>
          <w:rFonts w:cs="Arial"/>
          <w:sz w:val="22"/>
          <w:szCs w:val="22"/>
        </w:rPr>
        <w:t xml:space="preserve">la línea de </w:t>
      </w:r>
      <w:r w:rsidRPr="007E7AA0">
        <w:rPr>
          <w:rFonts w:cs="Arial"/>
          <w:sz w:val="22"/>
          <w:szCs w:val="22"/>
        </w:rPr>
        <w:t xml:space="preserve">crédito </w:t>
      </w:r>
      <w:r>
        <w:rPr>
          <w:rFonts w:cs="Arial"/>
          <w:sz w:val="22"/>
          <w:szCs w:val="22"/>
        </w:rPr>
        <w:t xml:space="preserve">revolutiva en colones </w:t>
      </w:r>
      <w:r w:rsidRPr="007E7AA0">
        <w:rPr>
          <w:rFonts w:cs="Arial"/>
          <w:sz w:val="22"/>
          <w:szCs w:val="22"/>
        </w:rPr>
        <w:t>solicitad</w:t>
      </w:r>
      <w:r>
        <w:rPr>
          <w:rFonts w:cs="Arial"/>
          <w:sz w:val="22"/>
          <w:szCs w:val="22"/>
        </w:rPr>
        <w:t>a</w:t>
      </w:r>
      <w:r w:rsidRPr="007E7AA0">
        <w:rPr>
          <w:rFonts w:cs="Arial"/>
          <w:sz w:val="22"/>
          <w:szCs w:val="22"/>
        </w:rPr>
        <w:t xml:space="preserve"> por </w:t>
      </w:r>
      <w:r w:rsidRPr="006371D0">
        <w:rPr>
          <w:rFonts w:cs="Arial"/>
          <w:sz w:val="22"/>
          <w:szCs w:val="22"/>
        </w:rPr>
        <w:t xml:space="preserve">el Banco Popular y de Desarrollo Comunal, </w:t>
      </w:r>
      <w:r>
        <w:rPr>
          <w:rFonts w:cs="Arial"/>
          <w:sz w:val="22"/>
          <w:szCs w:val="22"/>
        </w:rPr>
        <w:t>bajo las</w:t>
      </w:r>
      <w:r w:rsidRPr="007E7AA0">
        <w:rPr>
          <w:rFonts w:cs="Arial"/>
          <w:sz w:val="22"/>
          <w:szCs w:val="22"/>
        </w:rPr>
        <w:t xml:space="preserve"> siguientes condiciones:</w:t>
      </w:r>
    </w:p>
    <w:p w14:paraId="187F93F8" w14:textId="69FA5B40" w:rsidR="006371D0" w:rsidRDefault="006371D0" w:rsidP="006371D0">
      <w:pPr>
        <w:numPr>
          <w:ilvl w:val="0"/>
          <w:numId w:val="19"/>
        </w:numPr>
        <w:tabs>
          <w:tab w:val="clear" w:pos="720"/>
          <w:tab w:val="num" w:pos="426"/>
        </w:tabs>
        <w:spacing w:line="360" w:lineRule="auto"/>
        <w:ind w:left="426" w:hanging="284"/>
        <w:jc w:val="both"/>
        <w:rPr>
          <w:rFonts w:cs="Arial"/>
          <w:sz w:val="22"/>
          <w:szCs w:val="22"/>
        </w:rPr>
      </w:pPr>
      <w:r>
        <w:rPr>
          <w:rFonts w:cs="Arial"/>
          <w:b/>
          <w:sz w:val="22"/>
          <w:szCs w:val="22"/>
        </w:rPr>
        <w:t>Tipo</w:t>
      </w:r>
      <w:r w:rsidRPr="00601DBB">
        <w:rPr>
          <w:rFonts w:cs="Arial"/>
          <w:b/>
          <w:sz w:val="22"/>
          <w:szCs w:val="22"/>
        </w:rPr>
        <w:t xml:space="preserve"> de </w:t>
      </w:r>
      <w:r>
        <w:rPr>
          <w:rFonts w:cs="Arial"/>
          <w:b/>
          <w:sz w:val="22"/>
          <w:szCs w:val="22"/>
        </w:rPr>
        <w:t>f</w:t>
      </w:r>
      <w:r w:rsidRPr="00601DBB">
        <w:rPr>
          <w:rFonts w:cs="Arial"/>
          <w:b/>
          <w:sz w:val="22"/>
          <w:szCs w:val="22"/>
        </w:rPr>
        <w:t>inanciamiento:</w:t>
      </w:r>
      <w:r w:rsidRPr="00601DBB">
        <w:rPr>
          <w:rFonts w:cs="Arial"/>
          <w:sz w:val="22"/>
          <w:szCs w:val="22"/>
        </w:rPr>
        <w:t xml:space="preserve"> </w:t>
      </w:r>
      <w:r>
        <w:rPr>
          <w:rFonts w:cs="Arial"/>
          <w:sz w:val="22"/>
          <w:szCs w:val="22"/>
        </w:rPr>
        <w:t xml:space="preserve">Línea de crédito revolutiva, al amparo del Programa </w:t>
      </w:r>
      <w:r w:rsidR="00EA1CF8" w:rsidRPr="00EA1CF8">
        <w:rPr>
          <w:rFonts w:cs="Arial"/>
          <w:iCs/>
          <w:sz w:val="22"/>
          <w:szCs w:val="22"/>
        </w:rPr>
        <w:t>Integral de Financiamiento para Familias de Ingresos Medios</w:t>
      </w:r>
      <w:r>
        <w:rPr>
          <w:rFonts w:cs="Arial"/>
          <w:sz w:val="22"/>
          <w:szCs w:val="22"/>
        </w:rPr>
        <w:t>, sin compromiso de desembolso y sujeta al límite de crédito vigente en cada período</w:t>
      </w:r>
      <w:r w:rsidR="00EA1CF8">
        <w:rPr>
          <w:rFonts w:cs="Arial"/>
          <w:sz w:val="22"/>
          <w:szCs w:val="22"/>
        </w:rPr>
        <w:t xml:space="preserve"> y a la disponibilidad de recursos en el Programa de referencia</w:t>
      </w:r>
      <w:r w:rsidRPr="00601DBB">
        <w:rPr>
          <w:rFonts w:cs="Arial"/>
          <w:sz w:val="22"/>
          <w:szCs w:val="22"/>
        </w:rPr>
        <w:t>.</w:t>
      </w:r>
    </w:p>
    <w:p w14:paraId="715C5ECB" w14:textId="117A1FB9" w:rsidR="006371D0" w:rsidRPr="000C3A01" w:rsidRDefault="006371D0" w:rsidP="006371D0">
      <w:pPr>
        <w:numPr>
          <w:ilvl w:val="0"/>
          <w:numId w:val="19"/>
        </w:numPr>
        <w:tabs>
          <w:tab w:val="clear" w:pos="720"/>
          <w:tab w:val="num" w:pos="426"/>
        </w:tabs>
        <w:spacing w:line="360" w:lineRule="auto"/>
        <w:ind w:left="426" w:hanging="284"/>
        <w:jc w:val="both"/>
        <w:rPr>
          <w:rFonts w:cs="Arial"/>
          <w:sz w:val="22"/>
          <w:szCs w:val="22"/>
        </w:rPr>
      </w:pPr>
      <w:r w:rsidRPr="00601DBB">
        <w:rPr>
          <w:rFonts w:cs="Arial"/>
          <w:b/>
          <w:sz w:val="22"/>
          <w:szCs w:val="22"/>
        </w:rPr>
        <w:lastRenderedPageBreak/>
        <w:t xml:space="preserve">Monto del </w:t>
      </w:r>
      <w:r>
        <w:rPr>
          <w:rFonts w:cs="Arial"/>
          <w:b/>
          <w:sz w:val="22"/>
          <w:szCs w:val="22"/>
        </w:rPr>
        <w:t>f</w:t>
      </w:r>
      <w:r w:rsidRPr="00601DBB">
        <w:rPr>
          <w:rFonts w:cs="Arial"/>
          <w:b/>
          <w:sz w:val="22"/>
          <w:szCs w:val="22"/>
        </w:rPr>
        <w:t>inanciamiento:</w:t>
      </w:r>
      <w:r w:rsidRPr="00601DBB">
        <w:rPr>
          <w:rFonts w:cs="Arial"/>
          <w:sz w:val="22"/>
          <w:szCs w:val="22"/>
        </w:rPr>
        <w:t xml:space="preserve"> </w:t>
      </w:r>
      <w:r w:rsidR="00EA1CF8">
        <w:rPr>
          <w:rFonts w:cs="Arial"/>
          <w:sz w:val="22"/>
          <w:szCs w:val="22"/>
        </w:rPr>
        <w:t>Diez</w:t>
      </w:r>
      <w:r>
        <w:rPr>
          <w:rFonts w:cs="Arial"/>
          <w:sz w:val="22"/>
          <w:szCs w:val="22"/>
        </w:rPr>
        <w:t xml:space="preserve"> mil millones</w:t>
      </w:r>
      <w:r w:rsidRPr="00601DBB">
        <w:rPr>
          <w:rFonts w:cs="Arial"/>
          <w:sz w:val="22"/>
          <w:szCs w:val="22"/>
        </w:rPr>
        <w:t xml:space="preserve"> de colones</w:t>
      </w:r>
      <w:r>
        <w:rPr>
          <w:rFonts w:cs="Arial"/>
          <w:sz w:val="22"/>
          <w:szCs w:val="22"/>
        </w:rPr>
        <w:t xml:space="preserve">, desembolsados durante el </w:t>
      </w:r>
      <w:r w:rsidR="00EA1CF8">
        <w:rPr>
          <w:rFonts w:cs="Arial"/>
          <w:sz w:val="22"/>
          <w:szCs w:val="22"/>
        </w:rPr>
        <w:t>año</w:t>
      </w:r>
      <w:r>
        <w:rPr>
          <w:rFonts w:cs="Arial"/>
          <w:sz w:val="22"/>
          <w:szCs w:val="22"/>
        </w:rPr>
        <w:t xml:space="preserve"> 20</w:t>
      </w:r>
      <w:r w:rsidR="00EA1CF8">
        <w:rPr>
          <w:rFonts w:cs="Arial"/>
          <w:sz w:val="22"/>
          <w:szCs w:val="22"/>
        </w:rPr>
        <w:t>20</w:t>
      </w:r>
      <w:r>
        <w:rPr>
          <w:rFonts w:cs="Arial"/>
          <w:sz w:val="22"/>
          <w:szCs w:val="22"/>
        </w:rPr>
        <w:t>.</w:t>
      </w:r>
    </w:p>
    <w:p w14:paraId="7FAD7971" w14:textId="770B2E8D" w:rsidR="006371D0" w:rsidRDefault="006371D0" w:rsidP="006371D0">
      <w:pPr>
        <w:numPr>
          <w:ilvl w:val="0"/>
          <w:numId w:val="19"/>
        </w:numPr>
        <w:tabs>
          <w:tab w:val="clear" w:pos="720"/>
          <w:tab w:val="num" w:pos="426"/>
        </w:tabs>
        <w:spacing w:line="360" w:lineRule="auto"/>
        <w:ind w:left="426" w:hanging="284"/>
        <w:jc w:val="both"/>
        <w:rPr>
          <w:rFonts w:cs="Arial"/>
          <w:sz w:val="22"/>
          <w:szCs w:val="22"/>
        </w:rPr>
      </w:pPr>
      <w:r w:rsidRPr="000C3A01">
        <w:rPr>
          <w:rFonts w:cs="Arial"/>
          <w:b/>
          <w:sz w:val="22"/>
          <w:szCs w:val="22"/>
        </w:rPr>
        <w:t xml:space="preserve">Plan de </w:t>
      </w:r>
      <w:r>
        <w:rPr>
          <w:rFonts w:cs="Arial"/>
          <w:b/>
          <w:sz w:val="22"/>
          <w:szCs w:val="22"/>
        </w:rPr>
        <w:t>i</w:t>
      </w:r>
      <w:r w:rsidRPr="000C3A01">
        <w:rPr>
          <w:rFonts w:cs="Arial"/>
          <w:b/>
          <w:sz w:val="22"/>
          <w:szCs w:val="22"/>
        </w:rPr>
        <w:t>nversión:</w:t>
      </w:r>
      <w:r w:rsidRPr="000C3A01">
        <w:rPr>
          <w:rFonts w:cs="Arial"/>
          <w:sz w:val="22"/>
          <w:szCs w:val="22"/>
        </w:rPr>
        <w:t xml:space="preserve"> </w:t>
      </w:r>
      <w:r>
        <w:rPr>
          <w:rFonts w:cs="Arial"/>
          <w:sz w:val="22"/>
          <w:szCs w:val="22"/>
        </w:rPr>
        <w:t>Fi</w:t>
      </w:r>
      <w:r w:rsidRPr="000C3A01">
        <w:rPr>
          <w:rFonts w:cs="Arial"/>
          <w:sz w:val="22"/>
          <w:szCs w:val="22"/>
        </w:rPr>
        <w:t>nanciamiento de soluciones individuales de vivienda</w:t>
      </w:r>
      <w:r>
        <w:rPr>
          <w:rFonts w:cs="Arial"/>
          <w:sz w:val="22"/>
          <w:szCs w:val="22"/>
        </w:rPr>
        <w:t xml:space="preserve">, </w:t>
      </w:r>
      <w:r w:rsidRPr="00844FB5">
        <w:rPr>
          <w:rFonts w:cs="Arial"/>
          <w:sz w:val="22"/>
          <w:szCs w:val="22"/>
        </w:rPr>
        <w:t>b</w:t>
      </w:r>
      <w:r w:rsidRPr="00844FB5">
        <w:rPr>
          <w:rFonts w:cs="Arial"/>
          <w:sz w:val="22"/>
          <w:szCs w:val="22"/>
          <w:lang w:val="es-CR"/>
        </w:rPr>
        <w:t xml:space="preserve">ajo las modalidades de compra de vivienda, compra de lote y construcción, </w:t>
      </w:r>
      <w:r w:rsidR="00EA1CF8">
        <w:rPr>
          <w:rFonts w:cs="Arial"/>
          <w:sz w:val="22"/>
          <w:szCs w:val="22"/>
          <w:lang w:val="es-CR"/>
        </w:rPr>
        <w:t xml:space="preserve">y </w:t>
      </w:r>
      <w:r w:rsidRPr="00844FB5">
        <w:rPr>
          <w:rFonts w:cs="Arial"/>
          <w:sz w:val="22"/>
          <w:szCs w:val="22"/>
          <w:lang w:val="es-CR"/>
        </w:rPr>
        <w:t>construcción de vivienda en lote propio</w:t>
      </w:r>
      <w:r w:rsidRPr="000C3A01">
        <w:rPr>
          <w:rFonts w:cs="Arial"/>
          <w:sz w:val="22"/>
          <w:szCs w:val="22"/>
        </w:rPr>
        <w:t xml:space="preserve">.  El monto máximo de cada solución habitacional financiada –incluyendo el terreno y la construcción– será equivalente al </w:t>
      </w:r>
      <w:r w:rsidR="00EA1CF8">
        <w:rPr>
          <w:rFonts w:cs="Arial"/>
          <w:sz w:val="22"/>
          <w:szCs w:val="22"/>
        </w:rPr>
        <w:t>tope de vivienda de interés social.</w:t>
      </w:r>
    </w:p>
    <w:p w14:paraId="0305BF87" w14:textId="345F2947" w:rsidR="00EA1CF8" w:rsidRDefault="00EA1CF8" w:rsidP="006371D0">
      <w:pPr>
        <w:numPr>
          <w:ilvl w:val="0"/>
          <w:numId w:val="19"/>
        </w:numPr>
        <w:tabs>
          <w:tab w:val="clear" w:pos="720"/>
          <w:tab w:val="num" w:pos="426"/>
        </w:tabs>
        <w:spacing w:line="360" w:lineRule="auto"/>
        <w:ind w:left="426" w:hanging="284"/>
        <w:jc w:val="both"/>
        <w:rPr>
          <w:rFonts w:cs="Arial"/>
          <w:sz w:val="22"/>
          <w:szCs w:val="22"/>
        </w:rPr>
      </w:pPr>
      <w:r>
        <w:rPr>
          <w:rFonts w:cs="Arial"/>
          <w:b/>
          <w:sz w:val="22"/>
          <w:szCs w:val="22"/>
        </w:rPr>
        <w:t>Población objetivo:</w:t>
      </w:r>
      <w:r>
        <w:rPr>
          <w:rFonts w:cs="Arial"/>
          <w:sz w:val="22"/>
          <w:szCs w:val="22"/>
        </w:rPr>
        <w:t xml:space="preserve"> Familias de los estratos 1.5 al 6, según definición de la Ley 7052.</w:t>
      </w:r>
    </w:p>
    <w:p w14:paraId="41BF493B" w14:textId="59310D3A" w:rsidR="00EA1CF8" w:rsidRPr="00EA1CF8" w:rsidRDefault="00EA1CF8" w:rsidP="00EA1CF8">
      <w:pPr>
        <w:numPr>
          <w:ilvl w:val="0"/>
          <w:numId w:val="19"/>
        </w:numPr>
        <w:tabs>
          <w:tab w:val="clear" w:pos="720"/>
          <w:tab w:val="num" w:pos="426"/>
        </w:tabs>
        <w:spacing w:line="360" w:lineRule="auto"/>
        <w:ind w:left="426" w:hanging="284"/>
        <w:jc w:val="both"/>
        <w:rPr>
          <w:rFonts w:cs="Arial"/>
          <w:sz w:val="22"/>
          <w:szCs w:val="22"/>
        </w:rPr>
      </w:pPr>
      <w:r w:rsidRPr="00EA1CF8">
        <w:rPr>
          <w:rFonts w:cs="Arial"/>
          <w:b/>
          <w:bCs/>
          <w:sz w:val="22"/>
          <w:szCs w:val="22"/>
        </w:rPr>
        <w:t xml:space="preserve">Tasa de </w:t>
      </w:r>
      <w:r>
        <w:rPr>
          <w:rFonts w:cs="Arial"/>
          <w:b/>
          <w:sz w:val="22"/>
          <w:szCs w:val="22"/>
        </w:rPr>
        <w:t>i</w:t>
      </w:r>
      <w:r w:rsidRPr="00601DBB">
        <w:rPr>
          <w:rFonts w:cs="Arial"/>
          <w:b/>
          <w:sz w:val="22"/>
          <w:szCs w:val="22"/>
        </w:rPr>
        <w:t>nterés</w:t>
      </w:r>
      <w:r>
        <w:rPr>
          <w:rFonts w:cs="Arial"/>
          <w:b/>
          <w:sz w:val="22"/>
          <w:szCs w:val="22"/>
        </w:rPr>
        <w:t xml:space="preserve"> corriente para subpréstamos desembolsados en el período 2020</w:t>
      </w:r>
      <w:r w:rsidRPr="00601DBB">
        <w:rPr>
          <w:rFonts w:cs="Arial"/>
          <w:sz w:val="22"/>
          <w:szCs w:val="22"/>
        </w:rPr>
        <w:t>: Tasa básica</w:t>
      </w:r>
      <w:r>
        <w:rPr>
          <w:rFonts w:cs="Arial"/>
          <w:sz w:val="22"/>
          <w:szCs w:val="22"/>
        </w:rPr>
        <w:t xml:space="preserve"> pasiva (TBP) </w:t>
      </w:r>
      <w:r w:rsidRPr="00601DBB">
        <w:rPr>
          <w:rFonts w:cs="Arial"/>
          <w:sz w:val="22"/>
          <w:szCs w:val="22"/>
        </w:rPr>
        <w:t>calculada por el Banco Central de Costa Rica</w:t>
      </w:r>
      <w:r>
        <w:rPr>
          <w:rFonts w:cs="Arial"/>
          <w:sz w:val="22"/>
          <w:szCs w:val="22"/>
        </w:rPr>
        <w:t>,</w:t>
      </w:r>
      <w:r w:rsidRPr="00601DBB">
        <w:rPr>
          <w:rFonts w:cs="Arial"/>
          <w:sz w:val="22"/>
          <w:szCs w:val="22"/>
        </w:rPr>
        <w:t xml:space="preserve"> </w:t>
      </w:r>
      <w:r>
        <w:rPr>
          <w:rFonts w:cs="Arial"/>
          <w:sz w:val="22"/>
          <w:szCs w:val="22"/>
        </w:rPr>
        <w:t xml:space="preserve">menos 1.00 punto porcentual, ajustable mensualmente. Las tasas de interés </w:t>
      </w:r>
      <w:r w:rsidR="00B22AC5">
        <w:rPr>
          <w:rFonts w:cs="Arial"/>
          <w:sz w:val="22"/>
          <w:szCs w:val="22"/>
        </w:rPr>
        <w:t xml:space="preserve">de los desembolsos efectuados en períodos futuros, estarán determinadas por las condiciones del Programa </w:t>
      </w:r>
      <w:r w:rsidR="00B22AC5" w:rsidRPr="00EA1CF8">
        <w:rPr>
          <w:rFonts w:cs="Arial"/>
          <w:iCs/>
          <w:sz w:val="22"/>
          <w:szCs w:val="22"/>
        </w:rPr>
        <w:t>Integral de Financiamiento para Familias de Ingresos Medios</w:t>
      </w:r>
      <w:r w:rsidR="00B22AC5">
        <w:rPr>
          <w:rFonts w:cs="Arial"/>
          <w:sz w:val="22"/>
          <w:szCs w:val="22"/>
        </w:rPr>
        <w:t xml:space="preserve"> para el período correspondiente, en caso de que se encuentre vigente.</w:t>
      </w:r>
    </w:p>
    <w:p w14:paraId="77116C3A" w14:textId="77777777" w:rsidR="006371D0" w:rsidRPr="004551D1" w:rsidRDefault="006371D0" w:rsidP="006371D0">
      <w:pPr>
        <w:numPr>
          <w:ilvl w:val="0"/>
          <w:numId w:val="19"/>
        </w:numPr>
        <w:tabs>
          <w:tab w:val="clear" w:pos="720"/>
          <w:tab w:val="num" w:pos="426"/>
        </w:tabs>
        <w:spacing w:line="360" w:lineRule="auto"/>
        <w:ind w:left="426" w:hanging="284"/>
        <w:jc w:val="both"/>
        <w:rPr>
          <w:rFonts w:cs="Arial"/>
          <w:sz w:val="22"/>
          <w:szCs w:val="22"/>
        </w:rPr>
      </w:pPr>
      <w:r w:rsidRPr="004551D1">
        <w:rPr>
          <w:rFonts w:cs="Arial"/>
          <w:b/>
          <w:sz w:val="22"/>
          <w:szCs w:val="22"/>
        </w:rPr>
        <w:t>Tasa de interés moratorio:</w:t>
      </w:r>
      <w:r w:rsidRPr="004551D1">
        <w:rPr>
          <w:rFonts w:cs="Arial"/>
          <w:sz w:val="22"/>
          <w:szCs w:val="22"/>
        </w:rPr>
        <w:t xml:space="preserve"> Equivalente a la tasa de interés corriente más dos puntos porcentuales.  En caso de que ese valor exceda al límite del 30% que establece el artículo 498 del Código de Comercio, se ajustará al nivel máximo factible sin que llegue a exceder el límite de referencia. </w:t>
      </w:r>
    </w:p>
    <w:p w14:paraId="7271EA0C" w14:textId="77777777" w:rsidR="006371D0" w:rsidRDefault="006371D0" w:rsidP="006371D0">
      <w:pPr>
        <w:numPr>
          <w:ilvl w:val="0"/>
          <w:numId w:val="19"/>
        </w:numPr>
        <w:tabs>
          <w:tab w:val="clear" w:pos="720"/>
          <w:tab w:val="num" w:pos="426"/>
        </w:tabs>
        <w:spacing w:line="360" w:lineRule="auto"/>
        <w:ind w:left="426" w:hanging="284"/>
        <w:jc w:val="both"/>
        <w:rPr>
          <w:rFonts w:cs="Arial"/>
          <w:sz w:val="22"/>
          <w:szCs w:val="22"/>
        </w:rPr>
      </w:pPr>
      <w:r w:rsidRPr="00601DBB">
        <w:rPr>
          <w:rFonts w:cs="Arial"/>
          <w:b/>
          <w:sz w:val="22"/>
          <w:szCs w:val="22"/>
        </w:rPr>
        <w:t>Comisión de formalización:</w:t>
      </w:r>
      <w:r w:rsidRPr="00601DBB">
        <w:rPr>
          <w:rFonts w:cs="Arial"/>
          <w:sz w:val="22"/>
          <w:szCs w:val="22"/>
        </w:rPr>
        <w:t xml:space="preserve"> </w:t>
      </w:r>
      <w:r>
        <w:rPr>
          <w:rFonts w:cs="Arial"/>
          <w:sz w:val="22"/>
          <w:szCs w:val="22"/>
        </w:rPr>
        <w:t>Uno por ciento (1%) sobre cada monto desembolsado</w:t>
      </w:r>
      <w:r w:rsidRPr="00601DBB">
        <w:rPr>
          <w:rFonts w:cs="Arial"/>
          <w:sz w:val="22"/>
          <w:szCs w:val="22"/>
        </w:rPr>
        <w:t>.</w:t>
      </w:r>
    </w:p>
    <w:p w14:paraId="172CCDAA" w14:textId="77777777" w:rsidR="006371D0" w:rsidRDefault="006371D0" w:rsidP="006371D0">
      <w:pPr>
        <w:numPr>
          <w:ilvl w:val="0"/>
          <w:numId w:val="19"/>
        </w:numPr>
        <w:tabs>
          <w:tab w:val="clear" w:pos="720"/>
          <w:tab w:val="num" w:pos="426"/>
        </w:tabs>
        <w:spacing w:line="360" w:lineRule="auto"/>
        <w:ind w:left="426" w:hanging="284"/>
        <w:jc w:val="both"/>
        <w:rPr>
          <w:rFonts w:cs="Arial"/>
          <w:sz w:val="22"/>
          <w:szCs w:val="22"/>
        </w:rPr>
      </w:pPr>
      <w:r>
        <w:rPr>
          <w:rFonts w:cs="Arial"/>
          <w:b/>
          <w:sz w:val="22"/>
          <w:szCs w:val="22"/>
        </w:rPr>
        <w:t>Comisión de pago anticipado:</w:t>
      </w:r>
      <w:r>
        <w:rPr>
          <w:rFonts w:cs="Arial"/>
          <w:sz w:val="22"/>
          <w:szCs w:val="22"/>
        </w:rPr>
        <w:t xml:space="preserve"> Tres por ciento (3%) sobre el monto del pago extraordinario, durante los primeros cinco años del plazo del financiamiento.</w:t>
      </w:r>
    </w:p>
    <w:p w14:paraId="2CDABD9D" w14:textId="77777777" w:rsidR="006371D0" w:rsidRPr="00082364" w:rsidRDefault="006371D0" w:rsidP="006371D0">
      <w:pPr>
        <w:numPr>
          <w:ilvl w:val="0"/>
          <w:numId w:val="19"/>
        </w:numPr>
        <w:tabs>
          <w:tab w:val="clear" w:pos="720"/>
          <w:tab w:val="num" w:pos="426"/>
        </w:tabs>
        <w:spacing w:line="360" w:lineRule="auto"/>
        <w:ind w:left="426" w:hanging="284"/>
        <w:jc w:val="both"/>
        <w:rPr>
          <w:rFonts w:cs="Arial"/>
          <w:sz w:val="22"/>
          <w:szCs w:val="22"/>
        </w:rPr>
      </w:pPr>
      <w:r w:rsidRPr="00082364">
        <w:rPr>
          <w:rFonts w:cs="Arial"/>
          <w:b/>
          <w:sz w:val="22"/>
          <w:szCs w:val="22"/>
        </w:rPr>
        <w:t xml:space="preserve"> </w:t>
      </w:r>
      <w:r w:rsidRPr="00601DBB">
        <w:rPr>
          <w:rFonts w:cs="Arial"/>
          <w:b/>
          <w:sz w:val="22"/>
          <w:szCs w:val="22"/>
        </w:rPr>
        <w:t xml:space="preserve">Forma de </w:t>
      </w:r>
      <w:r>
        <w:rPr>
          <w:rFonts w:cs="Arial"/>
          <w:b/>
          <w:sz w:val="22"/>
          <w:szCs w:val="22"/>
        </w:rPr>
        <w:t>p</w:t>
      </w:r>
      <w:r w:rsidRPr="00601DBB">
        <w:rPr>
          <w:rFonts w:cs="Arial"/>
          <w:b/>
          <w:sz w:val="22"/>
          <w:szCs w:val="22"/>
        </w:rPr>
        <w:t>ago</w:t>
      </w:r>
      <w:r>
        <w:rPr>
          <w:rFonts w:cs="Arial"/>
          <w:b/>
          <w:sz w:val="22"/>
          <w:szCs w:val="22"/>
        </w:rPr>
        <w:t xml:space="preserve"> de cada subpréstamo</w:t>
      </w:r>
      <w:r w:rsidRPr="00601DBB">
        <w:rPr>
          <w:rFonts w:cs="Arial"/>
          <w:b/>
          <w:sz w:val="22"/>
          <w:szCs w:val="22"/>
        </w:rPr>
        <w:t xml:space="preserve">: </w:t>
      </w:r>
      <w:r w:rsidRPr="00601DBB">
        <w:rPr>
          <w:rFonts w:cs="Arial"/>
          <w:sz w:val="22"/>
          <w:szCs w:val="22"/>
        </w:rPr>
        <w:t>Ciento ochenta cuotas mensuales niveladas por mes vencido.</w:t>
      </w:r>
    </w:p>
    <w:p w14:paraId="5EA8F51E" w14:textId="77777777" w:rsidR="006371D0" w:rsidRPr="00601DBB" w:rsidRDefault="006371D0" w:rsidP="006371D0">
      <w:pPr>
        <w:numPr>
          <w:ilvl w:val="0"/>
          <w:numId w:val="19"/>
        </w:numPr>
        <w:tabs>
          <w:tab w:val="clear" w:pos="720"/>
          <w:tab w:val="num" w:pos="426"/>
        </w:tabs>
        <w:spacing w:line="360" w:lineRule="auto"/>
        <w:ind w:left="426" w:hanging="284"/>
        <w:jc w:val="both"/>
        <w:rPr>
          <w:rFonts w:cs="Arial"/>
          <w:b/>
          <w:sz w:val="22"/>
          <w:szCs w:val="22"/>
        </w:rPr>
      </w:pPr>
      <w:r w:rsidRPr="00601DBB">
        <w:rPr>
          <w:rFonts w:cs="Arial"/>
          <w:b/>
          <w:sz w:val="22"/>
          <w:szCs w:val="22"/>
        </w:rPr>
        <w:t>Garantía</w:t>
      </w:r>
      <w:r>
        <w:rPr>
          <w:rFonts w:cs="Arial"/>
          <w:b/>
          <w:sz w:val="22"/>
          <w:szCs w:val="22"/>
        </w:rPr>
        <w:t xml:space="preserve"> de cada subpréstamo</w:t>
      </w:r>
      <w:r w:rsidRPr="00601DBB">
        <w:rPr>
          <w:rFonts w:cs="Arial"/>
          <w:b/>
          <w:sz w:val="22"/>
          <w:szCs w:val="22"/>
        </w:rPr>
        <w:t>:</w:t>
      </w:r>
    </w:p>
    <w:p w14:paraId="12D06BE0" w14:textId="22375199" w:rsidR="006371D0" w:rsidRPr="00645B26" w:rsidRDefault="006371D0" w:rsidP="006371D0">
      <w:pPr>
        <w:spacing w:line="360" w:lineRule="auto"/>
        <w:ind w:left="567"/>
        <w:jc w:val="both"/>
        <w:rPr>
          <w:rFonts w:cs="Arial"/>
          <w:b/>
          <w:sz w:val="22"/>
          <w:szCs w:val="22"/>
        </w:rPr>
      </w:pPr>
      <w:r>
        <w:rPr>
          <w:rFonts w:cs="Arial"/>
          <w:sz w:val="22"/>
          <w:szCs w:val="22"/>
        </w:rPr>
        <w:t xml:space="preserve">i.- </w:t>
      </w:r>
      <w:r w:rsidRPr="00645B26">
        <w:rPr>
          <w:rFonts w:cs="Arial"/>
          <w:sz w:val="22"/>
          <w:szCs w:val="22"/>
        </w:rPr>
        <w:t>Garantía Temporal: Por un per</w:t>
      </w:r>
      <w:r>
        <w:rPr>
          <w:rFonts w:cs="Arial"/>
          <w:sz w:val="22"/>
          <w:szCs w:val="22"/>
        </w:rPr>
        <w:t>í</w:t>
      </w:r>
      <w:r w:rsidRPr="00645B26">
        <w:rPr>
          <w:rFonts w:cs="Arial"/>
          <w:sz w:val="22"/>
          <w:szCs w:val="22"/>
        </w:rPr>
        <w:t xml:space="preserve">odo máximo de </w:t>
      </w:r>
      <w:r w:rsidR="00B22AC5">
        <w:rPr>
          <w:rFonts w:cs="Arial"/>
          <w:sz w:val="22"/>
          <w:szCs w:val="22"/>
        </w:rPr>
        <w:t>doce</w:t>
      </w:r>
      <w:r w:rsidRPr="00645B26">
        <w:rPr>
          <w:rFonts w:cs="Arial"/>
          <w:sz w:val="22"/>
          <w:szCs w:val="22"/>
        </w:rPr>
        <w:t xml:space="preserve"> meses, </w:t>
      </w:r>
      <w:r w:rsidR="00B22AC5">
        <w:rPr>
          <w:rFonts w:cs="Arial"/>
          <w:sz w:val="22"/>
          <w:szCs w:val="22"/>
        </w:rPr>
        <w:t>el</w:t>
      </w:r>
      <w:r w:rsidRPr="00645B26">
        <w:rPr>
          <w:rFonts w:cs="Arial"/>
          <w:sz w:val="22"/>
          <w:szCs w:val="22"/>
        </w:rPr>
        <w:t xml:space="preserve"> </w:t>
      </w:r>
      <w:r>
        <w:rPr>
          <w:rFonts w:cs="Arial"/>
          <w:sz w:val="22"/>
          <w:szCs w:val="22"/>
        </w:rPr>
        <w:t>subpréstamo</w:t>
      </w:r>
      <w:r w:rsidRPr="00645B26">
        <w:rPr>
          <w:rFonts w:cs="Arial"/>
          <w:sz w:val="22"/>
          <w:szCs w:val="22"/>
        </w:rPr>
        <w:t xml:space="preserve"> será respaldado con garantía fiduciaria; esto es, un Pagaré Institucional por una suma equivalente al 115% del monto desembolsado.</w:t>
      </w:r>
    </w:p>
    <w:p w14:paraId="60C71A09" w14:textId="75D9DD93" w:rsidR="006371D0" w:rsidRPr="009B325F" w:rsidRDefault="006371D0" w:rsidP="006371D0">
      <w:pPr>
        <w:spacing w:line="360" w:lineRule="auto"/>
        <w:ind w:left="567"/>
        <w:jc w:val="both"/>
        <w:rPr>
          <w:rFonts w:cs="Arial"/>
          <w:sz w:val="22"/>
          <w:szCs w:val="22"/>
        </w:rPr>
      </w:pPr>
      <w:r>
        <w:rPr>
          <w:rFonts w:cs="Arial"/>
          <w:sz w:val="22"/>
          <w:szCs w:val="22"/>
        </w:rPr>
        <w:t xml:space="preserve">ii.- </w:t>
      </w:r>
      <w:r w:rsidRPr="00645B26">
        <w:rPr>
          <w:rFonts w:cs="Arial"/>
          <w:sz w:val="22"/>
          <w:szCs w:val="22"/>
        </w:rPr>
        <w:t xml:space="preserve">Garantía Definitiva: </w:t>
      </w:r>
      <w:r>
        <w:rPr>
          <w:rFonts w:cs="Arial"/>
          <w:sz w:val="22"/>
          <w:szCs w:val="22"/>
        </w:rPr>
        <w:t xml:space="preserve"> Operaciones de crédito hipotecario de primer grado,</w:t>
      </w:r>
      <w:r w:rsidR="00B22AC5">
        <w:rPr>
          <w:rFonts w:cs="Arial"/>
          <w:sz w:val="22"/>
          <w:szCs w:val="22"/>
        </w:rPr>
        <w:t xml:space="preserve"> </w:t>
      </w:r>
      <w:r>
        <w:rPr>
          <w:rFonts w:cs="Arial"/>
          <w:color w:val="000000"/>
          <w:sz w:val="22"/>
          <w:szCs w:val="22"/>
        </w:rPr>
        <w:t xml:space="preserve">clasificadas en </w:t>
      </w:r>
      <w:r w:rsidRPr="009B325F">
        <w:rPr>
          <w:rFonts w:cs="Arial"/>
          <w:sz w:val="22"/>
          <w:szCs w:val="22"/>
        </w:rPr>
        <w:t xml:space="preserve">categoría de riesgo A1, según </w:t>
      </w:r>
      <w:r>
        <w:rPr>
          <w:rFonts w:cs="Arial"/>
          <w:sz w:val="22"/>
          <w:szCs w:val="22"/>
        </w:rPr>
        <w:t xml:space="preserve">Acuerdo </w:t>
      </w:r>
      <w:r w:rsidRPr="009B325F">
        <w:rPr>
          <w:rFonts w:cs="Arial"/>
          <w:sz w:val="22"/>
          <w:szCs w:val="22"/>
        </w:rPr>
        <w:t xml:space="preserve">SUGEF 1-05, </w:t>
      </w:r>
      <w:r>
        <w:rPr>
          <w:rFonts w:cs="Arial"/>
          <w:sz w:val="22"/>
          <w:szCs w:val="22"/>
        </w:rPr>
        <w:t>cedidas en garantía a favor del BANHVI mediante la respectiva inscripción en el Registro de la Propiedad</w:t>
      </w:r>
      <w:r w:rsidRPr="003939B1">
        <w:rPr>
          <w:rFonts w:cs="Arial"/>
          <w:sz w:val="22"/>
          <w:szCs w:val="22"/>
        </w:rPr>
        <w:t>.</w:t>
      </w:r>
    </w:p>
    <w:p w14:paraId="513EA4CF" w14:textId="77777777" w:rsidR="006371D0" w:rsidRPr="00082364" w:rsidRDefault="006371D0" w:rsidP="006371D0">
      <w:pPr>
        <w:spacing w:line="360" w:lineRule="auto"/>
        <w:jc w:val="both"/>
        <w:rPr>
          <w:rFonts w:cs="Arial"/>
          <w:sz w:val="22"/>
          <w:szCs w:val="22"/>
        </w:rPr>
      </w:pPr>
    </w:p>
    <w:p w14:paraId="6B45755C" w14:textId="77777777" w:rsidR="006371D0" w:rsidRDefault="006371D0" w:rsidP="006371D0">
      <w:pPr>
        <w:spacing w:line="360" w:lineRule="auto"/>
        <w:jc w:val="both"/>
        <w:rPr>
          <w:rFonts w:cs="Arial"/>
          <w:sz w:val="22"/>
          <w:szCs w:val="22"/>
          <w:lang w:val="es-ES_tradnl"/>
        </w:rPr>
      </w:pPr>
      <w:r w:rsidRPr="00DA3CA8">
        <w:rPr>
          <w:rFonts w:cs="Arial"/>
          <w:b/>
          <w:sz w:val="22"/>
          <w:szCs w:val="22"/>
          <w:lang w:val="es-ES_tradnl"/>
        </w:rPr>
        <w:t>2)</w:t>
      </w:r>
      <w:r>
        <w:rPr>
          <w:rFonts w:cs="Arial"/>
          <w:sz w:val="22"/>
          <w:szCs w:val="22"/>
          <w:lang w:val="es-ES_tradnl"/>
        </w:rPr>
        <w:t xml:space="preserve"> </w:t>
      </w:r>
      <w:r w:rsidRPr="00DA322A">
        <w:rPr>
          <w:rFonts w:cs="Arial"/>
          <w:sz w:val="22"/>
          <w:szCs w:val="22"/>
          <w:lang w:val="es-ES_tradnl"/>
        </w:rPr>
        <w:t xml:space="preserve">Como requisito indispensable para el giro de los recursos, </w:t>
      </w:r>
      <w:r>
        <w:rPr>
          <w:rFonts w:cs="Arial"/>
          <w:sz w:val="22"/>
          <w:szCs w:val="22"/>
          <w:lang w:val="es-ES_tradnl"/>
        </w:rPr>
        <w:t>la entidad autorizada deberá suscribir el</w:t>
      </w:r>
      <w:r w:rsidRPr="00DA322A">
        <w:rPr>
          <w:rFonts w:cs="Arial"/>
          <w:sz w:val="22"/>
          <w:szCs w:val="22"/>
          <w:lang w:val="es-ES_tradnl"/>
        </w:rPr>
        <w:t xml:space="preserve"> respectivo contrato de </w:t>
      </w:r>
      <w:r>
        <w:rPr>
          <w:rFonts w:cs="Arial"/>
          <w:sz w:val="22"/>
          <w:szCs w:val="22"/>
          <w:lang w:val="es-ES_tradnl"/>
        </w:rPr>
        <w:t xml:space="preserve">apertura de línea de </w:t>
      </w:r>
      <w:r w:rsidRPr="00DA322A">
        <w:rPr>
          <w:rFonts w:cs="Arial"/>
          <w:sz w:val="22"/>
          <w:szCs w:val="22"/>
          <w:lang w:val="es-ES_tradnl"/>
        </w:rPr>
        <w:t>crédito</w:t>
      </w:r>
      <w:r>
        <w:rPr>
          <w:rFonts w:cs="Arial"/>
          <w:sz w:val="22"/>
          <w:szCs w:val="22"/>
          <w:lang w:val="es-ES_tradnl"/>
        </w:rPr>
        <w:t xml:space="preserve">, la adenda asociada a cada </w:t>
      </w:r>
      <w:r>
        <w:rPr>
          <w:rFonts w:cs="Arial"/>
          <w:sz w:val="22"/>
          <w:szCs w:val="22"/>
          <w:lang w:val="es-ES_tradnl"/>
        </w:rPr>
        <w:lastRenderedPageBreak/>
        <w:t>subpréstamo y</w:t>
      </w:r>
      <w:r w:rsidRPr="00DA322A">
        <w:rPr>
          <w:rFonts w:cs="Arial"/>
          <w:sz w:val="22"/>
          <w:szCs w:val="22"/>
          <w:lang w:val="es-ES_tradnl"/>
        </w:rPr>
        <w:t xml:space="preserve"> otorgar la garantía correspondiente, de conformidad con lo establecido en la normativa vigente.  En relación con el </w:t>
      </w:r>
      <w:r>
        <w:rPr>
          <w:rFonts w:cs="Arial"/>
          <w:sz w:val="22"/>
          <w:szCs w:val="22"/>
          <w:lang w:val="es-ES_tradnl"/>
        </w:rPr>
        <w:t xml:space="preserve">primer aspecto, con </w:t>
      </w:r>
      <w:r w:rsidRPr="00DA322A">
        <w:rPr>
          <w:rFonts w:cs="Arial"/>
          <w:sz w:val="22"/>
          <w:szCs w:val="22"/>
          <w:lang w:val="es-ES_tradnl"/>
        </w:rPr>
        <w:t xml:space="preserve">el objeto de propiciar un mayor resguardo de los intereses del BANHVI, se </w:t>
      </w:r>
      <w:r>
        <w:rPr>
          <w:rFonts w:cs="Arial"/>
          <w:sz w:val="22"/>
          <w:szCs w:val="22"/>
          <w:lang w:val="es-ES_tradnl"/>
        </w:rPr>
        <w:t>incorporarán al documento las siguientes cláusulas de vencimiento anticipado y remisión de información al BANHVI:</w:t>
      </w:r>
    </w:p>
    <w:p w14:paraId="62B4344B" w14:textId="77777777" w:rsidR="006371D0" w:rsidRPr="00BF6CA7" w:rsidRDefault="006371D0" w:rsidP="006371D0">
      <w:pPr>
        <w:spacing w:line="360" w:lineRule="auto"/>
        <w:jc w:val="both"/>
        <w:rPr>
          <w:rFonts w:cs="Arial"/>
          <w:sz w:val="16"/>
          <w:szCs w:val="16"/>
          <w:lang w:val="es-ES_tradnl"/>
        </w:rPr>
      </w:pPr>
    </w:p>
    <w:p w14:paraId="36471469" w14:textId="77777777" w:rsidR="006371D0" w:rsidRPr="00E274E5" w:rsidRDefault="006371D0" w:rsidP="006371D0">
      <w:pPr>
        <w:spacing w:line="360" w:lineRule="auto"/>
        <w:jc w:val="both"/>
        <w:rPr>
          <w:rFonts w:cs="Arial"/>
          <w:bCs/>
          <w:sz w:val="22"/>
          <w:szCs w:val="22"/>
          <w:lang w:val="es-ES_tradnl"/>
        </w:rPr>
      </w:pPr>
      <w:r>
        <w:rPr>
          <w:rFonts w:cs="Arial"/>
          <w:b/>
          <w:bCs/>
          <w:iCs/>
          <w:sz w:val="22"/>
          <w:szCs w:val="22"/>
          <w:lang w:val="es-ES_tradnl"/>
        </w:rPr>
        <w:t>«</w:t>
      </w:r>
      <w:r w:rsidRPr="00E274E5">
        <w:rPr>
          <w:rFonts w:cs="Arial"/>
          <w:bCs/>
          <w:i/>
          <w:iCs/>
          <w:sz w:val="22"/>
          <w:szCs w:val="22"/>
          <w:u w:val="single"/>
          <w:lang w:val="es-ES_tradnl"/>
        </w:rPr>
        <w:t>VENCIMIENTO ANTICIPADO:</w:t>
      </w:r>
      <w:r w:rsidRPr="00E274E5">
        <w:rPr>
          <w:rFonts w:cs="Arial"/>
          <w:bCs/>
          <w:i/>
          <w:iCs/>
          <w:sz w:val="22"/>
          <w:szCs w:val="22"/>
          <w:lang w:val="es-ES_tradnl"/>
        </w:rPr>
        <w:t xml:space="preserve"> </w:t>
      </w:r>
      <w:r w:rsidRPr="00E274E5">
        <w:rPr>
          <w:rFonts w:cs="Arial"/>
          <w:bCs/>
          <w:sz w:val="22"/>
          <w:szCs w:val="22"/>
          <w:lang w:val="es-ES_tradnl"/>
        </w:rPr>
        <w:t>E</w:t>
      </w:r>
      <w:r>
        <w:rPr>
          <w:rFonts w:cs="Arial"/>
          <w:bCs/>
          <w:sz w:val="22"/>
          <w:szCs w:val="22"/>
          <w:lang w:val="es-ES_tradnl"/>
        </w:rPr>
        <w:t>l</w:t>
      </w:r>
      <w:r w:rsidRPr="00E274E5">
        <w:rPr>
          <w:rFonts w:cs="Arial"/>
          <w:bCs/>
          <w:sz w:val="22"/>
          <w:szCs w:val="22"/>
          <w:lang w:val="es-ES_tradnl"/>
        </w:rPr>
        <w:t xml:space="preserve"> BANHVI podrá tener por vencida y exigible anticipadamente la totalidad de la deuda, sin que sean necesarios requerimientos u otros requisitos previos, lo cual la </w:t>
      </w:r>
      <w:r>
        <w:rPr>
          <w:rFonts w:cs="Arial"/>
          <w:bCs/>
          <w:sz w:val="22"/>
          <w:szCs w:val="22"/>
          <w:lang w:val="es-ES_tradnl"/>
        </w:rPr>
        <w:t>Entidad Autorizada</w:t>
      </w:r>
      <w:r w:rsidRPr="00E274E5">
        <w:rPr>
          <w:rFonts w:cs="Arial"/>
          <w:bCs/>
          <w:sz w:val="22"/>
          <w:szCs w:val="22"/>
          <w:lang w:val="es-ES_tradnl"/>
        </w:rPr>
        <w:t xml:space="preserve"> acepta de manera expresa e irrevocable, en los siguientes casos:</w:t>
      </w:r>
    </w:p>
    <w:p w14:paraId="5FE6E0F3" w14:textId="77777777" w:rsidR="006371D0" w:rsidRPr="00E274E5" w:rsidRDefault="006371D0" w:rsidP="006371D0">
      <w:pPr>
        <w:numPr>
          <w:ilvl w:val="0"/>
          <w:numId w:val="20"/>
        </w:numPr>
        <w:spacing w:line="360" w:lineRule="auto"/>
        <w:jc w:val="both"/>
        <w:rPr>
          <w:rFonts w:cs="Arial"/>
          <w:bCs/>
          <w:sz w:val="22"/>
          <w:szCs w:val="22"/>
          <w:lang w:val="es-ES_tradnl"/>
        </w:rPr>
      </w:pPr>
      <w:r w:rsidRPr="00E274E5">
        <w:rPr>
          <w:rFonts w:cs="Arial"/>
          <w:bCs/>
          <w:sz w:val="22"/>
          <w:szCs w:val="22"/>
          <w:lang w:val="es-ES_tradnl"/>
        </w:rPr>
        <w:t>El incumplimiento en el pago de una cuota periódica de amortización o de los intereses.</w:t>
      </w:r>
    </w:p>
    <w:p w14:paraId="3750BE31" w14:textId="77777777" w:rsidR="006371D0" w:rsidRPr="00E274E5" w:rsidRDefault="006371D0" w:rsidP="006371D0">
      <w:pPr>
        <w:numPr>
          <w:ilvl w:val="0"/>
          <w:numId w:val="20"/>
        </w:numPr>
        <w:spacing w:line="360" w:lineRule="auto"/>
        <w:jc w:val="both"/>
        <w:rPr>
          <w:rFonts w:cs="Arial"/>
          <w:bCs/>
          <w:sz w:val="22"/>
          <w:szCs w:val="22"/>
          <w:lang w:val="es-ES_tradnl"/>
        </w:rPr>
      </w:pPr>
      <w:r w:rsidRPr="00E274E5">
        <w:rPr>
          <w:rFonts w:cs="Arial"/>
          <w:bCs/>
          <w:sz w:val="22"/>
          <w:szCs w:val="22"/>
          <w:lang w:val="es-ES_tradnl"/>
        </w:rPr>
        <w:t xml:space="preserve">El incumplimiento del plan de inversión aprobado por </w:t>
      </w:r>
      <w:r>
        <w:rPr>
          <w:rFonts w:cs="Arial"/>
          <w:bCs/>
          <w:sz w:val="22"/>
          <w:szCs w:val="22"/>
          <w:lang w:val="es-ES_tradnl"/>
        </w:rPr>
        <w:t>el</w:t>
      </w:r>
      <w:r w:rsidRPr="00E274E5">
        <w:rPr>
          <w:rFonts w:cs="Arial"/>
          <w:bCs/>
          <w:sz w:val="22"/>
          <w:szCs w:val="22"/>
          <w:lang w:val="es-ES_tradnl"/>
        </w:rPr>
        <w:t xml:space="preserve"> BANHVI.</w:t>
      </w:r>
    </w:p>
    <w:p w14:paraId="2F9D3791" w14:textId="77777777" w:rsidR="006371D0" w:rsidRPr="00E274E5" w:rsidRDefault="006371D0" w:rsidP="006371D0">
      <w:pPr>
        <w:numPr>
          <w:ilvl w:val="0"/>
          <w:numId w:val="20"/>
        </w:numPr>
        <w:spacing w:line="360" w:lineRule="auto"/>
        <w:jc w:val="both"/>
        <w:rPr>
          <w:rFonts w:cs="Arial"/>
          <w:bCs/>
          <w:sz w:val="22"/>
          <w:szCs w:val="22"/>
          <w:lang w:val="es-ES_tradnl"/>
        </w:rPr>
      </w:pPr>
      <w:r w:rsidRPr="00E274E5">
        <w:rPr>
          <w:rFonts w:cs="Arial"/>
          <w:bCs/>
          <w:sz w:val="22"/>
          <w:szCs w:val="22"/>
          <w:lang w:val="es-ES_tradnl"/>
        </w:rPr>
        <w:t xml:space="preserve">Ante cambios desfavorables en la situación financiera de la </w:t>
      </w:r>
      <w:r>
        <w:rPr>
          <w:rFonts w:cs="Arial"/>
          <w:bCs/>
          <w:sz w:val="22"/>
          <w:szCs w:val="22"/>
          <w:lang w:val="es-ES_tradnl"/>
        </w:rPr>
        <w:t>Entidad Autorizada</w:t>
      </w:r>
      <w:r w:rsidRPr="00E274E5">
        <w:rPr>
          <w:rFonts w:cs="Arial"/>
          <w:bCs/>
          <w:sz w:val="22"/>
          <w:szCs w:val="22"/>
          <w:lang w:val="es-ES_tradnl"/>
        </w:rPr>
        <w:t>, que a criterio</w:t>
      </w:r>
      <w:r>
        <w:rPr>
          <w:rFonts w:cs="Arial"/>
          <w:bCs/>
          <w:sz w:val="22"/>
          <w:szCs w:val="22"/>
          <w:lang w:val="es-ES_tradnl"/>
        </w:rPr>
        <w:t xml:space="preserve"> </w:t>
      </w:r>
      <w:r w:rsidRPr="00E274E5">
        <w:rPr>
          <w:rFonts w:cs="Arial"/>
          <w:bCs/>
          <w:sz w:val="22"/>
          <w:szCs w:val="22"/>
          <w:lang w:val="es-ES_tradnl"/>
        </w:rPr>
        <w:t>del BANHVI pongan en riesgo la recuperación de</w:t>
      </w:r>
      <w:r>
        <w:rPr>
          <w:rFonts w:cs="Arial"/>
          <w:bCs/>
          <w:sz w:val="22"/>
          <w:szCs w:val="22"/>
          <w:lang w:val="es-ES_tradnl"/>
        </w:rPr>
        <w:t xml:space="preserve"> la línea de </w:t>
      </w:r>
      <w:r w:rsidRPr="00E274E5">
        <w:rPr>
          <w:rFonts w:cs="Arial"/>
          <w:bCs/>
          <w:sz w:val="22"/>
          <w:szCs w:val="22"/>
          <w:lang w:val="es-ES_tradnl"/>
        </w:rPr>
        <w:t>crédito formalizad</w:t>
      </w:r>
      <w:r>
        <w:rPr>
          <w:rFonts w:cs="Arial"/>
          <w:bCs/>
          <w:sz w:val="22"/>
          <w:szCs w:val="22"/>
          <w:lang w:val="es-ES_tradnl"/>
        </w:rPr>
        <w:t>a</w:t>
      </w:r>
      <w:r w:rsidRPr="00E274E5">
        <w:rPr>
          <w:rFonts w:cs="Arial"/>
          <w:bCs/>
          <w:sz w:val="22"/>
          <w:szCs w:val="22"/>
          <w:lang w:val="es-ES_tradnl"/>
        </w:rPr>
        <w:t xml:space="preserve"> en el presente C</w:t>
      </w:r>
      <w:r>
        <w:rPr>
          <w:rFonts w:cs="Arial"/>
          <w:bCs/>
          <w:sz w:val="22"/>
          <w:szCs w:val="22"/>
          <w:lang w:val="es-ES_tradnl"/>
        </w:rPr>
        <w:t>ontrato de Apertura de Línea de Crédito</w:t>
      </w:r>
      <w:r w:rsidRPr="005E5A74">
        <w:rPr>
          <w:rFonts w:cs="Arial"/>
          <w:bCs/>
          <w:sz w:val="22"/>
          <w:szCs w:val="22"/>
          <w:lang w:val="es-ES_tradnl"/>
        </w:rPr>
        <w:t xml:space="preserve"> </w:t>
      </w:r>
      <w:r>
        <w:rPr>
          <w:rFonts w:cs="Arial"/>
          <w:bCs/>
          <w:sz w:val="22"/>
          <w:szCs w:val="22"/>
          <w:lang w:val="es-ES_tradnl"/>
        </w:rPr>
        <w:t>Revolutiva en Colones</w:t>
      </w:r>
      <w:r w:rsidRPr="00E274E5">
        <w:rPr>
          <w:rFonts w:cs="Arial"/>
          <w:bCs/>
          <w:sz w:val="22"/>
          <w:szCs w:val="22"/>
          <w:lang w:val="es-ES_tradnl"/>
        </w:rPr>
        <w:t>.</w:t>
      </w:r>
    </w:p>
    <w:p w14:paraId="3D698061" w14:textId="77777777" w:rsidR="006371D0" w:rsidRPr="00E274E5" w:rsidRDefault="006371D0" w:rsidP="006371D0">
      <w:pPr>
        <w:numPr>
          <w:ilvl w:val="0"/>
          <w:numId w:val="20"/>
        </w:numPr>
        <w:spacing w:line="360" w:lineRule="auto"/>
        <w:jc w:val="both"/>
        <w:rPr>
          <w:rFonts w:cs="Arial"/>
          <w:bCs/>
          <w:sz w:val="22"/>
          <w:szCs w:val="22"/>
          <w:lang w:val="es-ES_tradnl"/>
        </w:rPr>
      </w:pPr>
      <w:r w:rsidRPr="00E274E5">
        <w:rPr>
          <w:rFonts w:cs="Arial"/>
          <w:bCs/>
          <w:sz w:val="22"/>
          <w:szCs w:val="22"/>
          <w:lang w:val="es-ES_tradnl"/>
        </w:rPr>
        <w:t xml:space="preserve">En el caso que la categoría de riesgo de la </w:t>
      </w:r>
      <w:r>
        <w:rPr>
          <w:rFonts w:cs="Arial"/>
          <w:bCs/>
          <w:sz w:val="22"/>
          <w:szCs w:val="22"/>
          <w:lang w:val="es-ES_tradnl"/>
        </w:rPr>
        <w:t>Entidad Autorizada</w:t>
      </w:r>
      <w:r w:rsidRPr="00E274E5">
        <w:rPr>
          <w:rFonts w:cs="Arial"/>
          <w:bCs/>
          <w:sz w:val="22"/>
          <w:szCs w:val="22"/>
          <w:lang w:val="es-ES_tradnl"/>
        </w:rPr>
        <w:t>, según Acuerdo SUGEF 1-05, deba ser ajustada de su nivel actual A1 o B1, en aplicación de los criterios de la normativa referida.</w:t>
      </w:r>
    </w:p>
    <w:p w14:paraId="136EE6C0" w14:textId="77777777" w:rsidR="006371D0" w:rsidRPr="00DA322A" w:rsidRDefault="006371D0" w:rsidP="006371D0">
      <w:pPr>
        <w:numPr>
          <w:ilvl w:val="0"/>
          <w:numId w:val="20"/>
        </w:numPr>
        <w:spacing w:line="360" w:lineRule="auto"/>
        <w:jc w:val="both"/>
        <w:rPr>
          <w:rFonts w:cs="Arial"/>
          <w:bCs/>
          <w:sz w:val="22"/>
          <w:szCs w:val="22"/>
          <w:lang w:val="es-ES_tradnl"/>
        </w:rPr>
      </w:pPr>
      <w:r w:rsidRPr="00E274E5">
        <w:rPr>
          <w:rFonts w:cs="Arial"/>
          <w:bCs/>
          <w:sz w:val="22"/>
          <w:szCs w:val="22"/>
          <w:lang w:val="es-ES_tradnl"/>
        </w:rPr>
        <w:t xml:space="preserve">El incumplimiento en el envío de información financiera o cualquier otra requerida por el BANHVI, para valorar la capacidad de pago de la </w:t>
      </w:r>
      <w:r>
        <w:rPr>
          <w:rFonts w:cs="Arial"/>
          <w:bCs/>
          <w:sz w:val="22"/>
          <w:szCs w:val="22"/>
          <w:lang w:val="es-ES_tradnl"/>
        </w:rPr>
        <w:t>Entidad Autorizada</w:t>
      </w:r>
      <w:r w:rsidRPr="00E274E5">
        <w:rPr>
          <w:rFonts w:cs="Arial"/>
          <w:bCs/>
          <w:sz w:val="22"/>
          <w:szCs w:val="22"/>
          <w:lang w:val="es-ES_tradnl"/>
        </w:rPr>
        <w:t xml:space="preserve"> y mantener debidamente actualizado su expediente de crédito, de conformidad con la</w:t>
      </w:r>
      <w:r w:rsidRPr="00DA322A">
        <w:rPr>
          <w:rFonts w:cs="Arial"/>
          <w:bCs/>
          <w:sz w:val="22"/>
          <w:szCs w:val="22"/>
          <w:lang w:val="es-ES_tradnl"/>
        </w:rPr>
        <w:t xml:space="preserve"> normativa vigente.</w:t>
      </w:r>
    </w:p>
    <w:p w14:paraId="2097219A" w14:textId="77777777" w:rsidR="006371D0" w:rsidRPr="00DA322A" w:rsidRDefault="006371D0" w:rsidP="006371D0">
      <w:pPr>
        <w:numPr>
          <w:ilvl w:val="0"/>
          <w:numId w:val="20"/>
        </w:numPr>
        <w:spacing w:line="360" w:lineRule="auto"/>
        <w:jc w:val="both"/>
        <w:rPr>
          <w:rFonts w:cs="Arial"/>
          <w:bCs/>
          <w:sz w:val="22"/>
          <w:szCs w:val="22"/>
          <w:lang w:val="es-ES_tradnl"/>
        </w:rPr>
      </w:pPr>
      <w:r w:rsidRPr="00DA322A">
        <w:rPr>
          <w:rFonts w:cs="Arial"/>
          <w:bCs/>
          <w:sz w:val="22"/>
          <w:szCs w:val="22"/>
          <w:lang w:val="es-ES_tradnl"/>
        </w:rPr>
        <w:t>Si se verifica el suministro de información deliberadamente inexacta a</w:t>
      </w:r>
      <w:r>
        <w:rPr>
          <w:rFonts w:cs="Arial"/>
          <w:bCs/>
          <w:sz w:val="22"/>
          <w:szCs w:val="22"/>
          <w:lang w:val="es-ES_tradnl"/>
        </w:rPr>
        <w:t>l</w:t>
      </w:r>
      <w:r w:rsidRPr="00DA322A">
        <w:rPr>
          <w:rFonts w:cs="Arial"/>
          <w:bCs/>
          <w:sz w:val="22"/>
          <w:szCs w:val="22"/>
          <w:lang w:val="es-ES_tradnl"/>
        </w:rPr>
        <w:t xml:space="preserve"> BANHVI para efectos de la aprobación del </w:t>
      </w:r>
      <w:r>
        <w:rPr>
          <w:rFonts w:cs="Arial"/>
          <w:bCs/>
          <w:sz w:val="22"/>
          <w:szCs w:val="22"/>
          <w:lang w:val="es-ES_tradnl"/>
        </w:rPr>
        <w:t>financiamiento</w:t>
      </w:r>
      <w:r w:rsidRPr="00DA322A">
        <w:rPr>
          <w:rFonts w:cs="Arial"/>
          <w:bCs/>
          <w:sz w:val="22"/>
          <w:szCs w:val="22"/>
          <w:lang w:val="es-ES_tradnl"/>
        </w:rPr>
        <w:t xml:space="preserve"> formalizado en el presente C</w:t>
      </w:r>
      <w:r>
        <w:rPr>
          <w:rFonts w:cs="Arial"/>
          <w:bCs/>
          <w:sz w:val="22"/>
          <w:szCs w:val="22"/>
          <w:lang w:val="es-ES_tradnl"/>
        </w:rPr>
        <w:t>ontrato</w:t>
      </w:r>
      <w:r w:rsidRPr="00DA322A">
        <w:rPr>
          <w:rFonts w:cs="Arial"/>
          <w:bCs/>
          <w:sz w:val="22"/>
          <w:szCs w:val="22"/>
          <w:lang w:val="es-ES_tradnl"/>
        </w:rPr>
        <w:t xml:space="preserve"> </w:t>
      </w:r>
      <w:r>
        <w:rPr>
          <w:rFonts w:cs="Arial"/>
          <w:bCs/>
          <w:sz w:val="22"/>
          <w:szCs w:val="22"/>
          <w:lang w:val="es-ES_tradnl"/>
        </w:rPr>
        <w:t xml:space="preserve">de Apertura de Línea de Crédito Revolutiva en Colones, </w:t>
      </w:r>
      <w:r w:rsidRPr="00DA322A">
        <w:rPr>
          <w:rFonts w:cs="Arial"/>
          <w:bCs/>
          <w:sz w:val="22"/>
          <w:szCs w:val="22"/>
          <w:lang w:val="es-ES_tradnl"/>
        </w:rPr>
        <w:t>o asociada al seguimiento posterior de esta operación crediticia.</w:t>
      </w:r>
    </w:p>
    <w:p w14:paraId="60F0E038" w14:textId="77777777" w:rsidR="006371D0" w:rsidRPr="00DA322A" w:rsidRDefault="006371D0" w:rsidP="006371D0">
      <w:pPr>
        <w:numPr>
          <w:ilvl w:val="0"/>
          <w:numId w:val="20"/>
        </w:numPr>
        <w:spacing w:line="360" w:lineRule="auto"/>
        <w:jc w:val="both"/>
        <w:rPr>
          <w:rFonts w:cs="Arial"/>
          <w:bCs/>
          <w:sz w:val="22"/>
          <w:szCs w:val="22"/>
          <w:lang w:val="es-ES_tradnl"/>
        </w:rPr>
      </w:pPr>
      <w:r w:rsidRPr="00DA322A">
        <w:rPr>
          <w:rFonts w:cs="Arial"/>
          <w:bCs/>
          <w:sz w:val="22"/>
          <w:szCs w:val="22"/>
          <w:lang w:val="es-ES_tradnl"/>
        </w:rPr>
        <w:t xml:space="preserve">En </w:t>
      </w:r>
      <w:r w:rsidRPr="00F80C1F">
        <w:rPr>
          <w:rFonts w:cs="Arial"/>
          <w:bCs/>
          <w:sz w:val="22"/>
          <w:szCs w:val="22"/>
          <w:lang w:val="es-ES_tradnl"/>
        </w:rPr>
        <w:t xml:space="preserve">caso de que la garantía otorgada en respaldo del </w:t>
      </w:r>
      <w:r>
        <w:rPr>
          <w:rFonts w:cs="Arial"/>
          <w:bCs/>
          <w:sz w:val="22"/>
          <w:szCs w:val="22"/>
          <w:lang w:val="es-ES_tradnl"/>
        </w:rPr>
        <w:t>financiamiento</w:t>
      </w:r>
      <w:r w:rsidRPr="00F80C1F">
        <w:rPr>
          <w:rFonts w:cs="Arial"/>
          <w:bCs/>
          <w:sz w:val="22"/>
          <w:szCs w:val="22"/>
          <w:lang w:val="es-ES_tradnl"/>
        </w:rPr>
        <w:t xml:space="preserve"> formalizado</w:t>
      </w:r>
      <w:r w:rsidRPr="00DA322A">
        <w:rPr>
          <w:rFonts w:cs="Arial"/>
          <w:bCs/>
          <w:sz w:val="22"/>
          <w:szCs w:val="22"/>
          <w:lang w:val="es-ES_tradnl"/>
        </w:rPr>
        <w:t xml:space="preserve">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de Apertura de Línea de Crédito Revolutiva en Colones</w:t>
      </w:r>
      <w:r w:rsidRPr="00DA322A">
        <w:rPr>
          <w:rFonts w:cs="Arial"/>
          <w:bCs/>
          <w:sz w:val="22"/>
          <w:szCs w:val="22"/>
          <w:lang w:val="es-ES_tradnl"/>
        </w:rPr>
        <w:t xml:space="preserve"> sufriere alguna desmejora, desvío o deprecio, cualquiera que sea la causa, de tal manera que no se cumpla con las condiciones de calidad y cobertura señaladas en este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de Apertura de Línea de Crédito Revolutiva en Colones</w:t>
      </w:r>
      <w:r w:rsidRPr="00DA322A">
        <w:rPr>
          <w:rFonts w:cs="Arial"/>
          <w:bCs/>
          <w:sz w:val="22"/>
          <w:szCs w:val="22"/>
          <w:lang w:val="es-ES_tradnl"/>
        </w:rPr>
        <w:t xml:space="preserve">, a no ser que la </w:t>
      </w:r>
      <w:r>
        <w:rPr>
          <w:rFonts w:cs="Arial"/>
          <w:bCs/>
          <w:sz w:val="22"/>
          <w:szCs w:val="22"/>
          <w:lang w:val="es-ES_tradnl"/>
        </w:rPr>
        <w:t>Entidad Autorizada</w:t>
      </w:r>
      <w:r w:rsidRPr="00DA322A">
        <w:rPr>
          <w:rFonts w:cs="Arial"/>
          <w:bCs/>
          <w:sz w:val="22"/>
          <w:szCs w:val="22"/>
          <w:lang w:val="es-ES_tradnl"/>
        </w:rPr>
        <w:t xml:space="preserve"> la sustituya o complemente en forma </w:t>
      </w:r>
      <w:r w:rsidRPr="00E26827">
        <w:rPr>
          <w:rFonts w:cs="Arial"/>
          <w:bCs/>
          <w:sz w:val="22"/>
          <w:szCs w:val="22"/>
          <w:lang w:val="es-ES_tradnl"/>
        </w:rPr>
        <w:t>oportun</w:t>
      </w:r>
      <w:r w:rsidRPr="00DA322A">
        <w:rPr>
          <w:rFonts w:cs="Arial"/>
          <w:bCs/>
          <w:sz w:val="22"/>
          <w:szCs w:val="22"/>
          <w:lang w:val="es-ES_tradnl"/>
        </w:rPr>
        <w:t>a.</w:t>
      </w:r>
    </w:p>
    <w:p w14:paraId="13D6A4EE" w14:textId="77777777" w:rsidR="006371D0" w:rsidRPr="00DA322A" w:rsidRDefault="006371D0" w:rsidP="006371D0">
      <w:pPr>
        <w:numPr>
          <w:ilvl w:val="0"/>
          <w:numId w:val="20"/>
        </w:numPr>
        <w:spacing w:line="360" w:lineRule="auto"/>
        <w:jc w:val="both"/>
        <w:rPr>
          <w:rFonts w:cs="Arial"/>
          <w:bCs/>
          <w:sz w:val="22"/>
          <w:szCs w:val="22"/>
          <w:lang w:val="es-ES_tradnl"/>
        </w:rPr>
      </w:pPr>
      <w:r w:rsidRPr="00DA322A">
        <w:rPr>
          <w:rFonts w:cs="Arial"/>
          <w:bCs/>
          <w:sz w:val="22"/>
          <w:szCs w:val="22"/>
          <w:lang w:val="es-ES_tradnl"/>
        </w:rPr>
        <w:t xml:space="preserve">Ante situaciones de ventas o fusiones de parte o la totalidad de los activos de la </w:t>
      </w:r>
      <w:r>
        <w:rPr>
          <w:rFonts w:cs="Arial"/>
          <w:bCs/>
          <w:sz w:val="22"/>
          <w:szCs w:val="22"/>
          <w:lang w:val="es-ES_tradnl"/>
        </w:rPr>
        <w:t>Entidad Autorizada,</w:t>
      </w:r>
      <w:r w:rsidRPr="00DA322A">
        <w:rPr>
          <w:rFonts w:cs="Arial"/>
          <w:bCs/>
          <w:sz w:val="22"/>
          <w:szCs w:val="22"/>
          <w:lang w:val="es-ES_tradnl"/>
        </w:rPr>
        <w:t xml:space="preserve"> que a criterio de</w:t>
      </w:r>
      <w:r>
        <w:rPr>
          <w:rFonts w:cs="Arial"/>
          <w:bCs/>
          <w:sz w:val="22"/>
          <w:szCs w:val="22"/>
          <w:lang w:val="es-ES_tradnl"/>
        </w:rPr>
        <w:t>l</w:t>
      </w:r>
      <w:r w:rsidRPr="00DA322A">
        <w:rPr>
          <w:rFonts w:cs="Arial"/>
          <w:bCs/>
          <w:sz w:val="22"/>
          <w:szCs w:val="22"/>
          <w:lang w:val="es-ES_tradnl"/>
        </w:rPr>
        <w:t xml:space="preserve"> BANHVI pongan en riesgo la recuperación de</w:t>
      </w:r>
      <w:r>
        <w:rPr>
          <w:rFonts w:cs="Arial"/>
          <w:bCs/>
          <w:sz w:val="22"/>
          <w:szCs w:val="22"/>
          <w:lang w:val="es-ES_tradnl"/>
        </w:rPr>
        <w:t xml:space="preserve"> la línea de </w:t>
      </w:r>
      <w:r w:rsidRPr="00DA322A">
        <w:rPr>
          <w:rFonts w:cs="Arial"/>
          <w:bCs/>
          <w:sz w:val="22"/>
          <w:szCs w:val="22"/>
          <w:lang w:val="es-ES_tradnl"/>
        </w:rPr>
        <w:lastRenderedPageBreak/>
        <w:t>crédito formalizad</w:t>
      </w:r>
      <w:r>
        <w:rPr>
          <w:rFonts w:cs="Arial"/>
          <w:bCs/>
          <w:sz w:val="22"/>
          <w:szCs w:val="22"/>
          <w:lang w:val="es-ES_tradnl"/>
        </w:rPr>
        <w:t>a</w:t>
      </w:r>
      <w:r w:rsidRPr="00DA322A">
        <w:rPr>
          <w:rFonts w:cs="Arial"/>
          <w:bCs/>
          <w:sz w:val="22"/>
          <w:szCs w:val="22"/>
          <w:lang w:val="es-ES_tradnl"/>
        </w:rPr>
        <w:t xml:space="preserve">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de Apertura de Línea de Crédito Revolutiva en Colones</w:t>
      </w:r>
      <w:r w:rsidRPr="00DA322A">
        <w:rPr>
          <w:rFonts w:cs="Arial"/>
          <w:bCs/>
          <w:sz w:val="22"/>
          <w:szCs w:val="22"/>
          <w:lang w:val="es-ES_tradnl"/>
        </w:rPr>
        <w:t>.</w:t>
      </w:r>
    </w:p>
    <w:p w14:paraId="2C81F71C" w14:textId="77777777" w:rsidR="006371D0" w:rsidRPr="00DA322A" w:rsidRDefault="006371D0" w:rsidP="006371D0">
      <w:pPr>
        <w:numPr>
          <w:ilvl w:val="0"/>
          <w:numId w:val="20"/>
        </w:numPr>
        <w:spacing w:line="360" w:lineRule="auto"/>
        <w:jc w:val="both"/>
        <w:rPr>
          <w:rFonts w:cs="Arial"/>
          <w:bCs/>
          <w:sz w:val="22"/>
          <w:szCs w:val="22"/>
          <w:lang w:val="es-ES_tradnl"/>
        </w:rPr>
      </w:pPr>
      <w:r w:rsidRPr="00DA322A">
        <w:rPr>
          <w:rFonts w:cs="Arial"/>
          <w:bCs/>
          <w:sz w:val="22"/>
          <w:szCs w:val="22"/>
          <w:lang w:val="es-ES_tradnl"/>
        </w:rPr>
        <w:t xml:space="preserve">Si sobrevienen acciones judiciales en contra de la </w:t>
      </w:r>
      <w:r>
        <w:rPr>
          <w:rFonts w:cs="Arial"/>
          <w:bCs/>
          <w:sz w:val="22"/>
          <w:szCs w:val="22"/>
          <w:lang w:val="es-ES_tradnl"/>
        </w:rPr>
        <w:t xml:space="preserve">Entidad </w:t>
      </w:r>
      <w:r w:rsidRPr="001B4DF0">
        <w:rPr>
          <w:rFonts w:cs="Arial"/>
          <w:bCs/>
          <w:sz w:val="22"/>
          <w:szCs w:val="22"/>
          <w:lang w:val="es-ES_tradnl"/>
        </w:rPr>
        <w:t>Autorizada</w:t>
      </w:r>
      <w:r>
        <w:rPr>
          <w:rFonts w:cs="Arial"/>
          <w:bCs/>
          <w:sz w:val="22"/>
          <w:szCs w:val="22"/>
          <w:lang w:val="es-ES_tradnl"/>
        </w:rPr>
        <w:t>,</w:t>
      </w:r>
      <w:r w:rsidRPr="00DA322A">
        <w:rPr>
          <w:rFonts w:cs="Arial"/>
          <w:bCs/>
          <w:sz w:val="22"/>
          <w:szCs w:val="22"/>
          <w:lang w:val="es-ES_tradnl"/>
        </w:rPr>
        <w:t xml:space="preserve"> que a criterio de</w:t>
      </w:r>
      <w:r>
        <w:rPr>
          <w:rFonts w:cs="Arial"/>
          <w:bCs/>
          <w:sz w:val="22"/>
          <w:szCs w:val="22"/>
          <w:lang w:val="es-ES_tradnl"/>
        </w:rPr>
        <w:t>l</w:t>
      </w:r>
      <w:r w:rsidRPr="00DA322A">
        <w:rPr>
          <w:rFonts w:cs="Arial"/>
          <w:bCs/>
          <w:sz w:val="22"/>
          <w:szCs w:val="22"/>
          <w:lang w:val="es-ES_tradnl"/>
        </w:rPr>
        <w:t xml:space="preserve"> BANHVI pongan en riesgo la recuperación de</w:t>
      </w:r>
      <w:r>
        <w:rPr>
          <w:rFonts w:cs="Arial"/>
          <w:bCs/>
          <w:sz w:val="22"/>
          <w:szCs w:val="22"/>
          <w:lang w:val="es-ES_tradnl"/>
        </w:rPr>
        <w:t xml:space="preserve"> la línea de</w:t>
      </w:r>
      <w:r w:rsidRPr="00DA322A">
        <w:rPr>
          <w:rFonts w:cs="Arial"/>
          <w:bCs/>
          <w:sz w:val="22"/>
          <w:szCs w:val="22"/>
          <w:lang w:val="es-ES_tradnl"/>
        </w:rPr>
        <w:t xml:space="preserve"> crédito formalizad</w:t>
      </w:r>
      <w:r>
        <w:rPr>
          <w:rFonts w:cs="Arial"/>
          <w:bCs/>
          <w:sz w:val="22"/>
          <w:szCs w:val="22"/>
          <w:lang w:val="es-ES_tradnl"/>
        </w:rPr>
        <w:t>a</w:t>
      </w:r>
      <w:r w:rsidRPr="00DA322A">
        <w:rPr>
          <w:rFonts w:cs="Arial"/>
          <w:bCs/>
          <w:sz w:val="22"/>
          <w:szCs w:val="22"/>
          <w:lang w:val="es-ES_tradnl"/>
        </w:rPr>
        <w:t xml:space="preserve">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de Apertura de Línea de Crédito Revolutiva en Colones</w:t>
      </w:r>
      <w:r w:rsidRPr="00DA322A">
        <w:rPr>
          <w:rFonts w:cs="Arial"/>
          <w:bCs/>
          <w:sz w:val="22"/>
          <w:szCs w:val="22"/>
          <w:lang w:val="es-ES_tradnl"/>
        </w:rPr>
        <w:t>.</w:t>
      </w:r>
    </w:p>
    <w:p w14:paraId="10F1ACF0" w14:textId="77777777" w:rsidR="006371D0" w:rsidRPr="00DA322A" w:rsidRDefault="006371D0" w:rsidP="006371D0">
      <w:pPr>
        <w:numPr>
          <w:ilvl w:val="0"/>
          <w:numId w:val="20"/>
        </w:numPr>
        <w:spacing w:line="360" w:lineRule="auto"/>
        <w:jc w:val="both"/>
        <w:rPr>
          <w:rFonts w:cs="Arial"/>
          <w:bCs/>
          <w:sz w:val="22"/>
          <w:szCs w:val="22"/>
          <w:lang w:val="es-ES_tradnl"/>
        </w:rPr>
      </w:pPr>
      <w:r w:rsidRPr="00DA322A">
        <w:rPr>
          <w:rFonts w:cs="Arial"/>
          <w:bCs/>
          <w:sz w:val="22"/>
          <w:szCs w:val="22"/>
          <w:lang w:val="es-ES_tradnl"/>
        </w:rPr>
        <w:t xml:space="preserve">Si la </w:t>
      </w:r>
      <w:r>
        <w:rPr>
          <w:rFonts w:cs="Arial"/>
          <w:bCs/>
          <w:sz w:val="22"/>
          <w:szCs w:val="22"/>
          <w:lang w:val="es-ES_tradnl"/>
        </w:rPr>
        <w:t xml:space="preserve">Entidad Autorizada </w:t>
      </w:r>
      <w:r w:rsidRPr="00DA322A">
        <w:rPr>
          <w:rFonts w:cs="Arial"/>
          <w:bCs/>
          <w:sz w:val="22"/>
          <w:szCs w:val="22"/>
          <w:lang w:val="es-ES_tradnl"/>
        </w:rPr>
        <w:t>solicita o aprueba el nombramiento de un administrador judicial, interventor, curador o liquidador de sus activos; si hace una cesión general o parcial de sus activos en beneficio de acreedores; si incurre en su</w:t>
      </w:r>
      <w:r>
        <w:rPr>
          <w:rFonts w:cs="Arial"/>
          <w:bCs/>
          <w:sz w:val="22"/>
          <w:szCs w:val="22"/>
          <w:lang w:val="es-ES_tradnl"/>
        </w:rPr>
        <w:t>spensión de pagos o es declarada</w:t>
      </w:r>
      <w:r w:rsidRPr="00DA322A">
        <w:rPr>
          <w:rFonts w:cs="Arial"/>
          <w:bCs/>
          <w:sz w:val="22"/>
          <w:szCs w:val="22"/>
          <w:lang w:val="es-ES_tradnl"/>
        </w:rPr>
        <w:t xml:space="preserve"> en quiebra o insolvencia; si propone un convenio judicial y/o extrajudicial a sus acreedores; si presenta una petición voluntaria de quiebra o convenio preventivo de acreedores, aun cuando éste no fuera acogido por la Autoridad Judicial correspondiente.</w:t>
      </w:r>
    </w:p>
    <w:p w14:paraId="22843CC5" w14:textId="77777777" w:rsidR="006371D0" w:rsidRPr="00DA322A" w:rsidRDefault="006371D0" w:rsidP="006371D0">
      <w:pPr>
        <w:numPr>
          <w:ilvl w:val="0"/>
          <w:numId w:val="20"/>
        </w:numPr>
        <w:spacing w:line="360" w:lineRule="auto"/>
        <w:jc w:val="both"/>
        <w:rPr>
          <w:rFonts w:cs="Arial"/>
          <w:bCs/>
          <w:sz w:val="22"/>
          <w:szCs w:val="22"/>
          <w:lang w:val="es-ES_tradnl"/>
        </w:rPr>
      </w:pPr>
      <w:r w:rsidRPr="00DA322A">
        <w:rPr>
          <w:rFonts w:cs="Arial"/>
          <w:bCs/>
          <w:sz w:val="22"/>
          <w:szCs w:val="22"/>
          <w:lang w:val="es-ES_tradnl"/>
        </w:rPr>
        <w:t>El incumplimiento general de cualquier disposición de</w:t>
      </w:r>
      <w:r>
        <w:rPr>
          <w:rFonts w:cs="Arial"/>
          <w:bCs/>
          <w:sz w:val="22"/>
          <w:szCs w:val="22"/>
          <w:lang w:val="es-ES_tradnl"/>
        </w:rPr>
        <w:t xml:space="preserve">l Reglamento de los Programas de Crédito y Avales del Fondo Nacional para la Vivienda del </w:t>
      </w:r>
      <w:r w:rsidRPr="00EE3069">
        <w:rPr>
          <w:rFonts w:cs="Arial"/>
          <w:bCs/>
          <w:sz w:val="22"/>
          <w:szCs w:val="22"/>
          <w:lang w:val="es-ES_tradnl"/>
        </w:rPr>
        <w:t>Banco Hipotecario de la Vivienda</w:t>
      </w:r>
      <w:r>
        <w:rPr>
          <w:rFonts w:cs="Arial"/>
          <w:bCs/>
          <w:sz w:val="22"/>
          <w:szCs w:val="22"/>
          <w:lang w:val="es-ES_tradnl"/>
        </w:rPr>
        <w:t xml:space="preserve"> o de las cláusulas y términos </w:t>
      </w:r>
      <w:r w:rsidRPr="00DA322A">
        <w:rPr>
          <w:rFonts w:cs="Arial"/>
          <w:bCs/>
          <w:sz w:val="22"/>
          <w:szCs w:val="22"/>
          <w:lang w:val="es-ES_tradnl"/>
        </w:rPr>
        <w:t>especificados en el presente C</w:t>
      </w:r>
      <w:r>
        <w:rPr>
          <w:rFonts w:cs="Arial"/>
          <w:bCs/>
          <w:sz w:val="22"/>
          <w:szCs w:val="22"/>
          <w:lang w:val="es-ES_tradnl"/>
        </w:rPr>
        <w:t>ontrato</w:t>
      </w:r>
      <w:r w:rsidRPr="00EE3069">
        <w:rPr>
          <w:rFonts w:cs="Arial"/>
          <w:bCs/>
          <w:sz w:val="22"/>
          <w:szCs w:val="22"/>
          <w:lang w:val="es-ES_tradnl"/>
        </w:rPr>
        <w:t xml:space="preserve"> </w:t>
      </w:r>
      <w:r>
        <w:rPr>
          <w:rFonts w:cs="Arial"/>
          <w:bCs/>
          <w:sz w:val="22"/>
          <w:szCs w:val="22"/>
          <w:lang w:val="es-ES_tradnl"/>
        </w:rPr>
        <w:t>de Apertura de Línea de Crédito Revolutiva en Colones,</w:t>
      </w:r>
      <w:r w:rsidRPr="00DA322A">
        <w:rPr>
          <w:rFonts w:cs="Arial"/>
          <w:bCs/>
          <w:sz w:val="22"/>
          <w:szCs w:val="22"/>
          <w:lang w:val="es-ES_tradnl"/>
        </w:rPr>
        <w:t xml:space="preserve"> o bien ante la violación de lo que establece </w:t>
      </w:r>
      <w:r>
        <w:rPr>
          <w:rFonts w:cs="Arial"/>
          <w:bCs/>
          <w:sz w:val="22"/>
          <w:szCs w:val="22"/>
          <w:lang w:val="es-ES_tradnl"/>
        </w:rPr>
        <w:t>e</w:t>
      </w:r>
      <w:r w:rsidRPr="00DA322A">
        <w:rPr>
          <w:rFonts w:cs="Arial"/>
          <w:bCs/>
          <w:sz w:val="22"/>
          <w:szCs w:val="22"/>
          <w:lang w:val="es-ES_tradnl"/>
        </w:rPr>
        <w:t>l artículo 777 del Código Civil en lo aplicable a una persona jurídica.</w:t>
      </w:r>
    </w:p>
    <w:p w14:paraId="461C1347" w14:textId="77777777" w:rsidR="006371D0" w:rsidRPr="007775DB" w:rsidRDefault="006371D0" w:rsidP="006371D0">
      <w:pPr>
        <w:spacing w:line="360" w:lineRule="auto"/>
        <w:jc w:val="both"/>
        <w:rPr>
          <w:rFonts w:cs="Arial"/>
          <w:bCs/>
          <w:sz w:val="12"/>
          <w:szCs w:val="12"/>
          <w:lang w:val="es-ES_tradnl"/>
        </w:rPr>
      </w:pPr>
    </w:p>
    <w:p w14:paraId="3E1C7019" w14:textId="77777777" w:rsidR="006371D0" w:rsidRPr="00E753D5" w:rsidRDefault="006371D0" w:rsidP="006371D0">
      <w:pPr>
        <w:spacing w:line="360" w:lineRule="auto"/>
        <w:jc w:val="both"/>
        <w:rPr>
          <w:rFonts w:cs="Arial"/>
          <w:bCs/>
          <w:sz w:val="22"/>
          <w:szCs w:val="22"/>
          <w:lang w:val="es-ES_tradnl"/>
        </w:rPr>
      </w:pPr>
      <w:r w:rsidRPr="00DA322A">
        <w:rPr>
          <w:rFonts w:cs="Arial"/>
          <w:bCs/>
          <w:i/>
          <w:sz w:val="22"/>
          <w:szCs w:val="22"/>
          <w:u w:val="single"/>
          <w:lang w:val="es-ES_tradnl"/>
        </w:rPr>
        <w:t>GRUPOS DE INTERES ECON</w:t>
      </w:r>
      <w:r>
        <w:rPr>
          <w:rFonts w:cs="Arial"/>
          <w:bCs/>
          <w:i/>
          <w:sz w:val="22"/>
          <w:szCs w:val="22"/>
          <w:u w:val="single"/>
          <w:lang w:val="es-ES_tradnl"/>
        </w:rPr>
        <w:t>Ó</w:t>
      </w:r>
      <w:r w:rsidRPr="00DA322A">
        <w:rPr>
          <w:rFonts w:cs="Arial"/>
          <w:bCs/>
          <w:i/>
          <w:sz w:val="22"/>
          <w:szCs w:val="22"/>
          <w:u w:val="single"/>
          <w:lang w:val="es-ES_tradnl"/>
        </w:rPr>
        <w:t>MICO:</w:t>
      </w:r>
      <w:r w:rsidRPr="00DA322A">
        <w:rPr>
          <w:rFonts w:cs="Arial"/>
          <w:bCs/>
          <w:sz w:val="22"/>
          <w:szCs w:val="22"/>
          <w:lang w:val="es-ES_tradnl"/>
        </w:rPr>
        <w:t xml:space="preserve"> La </w:t>
      </w:r>
      <w:r>
        <w:rPr>
          <w:rFonts w:cs="Arial"/>
          <w:bCs/>
          <w:sz w:val="22"/>
          <w:szCs w:val="22"/>
          <w:lang w:val="es-ES_tradnl"/>
        </w:rPr>
        <w:t xml:space="preserve">Entidad Autorizada </w:t>
      </w:r>
      <w:r w:rsidRPr="00DA322A">
        <w:rPr>
          <w:rFonts w:cs="Arial"/>
          <w:bCs/>
          <w:sz w:val="22"/>
          <w:szCs w:val="22"/>
          <w:lang w:val="es-ES_tradnl"/>
        </w:rPr>
        <w:t xml:space="preserve">se obliga a proporcionar al BANHVI la información necesaria, en caso de que conforme o sea parte de grupos de </w:t>
      </w:r>
      <w:r w:rsidRPr="00E753D5">
        <w:rPr>
          <w:rFonts w:cs="Arial"/>
          <w:bCs/>
          <w:sz w:val="22"/>
          <w:szCs w:val="22"/>
          <w:lang w:val="es-ES_tradnl"/>
        </w:rPr>
        <w:t>interés económico, para lo cual la Entidad Autorizada deberá mantener disponible para el BANHVI</w:t>
      </w:r>
      <w:r>
        <w:rPr>
          <w:rFonts w:cs="Arial"/>
          <w:bCs/>
          <w:sz w:val="22"/>
          <w:szCs w:val="22"/>
          <w:lang w:val="es-ES_tradnl"/>
        </w:rPr>
        <w:t>,</w:t>
      </w:r>
      <w:r w:rsidRPr="00E753D5">
        <w:rPr>
          <w:rFonts w:cs="Arial"/>
          <w:bCs/>
          <w:sz w:val="22"/>
          <w:szCs w:val="22"/>
          <w:lang w:val="es-ES_tradnl"/>
        </w:rPr>
        <w:t xml:space="preserve"> la información que demuestre la propiedad accionaría, así como las eventuales modificaciones que en dicha agrupación se produzcan, comprometién</w:t>
      </w:r>
      <w:r>
        <w:rPr>
          <w:rFonts w:cs="Arial"/>
          <w:bCs/>
          <w:sz w:val="22"/>
          <w:szCs w:val="22"/>
          <w:lang w:val="es-ES_tradnl"/>
        </w:rPr>
        <w:t>dose a presentar en forma anual</w:t>
      </w:r>
      <w:r w:rsidRPr="00E753D5">
        <w:rPr>
          <w:rFonts w:cs="Arial"/>
          <w:bCs/>
          <w:sz w:val="22"/>
          <w:szCs w:val="22"/>
          <w:lang w:val="es-ES_tradnl"/>
        </w:rPr>
        <w:t xml:space="preserve"> una declaración acerca de la conformación de Grupos de Interés Económico.  Asimismo, la Entidad Autorizada faculta al BANHVI para que investigue del modo que estime conveniente sobre las circunstancias precitadas.</w:t>
      </w:r>
    </w:p>
    <w:p w14:paraId="640538BC" w14:textId="77777777" w:rsidR="006371D0" w:rsidRPr="00E753D5" w:rsidRDefault="006371D0" w:rsidP="006371D0">
      <w:pPr>
        <w:spacing w:line="360" w:lineRule="auto"/>
        <w:jc w:val="both"/>
        <w:rPr>
          <w:rFonts w:cs="Arial"/>
          <w:bCs/>
          <w:sz w:val="22"/>
          <w:szCs w:val="22"/>
          <w:lang w:val="es-ES_tradnl"/>
        </w:rPr>
      </w:pPr>
    </w:p>
    <w:p w14:paraId="375E7357" w14:textId="77777777" w:rsidR="006371D0" w:rsidRPr="00E753D5" w:rsidRDefault="006371D0" w:rsidP="006371D0">
      <w:pPr>
        <w:spacing w:line="360" w:lineRule="auto"/>
        <w:jc w:val="both"/>
        <w:rPr>
          <w:rFonts w:cs="Arial"/>
          <w:bCs/>
          <w:sz w:val="22"/>
          <w:szCs w:val="22"/>
          <w:lang w:val="es-ES_tradnl"/>
        </w:rPr>
      </w:pPr>
      <w:r w:rsidRPr="00E753D5">
        <w:rPr>
          <w:rFonts w:cs="Arial"/>
          <w:bCs/>
          <w:i/>
          <w:sz w:val="22"/>
          <w:szCs w:val="22"/>
          <w:u w:val="single"/>
          <w:lang w:val="es-ES_tradnl"/>
        </w:rPr>
        <w:t>OBLIGACIÓN DE PRESENTAR INFORMACION FINANCIERA:</w:t>
      </w:r>
      <w:r w:rsidRPr="00E753D5">
        <w:rPr>
          <w:rFonts w:cs="Arial"/>
          <w:bCs/>
          <w:sz w:val="22"/>
          <w:szCs w:val="22"/>
          <w:lang w:val="es-ES_tradnl"/>
        </w:rPr>
        <w:t xml:space="preserve"> El BANHVI queda autorizado para solicitar a la Entidad Autorizada y ésta se compromete a suministrar,  información financiera u otra información o documentación que considere pertinente para analizar la capacidad financiera de la Entidad Autorizada para hacerle frente a sus obligaciones.</w:t>
      </w:r>
    </w:p>
    <w:p w14:paraId="3D7BB1CA" w14:textId="77777777" w:rsidR="006371D0" w:rsidRPr="00E753D5" w:rsidRDefault="006371D0" w:rsidP="006371D0">
      <w:pPr>
        <w:spacing w:line="360" w:lineRule="auto"/>
        <w:jc w:val="both"/>
        <w:rPr>
          <w:rFonts w:cs="Arial"/>
          <w:bCs/>
          <w:sz w:val="22"/>
          <w:szCs w:val="22"/>
          <w:lang w:val="es-ES_tradnl"/>
        </w:rPr>
      </w:pPr>
    </w:p>
    <w:p w14:paraId="4D605C69" w14:textId="77777777" w:rsidR="006371D0" w:rsidRPr="00E753D5" w:rsidRDefault="006371D0" w:rsidP="006371D0">
      <w:pPr>
        <w:spacing w:line="360" w:lineRule="auto"/>
        <w:jc w:val="both"/>
        <w:rPr>
          <w:rFonts w:cs="Arial"/>
          <w:bCs/>
          <w:sz w:val="22"/>
          <w:szCs w:val="22"/>
          <w:lang w:val="es-ES_tradnl"/>
        </w:rPr>
      </w:pPr>
      <w:r w:rsidRPr="00E753D5">
        <w:rPr>
          <w:rFonts w:cs="Arial"/>
          <w:bCs/>
          <w:i/>
          <w:sz w:val="22"/>
          <w:szCs w:val="22"/>
          <w:u w:val="single"/>
          <w:lang w:val="es-ES_tradnl"/>
        </w:rPr>
        <w:t>OBLIGACION DE PRESENTAR DOCUMENTACION DEL EXPEDENTE:</w:t>
      </w:r>
      <w:r w:rsidRPr="00E753D5">
        <w:rPr>
          <w:rFonts w:cs="Arial"/>
          <w:bCs/>
          <w:i/>
          <w:sz w:val="22"/>
          <w:szCs w:val="22"/>
          <w:lang w:val="es-ES_tradnl"/>
        </w:rPr>
        <w:t xml:space="preserve"> </w:t>
      </w:r>
      <w:r w:rsidRPr="00E753D5">
        <w:rPr>
          <w:rFonts w:cs="Arial"/>
          <w:bCs/>
          <w:sz w:val="22"/>
          <w:szCs w:val="22"/>
          <w:lang w:val="es-ES_tradnl"/>
        </w:rPr>
        <w:t xml:space="preserve">El BANHVI queda facultado para solicitar a la Entidad Autorizada y ésta se compromete a suministrar, </w:t>
      </w:r>
      <w:r w:rsidRPr="00E753D5">
        <w:rPr>
          <w:rFonts w:cs="Arial"/>
          <w:bCs/>
          <w:sz w:val="22"/>
          <w:szCs w:val="22"/>
          <w:lang w:val="es-ES_tradnl"/>
        </w:rPr>
        <w:lastRenderedPageBreak/>
        <w:t xml:space="preserve">información del órgano directivo, información financiera, documentación asociada a la </w:t>
      </w:r>
      <w:r>
        <w:rPr>
          <w:rFonts w:cs="Arial"/>
          <w:bCs/>
          <w:sz w:val="22"/>
          <w:szCs w:val="22"/>
          <w:lang w:val="es-ES_tradnl"/>
        </w:rPr>
        <w:t>P</w:t>
      </w:r>
      <w:r w:rsidRPr="00E753D5">
        <w:rPr>
          <w:rFonts w:cs="Arial"/>
          <w:bCs/>
          <w:sz w:val="22"/>
          <w:szCs w:val="22"/>
          <w:lang w:val="es-ES_tradnl"/>
        </w:rPr>
        <w:t>olítica Conozca a su Cliente e información relacionada con garantías, con el fin de mantener debidamente actualizado el expediente de crédito según la normativa vigente.</w:t>
      </w:r>
    </w:p>
    <w:p w14:paraId="04C613AC" w14:textId="77777777" w:rsidR="006371D0" w:rsidRPr="00E753D5" w:rsidRDefault="006371D0" w:rsidP="006371D0">
      <w:pPr>
        <w:spacing w:line="360" w:lineRule="auto"/>
        <w:jc w:val="both"/>
        <w:rPr>
          <w:rFonts w:cs="Arial"/>
          <w:bCs/>
          <w:sz w:val="22"/>
          <w:szCs w:val="22"/>
          <w:lang w:val="es-ES_tradnl"/>
        </w:rPr>
      </w:pPr>
    </w:p>
    <w:p w14:paraId="3DED53B3" w14:textId="77777777" w:rsidR="006371D0" w:rsidRDefault="006371D0" w:rsidP="006371D0">
      <w:pPr>
        <w:spacing w:line="360" w:lineRule="auto"/>
        <w:jc w:val="both"/>
        <w:rPr>
          <w:rFonts w:cs="Arial"/>
          <w:sz w:val="22"/>
          <w:szCs w:val="22"/>
        </w:rPr>
      </w:pPr>
      <w:r w:rsidRPr="00E753D5">
        <w:rPr>
          <w:rFonts w:cs="Arial"/>
          <w:bCs/>
          <w:i/>
          <w:iCs/>
          <w:sz w:val="22"/>
          <w:szCs w:val="22"/>
          <w:u w:val="single"/>
          <w:lang w:val="es-ES_tradnl"/>
        </w:rPr>
        <w:t>DOMICILIO CONTRACTUAL:</w:t>
      </w:r>
      <w:r w:rsidRPr="00E753D5">
        <w:rPr>
          <w:rFonts w:cs="Arial"/>
          <w:bCs/>
          <w:i/>
          <w:iCs/>
          <w:sz w:val="22"/>
          <w:szCs w:val="22"/>
          <w:lang w:val="es-ES_tradnl"/>
        </w:rPr>
        <w:t xml:space="preserve">   </w:t>
      </w:r>
      <w:r w:rsidRPr="00E753D5">
        <w:rPr>
          <w:rFonts w:cs="Arial"/>
          <w:bCs/>
          <w:sz w:val="22"/>
          <w:szCs w:val="22"/>
          <w:lang w:val="es-ES_tradnl"/>
        </w:rPr>
        <w:t>Para efectos de lo dispuesto en el artículo cuatro de la Ley de Notificaciones número siete mil seiscientos treinta y seis, de mil novecientos noventa y seis, la Entidad Autorizada declara que su dirección para recibir notificaciones personalmente o por medio de cédula es la siguiente: __________________________.  Asimismo, se obliga a notificar al BANHVI de cualquier cambio de domicilio.  En caso de que el indicado cambiare, o fuera impreciso o inexistente, sin que ello conste en el documento obligacional, podrá ser notificado por medio de un edicto que se publicará en el Boletín Judicial o en un diario de circulación nacional.»</w:t>
      </w:r>
    </w:p>
    <w:p w14:paraId="68A4982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D6E0AD4" w14:textId="77777777" w:rsidR="002B71CC" w:rsidRPr="00D14EAF" w:rsidRDefault="002B71CC" w:rsidP="002B71CC">
      <w:pPr>
        <w:spacing w:line="360" w:lineRule="auto"/>
        <w:jc w:val="both"/>
        <w:rPr>
          <w:rFonts w:cs="Arial"/>
          <w:b/>
          <w:sz w:val="22"/>
        </w:rPr>
      </w:pPr>
      <w:r w:rsidRPr="00D14EAF">
        <w:rPr>
          <w:rFonts w:cs="Arial"/>
          <w:b/>
          <w:sz w:val="22"/>
        </w:rPr>
        <w:t>************</w:t>
      </w:r>
    </w:p>
    <w:p w14:paraId="54DBEE8E" w14:textId="77777777" w:rsidR="002B71CC" w:rsidRDefault="002B71CC" w:rsidP="002B71CC">
      <w:pPr>
        <w:spacing w:line="360" w:lineRule="auto"/>
        <w:jc w:val="both"/>
        <w:rPr>
          <w:rFonts w:cs="Arial"/>
          <w:sz w:val="22"/>
          <w:lang w:val="es-ES_tradnl"/>
        </w:rPr>
      </w:pPr>
    </w:p>
    <w:p w14:paraId="145B967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1EFCD9F7" w14:textId="455F7954" w:rsidR="002B71CC" w:rsidRDefault="00057D4D" w:rsidP="002B71CC">
      <w:pPr>
        <w:spacing w:line="360" w:lineRule="auto"/>
        <w:jc w:val="both"/>
        <w:rPr>
          <w:rFonts w:cs="Arial"/>
          <w:sz w:val="22"/>
          <w:szCs w:val="22"/>
        </w:rPr>
      </w:pPr>
      <w:r>
        <w:rPr>
          <w:rFonts w:cs="Arial"/>
          <w:sz w:val="22"/>
          <w:szCs w:val="22"/>
        </w:rPr>
        <w:t xml:space="preserve">Conocido el </w:t>
      </w:r>
      <w:r>
        <w:rPr>
          <w:rFonts w:cs="Arial"/>
          <w:sz w:val="22"/>
          <w:lang w:val="es-ES_tradnl"/>
        </w:rPr>
        <w:t xml:space="preserve">“Reporte anual sobre el estado de los planes de mitigación y control de riesgos”, contenido en el oficio CR-IN08-021-2019 del Comité de Riesgos, se instruye a la </w:t>
      </w:r>
      <w:r w:rsidRPr="00057D4D">
        <w:rPr>
          <w:rFonts w:cs="Arial"/>
          <w:sz w:val="22"/>
          <w:lang w:val="es-ES_tradnl"/>
        </w:rPr>
        <w:t>Administración</w:t>
      </w:r>
      <w:r>
        <w:rPr>
          <w:rFonts w:cs="Arial"/>
          <w:sz w:val="22"/>
          <w:lang w:val="es-ES_tradnl"/>
        </w:rPr>
        <w:t xml:space="preserve"> para darle un estricto seguimiento a la implementación efectiva y oportuna de las acciones dirigidas a la </w:t>
      </w:r>
      <w:r w:rsidR="00D755A4">
        <w:rPr>
          <w:rFonts w:cs="Arial"/>
          <w:sz w:val="22"/>
          <w:lang w:val="es-ES_tradnl"/>
        </w:rPr>
        <w:t xml:space="preserve">mitigación y control </w:t>
      </w:r>
      <w:r>
        <w:rPr>
          <w:rFonts w:cs="Arial"/>
          <w:sz w:val="22"/>
          <w:lang w:val="es-ES_tradnl"/>
        </w:rPr>
        <w:t>de los riesgos identificados.</w:t>
      </w:r>
    </w:p>
    <w:p w14:paraId="6542AB00" w14:textId="270F5AD8"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9A709C6" w14:textId="77777777" w:rsidR="002B71CC" w:rsidRPr="00D14EAF" w:rsidRDefault="002B71CC" w:rsidP="002B71CC">
      <w:pPr>
        <w:spacing w:line="360" w:lineRule="auto"/>
        <w:jc w:val="both"/>
        <w:rPr>
          <w:rFonts w:cs="Arial"/>
          <w:b/>
          <w:sz w:val="22"/>
        </w:rPr>
      </w:pPr>
      <w:r w:rsidRPr="00D14EAF">
        <w:rPr>
          <w:rFonts w:cs="Arial"/>
          <w:b/>
          <w:sz w:val="22"/>
        </w:rPr>
        <w:t>************</w:t>
      </w:r>
    </w:p>
    <w:p w14:paraId="282EC48D" w14:textId="77777777" w:rsidR="002B71CC" w:rsidRDefault="002B71CC" w:rsidP="002B71CC">
      <w:pPr>
        <w:spacing w:line="360" w:lineRule="auto"/>
        <w:jc w:val="both"/>
        <w:rPr>
          <w:rFonts w:cs="Arial"/>
          <w:sz w:val="22"/>
          <w:szCs w:val="22"/>
        </w:rPr>
      </w:pPr>
    </w:p>
    <w:p w14:paraId="4F6BDDA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09C398AB" w14:textId="2DF90AC6" w:rsidR="002B71CC" w:rsidRDefault="00E564E4" w:rsidP="002B71CC">
      <w:pPr>
        <w:spacing w:line="360" w:lineRule="auto"/>
        <w:jc w:val="both"/>
        <w:rPr>
          <w:rFonts w:cs="Arial"/>
          <w:sz w:val="22"/>
          <w:szCs w:val="22"/>
        </w:rPr>
      </w:pPr>
      <w:r>
        <w:rPr>
          <w:rFonts w:cs="Arial"/>
          <w:sz w:val="22"/>
          <w:szCs w:val="22"/>
        </w:rPr>
        <w:t xml:space="preserve">Otorgar a la </w:t>
      </w:r>
      <w:r w:rsidRPr="00E564E4">
        <w:rPr>
          <w:rFonts w:cs="Arial"/>
          <w:sz w:val="22"/>
          <w:szCs w:val="22"/>
          <w:lang w:val="es-ES_tradnl"/>
        </w:rPr>
        <w:t>Administración</w:t>
      </w:r>
      <w:r>
        <w:rPr>
          <w:rFonts w:cs="Arial"/>
          <w:sz w:val="22"/>
          <w:szCs w:val="22"/>
          <w:lang w:val="es-ES_tradnl"/>
        </w:rPr>
        <w:t xml:space="preserve"> un plazo de hasta el próximo 17 de febrero, para presentar a esta </w:t>
      </w:r>
      <w:r w:rsidRPr="00E564E4">
        <w:rPr>
          <w:rFonts w:cs="Arial"/>
          <w:sz w:val="22"/>
          <w:szCs w:val="22"/>
          <w:lang w:val="es-ES_tradnl"/>
        </w:rPr>
        <w:t>Junta Directiva</w:t>
      </w:r>
      <w:r>
        <w:rPr>
          <w:rFonts w:cs="Arial"/>
          <w:sz w:val="22"/>
          <w:szCs w:val="22"/>
          <w:lang w:val="es-ES_tradnl"/>
        </w:rPr>
        <w:t xml:space="preserve">, una propuesta definitiva e integrada con la validación de los procesos institucionales, de </w:t>
      </w:r>
      <w:r>
        <w:rPr>
          <w:sz w:val="22"/>
          <w:szCs w:val="22"/>
        </w:rPr>
        <w:t xml:space="preserve">la </w:t>
      </w:r>
      <w:r w:rsidRPr="00C60914">
        <w:rPr>
          <w:sz w:val="22"/>
          <w:szCs w:val="22"/>
        </w:rPr>
        <w:t>M</w:t>
      </w:r>
      <w:r>
        <w:rPr>
          <w:sz w:val="22"/>
          <w:szCs w:val="22"/>
        </w:rPr>
        <w:t>etodología para la Valoración y Administración del Riesgo Institucional.</w:t>
      </w:r>
    </w:p>
    <w:p w14:paraId="2FC489F3" w14:textId="53BAF3E2"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1ED011A" w14:textId="77777777" w:rsidR="002B71CC" w:rsidRPr="00D14EAF" w:rsidRDefault="002B71CC" w:rsidP="002B71CC">
      <w:pPr>
        <w:spacing w:line="360" w:lineRule="auto"/>
        <w:jc w:val="both"/>
        <w:rPr>
          <w:rFonts w:cs="Arial"/>
          <w:b/>
          <w:sz w:val="22"/>
        </w:rPr>
      </w:pPr>
      <w:r w:rsidRPr="00D14EAF">
        <w:rPr>
          <w:rFonts w:cs="Arial"/>
          <w:b/>
          <w:sz w:val="22"/>
        </w:rPr>
        <w:t>************</w:t>
      </w:r>
    </w:p>
    <w:p w14:paraId="449F9921" w14:textId="77777777" w:rsidR="002B71CC" w:rsidRDefault="002B71CC" w:rsidP="002B71CC">
      <w:pPr>
        <w:spacing w:line="360" w:lineRule="auto"/>
        <w:jc w:val="both"/>
        <w:rPr>
          <w:rFonts w:cs="Arial"/>
          <w:sz w:val="22"/>
          <w:lang w:val="es-ES_tradnl"/>
        </w:rPr>
      </w:pPr>
    </w:p>
    <w:p w14:paraId="39C2537E"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5</w:t>
      </w:r>
      <w:r w:rsidRPr="00AB2826">
        <w:rPr>
          <w:rFonts w:cs="Arial"/>
          <w:szCs w:val="22"/>
        </w:rPr>
        <w:t>:</w:t>
      </w:r>
    </w:p>
    <w:p w14:paraId="731D228C" w14:textId="6E26D80C" w:rsidR="00C6254D" w:rsidRDefault="00C6254D" w:rsidP="00C6254D">
      <w:pPr>
        <w:spacing w:line="360" w:lineRule="auto"/>
        <w:jc w:val="both"/>
        <w:rPr>
          <w:rFonts w:cs="Arial"/>
          <w:sz w:val="22"/>
          <w:szCs w:val="22"/>
        </w:rPr>
      </w:pPr>
      <w:r>
        <w:rPr>
          <w:rFonts w:cs="Arial"/>
          <w:sz w:val="22"/>
          <w:szCs w:val="22"/>
        </w:rPr>
        <w:t xml:space="preserve">Aprobar el informe sobre los resultados de la </w:t>
      </w:r>
      <w:r w:rsidRPr="0095175A">
        <w:rPr>
          <w:rFonts w:cs="Arial"/>
          <w:sz w:val="22"/>
          <w:szCs w:val="22"/>
        </w:rPr>
        <w:t>Gestión de Riesgos</w:t>
      </w:r>
      <w:r>
        <w:rPr>
          <w:rFonts w:cs="Arial"/>
          <w:sz w:val="22"/>
          <w:szCs w:val="22"/>
        </w:rPr>
        <w:t>,</w:t>
      </w:r>
      <w:r w:rsidRPr="0095175A">
        <w:rPr>
          <w:rFonts w:cs="Arial"/>
          <w:sz w:val="22"/>
          <w:szCs w:val="22"/>
        </w:rPr>
        <w:t xml:space="preserve"> </w:t>
      </w:r>
      <w:r>
        <w:rPr>
          <w:rFonts w:cs="Arial"/>
          <w:sz w:val="22"/>
          <w:szCs w:val="22"/>
        </w:rPr>
        <w:t xml:space="preserve">correspondientes al período setiembre-noviembre de 2019, contenido en el </w:t>
      </w:r>
      <w:r>
        <w:rPr>
          <w:rFonts w:cs="Arial"/>
          <w:sz w:val="22"/>
          <w:lang w:val="es-ES_tradnl"/>
        </w:rPr>
        <w:t xml:space="preserve">oficio </w:t>
      </w:r>
      <w:r w:rsidRPr="0095175A">
        <w:rPr>
          <w:rFonts w:cs="Arial"/>
          <w:sz w:val="22"/>
          <w:szCs w:val="22"/>
        </w:rPr>
        <w:t>CR-IN0</w:t>
      </w:r>
      <w:r>
        <w:rPr>
          <w:rFonts w:cs="Arial"/>
          <w:sz w:val="22"/>
          <w:szCs w:val="22"/>
        </w:rPr>
        <w:t>2</w:t>
      </w:r>
      <w:r w:rsidRPr="0095175A">
        <w:rPr>
          <w:rFonts w:cs="Arial"/>
          <w:sz w:val="22"/>
          <w:szCs w:val="22"/>
        </w:rPr>
        <w:t>-</w:t>
      </w:r>
      <w:r>
        <w:rPr>
          <w:rFonts w:cs="Arial"/>
          <w:sz w:val="22"/>
          <w:szCs w:val="22"/>
        </w:rPr>
        <w:t>023</w:t>
      </w:r>
      <w:r w:rsidRPr="0095175A">
        <w:rPr>
          <w:rFonts w:cs="Arial"/>
          <w:sz w:val="22"/>
          <w:szCs w:val="22"/>
        </w:rPr>
        <w:t>-201</w:t>
      </w:r>
      <w:r>
        <w:rPr>
          <w:rFonts w:cs="Arial"/>
          <w:sz w:val="22"/>
          <w:szCs w:val="22"/>
        </w:rPr>
        <w:t>9</w:t>
      </w:r>
      <w:r w:rsidRPr="0095175A">
        <w:rPr>
          <w:rFonts w:cs="Arial"/>
          <w:sz w:val="22"/>
          <w:szCs w:val="22"/>
        </w:rPr>
        <w:t xml:space="preserve"> del </w:t>
      </w:r>
      <w:r>
        <w:rPr>
          <w:rFonts w:cs="Arial"/>
          <w:sz w:val="22"/>
          <w:szCs w:val="22"/>
        </w:rPr>
        <w:t xml:space="preserve">19 de diciembre de 2019, del </w:t>
      </w:r>
      <w:r w:rsidRPr="0095175A">
        <w:rPr>
          <w:rFonts w:cs="Arial"/>
          <w:sz w:val="22"/>
          <w:szCs w:val="22"/>
        </w:rPr>
        <w:t>Comité de Riesgos de este Banco</w:t>
      </w:r>
      <w:r>
        <w:rPr>
          <w:rFonts w:cs="Arial"/>
          <w:sz w:val="22"/>
          <w:szCs w:val="22"/>
        </w:rPr>
        <w:t>.</w:t>
      </w:r>
    </w:p>
    <w:p w14:paraId="3FC35297" w14:textId="77777777" w:rsidR="00C6254D" w:rsidRDefault="00C6254D" w:rsidP="00C6254D">
      <w:pPr>
        <w:spacing w:line="360" w:lineRule="auto"/>
        <w:jc w:val="both"/>
        <w:rPr>
          <w:rFonts w:cs="Arial"/>
          <w:sz w:val="22"/>
          <w:szCs w:val="22"/>
        </w:rPr>
      </w:pPr>
    </w:p>
    <w:p w14:paraId="45A7C7F7" w14:textId="38D82BF9" w:rsidR="002B71CC" w:rsidRDefault="00CE1AFD" w:rsidP="002B71CC">
      <w:pPr>
        <w:spacing w:line="360" w:lineRule="auto"/>
        <w:jc w:val="both"/>
        <w:rPr>
          <w:rFonts w:cs="Arial"/>
          <w:sz w:val="22"/>
          <w:szCs w:val="22"/>
        </w:rPr>
      </w:pPr>
      <w:r>
        <w:rPr>
          <w:rFonts w:cs="Arial"/>
          <w:sz w:val="22"/>
          <w:szCs w:val="22"/>
        </w:rPr>
        <w:t>Se</w:t>
      </w:r>
      <w:r w:rsidR="00C6254D">
        <w:rPr>
          <w:rFonts w:cs="Arial"/>
          <w:sz w:val="22"/>
          <w:szCs w:val="22"/>
        </w:rPr>
        <w:t xml:space="preserve"> </w:t>
      </w:r>
      <w:r w:rsidR="00C6254D">
        <w:rPr>
          <w:rFonts w:cs="Arial"/>
          <w:sz w:val="22"/>
          <w:szCs w:val="22"/>
          <w:lang w:val="es-CR"/>
        </w:rPr>
        <w:t>solicita a la Unidad de R</w:t>
      </w:r>
      <w:bookmarkStart w:id="0" w:name="_GoBack"/>
      <w:bookmarkEnd w:id="0"/>
      <w:r w:rsidR="00C6254D">
        <w:rPr>
          <w:rFonts w:cs="Arial"/>
          <w:sz w:val="22"/>
          <w:szCs w:val="22"/>
          <w:lang w:val="es-CR"/>
        </w:rPr>
        <w:t>ie</w:t>
      </w:r>
      <w:r w:rsidR="00B1294F">
        <w:rPr>
          <w:rFonts w:cs="Arial"/>
          <w:sz w:val="22"/>
          <w:szCs w:val="22"/>
          <w:lang w:val="es-CR"/>
        </w:rPr>
        <w:t>s</w:t>
      </w:r>
      <w:r w:rsidR="00C6254D">
        <w:rPr>
          <w:rFonts w:cs="Arial"/>
          <w:sz w:val="22"/>
          <w:szCs w:val="22"/>
          <w:lang w:val="es-CR"/>
        </w:rPr>
        <w:t xml:space="preserve">gos que discuta </w:t>
      </w:r>
      <w:r w:rsidR="00B44829">
        <w:rPr>
          <w:rFonts w:cs="Arial"/>
          <w:sz w:val="22"/>
          <w:szCs w:val="22"/>
          <w:lang w:val="es-CR"/>
        </w:rPr>
        <w:t xml:space="preserve">los pormenores de este informe </w:t>
      </w:r>
      <w:r w:rsidR="00C6254D">
        <w:rPr>
          <w:rFonts w:cs="Arial"/>
          <w:sz w:val="22"/>
          <w:szCs w:val="22"/>
          <w:lang w:val="es-CR"/>
        </w:rPr>
        <w:t>con el Gerente General, particularmente lo referido a las oportunidades de mejora y el estado de las recomendaciones.</w:t>
      </w:r>
    </w:p>
    <w:p w14:paraId="50AF2DD0" w14:textId="7D37F60D"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B7D71A8" w14:textId="77777777" w:rsidR="002B71CC" w:rsidRPr="00D14EAF" w:rsidRDefault="002B71CC" w:rsidP="002B71CC">
      <w:pPr>
        <w:spacing w:line="360" w:lineRule="auto"/>
        <w:jc w:val="both"/>
        <w:rPr>
          <w:rFonts w:cs="Arial"/>
          <w:b/>
          <w:sz w:val="22"/>
        </w:rPr>
      </w:pPr>
      <w:r w:rsidRPr="00D14EAF">
        <w:rPr>
          <w:rFonts w:cs="Arial"/>
          <w:b/>
          <w:sz w:val="22"/>
        </w:rPr>
        <w:t>************</w:t>
      </w:r>
    </w:p>
    <w:p w14:paraId="467E25DA" w14:textId="77777777" w:rsidR="002B71CC" w:rsidRDefault="002B71CC" w:rsidP="002B71CC">
      <w:pPr>
        <w:spacing w:line="360" w:lineRule="auto"/>
        <w:jc w:val="both"/>
        <w:rPr>
          <w:rFonts w:cs="Arial"/>
          <w:sz w:val="22"/>
          <w:szCs w:val="22"/>
        </w:rPr>
      </w:pPr>
    </w:p>
    <w:p w14:paraId="707F04B8" w14:textId="77777777" w:rsidR="002B71CC" w:rsidRDefault="002B71CC" w:rsidP="002B71CC">
      <w:pPr>
        <w:spacing w:line="360" w:lineRule="auto"/>
        <w:jc w:val="both"/>
        <w:rPr>
          <w:rFonts w:cs="Arial"/>
          <w:sz w:val="22"/>
          <w:lang w:val="es-ES_tradnl"/>
        </w:rPr>
      </w:pPr>
    </w:p>
    <w:p w14:paraId="6F861D11"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4BC2F" w14:textId="77777777" w:rsidR="00665670" w:rsidRDefault="00665670">
      <w:r>
        <w:separator/>
      </w:r>
    </w:p>
  </w:endnote>
  <w:endnote w:type="continuationSeparator" w:id="0">
    <w:p w14:paraId="6FC6A274" w14:textId="77777777" w:rsidR="00665670" w:rsidRDefault="0066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5FE4E" w14:textId="77777777" w:rsidR="00665670" w:rsidRDefault="00665670">
      <w:r>
        <w:separator/>
      </w:r>
    </w:p>
  </w:footnote>
  <w:footnote w:type="continuationSeparator" w:id="0">
    <w:p w14:paraId="5F9E6C94" w14:textId="77777777" w:rsidR="00665670" w:rsidRDefault="00665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C782" w14:textId="77777777" w:rsidR="009D03FE" w:rsidRDefault="009D03FE">
    <w:pPr>
      <w:pStyle w:val="Encabezado"/>
      <w:rPr>
        <w:lang w:val="es-ES"/>
      </w:rPr>
    </w:pPr>
  </w:p>
  <w:p w14:paraId="379AA097" w14:textId="77777777"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665670">
      <w:rPr>
        <w:sz w:val="18"/>
        <w:lang w:val="es-ES"/>
      </w:rPr>
      <w:t>04</w:t>
    </w:r>
    <w:r>
      <w:rPr>
        <w:sz w:val="18"/>
        <w:lang w:val="es-ES"/>
      </w:rPr>
      <w:t>-20</w:t>
    </w:r>
    <w:r w:rsidR="00E97960">
      <w:rPr>
        <w:sz w:val="18"/>
        <w:lang w:val="es-ES"/>
      </w:rPr>
      <w:t>20</w:t>
    </w:r>
    <w:r>
      <w:rPr>
        <w:sz w:val="18"/>
        <w:lang w:val="es-ES"/>
      </w:rPr>
      <w:t xml:space="preserve">                   2</w:t>
    </w:r>
    <w:r w:rsidR="00665670">
      <w:rPr>
        <w:sz w:val="18"/>
        <w:lang w:val="es-ES"/>
      </w:rPr>
      <w:t>0</w:t>
    </w:r>
    <w:r>
      <w:rPr>
        <w:sz w:val="18"/>
        <w:lang w:val="es-ES"/>
      </w:rPr>
      <w:t xml:space="preserve"> de </w:t>
    </w:r>
    <w:r w:rsidR="00665670">
      <w:rPr>
        <w:sz w:val="18"/>
        <w:lang w:val="es-ES"/>
      </w:rPr>
      <w:t>enero</w:t>
    </w:r>
    <w:r>
      <w:rPr>
        <w:sz w:val="18"/>
        <w:lang w:val="es-ES"/>
      </w:rPr>
      <w:t xml:space="preserve"> de 20</w:t>
    </w:r>
    <w:r w:rsidR="00E97960">
      <w:rPr>
        <w:sz w:val="18"/>
        <w:lang w:val="es-ES"/>
      </w:rPr>
      <w:t>20</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420F9CF1"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093B9B"/>
    <w:multiLevelType w:val="hybridMultilevel"/>
    <w:tmpl w:val="C5109C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CA703C2"/>
    <w:multiLevelType w:val="hybridMultilevel"/>
    <w:tmpl w:val="D346D764"/>
    <w:lvl w:ilvl="0" w:tplc="BB86A1B0">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7B34F7D"/>
    <w:multiLevelType w:val="hybridMultilevel"/>
    <w:tmpl w:val="72CC5C18"/>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D112863"/>
    <w:multiLevelType w:val="hybridMultilevel"/>
    <w:tmpl w:val="180E4A24"/>
    <w:lvl w:ilvl="0" w:tplc="98964A24">
      <w:start w:val="1"/>
      <w:numFmt w:val="lowerLetter"/>
      <w:lvlText w:val="%1."/>
      <w:lvlJc w:val="left"/>
      <w:pPr>
        <w:tabs>
          <w:tab w:val="num" w:pos="720"/>
        </w:tabs>
        <w:ind w:left="720" w:hanging="360"/>
      </w:pPr>
      <w:rPr>
        <w:rFonts w:hint="default"/>
        <w:b w:val="0"/>
        <w:bCs/>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1"/>
  </w:num>
  <w:num w:numId="5">
    <w:abstractNumId w:val="0"/>
  </w:num>
  <w:num w:numId="6">
    <w:abstractNumId w:val="13"/>
  </w:num>
  <w:num w:numId="7">
    <w:abstractNumId w:val="18"/>
  </w:num>
  <w:num w:numId="8">
    <w:abstractNumId w:val="9"/>
  </w:num>
  <w:num w:numId="9">
    <w:abstractNumId w:val="5"/>
  </w:num>
  <w:num w:numId="10">
    <w:abstractNumId w:val="3"/>
  </w:num>
  <w:num w:numId="11">
    <w:abstractNumId w:val="4"/>
  </w:num>
  <w:num w:numId="12">
    <w:abstractNumId w:val="19"/>
  </w:num>
  <w:num w:numId="13">
    <w:abstractNumId w:val="17"/>
  </w:num>
  <w:num w:numId="14">
    <w:abstractNumId w:val="16"/>
  </w:num>
  <w:num w:numId="15">
    <w:abstractNumId w:val="10"/>
  </w:num>
  <w:num w:numId="16">
    <w:abstractNumId w:val="14"/>
  </w:num>
  <w:num w:numId="17">
    <w:abstractNumId w:val="6"/>
  </w:num>
  <w:num w:numId="18">
    <w:abstractNumId w:val="12"/>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aSlwAiCXeeWSdMAA69exAq2S6p5E1OY20cCLsOOhRBoKHVlmqM1nQzGwL7Rgii0u4xS+yVEdauQt6lOInx7CkQ==" w:salt="16xP7UzSIiz5GfmSKl/wk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70"/>
    <w:rsid w:val="0000085A"/>
    <w:rsid w:val="00011DC1"/>
    <w:rsid w:val="0001401F"/>
    <w:rsid w:val="0002187A"/>
    <w:rsid w:val="000263F0"/>
    <w:rsid w:val="00026DCA"/>
    <w:rsid w:val="00027E78"/>
    <w:rsid w:val="0003318B"/>
    <w:rsid w:val="00036A8B"/>
    <w:rsid w:val="00053A32"/>
    <w:rsid w:val="000547A2"/>
    <w:rsid w:val="00057D4D"/>
    <w:rsid w:val="00067B32"/>
    <w:rsid w:val="00076A47"/>
    <w:rsid w:val="00081BB0"/>
    <w:rsid w:val="00085DF1"/>
    <w:rsid w:val="0009389D"/>
    <w:rsid w:val="000A6259"/>
    <w:rsid w:val="000B0F7B"/>
    <w:rsid w:val="000C4E35"/>
    <w:rsid w:val="000C5661"/>
    <w:rsid w:val="000E0E7D"/>
    <w:rsid w:val="000E2B75"/>
    <w:rsid w:val="000F5F31"/>
    <w:rsid w:val="000F6DBD"/>
    <w:rsid w:val="00105CCE"/>
    <w:rsid w:val="0011401E"/>
    <w:rsid w:val="001147C3"/>
    <w:rsid w:val="00117E78"/>
    <w:rsid w:val="001227FE"/>
    <w:rsid w:val="00154E36"/>
    <w:rsid w:val="00163756"/>
    <w:rsid w:val="00176E63"/>
    <w:rsid w:val="00183234"/>
    <w:rsid w:val="00186009"/>
    <w:rsid w:val="0018634C"/>
    <w:rsid w:val="001909BE"/>
    <w:rsid w:val="00193B2D"/>
    <w:rsid w:val="00196DD0"/>
    <w:rsid w:val="001B6D7C"/>
    <w:rsid w:val="001B703A"/>
    <w:rsid w:val="001C3F1B"/>
    <w:rsid w:val="001C789F"/>
    <w:rsid w:val="001D7E23"/>
    <w:rsid w:val="001F06A8"/>
    <w:rsid w:val="001F18FE"/>
    <w:rsid w:val="001F19C8"/>
    <w:rsid w:val="001F277B"/>
    <w:rsid w:val="001F7D2C"/>
    <w:rsid w:val="002026DC"/>
    <w:rsid w:val="00204086"/>
    <w:rsid w:val="00210B7F"/>
    <w:rsid w:val="002122C9"/>
    <w:rsid w:val="00213FA6"/>
    <w:rsid w:val="00214849"/>
    <w:rsid w:val="002163C7"/>
    <w:rsid w:val="00222AC1"/>
    <w:rsid w:val="00231672"/>
    <w:rsid w:val="0023430C"/>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1E17"/>
    <w:rsid w:val="002B71CC"/>
    <w:rsid w:val="002D0146"/>
    <w:rsid w:val="002D158A"/>
    <w:rsid w:val="002E1BAC"/>
    <w:rsid w:val="002F3D41"/>
    <w:rsid w:val="003004E7"/>
    <w:rsid w:val="0030131C"/>
    <w:rsid w:val="00311D75"/>
    <w:rsid w:val="003156CD"/>
    <w:rsid w:val="00317B31"/>
    <w:rsid w:val="00320F35"/>
    <w:rsid w:val="00320F9C"/>
    <w:rsid w:val="00335993"/>
    <w:rsid w:val="00335F63"/>
    <w:rsid w:val="00343CAA"/>
    <w:rsid w:val="00345E78"/>
    <w:rsid w:val="00346C2F"/>
    <w:rsid w:val="003473D2"/>
    <w:rsid w:val="00352AFB"/>
    <w:rsid w:val="00353979"/>
    <w:rsid w:val="0035577B"/>
    <w:rsid w:val="00367B23"/>
    <w:rsid w:val="00373725"/>
    <w:rsid w:val="00373B50"/>
    <w:rsid w:val="00374710"/>
    <w:rsid w:val="003803AB"/>
    <w:rsid w:val="00380645"/>
    <w:rsid w:val="003853CD"/>
    <w:rsid w:val="00386AA9"/>
    <w:rsid w:val="0039437A"/>
    <w:rsid w:val="003A4E5A"/>
    <w:rsid w:val="003A5204"/>
    <w:rsid w:val="003A70CE"/>
    <w:rsid w:val="003B0676"/>
    <w:rsid w:val="003B1738"/>
    <w:rsid w:val="003B20EA"/>
    <w:rsid w:val="003C6FEB"/>
    <w:rsid w:val="003D2273"/>
    <w:rsid w:val="00407917"/>
    <w:rsid w:val="00407CC4"/>
    <w:rsid w:val="00421BEA"/>
    <w:rsid w:val="00432126"/>
    <w:rsid w:val="00443618"/>
    <w:rsid w:val="00445673"/>
    <w:rsid w:val="00453085"/>
    <w:rsid w:val="00460A33"/>
    <w:rsid w:val="004755F8"/>
    <w:rsid w:val="0047593B"/>
    <w:rsid w:val="0048086A"/>
    <w:rsid w:val="0048746C"/>
    <w:rsid w:val="004930AA"/>
    <w:rsid w:val="00496B93"/>
    <w:rsid w:val="00497711"/>
    <w:rsid w:val="004B373F"/>
    <w:rsid w:val="004B7456"/>
    <w:rsid w:val="004C5B22"/>
    <w:rsid w:val="004C724E"/>
    <w:rsid w:val="004E10F9"/>
    <w:rsid w:val="004E1777"/>
    <w:rsid w:val="004E3839"/>
    <w:rsid w:val="004E5D21"/>
    <w:rsid w:val="005005FD"/>
    <w:rsid w:val="005011AD"/>
    <w:rsid w:val="00502574"/>
    <w:rsid w:val="00503A87"/>
    <w:rsid w:val="00513B4F"/>
    <w:rsid w:val="00531B93"/>
    <w:rsid w:val="005459D0"/>
    <w:rsid w:val="005504E6"/>
    <w:rsid w:val="00564311"/>
    <w:rsid w:val="0057519A"/>
    <w:rsid w:val="00585347"/>
    <w:rsid w:val="00595395"/>
    <w:rsid w:val="0059625B"/>
    <w:rsid w:val="00596AB4"/>
    <w:rsid w:val="005A32C2"/>
    <w:rsid w:val="005B0D52"/>
    <w:rsid w:val="005B45E6"/>
    <w:rsid w:val="005B67A2"/>
    <w:rsid w:val="005C18D2"/>
    <w:rsid w:val="005C6147"/>
    <w:rsid w:val="005D46B8"/>
    <w:rsid w:val="005E0E2D"/>
    <w:rsid w:val="005E7559"/>
    <w:rsid w:val="00615FBF"/>
    <w:rsid w:val="0062290F"/>
    <w:rsid w:val="00623D36"/>
    <w:rsid w:val="00627206"/>
    <w:rsid w:val="006321F4"/>
    <w:rsid w:val="006371D0"/>
    <w:rsid w:val="00646C5C"/>
    <w:rsid w:val="0066494B"/>
    <w:rsid w:val="00665670"/>
    <w:rsid w:val="0066756A"/>
    <w:rsid w:val="00681878"/>
    <w:rsid w:val="00683504"/>
    <w:rsid w:val="00692A55"/>
    <w:rsid w:val="006A474B"/>
    <w:rsid w:val="006A779D"/>
    <w:rsid w:val="006B6ACA"/>
    <w:rsid w:val="006B7846"/>
    <w:rsid w:val="006C0086"/>
    <w:rsid w:val="006C1542"/>
    <w:rsid w:val="006C1D3B"/>
    <w:rsid w:val="006C1F07"/>
    <w:rsid w:val="006C6C66"/>
    <w:rsid w:val="006C772C"/>
    <w:rsid w:val="006D5482"/>
    <w:rsid w:val="006E31FB"/>
    <w:rsid w:val="006E7C0F"/>
    <w:rsid w:val="006F7DB3"/>
    <w:rsid w:val="00702AF2"/>
    <w:rsid w:val="007062BD"/>
    <w:rsid w:val="007101CC"/>
    <w:rsid w:val="00711E6C"/>
    <w:rsid w:val="00723211"/>
    <w:rsid w:val="00735384"/>
    <w:rsid w:val="00737234"/>
    <w:rsid w:val="00740C51"/>
    <w:rsid w:val="00751002"/>
    <w:rsid w:val="007605D2"/>
    <w:rsid w:val="00765327"/>
    <w:rsid w:val="007749FC"/>
    <w:rsid w:val="00780AB2"/>
    <w:rsid w:val="00797660"/>
    <w:rsid w:val="007B2EB9"/>
    <w:rsid w:val="007B5EDF"/>
    <w:rsid w:val="007C2929"/>
    <w:rsid w:val="007C3229"/>
    <w:rsid w:val="007C39B9"/>
    <w:rsid w:val="007D6EF8"/>
    <w:rsid w:val="007D6FBB"/>
    <w:rsid w:val="007E31DD"/>
    <w:rsid w:val="007F614F"/>
    <w:rsid w:val="007F66D6"/>
    <w:rsid w:val="008006FA"/>
    <w:rsid w:val="008110AA"/>
    <w:rsid w:val="008111A3"/>
    <w:rsid w:val="00811427"/>
    <w:rsid w:val="00825856"/>
    <w:rsid w:val="008343A2"/>
    <w:rsid w:val="00834957"/>
    <w:rsid w:val="00834A2F"/>
    <w:rsid w:val="00846281"/>
    <w:rsid w:val="00851373"/>
    <w:rsid w:val="00854DE9"/>
    <w:rsid w:val="00861680"/>
    <w:rsid w:val="00870163"/>
    <w:rsid w:val="0089037A"/>
    <w:rsid w:val="008940A4"/>
    <w:rsid w:val="00895A5D"/>
    <w:rsid w:val="00896BC6"/>
    <w:rsid w:val="008A3F73"/>
    <w:rsid w:val="008C6568"/>
    <w:rsid w:val="008D35D8"/>
    <w:rsid w:val="008D6E0F"/>
    <w:rsid w:val="008F38A8"/>
    <w:rsid w:val="008F6C96"/>
    <w:rsid w:val="00911F06"/>
    <w:rsid w:val="00940420"/>
    <w:rsid w:val="009554D9"/>
    <w:rsid w:val="009669CF"/>
    <w:rsid w:val="00986348"/>
    <w:rsid w:val="009B08A0"/>
    <w:rsid w:val="009C11C0"/>
    <w:rsid w:val="009D03FE"/>
    <w:rsid w:val="009D70A8"/>
    <w:rsid w:val="009D78B0"/>
    <w:rsid w:val="009E1B07"/>
    <w:rsid w:val="009F2788"/>
    <w:rsid w:val="009F62A9"/>
    <w:rsid w:val="00A1267A"/>
    <w:rsid w:val="00A3046D"/>
    <w:rsid w:val="00A3146D"/>
    <w:rsid w:val="00A330FA"/>
    <w:rsid w:val="00A536DE"/>
    <w:rsid w:val="00A57ECD"/>
    <w:rsid w:val="00A66A28"/>
    <w:rsid w:val="00A70A82"/>
    <w:rsid w:val="00A73DC5"/>
    <w:rsid w:val="00A775DD"/>
    <w:rsid w:val="00A837EB"/>
    <w:rsid w:val="00AA4E2A"/>
    <w:rsid w:val="00AB15C1"/>
    <w:rsid w:val="00AB1E41"/>
    <w:rsid w:val="00AB2826"/>
    <w:rsid w:val="00AB4B39"/>
    <w:rsid w:val="00AD3CCC"/>
    <w:rsid w:val="00AD4F06"/>
    <w:rsid w:val="00AE7AB3"/>
    <w:rsid w:val="00AF4C49"/>
    <w:rsid w:val="00B00832"/>
    <w:rsid w:val="00B019A0"/>
    <w:rsid w:val="00B1294F"/>
    <w:rsid w:val="00B2152C"/>
    <w:rsid w:val="00B22AC5"/>
    <w:rsid w:val="00B34414"/>
    <w:rsid w:val="00B3640B"/>
    <w:rsid w:val="00B36CE6"/>
    <w:rsid w:val="00B44829"/>
    <w:rsid w:val="00B5583C"/>
    <w:rsid w:val="00B56F87"/>
    <w:rsid w:val="00B64449"/>
    <w:rsid w:val="00B66D8C"/>
    <w:rsid w:val="00B77A78"/>
    <w:rsid w:val="00B82F7F"/>
    <w:rsid w:val="00B8638A"/>
    <w:rsid w:val="00BA3517"/>
    <w:rsid w:val="00BA3C35"/>
    <w:rsid w:val="00BA58F6"/>
    <w:rsid w:val="00BA7805"/>
    <w:rsid w:val="00BB034D"/>
    <w:rsid w:val="00BC1E08"/>
    <w:rsid w:val="00BD11AC"/>
    <w:rsid w:val="00BE0F52"/>
    <w:rsid w:val="00BE1882"/>
    <w:rsid w:val="00BE452A"/>
    <w:rsid w:val="00BF0716"/>
    <w:rsid w:val="00BF0C80"/>
    <w:rsid w:val="00BF124E"/>
    <w:rsid w:val="00C0084E"/>
    <w:rsid w:val="00C01425"/>
    <w:rsid w:val="00C12152"/>
    <w:rsid w:val="00C22822"/>
    <w:rsid w:val="00C308C3"/>
    <w:rsid w:val="00C357FD"/>
    <w:rsid w:val="00C36F84"/>
    <w:rsid w:val="00C42332"/>
    <w:rsid w:val="00C4730D"/>
    <w:rsid w:val="00C50365"/>
    <w:rsid w:val="00C50AAF"/>
    <w:rsid w:val="00C53A85"/>
    <w:rsid w:val="00C55A63"/>
    <w:rsid w:val="00C6254D"/>
    <w:rsid w:val="00C676D8"/>
    <w:rsid w:val="00C80B39"/>
    <w:rsid w:val="00CA3661"/>
    <w:rsid w:val="00CA42F6"/>
    <w:rsid w:val="00CB4BD1"/>
    <w:rsid w:val="00CC0A79"/>
    <w:rsid w:val="00CC263E"/>
    <w:rsid w:val="00CC60FC"/>
    <w:rsid w:val="00CC7940"/>
    <w:rsid w:val="00CD7A02"/>
    <w:rsid w:val="00CE1AFD"/>
    <w:rsid w:val="00CF0E50"/>
    <w:rsid w:val="00CF23AE"/>
    <w:rsid w:val="00CF4BE9"/>
    <w:rsid w:val="00D034AB"/>
    <w:rsid w:val="00D13B6B"/>
    <w:rsid w:val="00D14DB1"/>
    <w:rsid w:val="00D22B80"/>
    <w:rsid w:val="00D330C4"/>
    <w:rsid w:val="00D34971"/>
    <w:rsid w:val="00D35784"/>
    <w:rsid w:val="00D37592"/>
    <w:rsid w:val="00D443FE"/>
    <w:rsid w:val="00D44541"/>
    <w:rsid w:val="00D509A7"/>
    <w:rsid w:val="00D54758"/>
    <w:rsid w:val="00D60482"/>
    <w:rsid w:val="00D61F89"/>
    <w:rsid w:val="00D72C3B"/>
    <w:rsid w:val="00D755A4"/>
    <w:rsid w:val="00D848ED"/>
    <w:rsid w:val="00DA156E"/>
    <w:rsid w:val="00DA4C56"/>
    <w:rsid w:val="00DB355D"/>
    <w:rsid w:val="00DB38FB"/>
    <w:rsid w:val="00DC32CD"/>
    <w:rsid w:val="00DD2B0B"/>
    <w:rsid w:val="00DE0BBA"/>
    <w:rsid w:val="00DE7715"/>
    <w:rsid w:val="00E0071B"/>
    <w:rsid w:val="00E2143B"/>
    <w:rsid w:val="00E31F79"/>
    <w:rsid w:val="00E564E4"/>
    <w:rsid w:val="00E6222D"/>
    <w:rsid w:val="00E63068"/>
    <w:rsid w:val="00E63BC8"/>
    <w:rsid w:val="00E646C7"/>
    <w:rsid w:val="00E66C57"/>
    <w:rsid w:val="00E76C46"/>
    <w:rsid w:val="00E8603D"/>
    <w:rsid w:val="00E873C3"/>
    <w:rsid w:val="00E8788A"/>
    <w:rsid w:val="00E939AA"/>
    <w:rsid w:val="00E97960"/>
    <w:rsid w:val="00E979D2"/>
    <w:rsid w:val="00EA1CF8"/>
    <w:rsid w:val="00EA53B9"/>
    <w:rsid w:val="00EA645E"/>
    <w:rsid w:val="00EC02B6"/>
    <w:rsid w:val="00EC6324"/>
    <w:rsid w:val="00EC7E01"/>
    <w:rsid w:val="00EE139E"/>
    <w:rsid w:val="00EE228C"/>
    <w:rsid w:val="00EE31B1"/>
    <w:rsid w:val="00EE4383"/>
    <w:rsid w:val="00EE491C"/>
    <w:rsid w:val="00EF7D85"/>
    <w:rsid w:val="00F00FF1"/>
    <w:rsid w:val="00F1305E"/>
    <w:rsid w:val="00F1693D"/>
    <w:rsid w:val="00F16E81"/>
    <w:rsid w:val="00F30531"/>
    <w:rsid w:val="00F31891"/>
    <w:rsid w:val="00F343EA"/>
    <w:rsid w:val="00F357CB"/>
    <w:rsid w:val="00F42278"/>
    <w:rsid w:val="00F453C9"/>
    <w:rsid w:val="00F541D9"/>
    <w:rsid w:val="00F83C00"/>
    <w:rsid w:val="00F9130B"/>
    <w:rsid w:val="00F940A3"/>
    <w:rsid w:val="00F97718"/>
    <w:rsid w:val="00FA1809"/>
    <w:rsid w:val="00FA2104"/>
    <w:rsid w:val="00FA4CCB"/>
    <w:rsid w:val="00FB49F0"/>
    <w:rsid w:val="00FC257F"/>
    <w:rsid w:val="00FE2AE6"/>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2D91B"/>
  <w15:docId w15:val="{78F17390-E0A2-4B88-A30C-1DDE8E18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277</TotalTime>
  <Pages>14</Pages>
  <Words>4419</Words>
  <Characters>23912</Characters>
  <Application>Microsoft Office Word</Application>
  <DocSecurity>8</DocSecurity>
  <Lines>199</Lines>
  <Paragraphs>56</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Borbón Jiménez Isabel</cp:lastModifiedBy>
  <cp:revision>146</cp:revision>
  <cp:lastPrinted>2011-09-07T16:03:00Z</cp:lastPrinted>
  <dcterms:created xsi:type="dcterms:W3CDTF">2020-01-20T22:17:00Z</dcterms:created>
  <dcterms:modified xsi:type="dcterms:W3CDTF">2020-01-28T22:26:00Z</dcterms:modified>
</cp:coreProperties>
</file>