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2A174" w14:textId="77777777" w:rsidR="00FA4CCB" w:rsidRDefault="00FA4CCB">
      <w:pPr>
        <w:pStyle w:val="Ttulo"/>
        <w:ind w:right="51"/>
        <w:rPr>
          <w:rFonts w:cs="Arial"/>
        </w:rPr>
      </w:pPr>
      <w:r>
        <w:rPr>
          <w:rFonts w:cs="Arial"/>
        </w:rPr>
        <w:t>BANCO HIPOTECARIO DE LA VIVIENDA</w:t>
      </w:r>
    </w:p>
    <w:p w14:paraId="53B8C9EA" w14:textId="77777777" w:rsidR="00FA4CCB" w:rsidRDefault="00FA4CCB">
      <w:pPr>
        <w:spacing w:line="360" w:lineRule="auto"/>
        <w:ind w:right="51"/>
        <w:jc w:val="center"/>
        <w:rPr>
          <w:rFonts w:cs="Arial"/>
          <w:b/>
          <w:sz w:val="22"/>
          <w:u w:val="single"/>
        </w:rPr>
      </w:pPr>
      <w:r>
        <w:rPr>
          <w:rFonts w:cs="Arial"/>
          <w:b/>
          <w:sz w:val="22"/>
          <w:u w:val="single"/>
        </w:rPr>
        <w:t>JUNTA DIRECTIVA</w:t>
      </w:r>
    </w:p>
    <w:p w14:paraId="7326E9A0" w14:textId="77777777" w:rsidR="00FA4CCB" w:rsidRDefault="00FA4CCB">
      <w:pPr>
        <w:spacing w:line="360" w:lineRule="auto"/>
        <w:ind w:right="51"/>
        <w:jc w:val="center"/>
        <w:rPr>
          <w:rFonts w:cs="Arial"/>
          <w:b/>
          <w:sz w:val="22"/>
          <w:u w:val="single"/>
        </w:rPr>
      </w:pPr>
    </w:p>
    <w:p w14:paraId="36DD943D" w14:textId="7777777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0F1AFC">
        <w:rPr>
          <w:rFonts w:cs="Arial"/>
          <w:b/>
          <w:sz w:val="22"/>
          <w:u w:val="single"/>
        </w:rPr>
        <w:t>01</w:t>
      </w:r>
      <w:r>
        <w:rPr>
          <w:rFonts w:cs="Arial"/>
          <w:b/>
          <w:sz w:val="22"/>
          <w:u w:val="single"/>
        </w:rPr>
        <w:t>-20</w:t>
      </w:r>
      <w:r w:rsidR="00E97960">
        <w:rPr>
          <w:rFonts w:cs="Arial"/>
          <w:b/>
          <w:sz w:val="22"/>
          <w:u w:val="single"/>
        </w:rPr>
        <w:t>20</w:t>
      </w:r>
    </w:p>
    <w:p w14:paraId="6D8CBE66" w14:textId="77777777" w:rsidR="00FA4CCB" w:rsidRDefault="00FA4CCB">
      <w:pPr>
        <w:spacing w:line="360" w:lineRule="auto"/>
        <w:ind w:right="51"/>
        <w:jc w:val="center"/>
        <w:rPr>
          <w:rFonts w:cs="Arial"/>
          <w:b/>
          <w:sz w:val="22"/>
          <w:u w:val="single"/>
        </w:rPr>
      </w:pPr>
      <w:r>
        <w:rPr>
          <w:rFonts w:cs="Arial"/>
          <w:b/>
          <w:sz w:val="22"/>
          <w:u w:val="single"/>
        </w:rPr>
        <w:t xml:space="preserve">DEL </w:t>
      </w:r>
      <w:r w:rsidR="000F1AFC">
        <w:rPr>
          <w:rFonts w:cs="Arial"/>
          <w:b/>
          <w:sz w:val="22"/>
          <w:u w:val="single"/>
        </w:rPr>
        <w:t>06</w:t>
      </w:r>
      <w:r>
        <w:rPr>
          <w:rFonts w:cs="Arial"/>
          <w:b/>
          <w:sz w:val="22"/>
          <w:u w:val="single"/>
        </w:rPr>
        <w:t xml:space="preserve"> DE </w:t>
      </w:r>
      <w:r w:rsidR="000F1AFC">
        <w:rPr>
          <w:rFonts w:cs="Arial"/>
          <w:b/>
          <w:sz w:val="22"/>
          <w:u w:val="single"/>
        </w:rPr>
        <w:t>ENERO</w:t>
      </w:r>
      <w:r>
        <w:rPr>
          <w:rFonts w:cs="Arial"/>
          <w:b/>
          <w:sz w:val="22"/>
          <w:u w:val="single"/>
        </w:rPr>
        <w:t xml:space="preserve"> DE 20</w:t>
      </w:r>
      <w:r w:rsidR="00E97960">
        <w:rPr>
          <w:rFonts w:cs="Arial"/>
          <w:b/>
          <w:sz w:val="22"/>
          <w:u w:val="single"/>
        </w:rPr>
        <w:t>20</w:t>
      </w:r>
    </w:p>
    <w:p w14:paraId="4B7151E1"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555F0445" w14:textId="77777777" w:rsidR="00FA4CCB" w:rsidRDefault="00FA4CCB">
      <w:pPr>
        <w:spacing w:line="360" w:lineRule="auto"/>
        <w:ind w:right="51"/>
        <w:jc w:val="center"/>
        <w:rPr>
          <w:rFonts w:cs="Arial"/>
          <w:b/>
          <w:sz w:val="22"/>
          <w:u w:val="single"/>
        </w:rPr>
      </w:pPr>
    </w:p>
    <w:p w14:paraId="3933BB9C"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10B122C5" w14:textId="77777777" w:rsidR="00AD4F06" w:rsidRDefault="00AD4F06" w:rsidP="0066494B">
      <w:pPr>
        <w:spacing w:line="360" w:lineRule="auto"/>
        <w:jc w:val="both"/>
        <w:rPr>
          <w:rFonts w:cs="Arial"/>
          <w:sz w:val="22"/>
        </w:rPr>
      </w:pPr>
    </w:p>
    <w:p w14:paraId="2D7A0CD5" w14:textId="5E3DD90E" w:rsidR="006E3EB4" w:rsidRDefault="00FA4CCB" w:rsidP="0066494B">
      <w:pPr>
        <w:spacing w:line="360" w:lineRule="auto"/>
        <w:jc w:val="both"/>
        <w:rPr>
          <w:rFonts w:cs="Arial"/>
          <w:sz w:val="22"/>
        </w:rPr>
      </w:pPr>
      <w:r>
        <w:rPr>
          <w:rFonts w:cs="Arial"/>
          <w:sz w:val="22"/>
        </w:rPr>
        <w:t xml:space="preserve">Asisten también los siguientes funcionarios: </w:t>
      </w:r>
      <w:r w:rsidR="006E3EB4">
        <w:rPr>
          <w:rFonts w:cs="Arial"/>
          <w:sz w:val="22"/>
        </w:rPr>
        <w:t xml:space="preserve">Carlos Castro Miranda, </w:t>
      </w:r>
      <w:r w:rsidR="00DB38FB">
        <w:rPr>
          <w:rFonts w:cs="Arial"/>
          <w:sz w:val="22"/>
        </w:rPr>
        <w:t>Gerente General</w:t>
      </w:r>
      <w:r w:rsidR="006E3EB4">
        <w:rPr>
          <w:rFonts w:cs="Arial"/>
          <w:sz w:val="22"/>
        </w:rPr>
        <w:t xml:space="preserve"> a.i.</w:t>
      </w:r>
      <w:r w:rsidR="00DB38FB">
        <w:rPr>
          <w:rFonts w:cs="Arial"/>
          <w:sz w:val="22"/>
        </w:rPr>
        <w:t>;</w:t>
      </w:r>
      <w:r w:rsidR="006E3EB4">
        <w:rPr>
          <w:rFonts w:cs="Arial"/>
          <w:sz w:val="22"/>
        </w:rPr>
        <w:t xml:space="preserve"> David</w:t>
      </w:r>
      <w:r w:rsidR="006E3EB4" w:rsidRPr="006E3EB4">
        <w:rPr>
          <w:rFonts w:cs="Arial"/>
          <w:sz w:val="22"/>
        </w:rPr>
        <w:t xml:space="preserve"> </w:t>
      </w:r>
      <w:r w:rsidR="006E3EB4">
        <w:rPr>
          <w:rFonts w:cs="Arial"/>
          <w:sz w:val="22"/>
        </w:rPr>
        <w:t xml:space="preserve">López Pacheco, Secretario de Junta Directiva. </w:t>
      </w:r>
      <w:r w:rsidR="00591E19">
        <w:rPr>
          <w:rFonts w:cs="Arial"/>
          <w:sz w:val="22"/>
        </w:rPr>
        <w:t>Además participan l</w:t>
      </w:r>
      <w:r w:rsidR="006E3EB4">
        <w:rPr>
          <w:rFonts w:cs="Arial"/>
          <w:sz w:val="22"/>
        </w:rPr>
        <w:t xml:space="preserve">os licenciados Mauricio González Zumbado, funcionario de la Auditoría Interna; y Marcela Alvarado Castro, funcionaria de la </w:t>
      </w:r>
      <w:r w:rsidR="006E3EB4" w:rsidRPr="006E3EB4">
        <w:rPr>
          <w:rFonts w:cs="Arial"/>
          <w:sz w:val="22"/>
          <w:szCs w:val="22"/>
        </w:rPr>
        <w:t>Asesoría Legal</w:t>
      </w:r>
      <w:r w:rsidR="006E3EB4">
        <w:rPr>
          <w:rFonts w:cs="Arial"/>
          <w:sz w:val="22"/>
          <w:szCs w:val="22"/>
        </w:rPr>
        <w:t xml:space="preserve">, </w:t>
      </w:r>
      <w:r w:rsidR="00591E19">
        <w:rPr>
          <w:rFonts w:cs="Arial"/>
          <w:sz w:val="22"/>
          <w:szCs w:val="22"/>
        </w:rPr>
        <w:t xml:space="preserve">cuya participación consta a partir de </w:t>
      </w:r>
      <w:r w:rsidR="006E3EB4">
        <w:rPr>
          <w:rFonts w:cs="Arial"/>
          <w:sz w:val="22"/>
          <w:szCs w:val="22"/>
        </w:rPr>
        <w:t xml:space="preserve">los minutos </w:t>
      </w:r>
      <w:r w:rsidR="002E2218">
        <w:rPr>
          <w:rFonts w:cs="Arial"/>
          <w:sz w:val="22"/>
          <w:szCs w:val="22"/>
        </w:rPr>
        <w:t>05</w:t>
      </w:r>
      <w:r w:rsidR="00591E19">
        <w:rPr>
          <w:rFonts w:cs="Arial"/>
          <w:sz w:val="22"/>
          <w:szCs w:val="22"/>
        </w:rPr>
        <w:t xml:space="preserve">:00 </w:t>
      </w:r>
      <w:r w:rsidR="006E3EB4" w:rsidRPr="00591E19">
        <w:rPr>
          <w:rFonts w:cs="Arial"/>
          <w:sz w:val="22"/>
          <w:szCs w:val="22"/>
        </w:rPr>
        <w:t xml:space="preserve">y </w:t>
      </w:r>
      <w:r w:rsidR="00BC6D61">
        <w:rPr>
          <w:rFonts w:cs="Arial"/>
          <w:sz w:val="22"/>
          <w:szCs w:val="22"/>
        </w:rPr>
        <w:t>04</w:t>
      </w:r>
      <w:r w:rsidR="00591E19">
        <w:rPr>
          <w:rFonts w:cs="Arial"/>
          <w:sz w:val="22"/>
          <w:szCs w:val="22"/>
        </w:rPr>
        <w:t>:</w:t>
      </w:r>
      <w:r w:rsidR="00BC6D61">
        <w:rPr>
          <w:rFonts w:cs="Arial"/>
          <w:sz w:val="22"/>
          <w:szCs w:val="22"/>
        </w:rPr>
        <w:t>3</w:t>
      </w:r>
      <w:r w:rsidR="00591E19">
        <w:rPr>
          <w:rFonts w:cs="Arial"/>
          <w:sz w:val="22"/>
          <w:szCs w:val="22"/>
        </w:rPr>
        <w:t>0</w:t>
      </w:r>
      <w:r w:rsidR="006E3EB4">
        <w:rPr>
          <w:rFonts w:cs="Arial"/>
          <w:sz w:val="22"/>
          <w:szCs w:val="22"/>
        </w:rPr>
        <w:t xml:space="preserve"> respectivamente.</w:t>
      </w:r>
      <w:bookmarkStart w:id="0" w:name="_GoBack"/>
      <w:bookmarkEnd w:id="0"/>
    </w:p>
    <w:p w14:paraId="7F8FA191" w14:textId="77777777" w:rsidR="007749FC" w:rsidRDefault="007749FC" w:rsidP="0066494B">
      <w:pPr>
        <w:spacing w:line="360" w:lineRule="auto"/>
        <w:jc w:val="both"/>
        <w:rPr>
          <w:rFonts w:cs="Arial"/>
          <w:sz w:val="22"/>
        </w:rPr>
      </w:pPr>
    </w:p>
    <w:p w14:paraId="443630FC" w14:textId="32A9B6A4" w:rsidR="007749FC" w:rsidRDefault="007749FC" w:rsidP="0066494B">
      <w:pPr>
        <w:spacing w:line="360" w:lineRule="auto"/>
        <w:jc w:val="both"/>
        <w:rPr>
          <w:rFonts w:cs="Arial"/>
          <w:sz w:val="22"/>
        </w:rPr>
      </w:pPr>
      <w:r>
        <w:rPr>
          <w:rFonts w:cs="Arial"/>
          <w:sz w:val="22"/>
        </w:rPr>
        <w:t>Ausente con justificación:</w:t>
      </w:r>
      <w:r w:rsidR="006E3EB4" w:rsidRPr="006E3EB4">
        <w:rPr>
          <w:rFonts w:cs="Arial"/>
          <w:sz w:val="22"/>
        </w:rPr>
        <w:t xml:space="preserve"> </w:t>
      </w:r>
      <w:r w:rsidR="006E3EB4">
        <w:rPr>
          <w:rFonts w:cs="Arial"/>
          <w:sz w:val="22"/>
        </w:rPr>
        <w:t xml:space="preserve">Gustavo Flores Oviedo, </w:t>
      </w:r>
      <w:r w:rsidR="006E3EB4">
        <w:rPr>
          <w:rFonts w:cs="Arial"/>
          <w:sz w:val="22"/>
          <w:szCs w:val="22"/>
        </w:rPr>
        <w:t>Auditor Interno</w:t>
      </w:r>
      <w:r w:rsidR="006E3EB4">
        <w:rPr>
          <w:rFonts w:cs="Arial"/>
          <w:sz w:val="22"/>
        </w:rPr>
        <w:t>.</w:t>
      </w:r>
    </w:p>
    <w:p w14:paraId="6E021061" w14:textId="77777777" w:rsidR="006321F4" w:rsidRPr="00D14EAF" w:rsidRDefault="006321F4" w:rsidP="006321F4">
      <w:pPr>
        <w:spacing w:line="360" w:lineRule="auto"/>
        <w:jc w:val="both"/>
        <w:rPr>
          <w:rFonts w:cs="Arial"/>
          <w:b/>
          <w:sz w:val="22"/>
        </w:rPr>
      </w:pPr>
      <w:r w:rsidRPr="00D14EAF">
        <w:rPr>
          <w:rFonts w:cs="Arial"/>
          <w:b/>
          <w:sz w:val="22"/>
        </w:rPr>
        <w:t>************</w:t>
      </w:r>
    </w:p>
    <w:p w14:paraId="603B5B76" w14:textId="77777777" w:rsidR="00FA4CCB" w:rsidRDefault="00FA4CCB" w:rsidP="0066494B">
      <w:pPr>
        <w:spacing w:line="360" w:lineRule="auto"/>
        <w:jc w:val="both"/>
        <w:rPr>
          <w:rFonts w:cs="Arial"/>
          <w:sz w:val="22"/>
        </w:rPr>
      </w:pPr>
    </w:p>
    <w:p w14:paraId="6030B261" w14:textId="77777777" w:rsidR="00FA4CCB" w:rsidRDefault="00FA4CCB" w:rsidP="0066494B">
      <w:pPr>
        <w:pStyle w:val="Ttulo4"/>
        <w:spacing w:line="360" w:lineRule="auto"/>
        <w:jc w:val="both"/>
        <w:rPr>
          <w:rFonts w:cs="Arial"/>
        </w:rPr>
      </w:pPr>
      <w:r>
        <w:rPr>
          <w:rFonts w:cs="Arial"/>
        </w:rPr>
        <w:t>Asuntos conocidos en la presente sesión</w:t>
      </w:r>
    </w:p>
    <w:p w14:paraId="47381E63" w14:textId="77777777" w:rsidR="00FA4CCB" w:rsidRDefault="00FA4CCB" w:rsidP="0066494B">
      <w:pPr>
        <w:spacing w:line="360" w:lineRule="auto"/>
        <w:jc w:val="both"/>
        <w:rPr>
          <w:rFonts w:cs="Arial"/>
          <w:b/>
          <w:sz w:val="22"/>
        </w:rPr>
      </w:pPr>
    </w:p>
    <w:p w14:paraId="4EF28C10"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9F42252" w14:textId="77777777" w:rsidR="000F1AFC" w:rsidRPr="0001101D" w:rsidRDefault="000F1AFC" w:rsidP="0001101D">
      <w:pPr>
        <w:pStyle w:val="Prrafodelista"/>
        <w:numPr>
          <w:ilvl w:val="0"/>
          <w:numId w:val="18"/>
        </w:numPr>
        <w:spacing w:line="360" w:lineRule="auto"/>
        <w:ind w:left="567" w:hanging="567"/>
        <w:jc w:val="both"/>
        <w:rPr>
          <w:rFonts w:cs="Arial"/>
          <w:sz w:val="22"/>
          <w:lang w:val="es-ES_tradnl"/>
        </w:rPr>
      </w:pPr>
      <w:r w:rsidRPr="0001101D">
        <w:rPr>
          <w:rFonts w:cs="Arial"/>
          <w:sz w:val="22"/>
          <w:lang w:val="es-ES_tradnl"/>
        </w:rPr>
        <w:t>Lectura y aprobación de las actas N° 99-2019 del 12/12/2019 y N° 100-2019 del 16/12/2019.</w:t>
      </w:r>
    </w:p>
    <w:p w14:paraId="35D57BD5" w14:textId="77777777" w:rsidR="000F1AFC" w:rsidRPr="0001101D" w:rsidRDefault="000F1AFC" w:rsidP="0001101D">
      <w:pPr>
        <w:pStyle w:val="Prrafodelista"/>
        <w:numPr>
          <w:ilvl w:val="0"/>
          <w:numId w:val="18"/>
        </w:numPr>
        <w:spacing w:line="360" w:lineRule="auto"/>
        <w:ind w:left="567" w:hanging="567"/>
        <w:jc w:val="both"/>
        <w:rPr>
          <w:rFonts w:cs="Arial"/>
          <w:sz w:val="22"/>
        </w:rPr>
      </w:pPr>
      <w:r w:rsidRPr="0001101D">
        <w:rPr>
          <w:rFonts w:cs="Arial"/>
          <w:sz w:val="22"/>
          <w:lang w:val="es-ES_tradnl"/>
        </w:rPr>
        <w:t>Informe de la Contraloría General de la República, sobre la calidad de la información de bonos de vivienda contenida en el sistema automatizado del BANHVI.</w:t>
      </w:r>
    </w:p>
    <w:p w14:paraId="59FC5E43" w14:textId="77777777" w:rsidR="000F1AFC" w:rsidRPr="0001101D" w:rsidRDefault="000F1AFC" w:rsidP="0001101D">
      <w:pPr>
        <w:pStyle w:val="Prrafodelista"/>
        <w:numPr>
          <w:ilvl w:val="0"/>
          <w:numId w:val="18"/>
        </w:numPr>
        <w:spacing w:line="360" w:lineRule="auto"/>
        <w:ind w:left="567" w:hanging="567"/>
        <w:jc w:val="both"/>
        <w:rPr>
          <w:rFonts w:cs="Arial"/>
          <w:sz w:val="22"/>
        </w:rPr>
      </w:pPr>
      <w:r w:rsidRPr="0001101D">
        <w:rPr>
          <w:rFonts w:cs="Arial"/>
          <w:sz w:val="22"/>
          <w:lang w:val="es-ES_tradnl"/>
        </w:rPr>
        <w:t>Propuesta de programas de colocación de crédito y plan anual de captaciones del FONAVI, para el año 2020.</w:t>
      </w:r>
    </w:p>
    <w:p w14:paraId="41B91FE9" w14:textId="77777777" w:rsidR="000F1AFC" w:rsidRPr="0001101D" w:rsidRDefault="000F1AFC" w:rsidP="0001101D">
      <w:pPr>
        <w:pStyle w:val="Prrafodelista"/>
        <w:numPr>
          <w:ilvl w:val="0"/>
          <w:numId w:val="18"/>
        </w:numPr>
        <w:spacing w:line="360" w:lineRule="auto"/>
        <w:ind w:left="567" w:hanging="567"/>
        <w:jc w:val="both"/>
        <w:rPr>
          <w:rFonts w:cs="Arial"/>
          <w:sz w:val="22"/>
        </w:rPr>
      </w:pPr>
      <w:r w:rsidRPr="0001101D">
        <w:rPr>
          <w:rFonts w:cs="Arial"/>
          <w:sz w:val="22"/>
          <w:lang w:val="es-ES_tradnl"/>
        </w:rPr>
        <w:t>Estado del análisis de la solicitud de crédito presentada por el Banco Popular y de Desarrollo Comunal, dentro del Programa Integral de Financiamiento para Familias de Ingresos Medios.</w:t>
      </w:r>
    </w:p>
    <w:p w14:paraId="7609F2E0" w14:textId="77777777" w:rsidR="000F1AFC" w:rsidRPr="0001101D" w:rsidRDefault="000F1AFC" w:rsidP="0001101D">
      <w:pPr>
        <w:pStyle w:val="Prrafodelista"/>
        <w:numPr>
          <w:ilvl w:val="0"/>
          <w:numId w:val="18"/>
        </w:numPr>
        <w:spacing w:line="360" w:lineRule="auto"/>
        <w:ind w:left="567" w:hanging="567"/>
        <w:jc w:val="both"/>
        <w:rPr>
          <w:rFonts w:cs="Arial"/>
          <w:sz w:val="22"/>
          <w:lang w:val="es-ES_tradnl"/>
        </w:rPr>
      </w:pPr>
      <w:r w:rsidRPr="0001101D">
        <w:rPr>
          <w:rFonts w:cs="Arial"/>
          <w:sz w:val="22"/>
          <w:lang w:val="es-ES_tradnl"/>
        </w:rPr>
        <w:t>Informe sobre la situación financiera del Banco, con corte a setiembre de 2019.</w:t>
      </w:r>
    </w:p>
    <w:p w14:paraId="76B77548" w14:textId="77777777" w:rsidR="007749FC" w:rsidRPr="0001101D" w:rsidRDefault="000F1AFC" w:rsidP="0001101D">
      <w:pPr>
        <w:pStyle w:val="Prrafodelista"/>
        <w:numPr>
          <w:ilvl w:val="0"/>
          <w:numId w:val="18"/>
        </w:numPr>
        <w:spacing w:line="360" w:lineRule="auto"/>
        <w:ind w:left="567" w:hanging="567"/>
        <w:jc w:val="both"/>
        <w:rPr>
          <w:rFonts w:cs="Arial"/>
          <w:sz w:val="22"/>
        </w:rPr>
      </w:pPr>
      <w:r w:rsidRPr="0001101D">
        <w:rPr>
          <w:rFonts w:cs="Arial"/>
          <w:sz w:val="22"/>
        </w:rPr>
        <w:lastRenderedPageBreak/>
        <w:t>Estados Financieros Intermedios, con corte a setiembre de 2019.</w:t>
      </w:r>
    </w:p>
    <w:p w14:paraId="771B395F" w14:textId="1289987C" w:rsidR="007749FC" w:rsidRPr="0001101D" w:rsidRDefault="00D659AB" w:rsidP="0001101D">
      <w:pPr>
        <w:pStyle w:val="Prrafodelista"/>
        <w:numPr>
          <w:ilvl w:val="0"/>
          <w:numId w:val="18"/>
        </w:numPr>
        <w:spacing w:line="360" w:lineRule="auto"/>
        <w:ind w:left="567" w:hanging="567"/>
        <w:jc w:val="both"/>
        <w:rPr>
          <w:rFonts w:cs="Arial"/>
          <w:sz w:val="22"/>
        </w:rPr>
      </w:pPr>
      <w:r w:rsidRPr="0001101D">
        <w:rPr>
          <w:rFonts w:cs="Arial"/>
          <w:sz w:val="22"/>
        </w:rPr>
        <w:t>Solicitud de información sobre bonos otorgados a familias del asentamiento Triángulo de Solidaridad.</w:t>
      </w:r>
    </w:p>
    <w:p w14:paraId="181B0D99" w14:textId="74E0CE4A" w:rsidR="00D659AB" w:rsidRPr="0001101D" w:rsidRDefault="00D659AB" w:rsidP="0001101D">
      <w:pPr>
        <w:pStyle w:val="Prrafodelista"/>
        <w:numPr>
          <w:ilvl w:val="0"/>
          <w:numId w:val="18"/>
        </w:numPr>
        <w:spacing w:line="360" w:lineRule="auto"/>
        <w:ind w:left="567" w:hanging="567"/>
        <w:jc w:val="both"/>
        <w:rPr>
          <w:rFonts w:cs="Arial"/>
          <w:sz w:val="22"/>
        </w:rPr>
      </w:pPr>
      <w:r w:rsidRPr="0001101D">
        <w:rPr>
          <w:rFonts w:cs="Arial"/>
          <w:sz w:val="22"/>
        </w:rPr>
        <w:t xml:space="preserve">Propuesta a raíz de reportaje televisivo sobre el proyecto Cocales de </w:t>
      </w:r>
      <w:proofErr w:type="spellStart"/>
      <w:r w:rsidRPr="0001101D">
        <w:rPr>
          <w:rFonts w:cs="Arial"/>
          <w:sz w:val="22"/>
        </w:rPr>
        <w:t>Duacarí</w:t>
      </w:r>
      <w:proofErr w:type="spellEnd"/>
      <w:r w:rsidRPr="0001101D">
        <w:rPr>
          <w:rFonts w:cs="Arial"/>
          <w:sz w:val="22"/>
        </w:rPr>
        <w:t>.</w:t>
      </w:r>
    </w:p>
    <w:p w14:paraId="6F56E823" w14:textId="211FADC3" w:rsidR="00D659AB" w:rsidRPr="0001101D" w:rsidRDefault="00D659AB" w:rsidP="0001101D">
      <w:pPr>
        <w:pStyle w:val="Prrafodelista"/>
        <w:numPr>
          <w:ilvl w:val="0"/>
          <w:numId w:val="18"/>
        </w:numPr>
        <w:spacing w:line="360" w:lineRule="auto"/>
        <w:ind w:left="567" w:hanging="567"/>
        <w:jc w:val="both"/>
        <w:rPr>
          <w:rFonts w:cs="Arial"/>
          <w:sz w:val="22"/>
        </w:rPr>
      </w:pPr>
      <w:r w:rsidRPr="0001101D">
        <w:rPr>
          <w:rFonts w:cs="Arial"/>
          <w:sz w:val="22"/>
        </w:rPr>
        <w:t>Solicitud de información sobre el proyecto Vistas del Miravalles.</w:t>
      </w:r>
    </w:p>
    <w:p w14:paraId="5759D580" w14:textId="0314D076" w:rsidR="00D659AB" w:rsidRPr="0001101D" w:rsidRDefault="00D659AB" w:rsidP="0001101D">
      <w:pPr>
        <w:pStyle w:val="Prrafodelista"/>
        <w:numPr>
          <w:ilvl w:val="0"/>
          <w:numId w:val="18"/>
        </w:numPr>
        <w:spacing w:line="360" w:lineRule="auto"/>
        <w:ind w:left="567" w:hanging="567"/>
        <w:jc w:val="both"/>
        <w:rPr>
          <w:rFonts w:cs="Arial"/>
          <w:sz w:val="22"/>
        </w:rPr>
      </w:pPr>
      <w:r w:rsidRPr="0001101D">
        <w:rPr>
          <w:rFonts w:cs="Arial"/>
          <w:sz w:val="22"/>
        </w:rPr>
        <w:t>Consulta sobre el pago de gastos de formalización a beneficiarios del artículo 59 y sobre la contratación de plazas en la Dirección FOSUVI.</w:t>
      </w:r>
    </w:p>
    <w:p w14:paraId="508DEEE5" w14:textId="697E5AD3" w:rsidR="00D659AB" w:rsidRPr="0001101D" w:rsidRDefault="00D659AB" w:rsidP="0001101D">
      <w:pPr>
        <w:pStyle w:val="Prrafodelista"/>
        <w:numPr>
          <w:ilvl w:val="0"/>
          <w:numId w:val="18"/>
        </w:numPr>
        <w:spacing w:line="360" w:lineRule="auto"/>
        <w:ind w:left="567" w:hanging="567"/>
        <w:jc w:val="both"/>
        <w:rPr>
          <w:rFonts w:cs="Arial"/>
          <w:sz w:val="22"/>
        </w:rPr>
      </w:pPr>
      <w:r w:rsidRPr="0001101D">
        <w:rPr>
          <w:rFonts w:cs="Arial"/>
          <w:sz w:val="22"/>
        </w:rPr>
        <w:t>Solicitud para atender disposiciones sobre el establecimiento de topes al monto de los bonos al amparo del artículo 59.</w:t>
      </w:r>
    </w:p>
    <w:p w14:paraId="2F6F3954" w14:textId="65712C32" w:rsidR="00D659AB" w:rsidRPr="0001101D" w:rsidRDefault="00D659AB" w:rsidP="0001101D">
      <w:pPr>
        <w:pStyle w:val="Prrafodelista"/>
        <w:numPr>
          <w:ilvl w:val="0"/>
          <w:numId w:val="18"/>
        </w:numPr>
        <w:spacing w:line="360" w:lineRule="auto"/>
        <w:ind w:left="567" w:hanging="567"/>
        <w:jc w:val="both"/>
        <w:rPr>
          <w:rFonts w:cs="Arial"/>
          <w:sz w:val="22"/>
        </w:rPr>
      </w:pPr>
      <w:r w:rsidRPr="0001101D">
        <w:rPr>
          <w:rFonts w:cs="Arial"/>
          <w:sz w:val="22"/>
        </w:rPr>
        <w:t xml:space="preserve">Propuesta para valorar el </w:t>
      </w:r>
      <w:r w:rsidR="003E7585" w:rsidRPr="0001101D">
        <w:rPr>
          <w:rFonts w:cs="Arial"/>
          <w:sz w:val="22"/>
        </w:rPr>
        <w:t>pago de los gastos de formalización para casos de bono ordinario.</w:t>
      </w:r>
    </w:p>
    <w:p w14:paraId="41B9567A" w14:textId="4194906C" w:rsidR="003E7585" w:rsidRPr="0001101D" w:rsidRDefault="003E7585" w:rsidP="0001101D">
      <w:pPr>
        <w:pStyle w:val="Prrafodelista"/>
        <w:numPr>
          <w:ilvl w:val="0"/>
          <w:numId w:val="18"/>
        </w:numPr>
        <w:spacing w:line="360" w:lineRule="auto"/>
        <w:ind w:left="567" w:hanging="567"/>
        <w:jc w:val="both"/>
        <w:rPr>
          <w:rFonts w:cs="Arial"/>
          <w:sz w:val="22"/>
        </w:rPr>
      </w:pPr>
      <w:r w:rsidRPr="0001101D">
        <w:rPr>
          <w:rFonts w:cs="Arial"/>
          <w:sz w:val="22"/>
        </w:rPr>
        <w:t>Solicitud para remitir documentos relevantes al nuevo Gerente General designado.</w:t>
      </w:r>
    </w:p>
    <w:p w14:paraId="7B7562BD" w14:textId="751E11F2" w:rsidR="003E7585" w:rsidRPr="0001101D" w:rsidRDefault="003E7585" w:rsidP="0001101D">
      <w:pPr>
        <w:pStyle w:val="Prrafodelista"/>
        <w:numPr>
          <w:ilvl w:val="0"/>
          <w:numId w:val="18"/>
        </w:numPr>
        <w:spacing w:line="360" w:lineRule="auto"/>
        <w:ind w:left="567" w:hanging="567"/>
        <w:jc w:val="both"/>
        <w:rPr>
          <w:rFonts w:cs="Arial"/>
          <w:sz w:val="22"/>
        </w:rPr>
      </w:pPr>
      <w:r w:rsidRPr="0001101D">
        <w:rPr>
          <w:rFonts w:cs="Arial"/>
          <w:sz w:val="22"/>
        </w:rPr>
        <w:t>Propuesta con respecto al proyecto de vivienda productiva.</w:t>
      </w:r>
    </w:p>
    <w:p w14:paraId="1DA378E9" w14:textId="187AEF00" w:rsidR="003E7585" w:rsidRPr="0001101D" w:rsidRDefault="003E7585" w:rsidP="0001101D">
      <w:pPr>
        <w:pStyle w:val="Prrafodelista"/>
        <w:numPr>
          <w:ilvl w:val="0"/>
          <w:numId w:val="18"/>
        </w:numPr>
        <w:spacing w:line="360" w:lineRule="auto"/>
        <w:ind w:left="567" w:hanging="567"/>
        <w:jc w:val="both"/>
        <w:rPr>
          <w:rFonts w:cs="Arial"/>
          <w:sz w:val="22"/>
        </w:rPr>
      </w:pPr>
      <w:r w:rsidRPr="0001101D">
        <w:rPr>
          <w:rFonts w:cs="Arial"/>
          <w:sz w:val="22"/>
        </w:rPr>
        <w:t xml:space="preserve">Informes </w:t>
      </w:r>
      <w:r w:rsidR="00C25B38" w:rsidRPr="0001101D">
        <w:rPr>
          <w:rFonts w:cs="Arial"/>
          <w:sz w:val="22"/>
        </w:rPr>
        <w:t>con respecto a</w:t>
      </w:r>
      <w:r w:rsidRPr="0001101D">
        <w:rPr>
          <w:rFonts w:cs="Arial"/>
          <w:sz w:val="22"/>
        </w:rPr>
        <w:t xml:space="preserve"> la implementación de </w:t>
      </w:r>
      <w:r w:rsidR="0001721A" w:rsidRPr="0001101D">
        <w:rPr>
          <w:rFonts w:cs="Arial"/>
          <w:sz w:val="22"/>
        </w:rPr>
        <w:t xml:space="preserve">ajustes al Sistema de Vivienda, </w:t>
      </w:r>
      <w:r w:rsidR="00C25B38" w:rsidRPr="0001101D">
        <w:rPr>
          <w:rFonts w:cs="Arial"/>
          <w:sz w:val="22"/>
        </w:rPr>
        <w:t>el Impuesto sobre la Renta para las inversiones y la auditoría externa de Tecnologías de Información.</w:t>
      </w:r>
    </w:p>
    <w:p w14:paraId="331576A0" w14:textId="5243F30B" w:rsidR="00D659AB" w:rsidRPr="0001101D" w:rsidRDefault="00506ACE" w:rsidP="0001101D">
      <w:pPr>
        <w:pStyle w:val="Prrafodelista"/>
        <w:numPr>
          <w:ilvl w:val="0"/>
          <w:numId w:val="18"/>
        </w:numPr>
        <w:spacing w:line="360" w:lineRule="auto"/>
        <w:ind w:left="567" w:hanging="567"/>
        <w:jc w:val="both"/>
        <w:rPr>
          <w:rFonts w:cs="Arial"/>
          <w:sz w:val="22"/>
        </w:rPr>
      </w:pPr>
      <w:r w:rsidRPr="0001101D">
        <w:rPr>
          <w:rFonts w:cs="Arial"/>
          <w:sz w:val="22"/>
          <w:lang w:val="es-ES_tradnl"/>
        </w:rPr>
        <w:t>Reporte sobre el cumplimiento de informes para la Junta Directiva, del Sistema de Información Gerencial, con corte a noviembre de 2019.</w:t>
      </w:r>
    </w:p>
    <w:p w14:paraId="7D97DD29" w14:textId="71F335EB" w:rsidR="00506ACE" w:rsidRPr="0001101D" w:rsidRDefault="00506ACE" w:rsidP="0001101D">
      <w:pPr>
        <w:pStyle w:val="Prrafodelista"/>
        <w:numPr>
          <w:ilvl w:val="0"/>
          <w:numId w:val="18"/>
        </w:numPr>
        <w:spacing w:line="360" w:lineRule="auto"/>
        <w:ind w:left="567" w:hanging="567"/>
        <w:jc w:val="both"/>
        <w:rPr>
          <w:rFonts w:cs="Arial"/>
          <w:sz w:val="22"/>
          <w:lang w:val="es-CR"/>
        </w:rPr>
      </w:pPr>
      <w:r w:rsidRPr="0001101D">
        <w:rPr>
          <w:rFonts w:cs="Arial"/>
          <w:sz w:val="22"/>
        </w:rPr>
        <w:t xml:space="preserve">Copia de oficio enviado por la </w:t>
      </w:r>
      <w:r w:rsidRPr="0001101D">
        <w:rPr>
          <w:rFonts w:cs="Arial"/>
          <w:sz w:val="22"/>
          <w:lang w:val="es-ES_tradnl"/>
        </w:rPr>
        <w:t xml:space="preserve">Gerencia General a la Contraloría General de la República, remitiendo observaciones al </w:t>
      </w:r>
      <w:r w:rsidRPr="0001101D">
        <w:rPr>
          <w:rFonts w:cs="Arial"/>
          <w:sz w:val="22"/>
          <w:lang w:val="es-CR"/>
        </w:rPr>
        <w:t>borrador del informe sobre la calidad de la información de bonos de vivienda, contenida en el sistema automatizado del BANHVI.</w:t>
      </w:r>
    </w:p>
    <w:p w14:paraId="1A686F96" w14:textId="3D38E354" w:rsidR="00506ACE" w:rsidRPr="0001101D" w:rsidRDefault="00506ACE" w:rsidP="0001101D">
      <w:pPr>
        <w:pStyle w:val="Prrafodelista"/>
        <w:numPr>
          <w:ilvl w:val="0"/>
          <w:numId w:val="18"/>
        </w:numPr>
        <w:spacing w:line="360" w:lineRule="auto"/>
        <w:ind w:left="567" w:hanging="567"/>
        <w:jc w:val="both"/>
        <w:rPr>
          <w:rFonts w:cs="Arial"/>
          <w:sz w:val="22"/>
          <w:lang w:val="es-CR"/>
        </w:rPr>
      </w:pPr>
      <w:r w:rsidRPr="0001101D">
        <w:rPr>
          <w:rFonts w:cs="Arial"/>
          <w:sz w:val="22"/>
        </w:rPr>
        <w:t xml:space="preserve">Copia de oficio enviado por la </w:t>
      </w:r>
      <w:r w:rsidRPr="0001101D">
        <w:rPr>
          <w:rFonts w:cs="Arial"/>
          <w:sz w:val="22"/>
          <w:lang w:val="es-ES_tradnl"/>
        </w:rPr>
        <w:t xml:space="preserve">Gerencia General a la SUGEF, remitiendo </w:t>
      </w:r>
      <w:r w:rsidRPr="0001101D">
        <w:rPr>
          <w:rFonts w:cs="Arial"/>
          <w:sz w:val="22"/>
          <w:lang w:val="es-CR"/>
        </w:rPr>
        <w:t>el informe de avance trimestral, sobre la ejecución del plan de acción, relacionado con las observaciones señaladas en el estudio de gestión de riesgos sobre el FOSUVI y el FONAVI.</w:t>
      </w:r>
    </w:p>
    <w:p w14:paraId="737F6B83" w14:textId="43B1486A" w:rsidR="00506ACE" w:rsidRPr="0001101D" w:rsidRDefault="00506ACE" w:rsidP="0001101D">
      <w:pPr>
        <w:pStyle w:val="Prrafodelista"/>
        <w:numPr>
          <w:ilvl w:val="0"/>
          <w:numId w:val="18"/>
        </w:numPr>
        <w:spacing w:line="360" w:lineRule="auto"/>
        <w:ind w:left="567" w:hanging="567"/>
        <w:jc w:val="both"/>
        <w:rPr>
          <w:rFonts w:cs="Arial"/>
          <w:sz w:val="22"/>
          <w:lang w:val="es-CR"/>
        </w:rPr>
      </w:pPr>
      <w:r w:rsidRPr="0001101D">
        <w:rPr>
          <w:rFonts w:cs="Arial"/>
          <w:sz w:val="22"/>
          <w:lang w:val="es-CR"/>
        </w:rPr>
        <w:t xml:space="preserve">Oficio de la </w:t>
      </w:r>
      <w:r w:rsidRPr="0001101D">
        <w:rPr>
          <w:rFonts w:cs="Arial"/>
          <w:sz w:val="22"/>
          <w:lang w:val="es-ES_tradnl"/>
        </w:rPr>
        <w:t xml:space="preserve">Contraloría General de la República, </w:t>
      </w:r>
      <w:r w:rsidR="00F5107D" w:rsidRPr="0001101D">
        <w:rPr>
          <w:rFonts w:cs="Arial"/>
          <w:sz w:val="22"/>
          <w:lang w:val="es-ES_tradnl"/>
        </w:rPr>
        <w:t>comunicando</w:t>
      </w:r>
      <w:r w:rsidR="00F5107D" w:rsidRPr="0001101D">
        <w:rPr>
          <w:rFonts w:cs="Arial"/>
          <w:sz w:val="22"/>
          <w:lang w:val="es-CR"/>
        </w:rPr>
        <w:t xml:space="preserve"> la aprobación parcial del presupuesto inicial para el año 2020.</w:t>
      </w:r>
    </w:p>
    <w:p w14:paraId="0333F24A" w14:textId="3174ECBF" w:rsidR="00F5107D" w:rsidRPr="0001101D" w:rsidRDefault="00F5107D" w:rsidP="0001101D">
      <w:pPr>
        <w:pStyle w:val="Prrafodelista"/>
        <w:numPr>
          <w:ilvl w:val="0"/>
          <w:numId w:val="18"/>
        </w:numPr>
        <w:spacing w:line="360" w:lineRule="auto"/>
        <w:ind w:left="567" w:hanging="567"/>
        <w:jc w:val="both"/>
        <w:rPr>
          <w:rFonts w:cs="Arial"/>
          <w:sz w:val="22"/>
          <w:lang w:val="es-CR"/>
        </w:rPr>
      </w:pPr>
      <w:r w:rsidRPr="0001101D">
        <w:rPr>
          <w:rFonts w:cs="Arial"/>
          <w:sz w:val="22"/>
          <w:lang w:val="es-CR"/>
        </w:rPr>
        <w:t xml:space="preserve">Oficio de las empresas </w:t>
      </w:r>
      <w:proofErr w:type="spellStart"/>
      <w:r w:rsidRPr="0001101D">
        <w:rPr>
          <w:rFonts w:cs="Arial"/>
          <w:sz w:val="22"/>
          <w:lang w:val="es-CR"/>
        </w:rPr>
        <w:t>Axe</w:t>
      </w:r>
      <w:proofErr w:type="spellEnd"/>
      <w:r w:rsidRPr="0001101D">
        <w:rPr>
          <w:rFonts w:cs="Arial"/>
          <w:sz w:val="22"/>
          <w:lang w:val="es-CR"/>
        </w:rPr>
        <w:t xml:space="preserve"> Gold y </w:t>
      </w:r>
      <w:proofErr w:type="spellStart"/>
      <w:r w:rsidRPr="0001101D">
        <w:rPr>
          <w:rFonts w:cs="Arial"/>
          <w:sz w:val="22"/>
          <w:lang w:val="es-CR"/>
        </w:rPr>
        <w:t>Agroservicios</w:t>
      </w:r>
      <w:proofErr w:type="spellEnd"/>
      <w:r w:rsidRPr="0001101D">
        <w:rPr>
          <w:rFonts w:cs="Arial"/>
          <w:sz w:val="22"/>
          <w:lang w:val="es-CR"/>
        </w:rPr>
        <w:t xml:space="preserve"> Múltiples, informando que estarán otorgando créditos puente para financiar viviendas a familias de bajos recursos en la zona de Pococí.</w:t>
      </w:r>
    </w:p>
    <w:p w14:paraId="6DAB2C15" w14:textId="17594CE4" w:rsidR="00F5107D" w:rsidRPr="0001101D" w:rsidRDefault="00F5107D" w:rsidP="0001101D">
      <w:pPr>
        <w:pStyle w:val="Prrafodelista"/>
        <w:numPr>
          <w:ilvl w:val="0"/>
          <w:numId w:val="18"/>
        </w:numPr>
        <w:spacing w:line="360" w:lineRule="auto"/>
        <w:ind w:left="567" w:hanging="567"/>
        <w:jc w:val="both"/>
        <w:rPr>
          <w:rFonts w:cs="Arial"/>
          <w:sz w:val="22"/>
          <w:lang w:val="es-ES_tradnl"/>
        </w:rPr>
      </w:pPr>
      <w:r w:rsidRPr="0001101D">
        <w:rPr>
          <w:rFonts w:cs="Arial"/>
          <w:sz w:val="22"/>
          <w:lang w:val="es-CR"/>
        </w:rPr>
        <w:t xml:space="preserve">Oficio de la </w:t>
      </w:r>
      <w:r w:rsidRPr="0001101D">
        <w:rPr>
          <w:rFonts w:cs="Arial"/>
          <w:sz w:val="22"/>
          <w:lang w:val="es-ES_tradnl"/>
        </w:rPr>
        <w:t xml:space="preserve">Contraloría General de la República, remitiendo </w:t>
      </w:r>
      <w:r w:rsidRPr="0001101D">
        <w:rPr>
          <w:rFonts w:cs="Arial"/>
          <w:sz w:val="22"/>
          <w:lang w:val="es-CR"/>
        </w:rPr>
        <w:t>informe sobre la administración y venta de bienes realizables inmuebles del Sector Público.</w:t>
      </w:r>
    </w:p>
    <w:p w14:paraId="4D37AA57" w14:textId="05CFCE92" w:rsidR="007749FC" w:rsidRPr="0001101D" w:rsidRDefault="000312FA" w:rsidP="0001101D">
      <w:pPr>
        <w:pStyle w:val="Prrafodelista"/>
        <w:numPr>
          <w:ilvl w:val="0"/>
          <w:numId w:val="18"/>
        </w:numPr>
        <w:spacing w:line="360" w:lineRule="auto"/>
        <w:ind w:left="567" w:hanging="567"/>
        <w:jc w:val="both"/>
        <w:rPr>
          <w:rFonts w:cs="Arial"/>
          <w:sz w:val="22"/>
        </w:rPr>
      </w:pPr>
      <w:r w:rsidRPr="0001101D">
        <w:rPr>
          <w:rFonts w:cs="Arial"/>
          <w:sz w:val="22"/>
          <w:lang w:val="es-CR"/>
        </w:rPr>
        <w:lastRenderedPageBreak/>
        <w:t xml:space="preserve">Oficio de la Mutual Cartago de Ahorro y Préstamo, </w:t>
      </w:r>
      <w:r w:rsidR="002E13D8" w:rsidRPr="0001101D">
        <w:rPr>
          <w:rFonts w:cs="Arial"/>
          <w:sz w:val="22"/>
          <w:lang w:val="es-CR"/>
        </w:rPr>
        <w:t>informando sobre los resultados positivos que obtuvo esa mutual, a raíz de las medidas tomadas para contribuir al trámite de bonos en el último trimestre del 2019.</w:t>
      </w:r>
    </w:p>
    <w:p w14:paraId="6B8EB733" w14:textId="77777777" w:rsidR="006321F4" w:rsidRPr="00D14EAF" w:rsidRDefault="006321F4" w:rsidP="006321F4">
      <w:pPr>
        <w:spacing w:line="360" w:lineRule="auto"/>
        <w:jc w:val="both"/>
        <w:rPr>
          <w:rFonts w:cs="Arial"/>
          <w:b/>
          <w:sz w:val="22"/>
        </w:rPr>
      </w:pPr>
      <w:r w:rsidRPr="00D14EAF">
        <w:rPr>
          <w:rFonts w:cs="Arial"/>
          <w:b/>
          <w:sz w:val="22"/>
        </w:rPr>
        <w:t>************</w:t>
      </w:r>
    </w:p>
    <w:p w14:paraId="5D17196F" w14:textId="77777777" w:rsidR="007F614F" w:rsidRPr="00AB2826" w:rsidRDefault="007F614F" w:rsidP="002D0146">
      <w:pPr>
        <w:spacing w:line="360" w:lineRule="auto"/>
        <w:jc w:val="both"/>
        <w:rPr>
          <w:rFonts w:cs="Arial"/>
          <w:b/>
          <w:sz w:val="22"/>
          <w:szCs w:val="22"/>
          <w:u w:val="single"/>
          <w:lang w:val="es-ES_tradnl"/>
        </w:rPr>
      </w:pPr>
    </w:p>
    <w:p w14:paraId="5A37A58B" w14:textId="05EFA98C"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01101D" w:rsidRPr="0001101D">
        <w:rPr>
          <w:rFonts w:cs="Arial"/>
          <w:b/>
          <w:bCs/>
          <w:sz w:val="22"/>
          <w:u w:val="single"/>
          <w:lang w:val="es-ES_tradnl"/>
        </w:rPr>
        <w:t>Lectura y aprobación de las actas N° 99-2019 del 12/12/2019 y N° 100-2019 del 16/12/2019</w:t>
      </w:r>
    </w:p>
    <w:p w14:paraId="23D6A6C1" w14:textId="77777777" w:rsidR="00FA4CCB" w:rsidRDefault="00FA4CCB" w:rsidP="002D0146">
      <w:pPr>
        <w:spacing w:line="360" w:lineRule="auto"/>
        <w:jc w:val="both"/>
        <w:rPr>
          <w:rFonts w:cs="Arial"/>
          <w:sz w:val="22"/>
          <w:szCs w:val="22"/>
        </w:rPr>
      </w:pPr>
    </w:p>
    <w:p w14:paraId="7CC80B1B" w14:textId="7CB0A78F"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6E3EB4">
        <w:rPr>
          <w:rFonts w:cs="Arial"/>
          <w:sz w:val="22"/>
          <w:u w:val="single"/>
          <w:lang w:val="es-ES_tradnl"/>
        </w:rPr>
        <w:t>2</w:t>
      </w:r>
      <w:r w:rsidRPr="0039311E">
        <w:rPr>
          <w:rFonts w:cs="Arial"/>
          <w:sz w:val="22"/>
          <w:u w:val="single"/>
          <w:lang w:val="es-ES_tradnl"/>
        </w:rPr>
        <w:t>:</w:t>
      </w:r>
      <w:r w:rsidR="006E3EB4">
        <w:rPr>
          <w:rFonts w:cs="Arial"/>
          <w:sz w:val="22"/>
          <w:u w:val="single"/>
          <w:lang w:val="es-ES_tradnl"/>
        </w:rPr>
        <w:t>22</w:t>
      </w:r>
      <w:r>
        <w:rPr>
          <w:rFonts w:cs="Arial"/>
          <w:sz w:val="22"/>
          <w:lang w:val="es-ES_tradnl"/>
        </w:rPr>
        <w:t xml:space="preserve"> L</w:t>
      </w:r>
      <w:r w:rsidR="00381D89">
        <w:rPr>
          <w:rFonts w:cs="Arial"/>
          <w:sz w:val="22"/>
          <w:lang w:val="es-ES_tradnl"/>
        </w:rPr>
        <w:t xml:space="preserve">uego de discutida y aprobada la orden del día,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23408D">
        <w:rPr>
          <w:rFonts w:cs="Arial"/>
          <w:sz w:val="22"/>
          <w:lang w:val="es-ES_tradnl"/>
        </w:rPr>
        <w:t>extra</w:t>
      </w:r>
      <w:r>
        <w:rPr>
          <w:rFonts w:cs="Arial"/>
          <w:sz w:val="22"/>
          <w:lang w:val="es-ES_tradnl"/>
        </w:rPr>
        <w:t xml:space="preserve">ordinaria N° </w:t>
      </w:r>
      <w:r w:rsidR="0023408D">
        <w:rPr>
          <w:rFonts w:cs="Arial"/>
          <w:sz w:val="22"/>
          <w:lang w:val="es-ES_tradnl"/>
        </w:rPr>
        <w:t>99</w:t>
      </w:r>
      <w:r>
        <w:rPr>
          <w:rFonts w:cs="Arial"/>
          <w:sz w:val="22"/>
          <w:lang w:val="es-ES_tradnl"/>
        </w:rPr>
        <w:t>-20</w:t>
      </w:r>
      <w:r w:rsidR="0023408D">
        <w:rPr>
          <w:rFonts w:cs="Arial"/>
          <w:sz w:val="22"/>
          <w:lang w:val="es-ES_tradnl"/>
        </w:rPr>
        <w:t>19</w:t>
      </w:r>
      <w:r>
        <w:rPr>
          <w:rFonts w:cs="Arial"/>
          <w:sz w:val="22"/>
          <w:lang w:val="es-ES_tradnl"/>
        </w:rPr>
        <w:t>, celebrada el 1</w:t>
      </w:r>
      <w:r w:rsidR="0023408D">
        <w:rPr>
          <w:rFonts w:cs="Arial"/>
          <w:sz w:val="22"/>
          <w:lang w:val="es-ES_tradnl"/>
        </w:rPr>
        <w:t>2</w:t>
      </w:r>
      <w:r>
        <w:rPr>
          <w:rFonts w:cs="Arial"/>
          <w:sz w:val="22"/>
          <w:lang w:val="es-ES_tradnl"/>
        </w:rPr>
        <w:t xml:space="preserve"> de diciembre de 20</w:t>
      </w:r>
      <w:r w:rsidR="0023408D">
        <w:rPr>
          <w:rFonts w:cs="Arial"/>
          <w:sz w:val="22"/>
          <w:lang w:val="es-ES_tradnl"/>
        </w:rPr>
        <w:t>19</w:t>
      </w:r>
      <w:r>
        <w:rPr>
          <w:rFonts w:cs="Arial"/>
          <w:sz w:val="22"/>
          <w:lang w:val="es-ES_tradnl"/>
        </w:rPr>
        <w:t>.</w:t>
      </w:r>
    </w:p>
    <w:p w14:paraId="215F1893" w14:textId="1A4420F0" w:rsidR="009D03FE" w:rsidRDefault="009D03FE" w:rsidP="002D0146">
      <w:pPr>
        <w:spacing w:line="360" w:lineRule="auto"/>
        <w:jc w:val="both"/>
        <w:rPr>
          <w:rFonts w:cs="Arial"/>
          <w:sz w:val="22"/>
          <w:szCs w:val="22"/>
        </w:rPr>
      </w:pPr>
    </w:p>
    <w:p w14:paraId="5D71D1F1" w14:textId="3011D9E5" w:rsidR="00777DFD" w:rsidRDefault="00777DFD" w:rsidP="00777DFD">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03</w:t>
      </w:r>
      <w:r w:rsidRPr="00A25DB7">
        <w:rPr>
          <w:rFonts w:cs="Arial"/>
          <w:sz w:val="22"/>
          <w:u w:val="single"/>
          <w:lang w:val="es-ES_tradnl"/>
        </w:rPr>
        <w:t>:</w:t>
      </w:r>
      <w:r>
        <w:rPr>
          <w:rFonts w:cs="Arial"/>
          <w:sz w:val="22"/>
          <w:u w:val="single"/>
          <w:lang w:val="es-ES_tradnl"/>
        </w:rPr>
        <w:t>25</w:t>
      </w:r>
      <w:r>
        <w:rPr>
          <w:rFonts w:cs="Arial"/>
          <w:sz w:val="22"/>
          <w:lang w:val="es-ES_tradnl"/>
        </w:rPr>
        <w:t xml:space="preserve"> Se discute y resuelve solicitar a la </w:t>
      </w:r>
      <w:r w:rsidRPr="000E391E">
        <w:rPr>
          <w:rFonts w:cs="Arial"/>
          <w:sz w:val="22"/>
          <w:lang w:val="es-ES_tradnl"/>
        </w:rPr>
        <w:t>Administración</w:t>
      </w:r>
      <w:r>
        <w:rPr>
          <w:rFonts w:cs="Arial"/>
          <w:sz w:val="22"/>
          <w:lang w:val="es-ES_tradnl"/>
        </w:rPr>
        <w:t xml:space="preserve">, que </w:t>
      </w:r>
      <w:r>
        <w:rPr>
          <w:rFonts w:cs="Arial"/>
          <w:sz w:val="22"/>
          <w:szCs w:val="22"/>
          <w:lang w:val="es-ES_tradnl"/>
        </w:rPr>
        <w:t xml:space="preserve">someta al conocimiento de esta </w:t>
      </w:r>
      <w:r w:rsidRPr="005E76A6">
        <w:rPr>
          <w:rFonts w:cs="Arial"/>
          <w:sz w:val="22"/>
          <w:szCs w:val="22"/>
          <w:lang w:val="es-ES_tradnl"/>
        </w:rPr>
        <w:t>Junta Directiva</w:t>
      </w:r>
      <w:r>
        <w:rPr>
          <w:rFonts w:cs="Arial"/>
          <w:sz w:val="22"/>
          <w:szCs w:val="22"/>
          <w:lang w:val="es-ES_tradnl"/>
        </w:rPr>
        <w:t xml:space="preserve">, el </w:t>
      </w:r>
      <w:r>
        <w:rPr>
          <w:rFonts w:cs="Arial"/>
          <w:sz w:val="22"/>
          <w:szCs w:val="22"/>
        </w:rPr>
        <w:t xml:space="preserve">plan de divulgación y </w:t>
      </w:r>
      <w:r w:rsidRPr="007E15AB">
        <w:rPr>
          <w:rFonts w:cs="Arial"/>
          <w:sz w:val="22"/>
          <w:szCs w:val="22"/>
        </w:rPr>
        <w:t xml:space="preserve">capacitación, dirigido a los diferentes actores del Sistema Financiero Nacional para la Vivienda, sobre </w:t>
      </w:r>
      <w:r>
        <w:rPr>
          <w:rFonts w:cs="Arial"/>
          <w:sz w:val="22"/>
          <w:szCs w:val="22"/>
          <w:lang w:val="es-ES_tradnl"/>
        </w:rPr>
        <w:t>el contenido y el manejo de la factura electrónica en operaciones de bono de vivienda, conforme lo dispuesto en el acuerdo N° 2 de la sesión 99-2019.  L</w:t>
      </w:r>
      <w:r>
        <w:rPr>
          <w:rFonts w:cs="Arial"/>
          <w:sz w:val="22"/>
          <w:lang w:val="es-ES_tradnl"/>
        </w:rPr>
        <w:t xml:space="preserve">o anterior, según se indica en el </w:t>
      </w:r>
      <w:r w:rsidRPr="00B95694">
        <w:rPr>
          <w:rFonts w:cs="Arial"/>
          <w:b/>
          <w:bCs/>
          <w:sz w:val="22"/>
          <w:lang w:val="es-ES_tradnl"/>
        </w:rPr>
        <w:t>Acuerdo N° 1</w:t>
      </w:r>
      <w:r>
        <w:rPr>
          <w:rFonts w:cs="Arial"/>
          <w:sz w:val="22"/>
          <w:lang w:val="es-ES_tradnl"/>
        </w:rPr>
        <w:t xml:space="preserve"> que se anexa a esta minuta.</w:t>
      </w:r>
    </w:p>
    <w:p w14:paraId="6409AAF7" w14:textId="77777777" w:rsidR="00777DFD" w:rsidRDefault="00777DFD" w:rsidP="002D0146">
      <w:pPr>
        <w:spacing w:line="360" w:lineRule="auto"/>
        <w:jc w:val="both"/>
        <w:rPr>
          <w:rFonts w:cs="Arial"/>
          <w:sz w:val="22"/>
          <w:szCs w:val="22"/>
        </w:rPr>
      </w:pPr>
    </w:p>
    <w:p w14:paraId="583E8C5A" w14:textId="6F34FD55" w:rsidR="009D03FE" w:rsidRPr="004B6EB3" w:rsidRDefault="009D03FE" w:rsidP="009D03FE">
      <w:pPr>
        <w:spacing w:line="360" w:lineRule="auto"/>
        <w:jc w:val="both"/>
        <w:rPr>
          <w:rFonts w:cs="Arial"/>
          <w:sz w:val="22"/>
          <w:lang w:val="es-CR"/>
        </w:rPr>
      </w:pPr>
      <w:r w:rsidRPr="00A25DB7">
        <w:rPr>
          <w:rFonts w:cs="Arial"/>
          <w:sz w:val="22"/>
          <w:u w:val="single"/>
          <w:lang w:val="es-ES_tradnl"/>
        </w:rPr>
        <w:t xml:space="preserve">Minuto </w:t>
      </w:r>
      <w:r w:rsidR="006E3EB4">
        <w:rPr>
          <w:rFonts w:cs="Arial"/>
          <w:sz w:val="22"/>
          <w:u w:val="single"/>
          <w:lang w:val="es-ES_tradnl"/>
        </w:rPr>
        <w:t>07</w:t>
      </w:r>
      <w:r w:rsidRPr="00A25DB7">
        <w:rPr>
          <w:rFonts w:cs="Arial"/>
          <w:sz w:val="22"/>
          <w:u w:val="single"/>
          <w:lang w:val="es-ES_tradnl"/>
        </w:rPr>
        <w:t>:</w:t>
      </w:r>
      <w:r w:rsidR="006E3EB4">
        <w:rPr>
          <w:rFonts w:cs="Arial"/>
          <w:sz w:val="22"/>
          <w:u w:val="single"/>
          <w:lang w:val="es-ES_tradnl"/>
        </w:rPr>
        <w:t>43</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729B4770" w14:textId="77777777" w:rsidR="00E97960" w:rsidRDefault="00E97960" w:rsidP="009D03FE">
      <w:pPr>
        <w:spacing w:line="360" w:lineRule="auto"/>
        <w:jc w:val="both"/>
        <w:rPr>
          <w:rFonts w:cs="Arial"/>
          <w:sz w:val="22"/>
          <w:lang w:val="es-ES_tradnl"/>
        </w:rPr>
      </w:pPr>
    </w:p>
    <w:p w14:paraId="4A107F5C" w14:textId="46EE13A9"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6E3EB4">
        <w:rPr>
          <w:rFonts w:cs="Arial"/>
          <w:sz w:val="22"/>
          <w:u w:val="single"/>
          <w:lang w:val="es-ES_tradnl"/>
        </w:rPr>
        <w:t>7</w:t>
      </w:r>
      <w:r w:rsidRPr="0039311E">
        <w:rPr>
          <w:rFonts w:cs="Arial"/>
          <w:sz w:val="22"/>
          <w:u w:val="single"/>
          <w:lang w:val="es-ES_tradnl"/>
        </w:rPr>
        <w:t>:</w:t>
      </w:r>
      <w:r w:rsidR="006E3EB4">
        <w:rPr>
          <w:rFonts w:cs="Arial"/>
          <w:sz w:val="22"/>
          <w:u w:val="single"/>
          <w:lang w:val="es-ES_tradnl"/>
        </w:rPr>
        <w:t>51</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28007E">
        <w:rPr>
          <w:rFonts w:cs="Arial"/>
          <w:sz w:val="22"/>
          <w:lang w:val="es-ES_tradnl"/>
        </w:rPr>
        <w:t>100</w:t>
      </w:r>
      <w:r>
        <w:rPr>
          <w:rFonts w:cs="Arial"/>
          <w:sz w:val="22"/>
          <w:lang w:val="es-ES_tradnl"/>
        </w:rPr>
        <w:t>-20</w:t>
      </w:r>
      <w:r w:rsidR="0028007E">
        <w:rPr>
          <w:rFonts w:cs="Arial"/>
          <w:sz w:val="22"/>
          <w:lang w:val="es-ES_tradnl"/>
        </w:rPr>
        <w:t>19</w:t>
      </w:r>
      <w:r>
        <w:rPr>
          <w:rFonts w:cs="Arial"/>
          <w:sz w:val="22"/>
          <w:lang w:val="es-ES_tradnl"/>
        </w:rPr>
        <w:t xml:space="preserve">, celebrada el </w:t>
      </w:r>
      <w:r w:rsidR="0028007E">
        <w:rPr>
          <w:rFonts w:cs="Arial"/>
          <w:sz w:val="22"/>
          <w:lang w:val="es-ES_tradnl"/>
        </w:rPr>
        <w:t>16</w:t>
      </w:r>
      <w:r>
        <w:rPr>
          <w:rFonts w:cs="Arial"/>
          <w:sz w:val="22"/>
          <w:lang w:val="es-ES_tradnl"/>
        </w:rPr>
        <w:t xml:space="preserve"> de diciembre de 20</w:t>
      </w:r>
      <w:r w:rsidR="0028007E">
        <w:rPr>
          <w:rFonts w:cs="Arial"/>
          <w:sz w:val="22"/>
          <w:lang w:val="es-ES_tradnl"/>
        </w:rPr>
        <w:t>19</w:t>
      </w:r>
      <w:r>
        <w:rPr>
          <w:rFonts w:cs="Arial"/>
          <w:sz w:val="22"/>
          <w:lang w:val="es-ES_tradnl"/>
        </w:rPr>
        <w:t>.</w:t>
      </w:r>
    </w:p>
    <w:p w14:paraId="45C35E6D" w14:textId="730A434D" w:rsidR="006E3EB4" w:rsidRDefault="006E3EB4" w:rsidP="00E97960">
      <w:pPr>
        <w:spacing w:line="360" w:lineRule="auto"/>
        <w:jc w:val="both"/>
        <w:rPr>
          <w:rFonts w:cs="Arial"/>
          <w:sz w:val="22"/>
          <w:lang w:val="es-ES_tradnl"/>
        </w:rPr>
      </w:pPr>
    </w:p>
    <w:p w14:paraId="7DC988B7" w14:textId="0174E08F"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2A5D10">
        <w:rPr>
          <w:rFonts w:cs="Arial"/>
          <w:sz w:val="22"/>
          <w:u w:val="single"/>
          <w:lang w:val="es-ES_tradnl"/>
        </w:rPr>
        <w:t>30</w:t>
      </w:r>
      <w:r w:rsidRPr="00A25DB7">
        <w:rPr>
          <w:rFonts w:cs="Arial"/>
          <w:sz w:val="22"/>
          <w:u w:val="single"/>
          <w:lang w:val="es-ES_tradnl"/>
        </w:rPr>
        <w:t>:</w:t>
      </w:r>
      <w:r w:rsidR="002A5D10">
        <w:rPr>
          <w:rFonts w:cs="Arial"/>
          <w:sz w:val="22"/>
          <w:u w:val="single"/>
          <w:lang w:val="es-ES_tradnl"/>
        </w:rPr>
        <w:t>41</w:t>
      </w:r>
      <w:r>
        <w:rPr>
          <w:rFonts w:cs="Arial"/>
          <w:sz w:val="22"/>
          <w:lang w:val="es-ES_tradnl"/>
        </w:rPr>
        <w:t xml:space="preserve"> Hechas las enmiendas pertinentes al acta y la minuta en discusión, se aprueban en forma unánime por parte de los señores Directores.</w:t>
      </w:r>
    </w:p>
    <w:p w14:paraId="378ED163" w14:textId="77777777" w:rsidR="007749FC" w:rsidRPr="00D14EAF" w:rsidRDefault="007749FC" w:rsidP="007749FC">
      <w:pPr>
        <w:spacing w:line="360" w:lineRule="auto"/>
        <w:jc w:val="both"/>
        <w:rPr>
          <w:rFonts w:cs="Arial"/>
          <w:b/>
          <w:sz w:val="22"/>
        </w:rPr>
      </w:pPr>
      <w:r w:rsidRPr="00D14EAF">
        <w:rPr>
          <w:rFonts w:cs="Arial"/>
          <w:b/>
          <w:sz w:val="22"/>
        </w:rPr>
        <w:t>************</w:t>
      </w:r>
    </w:p>
    <w:p w14:paraId="7D039502" w14:textId="77777777" w:rsidR="00FA4CCB" w:rsidRDefault="00FA4CCB" w:rsidP="002D0146">
      <w:pPr>
        <w:spacing w:line="360" w:lineRule="auto"/>
        <w:jc w:val="both"/>
        <w:rPr>
          <w:rFonts w:cs="Arial"/>
          <w:b/>
          <w:sz w:val="22"/>
          <w:szCs w:val="22"/>
          <w:u w:val="single"/>
          <w:lang w:val="es-ES_tradnl"/>
        </w:rPr>
      </w:pPr>
    </w:p>
    <w:p w14:paraId="0D7869F6" w14:textId="33C58AB3"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01101D" w:rsidRPr="0001101D">
        <w:rPr>
          <w:rFonts w:cs="Arial"/>
          <w:b/>
          <w:bCs/>
          <w:sz w:val="22"/>
          <w:u w:val="single"/>
          <w:lang w:val="es-ES_tradnl"/>
        </w:rPr>
        <w:t>Informe de la Contraloría General de la República, sobre la calidad de la información de bonos de vivienda contenida en el sistema automatizado del BANHVI</w:t>
      </w:r>
    </w:p>
    <w:p w14:paraId="5F85BC23" w14:textId="77777777" w:rsidR="009D03FE" w:rsidRDefault="009D03FE" w:rsidP="009D03FE">
      <w:pPr>
        <w:spacing w:line="360" w:lineRule="auto"/>
        <w:jc w:val="both"/>
        <w:rPr>
          <w:rFonts w:cs="Arial"/>
          <w:sz w:val="22"/>
          <w:szCs w:val="22"/>
        </w:rPr>
      </w:pPr>
    </w:p>
    <w:p w14:paraId="565C2B21" w14:textId="77777777" w:rsidR="00FA3DD8" w:rsidRDefault="000E391E" w:rsidP="00FA3DD8">
      <w:pPr>
        <w:spacing w:line="360" w:lineRule="auto"/>
        <w:jc w:val="both"/>
        <w:rPr>
          <w:rFonts w:cs="Arial"/>
          <w:sz w:val="22"/>
          <w:szCs w:val="22"/>
        </w:rPr>
      </w:pPr>
      <w:r w:rsidRPr="0039311E">
        <w:rPr>
          <w:rFonts w:cs="Arial"/>
          <w:sz w:val="22"/>
          <w:u w:val="single"/>
          <w:lang w:val="es-ES_tradnl"/>
        </w:rPr>
        <w:t xml:space="preserve">Minuto </w:t>
      </w:r>
      <w:r w:rsidR="002A5D10">
        <w:rPr>
          <w:rFonts w:cs="Arial"/>
          <w:sz w:val="22"/>
          <w:u w:val="single"/>
          <w:lang w:val="es-ES_tradnl"/>
        </w:rPr>
        <w:t>30</w:t>
      </w:r>
      <w:r w:rsidRPr="0039311E">
        <w:rPr>
          <w:rFonts w:cs="Arial"/>
          <w:sz w:val="22"/>
          <w:u w:val="single"/>
          <w:lang w:val="es-ES_tradnl"/>
        </w:rPr>
        <w:t>:</w:t>
      </w:r>
      <w:r w:rsidR="002A5D10">
        <w:rPr>
          <w:rFonts w:cs="Arial"/>
          <w:sz w:val="22"/>
          <w:u w:val="single"/>
          <w:lang w:val="es-ES_tradnl"/>
        </w:rPr>
        <w:t>50</w:t>
      </w:r>
      <w:r>
        <w:rPr>
          <w:rFonts w:cs="Arial"/>
          <w:sz w:val="22"/>
          <w:lang w:val="es-ES_tradnl"/>
        </w:rPr>
        <w:t xml:space="preserve"> </w:t>
      </w:r>
      <w:r>
        <w:rPr>
          <w:rFonts w:cs="Arial"/>
          <w:sz w:val="22"/>
          <w:szCs w:val="22"/>
        </w:rPr>
        <w:t xml:space="preserve">Se conoce el oficio N° </w:t>
      </w:r>
      <w:r w:rsidR="00117738">
        <w:rPr>
          <w:rFonts w:cs="Arial"/>
          <w:sz w:val="22"/>
          <w:szCs w:val="22"/>
        </w:rPr>
        <w:t>20118</w:t>
      </w:r>
      <w:r>
        <w:rPr>
          <w:rFonts w:cs="Arial"/>
          <w:sz w:val="22"/>
          <w:szCs w:val="22"/>
        </w:rPr>
        <w:t xml:space="preserve"> (DFOE-EC-0</w:t>
      </w:r>
      <w:r w:rsidR="00117738">
        <w:rPr>
          <w:rFonts w:cs="Arial"/>
          <w:sz w:val="22"/>
          <w:szCs w:val="22"/>
        </w:rPr>
        <w:t>985</w:t>
      </w:r>
      <w:r>
        <w:rPr>
          <w:rFonts w:cs="Arial"/>
          <w:sz w:val="22"/>
          <w:szCs w:val="22"/>
        </w:rPr>
        <w:t xml:space="preserve">) del </w:t>
      </w:r>
      <w:r w:rsidR="00117738">
        <w:rPr>
          <w:rFonts w:cs="Arial"/>
          <w:sz w:val="22"/>
          <w:szCs w:val="22"/>
        </w:rPr>
        <w:t>18</w:t>
      </w:r>
      <w:r>
        <w:rPr>
          <w:rFonts w:cs="Arial"/>
          <w:sz w:val="22"/>
          <w:szCs w:val="22"/>
        </w:rPr>
        <w:t xml:space="preserve"> de </w:t>
      </w:r>
      <w:r w:rsidR="00117738">
        <w:rPr>
          <w:rFonts w:cs="Arial"/>
          <w:sz w:val="22"/>
          <w:szCs w:val="22"/>
        </w:rPr>
        <w:t>diciembre</w:t>
      </w:r>
      <w:r>
        <w:rPr>
          <w:rFonts w:cs="Arial"/>
          <w:sz w:val="22"/>
          <w:szCs w:val="22"/>
        </w:rPr>
        <w:t xml:space="preserve"> de 2019, mediante el cual, la Licda. Jessica Víquez Alvarado, Gerente del Área de Fiscalización de </w:t>
      </w:r>
      <w:r>
        <w:rPr>
          <w:rFonts w:cs="Arial"/>
          <w:sz w:val="22"/>
          <w:szCs w:val="22"/>
        </w:rPr>
        <w:lastRenderedPageBreak/>
        <w:t xml:space="preserve">Servicios Económicos de la </w:t>
      </w:r>
      <w:r w:rsidRPr="00D67D95">
        <w:rPr>
          <w:rFonts w:cs="Arial"/>
          <w:sz w:val="22"/>
          <w:szCs w:val="22"/>
        </w:rPr>
        <w:t>Contraloría General de la República</w:t>
      </w:r>
      <w:r>
        <w:rPr>
          <w:rFonts w:cs="Arial"/>
          <w:sz w:val="22"/>
          <w:szCs w:val="22"/>
        </w:rPr>
        <w:t xml:space="preserve">, remite a este Banco el informe </w:t>
      </w:r>
      <w:r w:rsidR="00FA3DD8">
        <w:rPr>
          <w:rFonts w:cs="Arial"/>
          <w:sz w:val="22"/>
          <w:szCs w:val="22"/>
        </w:rPr>
        <w:t>DFOE-EC-IF-00026-2019, denominado “Informe de auditoría de carácter especial sobre la calidad de la información de bonos de vivienda contenida en el sistema automatizado del BANHVI”.</w:t>
      </w:r>
    </w:p>
    <w:p w14:paraId="50F636B4" w14:textId="05F02106" w:rsidR="000E391E" w:rsidRDefault="000E391E" w:rsidP="000E391E">
      <w:pPr>
        <w:spacing w:line="360" w:lineRule="auto"/>
        <w:jc w:val="both"/>
        <w:rPr>
          <w:rFonts w:cs="Arial"/>
          <w:sz w:val="22"/>
          <w:szCs w:val="22"/>
        </w:rPr>
      </w:pPr>
    </w:p>
    <w:p w14:paraId="682FA351" w14:textId="6CD60FFA" w:rsidR="00FA3DD8" w:rsidRDefault="00BF68DB" w:rsidP="000E391E">
      <w:pPr>
        <w:spacing w:line="360" w:lineRule="auto"/>
        <w:jc w:val="both"/>
        <w:rPr>
          <w:rFonts w:cs="Arial"/>
          <w:sz w:val="22"/>
          <w:szCs w:val="22"/>
        </w:rPr>
      </w:pPr>
      <w:r>
        <w:rPr>
          <w:rFonts w:cs="Arial"/>
          <w:sz w:val="22"/>
          <w:szCs w:val="22"/>
        </w:rPr>
        <w:t>Para atender eventuales consultas de carácter técnico sobre el tema, se incorpora a la sesión el señor Marco Tulio Méndez Contreras, jefe del Departamento de Tecnología de Información.</w:t>
      </w:r>
    </w:p>
    <w:p w14:paraId="6B2FCA67" w14:textId="4F68D07D" w:rsidR="00BF68DB" w:rsidRDefault="00BF68DB" w:rsidP="000E391E">
      <w:pPr>
        <w:spacing w:line="360" w:lineRule="auto"/>
        <w:jc w:val="both"/>
        <w:rPr>
          <w:rFonts w:cs="Arial"/>
          <w:sz w:val="22"/>
          <w:szCs w:val="22"/>
        </w:rPr>
      </w:pPr>
    </w:p>
    <w:p w14:paraId="031323C9" w14:textId="53C6F8F6" w:rsidR="00025995" w:rsidRDefault="003065D7" w:rsidP="000E391E">
      <w:pPr>
        <w:spacing w:line="360" w:lineRule="auto"/>
        <w:jc w:val="both"/>
        <w:rPr>
          <w:rFonts w:cs="Arial"/>
          <w:sz w:val="22"/>
          <w:szCs w:val="22"/>
        </w:rPr>
      </w:pPr>
      <w:r>
        <w:rPr>
          <w:rFonts w:cs="Arial"/>
          <w:sz w:val="22"/>
          <w:szCs w:val="22"/>
        </w:rPr>
        <w:t xml:space="preserve">El señor Gerente General a.i. expone los antecedentes </w:t>
      </w:r>
      <w:r w:rsidR="00B51A3F">
        <w:rPr>
          <w:rFonts w:cs="Arial"/>
          <w:sz w:val="22"/>
          <w:szCs w:val="22"/>
        </w:rPr>
        <w:t xml:space="preserve">y los alcances del </w:t>
      </w:r>
      <w:r w:rsidR="00DD74B4">
        <w:rPr>
          <w:rFonts w:cs="Arial"/>
          <w:sz w:val="22"/>
          <w:szCs w:val="22"/>
        </w:rPr>
        <w:t>citado estudio</w:t>
      </w:r>
      <w:r w:rsidR="008311D7">
        <w:rPr>
          <w:rFonts w:cs="Arial"/>
          <w:sz w:val="22"/>
          <w:szCs w:val="22"/>
        </w:rPr>
        <w:t xml:space="preserve">, incluyendo la relación de éste con el proyecto del Rediseño del Sistema de Vivienda, destacando luego las acciones que se están implementando para corregir las inconsistencias identificadas por la </w:t>
      </w:r>
      <w:r w:rsidR="008311D7">
        <w:rPr>
          <w:rFonts w:cs="Arial"/>
          <w:sz w:val="22"/>
          <w:lang w:val="es-ES_tradnl"/>
        </w:rPr>
        <w:t>Contraloría</w:t>
      </w:r>
      <w:r w:rsidR="00FB75A0">
        <w:rPr>
          <w:rFonts w:cs="Arial"/>
          <w:sz w:val="22"/>
          <w:lang w:val="es-ES_tradnl"/>
        </w:rPr>
        <w:t>,</w:t>
      </w:r>
      <w:r w:rsidR="004A390B">
        <w:rPr>
          <w:rFonts w:cs="Arial"/>
          <w:sz w:val="22"/>
          <w:lang w:val="es-ES_tradnl"/>
        </w:rPr>
        <w:t xml:space="preserve"> </w:t>
      </w:r>
      <w:r w:rsidR="008311D7">
        <w:rPr>
          <w:rFonts w:cs="Arial"/>
          <w:sz w:val="22"/>
          <w:lang w:val="es-ES_tradnl"/>
        </w:rPr>
        <w:t xml:space="preserve">en cuanto a los </w:t>
      </w:r>
      <w:r w:rsidR="008311D7">
        <w:rPr>
          <w:rFonts w:cs="Arial"/>
          <w:sz w:val="22"/>
          <w:szCs w:val="22"/>
        </w:rPr>
        <w:t>datos de algunos beneficiarios del bono</w:t>
      </w:r>
      <w:r w:rsidR="004A390B">
        <w:rPr>
          <w:rFonts w:cs="Arial"/>
          <w:sz w:val="22"/>
          <w:szCs w:val="22"/>
        </w:rPr>
        <w:t xml:space="preserve">.  Además, se refiere a las conclusiones y las disposiciones relacionadas con el </w:t>
      </w:r>
      <w:r w:rsidR="00AC3689">
        <w:rPr>
          <w:rFonts w:cs="Arial"/>
          <w:sz w:val="22"/>
          <w:szCs w:val="22"/>
        </w:rPr>
        <w:t xml:space="preserve">proyecto del </w:t>
      </w:r>
      <w:r w:rsidR="004A390B">
        <w:rPr>
          <w:rFonts w:cs="Arial"/>
          <w:sz w:val="22"/>
          <w:szCs w:val="22"/>
        </w:rPr>
        <w:t>Sistema de Vivienda</w:t>
      </w:r>
      <w:r w:rsidR="00AC3689">
        <w:rPr>
          <w:rFonts w:cs="Arial"/>
          <w:sz w:val="22"/>
          <w:szCs w:val="22"/>
        </w:rPr>
        <w:t xml:space="preserve">, particularmente la dirigida a la </w:t>
      </w:r>
      <w:r w:rsidR="00AC3689" w:rsidRPr="00AC3689">
        <w:rPr>
          <w:rFonts w:cs="Arial"/>
          <w:sz w:val="22"/>
          <w:szCs w:val="22"/>
          <w:lang w:val="es-ES_tradnl"/>
        </w:rPr>
        <w:t>Junta Directiva</w:t>
      </w:r>
      <w:r w:rsidR="00AC3689">
        <w:rPr>
          <w:rFonts w:cs="Arial"/>
          <w:sz w:val="22"/>
          <w:szCs w:val="22"/>
          <w:lang w:val="es-ES_tradnl"/>
        </w:rPr>
        <w:t>, en cuanto a la ausencia de un plan maestro del proyecto, para subsanar las deficiencias relacionadas con el alcance, riesgos, costos, recursos, tiempos y cambios vinculados</w:t>
      </w:r>
      <w:r w:rsidR="004A390B">
        <w:rPr>
          <w:rFonts w:cs="Arial"/>
          <w:sz w:val="22"/>
          <w:szCs w:val="22"/>
        </w:rPr>
        <w:t>.</w:t>
      </w:r>
    </w:p>
    <w:p w14:paraId="705F0B88" w14:textId="094A45F0" w:rsidR="004A390B" w:rsidRDefault="004A390B" w:rsidP="000E391E">
      <w:pPr>
        <w:spacing w:line="360" w:lineRule="auto"/>
        <w:jc w:val="both"/>
        <w:rPr>
          <w:rFonts w:cs="Arial"/>
          <w:sz w:val="22"/>
          <w:szCs w:val="22"/>
        </w:rPr>
      </w:pPr>
    </w:p>
    <w:p w14:paraId="0C3B249C" w14:textId="577995F1" w:rsidR="0053376B" w:rsidRDefault="004A390B" w:rsidP="00EB52A7">
      <w:pPr>
        <w:spacing w:line="360" w:lineRule="auto"/>
        <w:jc w:val="both"/>
        <w:rPr>
          <w:rFonts w:cs="Arial"/>
          <w:sz w:val="22"/>
          <w:lang w:val="es-ES_tradnl"/>
        </w:rPr>
      </w:pPr>
      <w:r>
        <w:rPr>
          <w:rFonts w:cs="Arial"/>
          <w:sz w:val="22"/>
          <w:u w:val="single"/>
          <w:lang w:val="es-ES_tradnl"/>
        </w:rPr>
        <w:t>Minuto 38</w:t>
      </w:r>
      <w:r w:rsidRPr="0039311E">
        <w:rPr>
          <w:rFonts w:cs="Arial"/>
          <w:sz w:val="22"/>
          <w:u w:val="single"/>
          <w:lang w:val="es-ES_tradnl"/>
        </w:rPr>
        <w:t>:</w:t>
      </w:r>
      <w:r w:rsidR="00CE72E9">
        <w:rPr>
          <w:rFonts w:cs="Arial"/>
          <w:sz w:val="22"/>
          <w:u w:val="single"/>
          <w:lang w:val="es-ES_tradnl"/>
        </w:rPr>
        <w:t>18</w:t>
      </w:r>
      <w:r>
        <w:rPr>
          <w:rFonts w:cs="Arial"/>
          <w:sz w:val="22"/>
          <w:lang w:val="es-ES_tradnl"/>
        </w:rPr>
        <w:t xml:space="preserve"> La </w:t>
      </w:r>
      <w:r w:rsidRPr="004A390B">
        <w:rPr>
          <w:rFonts w:cs="Arial"/>
          <w:sz w:val="22"/>
          <w:lang w:val="es-ES_tradnl"/>
        </w:rPr>
        <w:t>Junta Directiva</w:t>
      </w:r>
      <w:r>
        <w:rPr>
          <w:rFonts w:cs="Arial"/>
          <w:sz w:val="22"/>
          <w:lang w:val="es-ES_tradnl"/>
        </w:rPr>
        <w:t xml:space="preserve"> </w:t>
      </w:r>
      <w:r w:rsidR="00CE72E9">
        <w:rPr>
          <w:rFonts w:cs="Arial"/>
          <w:sz w:val="22"/>
          <w:lang w:val="es-ES_tradnl"/>
        </w:rPr>
        <w:t xml:space="preserve">procede a analizar el contenido del citado informe de la Contraloría General de la República, </w:t>
      </w:r>
      <w:r w:rsidR="00EB52A7">
        <w:rPr>
          <w:rFonts w:cs="Arial"/>
          <w:sz w:val="22"/>
          <w:lang w:val="es-ES_tradnl"/>
        </w:rPr>
        <w:t xml:space="preserve">haciéndose énfasis en la importancia de atender las disposiciones en estricto apego a lo indicado por el órgano contralor y </w:t>
      </w:r>
      <w:r w:rsidR="0053376B">
        <w:rPr>
          <w:rFonts w:cs="Arial"/>
          <w:sz w:val="22"/>
          <w:lang w:val="es-ES_tradnl"/>
        </w:rPr>
        <w:t xml:space="preserve">sobre lo cual el licenciado Méndez Contreras atiende varias inquietudes y observaciones de los señores Directores, con respecto a las deficiencias señaladas en el informe, así como en torno a las diferencias que existen entre el plan maestro que ordena la Contraloría y la </w:t>
      </w:r>
      <w:r w:rsidR="003163A7">
        <w:rPr>
          <w:rFonts w:cs="Arial"/>
          <w:sz w:val="22"/>
          <w:lang w:val="es-ES_tradnl"/>
        </w:rPr>
        <w:t>“</w:t>
      </w:r>
      <w:r w:rsidR="0053376B">
        <w:rPr>
          <w:rFonts w:cs="Arial"/>
          <w:sz w:val="22"/>
          <w:lang w:val="es-ES_tradnl"/>
        </w:rPr>
        <w:t xml:space="preserve">estrategia </w:t>
      </w:r>
      <w:r w:rsidR="003163A7">
        <w:rPr>
          <w:rFonts w:cs="Arial"/>
          <w:sz w:val="22"/>
          <w:lang w:val="es-ES_tradnl"/>
        </w:rPr>
        <w:t xml:space="preserve">de solución” </w:t>
      </w:r>
      <w:r w:rsidR="0053376B">
        <w:rPr>
          <w:rFonts w:cs="Arial"/>
          <w:sz w:val="22"/>
          <w:lang w:val="es-ES_tradnl"/>
        </w:rPr>
        <w:t>que para e</w:t>
      </w:r>
      <w:r w:rsidR="003163A7">
        <w:rPr>
          <w:rFonts w:cs="Arial"/>
          <w:sz w:val="22"/>
          <w:lang w:val="es-ES_tradnl"/>
        </w:rPr>
        <w:t>ste</w:t>
      </w:r>
      <w:r w:rsidR="0053376B">
        <w:rPr>
          <w:rFonts w:cs="Arial"/>
          <w:sz w:val="22"/>
          <w:lang w:val="es-ES_tradnl"/>
        </w:rPr>
        <w:t xml:space="preserve"> proyecto, a solicitud de esta </w:t>
      </w:r>
      <w:r w:rsidR="0053376B" w:rsidRPr="0053376B">
        <w:rPr>
          <w:rFonts w:cs="Arial"/>
          <w:sz w:val="22"/>
          <w:lang w:val="es-ES_tradnl"/>
        </w:rPr>
        <w:t>Junta Directiva</w:t>
      </w:r>
      <w:r w:rsidR="0053376B">
        <w:rPr>
          <w:rFonts w:cs="Arial"/>
          <w:sz w:val="22"/>
          <w:lang w:val="es-ES_tradnl"/>
        </w:rPr>
        <w:t xml:space="preserve">, fue presentada </w:t>
      </w:r>
      <w:r w:rsidR="003163A7">
        <w:rPr>
          <w:rFonts w:cs="Arial"/>
          <w:sz w:val="22"/>
          <w:lang w:val="es-ES_tradnl"/>
        </w:rPr>
        <w:t>en la sesión 47-2019 del 20 de junio de 2019.</w:t>
      </w:r>
    </w:p>
    <w:p w14:paraId="748D4FED" w14:textId="77777777" w:rsidR="0053376B" w:rsidRDefault="0053376B" w:rsidP="00EB52A7">
      <w:pPr>
        <w:spacing w:line="360" w:lineRule="auto"/>
        <w:jc w:val="both"/>
        <w:rPr>
          <w:rFonts w:cs="Arial"/>
          <w:sz w:val="22"/>
          <w:lang w:val="es-ES_tradnl"/>
        </w:rPr>
      </w:pPr>
    </w:p>
    <w:p w14:paraId="68D5E05A" w14:textId="3FC5DEB5" w:rsidR="004A390B" w:rsidRDefault="003163A7" w:rsidP="004A390B">
      <w:pPr>
        <w:spacing w:line="360" w:lineRule="auto"/>
        <w:jc w:val="both"/>
        <w:rPr>
          <w:rFonts w:cs="Arial"/>
          <w:sz w:val="22"/>
          <w:lang w:val="es-ES_tradnl"/>
        </w:rPr>
      </w:pPr>
      <w:r>
        <w:rPr>
          <w:rFonts w:cs="Arial"/>
          <w:sz w:val="22"/>
          <w:u w:val="single"/>
          <w:lang w:val="es-ES_tradnl"/>
        </w:rPr>
        <w:t xml:space="preserve">Minuto </w:t>
      </w:r>
      <w:r w:rsidR="00EC2693">
        <w:rPr>
          <w:rFonts w:cs="Arial"/>
          <w:sz w:val="22"/>
          <w:u w:val="single"/>
          <w:lang w:val="es-ES_tradnl"/>
        </w:rPr>
        <w:t>78</w:t>
      </w:r>
      <w:r w:rsidRPr="0039311E">
        <w:rPr>
          <w:rFonts w:cs="Arial"/>
          <w:sz w:val="22"/>
          <w:u w:val="single"/>
          <w:lang w:val="es-ES_tradnl"/>
        </w:rPr>
        <w:t>:</w:t>
      </w:r>
      <w:r w:rsidR="00EC2693">
        <w:rPr>
          <w:rFonts w:cs="Arial"/>
          <w:sz w:val="22"/>
          <w:u w:val="single"/>
          <w:lang w:val="es-ES_tradnl"/>
        </w:rPr>
        <w:t>43</w:t>
      </w:r>
      <w:r>
        <w:rPr>
          <w:rFonts w:cs="Arial"/>
          <w:sz w:val="22"/>
          <w:lang w:val="es-ES_tradnl"/>
        </w:rPr>
        <w:t xml:space="preserve"> </w:t>
      </w:r>
      <w:r w:rsidR="00EC2693">
        <w:rPr>
          <w:rFonts w:cs="Arial"/>
          <w:sz w:val="22"/>
          <w:lang w:val="es-ES_tradnl"/>
        </w:rPr>
        <w:t xml:space="preserve">De conformidad con el análisis efectuado sobre el tema, la </w:t>
      </w:r>
      <w:r w:rsidR="00EC2693" w:rsidRPr="00EC2693">
        <w:rPr>
          <w:rFonts w:cs="Arial"/>
          <w:sz w:val="22"/>
          <w:lang w:val="es-ES_tradnl"/>
        </w:rPr>
        <w:t>Junta Directiva</w:t>
      </w:r>
      <w:r w:rsidR="00EC2693">
        <w:rPr>
          <w:rFonts w:cs="Arial"/>
          <w:sz w:val="22"/>
          <w:lang w:val="es-ES_tradnl"/>
        </w:rPr>
        <w:t xml:space="preserve"> concuerda en la pertinencia de </w:t>
      </w:r>
      <w:r w:rsidR="00EC2693">
        <w:rPr>
          <w:rFonts w:cs="Arial"/>
          <w:sz w:val="22"/>
          <w:szCs w:val="22"/>
        </w:rPr>
        <w:t xml:space="preserve">girar instrucciones a la </w:t>
      </w:r>
      <w:r w:rsidR="00EC2693" w:rsidRPr="007A4B4D">
        <w:rPr>
          <w:rFonts w:cs="Arial"/>
          <w:sz w:val="22"/>
          <w:szCs w:val="22"/>
        </w:rPr>
        <w:t>Administración</w:t>
      </w:r>
      <w:r w:rsidR="00EC2693">
        <w:rPr>
          <w:rFonts w:cs="Arial"/>
          <w:sz w:val="22"/>
          <w:szCs w:val="22"/>
        </w:rPr>
        <w:t xml:space="preserve">, para la debida y oportuna implementación de las disposiciones de la </w:t>
      </w:r>
      <w:r w:rsidR="00EC2693">
        <w:rPr>
          <w:rFonts w:cs="Arial"/>
          <w:sz w:val="22"/>
          <w:lang w:val="es-ES_tradnl"/>
        </w:rPr>
        <w:t xml:space="preserve">Contraloría General de la República. Lo anterior, en los términos que se indican en el </w:t>
      </w:r>
      <w:r w:rsidR="00EC2693" w:rsidRPr="00EC2693">
        <w:rPr>
          <w:rFonts w:cs="Arial"/>
          <w:b/>
          <w:bCs/>
          <w:sz w:val="22"/>
          <w:lang w:val="es-ES_tradnl"/>
        </w:rPr>
        <w:t>Acuerdo N° 2</w:t>
      </w:r>
      <w:r w:rsidR="00EC2693">
        <w:rPr>
          <w:rFonts w:cs="Arial"/>
          <w:sz w:val="22"/>
          <w:lang w:val="es-ES_tradnl"/>
        </w:rPr>
        <w:t xml:space="preserve"> que se anexa a esta minuta.</w:t>
      </w:r>
      <w:r w:rsidR="001619A9">
        <w:rPr>
          <w:rFonts w:cs="Arial"/>
          <w:sz w:val="22"/>
          <w:lang w:val="es-ES_tradnl"/>
        </w:rPr>
        <w:t xml:space="preserve">  Acto seguido, se retira de la sesión el funcionario Méndez Contreras.</w:t>
      </w:r>
    </w:p>
    <w:p w14:paraId="0DB09C12" w14:textId="77777777" w:rsidR="009D03FE" w:rsidRPr="00D14EAF" w:rsidRDefault="009D03FE" w:rsidP="009D03FE">
      <w:pPr>
        <w:spacing w:line="360" w:lineRule="auto"/>
        <w:jc w:val="both"/>
        <w:rPr>
          <w:rFonts w:cs="Arial"/>
          <w:b/>
          <w:sz w:val="22"/>
        </w:rPr>
      </w:pPr>
      <w:r w:rsidRPr="00D14EAF">
        <w:rPr>
          <w:rFonts w:cs="Arial"/>
          <w:b/>
          <w:sz w:val="22"/>
        </w:rPr>
        <w:t>************</w:t>
      </w:r>
    </w:p>
    <w:p w14:paraId="4B60177C" w14:textId="77777777" w:rsidR="00D13B6B" w:rsidRDefault="00D13B6B" w:rsidP="002D0146">
      <w:pPr>
        <w:spacing w:line="360" w:lineRule="auto"/>
        <w:jc w:val="both"/>
        <w:rPr>
          <w:rFonts w:cs="Arial"/>
          <w:b/>
          <w:bCs/>
          <w:sz w:val="22"/>
          <w:szCs w:val="22"/>
          <w:u w:val="single"/>
          <w:lang w:val="es-ES_tradnl"/>
        </w:rPr>
      </w:pPr>
    </w:p>
    <w:p w14:paraId="4071CBAF" w14:textId="315C64B1"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01101D" w:rsidRPr="0001101D">
        <w:rPr>
          <w:rFonts w:cs="Arial"/>
          <w:b/>
          <w:bCs/>
          <w:sz w:val="22"/>
          <w:u w:val="single"/>
          <w:lang w:val="es-ES_tradnl"/>
        </w:rPr>
        <w:t>Propuesta de programas de colocación de crédito y plan anual de captaciones del FONAVI, para el año 2020</w:t>
      </w:r>
    </w:p>
    <w:p w14:paraId="689FD808" w14:textId="361209D6" w:rsidR="009D03FE" w:rsidRDefault="009D03FE" w:rsidP="009D03FE">
      <w:pPr>
        <w:spacing w:line="360" w:lineRule="auto"/>
        <w:jc w:val="both"/>
        <w:rPr>
          <w:rFonts w:cs="Arial"/>
          <w:sz w:val="22"/>
          <w:szCs w:val="22"/>
        </w:rPr>
      </w:pPr>
    </w:p>
    <w:p w14:paraId="2DE5DD96" w14:textId="7B928944" w:rsidR="00DD7DA8" w:rsidRPr="00BB303F" w:rsidRDefault="00D84E23" w:rsidP="00DD7DA8">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8</w:t>
      </w:r>
      <w:r w:rsidR="00DD7DA8">
        <w:rPr>
          <w:rFonts w:cs="Arial"/>
          <w:sz w:val="22"/>
          <w:u w:val="single"/>
          <w:lang w:val="es-ES_tradnl"/>
        </w:rPr>
        <w:t>0</w:t>
      </w:r>
      <w:r w:rsidRPr="0039311E">
        <w:rPr>
          <w:rFonts w:cs="Arial"/>
          <w:sz w:val="22"/>
          <w:u w:val="single"/>
          <w:lang w:val="es-ES_tradnl"/>
        </w:rPr>
        <w:t>:</w:t>
      </w:r>
      <w:r w:rsidR="00DD7DA8">
        <w:rPr>
          <w:rFonts w:cs="Arial"/>
          <w:sz w:val="22"/>
          <w:u w:val="single"/>
          <w:lang w:val="es-ES_tradnl"/>
        </w:rPr>
        <w:t>30</w:t>
      </w:r>
      <w:r>
        <w:rPr>
          <w:rFonts w:cs="Arial"/>
          <w:sz w:val="22"/>
          <w:lang w:val="es-ES_tradnl"/>
        </w:rPr>
        <w:t xml:space="preserve"> Se </w:t>
      </w:r>
      <w:r w:rsidR="00DD7DA8" w:rsidRPr="00BB303F">
        <w:rPr>
          <w:rFonts w:cs="Arial"/>
          <w:sz w:val="22"/>
          <w:szCs w:val="22"/>
        </w:rPr>
        <w:t xml:space="preserve">conoce el oficio </w:t>
      </w:r>
      <w:r w:rsidR="001619A9">
        <w:rPr>
          <w:rFonts w:cs="Arial"/>
          <w:sz w:val="22"/>
          <w:szCs w:val="22"/>
        </w:rPr>
        <w:t>G</w:t>
      </w:r>
      <w:r w:rsidR="00DD7DA8">
        <w:rPr>
          <w:rFonts w:cs="Arial"/>
          <w:sz w:val="22"/>
          <w:szCs w:val="22"/>
        </w:rPr>
        <w:t>G</w:t>
      </w:r>
      <w:r w:rsidR="00DD7DA8" w:rsidRPr="00BB303F">
        <w:rPr>
          <w:rFonts w:cs="Arial"/>
          <w:sz w:val="22"/>
          <w:szCs w:val="22"/>
        </w:rPr>
        <w:t>-ME-</w:t>
      </w:r>
      <w:r w:rsidR="001619A9">
        <w:rPr>
          <w:rFonts w:cs="Arial"/>
          <w:sz w:val="22"/>
          <w:szCs w:val="22"/>
        </w:rPr>
        <w:t>1331</w:t>
      </w:r>
      <w:r w:rsidR="00DD7DA8" w:rsidRPr="00BB303F">
        <w:rPr>
          <w:rFonts w:cs="Arial"/>
          <w:sz w:val="22"/>
          <w:szCs w:val="22"/>
        </w:rPr>
        <w:t>-201</w:t>
      </w:r>
      <w:r w:rsidR="001619A9">
        <w:rPr>
          <w:rFonts w:cs="Arial"/>
          <w:sz w:val="22"/>
          <w:szCs w:val="22"/>
        </w:rPr>
        <w:t>9</w:t>
      </w:r>
      <w:r w:rsidR="00DD7DA8" w:rsidRPr="00BB303F">
        <w:rPr>
          <w:rFonts w:cs="Arial"/>
          <w:sz w:val="22"/>
          <w:szCs w:val="22"/>
        </w:rPr>
        <w:t xml:space="preserve"> del </w:t>
      </w:r>
      <w:r w:rsidR="001619A9">
        <w:rPr>
          <w:rFonts w:cs="Arial"/>
          <w:sz w:val="22"/>
          <w:szCs w:val="22"/>
        </w:rPr>
        <w:t>18</w:t>
      </w:r>
      <w:r w:rsidR="00DD7DA8" w:rsidRPr="00BB303F">
        <w:rPr>
          <w:rFonts w:cs="Arial"/>
          <w:sz w:val="22"/>
          <w:szCs w:val="22"/>
        </w:rPr>
        <w:t xml:space="preserve"> de </w:t>
      </w:r>
      <w:r w:rsidR="001619A9">
        <w:rPr>
          <w:rFonts w:cs="Arial"/>
          <w:sz w:val="22"/>
          <w:szCs w:val="22"/>
        </w:rPr>
        <w:t>diciembre</w:t>
      </w:r>
      <w:r w:rsidR="00DD7DA8" w:rsidRPr="00BB303F">
        <w:rPr>
          <w:rFonts w:cs="Arial"/>
          <w:sz w:val="22"/>
          <w:szCs w:val="22"/>
        </w:rPr>
        <w:t xml:space="preserve"> de 201</w:t>
      </w:r>
      <w:r w:rsidR="001619A9">
        <w:rPr>
          <w:rFonts w:cs="Arial"/>
          <w:sz w:val="22"/>
          <w:szCs w:val="22"/>
        </w:rPr>
        <w:t>9</w:t>
      </w:r>
      <w:r w:rsidR="00DD7DA8" w:rsidRPr="00BB303F">
        <w:rPr>
          <w:rFonts w:cs="Arial"/>
          <w:sz w:val="22"/>
          <w:szCs w:val="22"/>
        </w:rPr>
        <w:t xml:space="preserve">, por medio del cual, la </w:t>
      </w:r>
      <w:r w:rsidR="001619A9" w:rsidRPr="001619A9">
        <w:rPr>
          <w:rFonts w:cs="Arial"/>
          <w:sz w:val="22"/>
          <w:szCs w:val="22"/>
          <w:lang w:val="es-ES_tradnl"/>
        </w:rPr>
        <w:t>Gerencia General</w:t>
      </w:r>
      <w:r w:rsidR="00DD7DA8" w:rsidRPr="00BB303F">
        <w:rPr>
          <w:rFonts w:cs="Arial"/>
          <w:sz w:val="22"/>
          <w:szCs w:val="22"/>
        </w:rPr>
        <w:t xml:space="preserve"> remite y avala el informe DFNV-ME-04</w:t>
      </w:r>
      <w:r w:rsidR="001619A9">
        <w:rPr>
          <w:rFonts w:cs="Arial"/>
          <w:sz w:val="22"/>
          <w:szCs w:val="22"/>
        </w:rPr>
        <w:t>85</w:t>
      </w:r>
      <w:r w:rsidR="00DD7DA8" w:rsidRPr="00BB303F">
        <w:rPr>
          <w:rFonts w:cs="Arial"/>
          <w:sz w:val="22"/>
          <w:szCs w:val="22"/>
        </w:rPr>
        <w:t>-201</w:t>
      </w:r>
      <w:r w:rsidR="001619A9">
        <w:rPr>
          <w:rFonts w:cs="Arial"/>
          <w:sz w:val="22"/>
          <w:szCs w:val="22"/>
        </w:rPr>
        <w:t>9</w:t>
      </w:r>
      <w:r w:rsidR="00DD7DA8" w:rsidRPr="00BB303F">
        <w:rPr>
          <w:rFonts w:cs="Arial"/>
          <w:sz w:val="22"/>
          <w:szCs w:val="22"/>
        </w:rPr>
        <w:t xml:space="preserve"> de la Dirección FONAVI, que contiene las propuestas</w:t>
      </w:r>
      <w:r w:rsidR="00DD7DA8" w:rsidRPr="00BB303F">
        <w:rPr>
          <w:rFonts w:cs="Arial"/>
          <w:color w:val="000000"/>
          <w:sz w:val="22"/>
          <w:szCs w:val="22"/>
        </w:rPr>
        <w:t xml:space="preserve"> del Programa de Colocación de Crédito y el Plan Anual de Captaciones, correspondientes al período 20</w:t>
      </w:r>
      <w:r w:rsidR="001619A9">
        <w:rPr>
          <w:rFonts w:cs="Arial"/>
          <w:color w:val="000000"/>
          <w:sz w:val="22"/>
          <w:szCs w:val="22"/>
        </w:rPr>
        <w:t>20</w:t>
      </w:r>
      <w:r w:rsidR="00DD7DA8" w:rsidRPr="00BB303F">
        <w:rPr>
          <w:rFonts w:cs="Arial"/>
          <w:color w:val="000000"/>
          <w:sz w:val="22"/>
          <w:szCs w:val="22"/>
        </w:rPr>
        <w:t>, incluyendo el análisis del impacto de la estrategia de colocación de crédito y captación de recursos en los estados financieros y los indicadores de riesgos del modelo CAMELS, conforme la herramienta que para estos efectos aplica la Unidad de Riesgos.  Dichos documentos se adjuntan a</w:t>
      </w:r>
      <w:r w:rsidR="003255CB">
        <w:rPr>
          <w:rFonts w:cs="Arial"/>
          <w:color w:val="000000"/>
          <w:sz w:val="22"/>
          <w:szCs w:val="22"/>
        </w:rPr>
        <w:t xml:space="preserve">l expediente del </w:t>
      </w:r>
      <w:r w:rsidR="00DD7DA8" w:rsidRPr="00BB303F">
        <w:rPr>
          <w:rFonts w:cs="Arial"/>
          <w:color w:val="000000"/>
          <w:sz w:val="22"/>
          <w:szCs w:val="22"/>
        </w:rPr>
        <w:t>acta.</w:t>
      </w:r>
    </w:p>
    <w:p w14:paraId="49D49417" w14:textId="66728820" w:rsidR="00DD7DA8" w:rsidRDefault="00DD7DA8" w:rsidP="00D84E23">
      <w:pPr>
        <w:spacing w:line="360" w:lineRule="auto"/>
        <w:jc w:val="both"/>
        <w:rPr>
          <w:rFonts w:cs="Arial"/>
          <w:sz w:val="22"/>
          <w:lang w:val="es-ES_tradnl"/>
        </w:rPr>
      </w:pPr>
    </w:p>
    <w:p w14:paraId="28C19045" w14:textId="4EAD0E71" w:rsidR="00D84E23" w:rsidRDefault="001619A9" w:rsidP="00D84E23">
      <w:pPr>
        <w:spacing w:line="360" w:lineRule="auto"/>
        <w:jc w:val="both"/>
        <w:rPr>
          <w:rFonts w:cs="Arial"/>
          <w:bCs/>
          <w:sz w:val="22"/>
          <w:lang w:val="es-ES_tradnl"/>
        </w:rPr>
      </w:pPr>
      <w:r>
        <w:rPr>
          <w:rFonts w:cs="Arial"/>
          <w:sz w:val="22"/>
          <w:lang w:val="es-ES_tradnl"/>
        </w:rPr>
        <w:t xml:space="preserve">Para exponer los alcances del citado informe y atender eventuales consultas de carácter técnico sobre </w:t>
      </w:r>
      <w:r w:rsidR="004775D5">
        <w:rPr>
          <w:rFonts w:cs="Arial"/>
          <w:sz w:val="22"/>
          <w:lang w:val="es-ES_tradnl"/>
        </w:rPr>
        <w:t xml:space="preserve">éste y el siguiente </w:t>
      </w:r>
      <w:r>
        <w:rPr>
          <w:rFonts w:cs="Arial"/>
          <w:sz w:val="22"/>
          <w:lang w:val="es-ES_tradnl"/>
        </w:rPr>
        <w:t xml:space="preserve">tema, se incorpora </w:t>
      </w:r>
      <w:r w:rsidR="00D84E23">
        <w:rPr>
          <w:rFonts w:cs="Arial"/>
          <w:sz w:val="22"/>
          <w:lang w:val="es-ES_tradnl"/>
        </w:rPr>
        <w:t>a la sesión la licenciada Tricia Hernández Brenes, Directora del FONAVI</w:t>
      </w:r>
      <w:r w:rsidR="007B4921">
        <w:rPr>
          <w:rFonts w:cs="Arial"/>
          <w:sz w:val="22"/>
          <w:lang w:val="es-ES_tradnl"/>
        </w:rPr>
        <w:t>, quien presenta las justificaciones y el contenido</w:t>
      </w:r>
      <w:r w:rsidR="00D84E23" w:rsidRPr="00BB303F">
        <w:rPr>
          <w:rFonts w:cs="Arial"/>
          <w:color w:val="000000"/>
          <w:sz w:val="22"/>
          <w:szCs w:val="22"/>
        </w:rPr>
        <w:t xml:space="preserve"> de los Programas de </w:t>
      </w:r>
      <w:r w:rsidR="00D84E23">
        <w:rPr>
          <w:rFonts w:cs="Arial"/>
          <w:color w:val="000000"/>
          <w:sz w:val="22"/>
          <w:szCs w:val="22"/>
        </w:rPr>
        <w:t xml:space="preserve">Colocación de </w:t>
      </w:r>
      <w:r w:rsidR="00D84E23" w:rsidRPr="00BB303F">
        <w:rPr>
          <w:rFonts w:cs="Arial"/>
          <w:color w:val="000000"/>
          <w:sz w:val="22"/>
          <w:szCs w:val="22"/>
        </w:rPr>
        <w:t>Crédito y el Plan Anual de Captaciones a ejecutar en el año 20</w:t>
      </w:r>
      <w:r w:rsidR="007B4921">
        <w:rPr>
          <w:rFonts w:cs="Arial"/>
          <w:color w:val="000000"/>
          <w:sz w:val="22"/>
          <w:szCs w:val="22"/>
        </w:rPr>
        <w:t>20</w:t>
      </w:r>
      <w:r w:rsidR="00D84E23" w:rsidRPr="00BB303F">
        <w:rPr>
          <w:rFonts w:cs="Arial"/>
          <w:color w:val="000000"/>
          <w:sz w:val="22"/>
          <w:szCs w:val="22"/>
        </w:rPr>
        <w:t>, así como los principales resultados generados por la estrategia de colocación de crédito y captación de recursos propuesta</w:t>
      </w:r>
      <w:r w:rsidR="00E47893">
        <w:rPr>
          <w:rFonts w:cs="Arial"/>
          <w:color w:val="000000"/>
          <w:sz w:val="22"/>
          <w:szCs w:val="22"/>
        </w:rPr>
        <w:t>, atendiendo las consultas y observaciones que al respecto van planteando los señores Directores.</w:t>
      </w:r>
    </w:p>
    <w:p w14:paraId="24C86482" w14:textId="77777777" w:rsidR="00D84E23" w:rsidRDefault="00D84E23" w:rsidP="00D84E23">
      <w:pPr>
        <w:spacing w:line="360" w:lineRule="auto"/>
        <w:jc w:val="both"/>
        <w:rPr>
          <w:rFonts w:cs="Arial"/>
          <w:sz w:val="22"/>
          <w:lang w:val="es-ES_tradnl"/>
        </w:rPr>
      </w:pPr>
    </w:p>
    <w:p w14:paraId="36C4A6F8" w14:textId="73C9E28C" w:rsidR="00D84E23" w:rsidRPr="00AD5651" w:rsidRDefault="00D84E23" w:rsidP="00D84E23">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11</w:t>
      </w:r>
      <w:r w:rsidR="00430B71">
        <w:rPr>
          <w:rFonts w:cs="Arial"/>
          <w:sz w:val="22"/>
          <w:u w:val="single"/>
          <w:lang w:val="es-ES_tradnl"/>
        </w:rPr>
        <w:t>1</w:t>
      </w:r>
      <w:r w:rsidRPr="00A25DB7">
        <w:rPr>
          <w:rFonts w:cs="Arial"/>
          <w:sz w:val="22"/>
          <w:u w:val="single"/>
          <w:lang w:val="es-ES_tradnl"/>
        </w:rPr>
        <w:t>:</w:t>
      </w:r>
      <w:r w:rsidR="00430B71">
        <w:rPr>
          <w:rFonts w:cs="Arial"/>
          <w:sz w:val="22"/>
          <w:u w:val="single"/>
          <w:lang w:val="es-ES_tradnl"/>
        </w:rPr>
        <w:t>44</w:t>
      </w:r>
      <w:r>
        <w:rPr>
          <w:rFonts w:cs="Arial"/>
          <w:color w:val="000000"/>
          <w:sz w:val="22"/>
          <w:szCs w:val="22"/>
        </w:rPr>
        <w:t xml:space="preserve"> Conocido el informe de la </w:t>
      </w:r>
      <w:r w:rsidR="006C2FCB">
        <w:rPr>
          <w:rFonts w:cs="Arial"/>
          <w:color w:val="000000"/>
          <w:sz w:val="22"/>
          <w:szCs w:val="22"/>
        </w:rPr>
        <w:t>Dirección FONAVI</w:t>
      </w:r>
      <w:r>
        <w:rPr>
          <w:rFonts w:cs="Arial"/>
          <w:color w:val="000000"/>
          <w:sz w:val="22"/>
          <w:szCs w:val="22"/>
        </w:rPr>
        <w:t xml:space="preserve"> y de conformidad con el análisis que se realiza al respecto,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aprobar </w:t>
      </w:r>
      <w:r w:rsidRPr="00BB303F">
        <w:rPr>
          <w:rFonts w:cs="Arial"/>
          <w:color w:val="000000"/>
          <w:sz w:val="22"/>
          <w:szCs w:val="22"/>
        </w:rPr>
        <w:t xml:space="preserve">los </w:t>
      </w:r>
      <w:r>
        <w:rPr>
          <w:rFonts w:cs="Arial"/>
          <w:color w:val="000000"/>
          <w:sz w:val="22"/>
          <w:szCs w:val="22"/>
        </w:rPr>
        <w:t>referidos p</w:t>
      </w:r>
      <w:r w:rsidRPr="00BB303F">
        <w:rPr>
          <w:rFonts w:cs="Arial"/>
          <w:color w:val="000000"/>
          <w:sz w:val="22"/>
          <w:szCs w:val="22"/>
        </w:rPr>
        <w:t xml:space="preserve">rogramas de </w:t>
      </w:r>
      <w:r>
        <w:rPr>
          <w:rFonts w:cs="Arial"/>
          <w:color w:val="000000"/>
          <w:sz w:val="22"/>
          <w:szCs w:val="22"/>
        </w:rPr>
        <w:t>colocación de c</w:t>
      </w:r>
      <w:r w:rsidRPr="00BB303F">
        <w:rPr>
          <w:rFonts w:cs="Arial"/>
          <w:color w:val="000000"/>
          <w:sz w:val="22"/>
          <w:szCs w:val="22"/>
        </w:rPr>
        <w:t>rédito y el Plan Anual de Captaciones</w:t>
      </w:r>
      <w:r>
        <w:rPr>
          <w:rFonts w:cs="Arial"/>
          <w:bCs/>
          <w:sz w:val="22"/>
          <w:szCs w:val="22"/>
        </w:rPr>
        <w:t>,</w:t>
      </w:r>
      <w:r w:rsidRPr="00AD5651">
        <w:rPr>
          <w:rFonts w:cs="Arial"/>
          <w:color w:val="000000"/>
          <w:sz w:val="22"/>
          <w:szCs w:val="22"/>
        </w:rPr>
        <w:t xml:space="preserve"> </w:t>
      </w:r>
      <w:r>
        <w:rPr>
          <w:rFonts w:cs="Arial"/>
          <w:color w:val="000000"/>
          <w:sz w:val="22"/>
          <w:szCs w:val="22"/>
        </w:rPr>
        <w:t xml:space="preserve">conforme lo recomendado </w:t>
      </w:r>
      <w:r w:rsidR="006C2FCB">
        <w:rPr>
          <w:rFonts w:cs="Arial"/>
          <w:color w:val="000000"/>
          <w:sz w:val="22"/>
          <w:szCs w:val="22"/>
        </w:rPr>
        <w:t xml:space="preserve">por la </w:t>
      </w:r>
      <w:r w:rsidR="006C2FCB" w:rsidRPr="006C2FCB">
        <w:rPr>
          <w:rFonts w:cs="Arial"/>
          <w:color w:val="000000"/>
          <w:sz w:val="22"/>
          <w:szCs w:val="22"/>
          <w:lang w:val="es-ES_tradnl"/>
        </w:rPr>
        <w:t>Administración</w:t>
      </w:r>
      <w:r w:rsidR="006C2FCB">
        <w:rPr>
          <w:rFonts w:cs="Arial"/>
          <w:color w:val="000000"/>
          <w:sz w:val="22"/>
          <w:szCs w:val="22"/>
          <w:lang w:val="es-ES_tradnl"/>
        </w:rPr>
        <w:t>, pero adicionando una instrucción para que se investigue</w:t>
      </w:r>
      <w:r w:rsidR="00F263FE">
        <w:rPr>
          <w:rFonts w:cs="Arial"/>
          <w:color w:val="000000"/>
          <w:sz w:val="22"/>
          <w:szCs w:val="22"/>
          <w:lang w:val="es-ES_tradnl"/>
        </w:rPr>
        <w:t>n</w:t>
      </w:r>
      <w:r w:rsidR="006C2FCB">
        <w:rPr>
          <w:rFonts w:cs="Arial"/>
          <w:color w:val="000000"/>
          <w:sz w:val="22"/>
          <w:szCs w:val="22"/>
          <w:lang w:val="es-ES_tradnl"/>
        </w:rPr>
        <w:t xml:space="preserve"> </w:t>
      </w:r>
      <w:r w:rsidR="00F263FE">
        <w:rPr>
          <w:rFonts w:cs="Arial"/>
          <w:color w:val="000000"/>
          <w:sz w:val="22"/>
          <w:szCs w:val="22"/>
          <w:lang w:val="es-ES_tradnl"/>
        </w:rPr>
        <w:t xml:space="preserve">las expectativas de las entidades autorizadas con respecto al Programa de Crédito de Corto Plazo en Colones.  </w:t>
      </w:r>
      <w:r w:rsidR="006C2FCB">
        <w:rPr>
          <w:rFonts w:cs="Arial"/>
          <w:color w:val="000000"/>
          <w:sz w:val="22"/>
          <w:szCs w:val="22"/>
        </w:rPr>
        <w:t>Lo anterior, según se consigna en</w:t>
      </w:r>
      <w:r>
        <w:rPr>
          <w:rFonts w:cs="Arial"/>
          <w:sz w:val="22"/>
          <w:szCs w:val="22"/>
        </w:rPr>
        <w:t xml:space="preserve"> </w:t>
      </w:r>
      <w:r w:rsidR="007B4921">
        <w:rPr>
          <w:rFonts w:cs="Arial"/>
          <w:sz w:val="22"/>
          <w:szCs w:val="22"/>
        </w:rPr>
        <w:t>los</w:t>
      </w:r>
      <w:r>
        <w:rPr>
          <w:rFonts w:cs="Arial"/>
          <w:sz w:val="22"/>
          <w:szCs w:val="22"/>
        </w:rPr>
        <w:t xml:space="preserve"> </w:t>
      </w:r>
      <w:r w:rsidR="007B4921">
        <w:rPr>
          <w:rFonts w:cs="Arial"/>
          <w:b/>
          <w:sz w:val="22"/>
          <w:szCs w:val="22"/>
        </w:rPr>
        <w:t>a</w:t>
      </w:r>
      <w:r w:rsidRPr="00ED0EF0">
        <w:rPr>
          <w:rFonts w:cs="Arial"/>
          <w:b/>
          <w:sz w:val="22"/>
          <w:szCs w:val="22"/>
        </w:rPr>
        <w:t>cuerdo</w:t>
      </w:r>
      <w:r w:rsidR="007B4921">
        <w:rPr>
          <w:rFonts w:cs="Arial"/>
          <w:b/>
          <w:sz w:val="22"/>
          <w:szCs w:val="22"/>
        </w:rPr>
        <w:t>s</w:t>
      </w:r>
      <w:r w:rsidRPr="00ED0EF0">
        <w:rPr>
          <w:rFonts w:cs="Arial"/>
          <w:b/>
          <w:sz w:val="22"/>
          <w:szCs w:val="22"/>
        </w:rPr>
        <w:t xml:space="preserve"> N° </w:t>
      </w:r>
      <w:r>
        <w:rPr>
          <w:rFonts w:cs="Arial"/>
          <w:b/>
          <w:sz w:val="22"/>
          <w:szCs w:val="22"/>
        </w:rPr>
        <w:t>3</w:t>
      </w:r>
      <w:r>
        <w:rPr>
          <w:rFonts w:cs="Arial"/>
          <w:sz w:val="22"/>
          <w:szCs w:val="22"/>
        </w:rPr>
        <w:t xml:space="preserve"> </w:t>
      </w:r>
      <w:r w:rsidR="007B4921">
        <w:rPr>
          <w:rFonts w:cs="Arial"/>
          <w:sz w:val="22"/>
          <w:szCs w:val="22"/>
        </w:rPr>
        <w:t xml:space="preserve">y </w:t>
      </w:r>
      <w:r w:rsidR="007B4921" w:rsidRPr="007B4921">
        <w:rPr>
          <w:rFonts w:cs="Arial"/>
          <w:b/>
          <w:bCs/>
          <w:sz w:val="22"/>
          <w:szCs w:val="22"/>
        </w:rPr>
        <w:t xml:space="preserve">N° 3A </w:t>
      </w:r>
      <w:r>
        <w:rPr>
          <w:rFonts w:cs="Arial"/>
          <w:sz w:val="22"/>
          <w:szCs w:val="22"/>
        </w:rPr>
        <w:t>que se anexa</w:t>
      </w:r>
      <w:r w:rsidR="007B4921">
        <w:rPr>
          <w:rFonts w:cs="Arial"/>
          <w:sz w:val="22"/>
          <w:szCs w:val="22"/>
        </w:rPr>
        <w:t>n</w:t>
      </w:r>
      <w:r>
        <w:rPr>
          <w:rFonts w:cs="Arial"/>
          <w:sz w:val="22"/>
          <w:szCs w:val="22"/>
        </w:rPr>
        <w:t xml:space="preserve"> a esta minuta.</w:t>
      </w:r>
    </w:p>
    <w:p w14:paraId="3428DBED" w14:textId="77777777" w:rsidR="009D03FE" w:rsidRPr="00D14EAF" w:rsidRDefault="009D03FE" w:rsidP="009D03FE">
      <w:pPr>
        <w:spacing w:line="360" w:lineRule="auto"/>
        <w:jc w:val="both"/>
        <w:rPr>
          <w:rFonts w:cs="Arial"/>
          <w:b/>
          <w:sz w:val="22"/>
        </w:rPr>
      </w:pPr>
      <w:r w:rsidRPr="00D14EAF">
        <w:rPr>
          <w:rFonts w:cs="Arial"/>
          <w:b/>
          <w:sz w:val="22"/>
        </w:rPr>
        <w:t>************</w:t>
      </w:r>
    </w:p>
    <w:p w14:paraId="1E89EA3E" w14:textId="77777777" w:rsidR="009D03FE" w:rsidRDefault="009D03FE" w:rsidP="009D03FE">
      <w:pPr>
        <w:spacing w:line="360" w:lineRule="auto"/>
        <w:jc w:val="both"/>
        <w:rPr>
          <w:rFonts w:cs="Arial"/>
          <w:b/>
          <w:bCs/>
          <w:sz w:val="22"/>
          <w:szCs w:val="22"/>
          <w:u w:val="single"/>
          <w:lang w:val="es-ES_tradnl"/>
        </w:rPr>
      </w:pPr>
    </w:p>
    <w:p w14:paraId="2BEC0984" w14:textId="73FDA648" w:rsidR="009D03FE" w:rsidRPr="0001101D" w:rsidRDefault="00320F35" w:rsidP="009D03FE">
      <w:pPr>
        <w:spacing w:line="360" w:lineRule="auto"/>
        <w:jc w:val="both"/>
        <w:outlineLvl w:val="0"/>
        <w:rPr>
          <w:rFonts w:cs="Arial"/>
          <w:sz w:val="22"/>
          <w:szCs w:val="22"/>
          <w:u w:val="single"/>
          <w:lang w:val="es-ES_tradnl"/>
        </w:rPr>
      </w:pPr>
      <w:r>
        <w:rPr>
          <w:rFonts w:cs="Arial"/>
          <w:b/>
          <w:sz w:val="22"/>
          <w:szCs w:val="22"/>
          <w:lang w:val="es-ES_tradnl"/>
        </w:rPr>
        <w:t>4°</w:t>
      </w:r>
      <w:r w:rsidR="0001101D" w:rsidRPr="0001101D">
        <w:rPr>
          <w:rFonts w:cs="Arial"/>
          <w:b/>
          <w:sz w:val="22"/>
          <w:szCs w:val="22"/>
          <w:lang w:val="es-ES_tradnl"/>
        </w:rPr>
        <w:t xml:space="preserve"> </w:t>
      </w:r>
      <w:r w:rsidR="0001101D" w:rsidRPr="0001101D">
        <w:rPr>
          <w:rFonts w:cs="Arial"/>
          <w:b/>
          <w:sz w:val="22"/>
          <w:szCs w:val="22"/>
          <w:u w:val="single"/>
          <w:lang w:val="es-ES_tradnl"/>
        </w:rPr>
        <w:t>Estado del análisis de la solicitud de crédito presentada por el Banco Popular y de Desarrollo Comunal, dentro del Programa Integral de Financiamiento para Familias de Ingresos Medios</w:t>
      </w:r>
    </w:p>
    <w:p w14:paraId="1935E140" w14:textId="77777777" w:rsidR="009D03FE" w:rsidRDefault="009D03FE" w:rsidP="009D03FE">
      <w:pPr>
        <w:spacing w:line="360" w:lineRule="auto"/>
        <w:jc w:val="both"/>
        <w:rPr>
          <w:rFonts w:cs="Arial"/>
          <w:sz w:val="22"/>
          <w:szCs w:val="22"/>
        </w:rPr>
      </w:pPr>
    </w:p>
    <w:p w14:paraId="430F14FD" w14:textId="72DAADC8"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F263FE">
        <w:rPr>
          <w:rFonts w:cs="Arial"/>
          <w:sz w:val="22"/>
          <w:u w:val="single"/>
          <w:lang w:val="es-ES_tradnl"/>
        </w:rPr>
        <w:t>11</w:t>
      </w:r>
      <w:r w:rsidR="004775D5">
        <w:rPr>
          <w:rFonts w:cs="Arial"/>
          <w:sz w:val="22"/>
          <w:u w:val="single"/>
          <w:lang w:val="es-ES_tradnl"/>
        </w:rPr>
        <w:t>3</w:t>
      </w:r>
      <w:r w:rsidRPr="0039311E">
        <w:rPr>
          <w:rFonts w:cs="Arial"/>
          <w:sz w:val="22"/>
          <w:u w:val="single"/>
          <w:lang w:val="es-ES_tradnl"/>
        </w:rPr>
        <w:t>:</w:t>
      </w:r>
      <w:r w:rsidR="004775D5">
        <w:rPr>
          <w:rFonts w:cs="Arial"/>
          <w:sz w:val="22"/>
          <w:u w:val="single"/>
          <w:lang w:val="es-ES_tradnl"/>
        </w:rPr>
        <w:t>15</w:t>
      </w:r>
      <w:r>
        <w:rPr>
          <w:rFonts w:cs="Arial"/>
          <w:sz w:val="22"/>
          <w:lang w:val="es-ES_tradnl"/>
        </w:rPr>
        <w:t xml:space="preserve"> Se conoce el oficio </w:t>
      </w:r>
      <w:r w:rsidR="004775D5">
        <w:rPr>
          <w:rFonts w:cs="Arial"/>
          <w:sz w:val="22"/>
          <w:lang w:val="es-ES_tradnl"/>
        </w:rPr>
        <w:t xml:space="preserve">GG-ME-1335-2019 del 19 de diciembre de 2019, mediante el cual, la </w:t>
      </w:r>
      <w:r w:rsidR="004775D5" w:rsidRPr="004775D5">
        <w:rPr>
          <w:rFonts w:cs="Arial"/>
          <w:sz w:val="22"/>
          <w:lang w:val="es-ES_tradnl"/>
        </w:rPr>
        <w:t>Gerencia General</w:t>
      </w:r>
      <w:r w:rsidR="004775D5">
        <w:rPr>
          <w:rFonts w:cs="Arial"/>
          <w:sz w:val="22"/>
          <w:lang w:val="es-ES_tradnl"/>
        </w:rPr>
        <w:t xml:space="preserve"> remite el informe DFNV-ME-0486-2019 de la Dirección FONAVI, referido al estado del análisis de la solicitud de crédito presentada por el Banco popular y de Desarrollo Comunal (Banco Popular), al amparo del </w:t>
      </w:r>
      <w:r w:rsidR="003255CB">
        <w:rPr>
          <w:rFonts w:cs="Arial"/>
          <w:sz w:val="22"/>
          <w:szCs w:val="22"/>
          <w:lang w:val="es-ES_tradnl"/>
        </w:rPr>
        <w:t>Programa de Financiamiento para Familias de Ingresos Medios.  Dichos documentos se adjuntan al expediente del acta.</w:t>
      </w:r>
    </w:p>
    <w:p w14:paraId="34A5055A" w14:textId="3FA8ECFD" w:rsidR="009D03FE" w:rsidRDefault="009D03FE" w:rsidP="009D03FE">
      <w:pPr>
        <w:spacing w:line="360" w:lineRule="auto"/>
        <w:jc w:val="both"/>
        <w:rPr>
          <w:rFonts w:cs="Arial"/>
          <w:sz w:val="22"/>
          <w:szCs w:val="22"/>
        </w:rPr>
      </w:pPr>
    </w:p>
    <w:p w14:paraId="4E988658" w14:textId="593C57C0" w:rsidR="003255CB" w:rsidRDefault="003255CB" w:rsidP="009D03FE">
      <w:pPr>
        <w:spacing w:line="360" w:lineRule="auto"/>
        <w:jc w:val="both"/>
        <w:rPr>
          <w:rFonts w:cs="Arial"/>
          <w:sz w:val="22"/>
          <w:szCs w:val="22"/>
        </w:rPr>
      </w:pPr>
      <w:r>
        <w:rPr>
          <w:rFonts w:cs="Arial"/>
          <w:sz w:val="22"/>
          <w:szCs w:val="22"/>
        </w:rPr>
        <w:t>La licenciada Hernández Brenes expone el contenido del referido informe, presentando inicialmente los escenarios de tasas de interés que comunicó el Banco Popular, en caso de que no se acepte la alternativa del Pagaré Institucional como garantía permanente; luego de lo cual, se refiere a los beneficios que –según el criterio de esa entidad– se esperan obtener a partir de la referida operación de crédito</w:t>
      </w:r>
      <w:r w:rsidR="00A25CE7">
        <w:rPr>
          <w:rFonts w:cs="Arial"/>
          <w:sz w:val="22"/>
          <w:szCs w:val="22"/>
        </w:rPr>
        <w:t xml:space="preserve">, así como el criterio de la </w:t>
      </w:r>
      <w:r w:rsidR="00A25CE7" w:rsidRPr="00A25CE7">
        <w:rPr>
          <w:rFonts w:cs="Arial"/>
          <w:sz w:val="22"/>
          <w:szCs w:val="22"/>
        </w:rPr>
        <w:t>Asesoría Legal</w:t>
      </w:r>
      <w:r w:rsidR="00A25CE7">
        <w:rPr>
          <w:rFonts w:cs="Arial"/>
          <w:sz w:val="22"/>
          <w:szCs w:val="22"/>
        </w:rPr>
        <w:t>, sobre la posibilidad de ajustar la reglamentación para permitir el Pagaré Institucional como garantía permanente en las operaciones de crédito del FONAVI</w:t>
      </w:r>
      <w:r w:rsidR="00AE1814">
        <w:rPr>
          <w:rFonts w:cs="Arial"/>
          <w:sz w:val="22"/>
          <w:szCs w:val="22"/>
        </w:rPr>
        <w:t xml:space="preserve">, con base en lo cual, concluye que </w:t>
      </w:r>
      <w:r w:rsidR="00172800">
        <w:rPr>
          <w:rFonts w:cs="Arial"/>
          <w:sz w:val="22"/>
          <w:szCs w:val="22"/>
        </w:rPr>
        <w:t>la recomendación es</w:t>
      </w:r>
      <w:r w:rsidR="00AE1814">
        <w:rPr>
          <w:rFonts w:cs="Arial"/>
          <w:sz w:val="22"/>
          <w:szCs w:val="22"/>
        </w:rPr>
        <w:t xml:space="preserve"> continuar realizando conversaciones con el Banco Popular, a fin de </w:t>
      </w:r>
      <w:r w:rsidR="00AE1814">
        <w:rPr>
          <w:rFonts w:cs="Arial"/>
          <w:sz w:val="22"/>
          <w:szCs w:val="22"/>
          <w:lang w:val="es-ES_tradnl"/>
        </w:rPr>
        <w:t xml:space="preserve">encontrar puntos de </w:t>
      </w:r>
      <w:r w:rsidR="00AE1814">
        <w:rPr>
          <w:rFonts w:cs="Arial"/>
          <w:sz w:val="22"/>
          <w:szCs w:val="22"/>
        </w:rPr>
        <w:t>consenso sobre el tipo y las condiciones de la garantía a otorgar por los recursos gestionados</w:t>
      </w:r>
      <w:r w:rsidR="00A25CE7">
        <w:rPr>
          <w:rFonts w:cs="Arial"/>
          <w:sz w:val="22"/>
          <w:szCs w:val="22"/>
        </w:rPr>
        <w:t>.</w:t>
      </w:r>
    </w:p>
    <w:p w14:paraId="1A560101" w14:textId="70714C31" w:rsidR="003255CB" w:rsidRDefault="003255CB" w:rsidP="009D03FE">
      <w:pPr>
        <w:spacing w:line="360" w:lineRule="auto"/>
        <w:jc w:val="both"/>
        <w:rPr>
          <w:rFonts w:cs="Arial"/>
          <w:sz w:val="22"/>
          <w:szCs w:val="22"/>
        </w:rPr>
      </w:pPr>
    </w:p>
    <w:p w14:paraId="19385339" w14:textId="20C402FB" w:rsidR="0010187D" w:rsidRDefault="009D03FE" w:rsidP="009D03FE">
      <w:pPr>
        <w:spacing w:line="360" w:lineRule="auto"/>
        <w:jc w:val="both"/>
        <w:rPr>
          <w:rFonts w:cs="Arial"/>
          <w:sz w:val="22"/>
          <w:szCs w:val="22"/>
          <w:lang w:val="es-ES_tradnl"/>
        </w:rPr>
      </w:pPr>
      <w:r w:rsidRPr="00A25DB7">
        <w:rPr>
          <w:rFonts w:cs="Arial"/>
          <w:sz w:val="22"/>
          <w:u w:val="single"/>
          <w:lang w:val="es-ES_tradnl"/>
        </w:rPr>
        <w:t xml:space="preserve">Minuto </w:t>
      </w:r>
      <w:r w:rsidR="00A25CE7">
        <w:rPr>
          <w:rFonts w:cs="Arial"/>
          <w:sz w:val="22"/>
          <w:u w:val="single"/>
          <w:lang w:val="es-ES_tradnl"/>
        </w:rPr>
        <w:t>1</w:t>
      </w:r>
      <w:r w:rsidR="0010187D">
        <w:rPr>
          <w:rFonts w:cs="Arial"/>
          <w:sz w:val="22"/>
          <w:u w:val="single"/>
          <w:lang w:val="es-ES_tradnl"/>
        </w:rPr>
        <w:t>23</w:t>
      </w:r>
      <w:r w:rsidRPr="00A25DB7">
        <w:rPr>
          <w:rFonts w:cs="Arial"/>
          <w:sz w:val="22"/>
          <w:u w:val="single"/>
          <w:lang w:val="es-ES_tradnl"/>
        </w:rPr>
        <w:t>:</w:t>
      </w:r>
      <w:r w:rsidR="0010187D">
        <w:rPr>
          <w:rFonts w:cs="Arial"/>
          <w:sz w:val="22"/>
          <w:u w:val="single"/>
          <w:lang w:val="es-ES_tradnl"/>
        </w:rPr>
        <w:t>14</w:t>
      </w:r>
      <w:r>
        <w:rPr>
          <w:rFonts w:cs="Arial"/>
          <w:sz w:val="22"/>
          <w:lang w:val="es-ES_tradnl"/>
        </w:rPr>
        <w:t xml:space="preserve"> </w:t>
      </w:r>
      <w:r w:rsidR="00A25CE7">
        <w:rPr>
          <w:rFonts w:cs="Arial"/>
          <w:sz w:val="22"/>
          <w:lang w:val="es-ES_tradnl"/>
        </w:rPr>
        <w:t>L</w:t>
      </w:r>
      <w:r w:rsidR="0010187D">
        <w:rPr>
          <w:rFonts w:cs="Arial"/>
          <w:sz w:val="22"/>
          <w:lang w:val="es-ES_tradnl"/>
        </w:rPr>
        <w:t xml:space="preserve">os señores Directores proceden a analizar la información suministrada, manifestando sus dudas con respecto al criterio emitido por la </w:t>
      </w:r>
      <w:r w:rsidR="0010187D" w:rsidRPr="0010187D">
        <w:rPr>
          <w:rFonts w:cs="Arial"/>
          <w:sz w:val="22"/>
          <w:szCs w:val="22"/>
          <w:lang w:val="es-ES_tradnl"/>
        </w:rPr>
        <w:t>Asesoría Legal</w:t>
      </w:r>
      <w:r w:rsidR="0010187D">
        <w:rPr>
          <w:rFonts w:cs="Arial"/>
          <w:sz w:val="22"/>
          <w:szCs w:val="22"/>
          <w:lang w:val="es-ES_tradnl"/>
        </w:rPr>
        <w:t xml:space="preserve"> y al perjuicio que dicha opinión le genera al Programa de Financiamiento para Familias de Ingresos Medios, </w:t>
      </w:r>
      <w:r w:rsidR="00DD1E85">
        <w:rPr>
          <w:rFonts w:cs="Arial"/>
          <w:sz w:val="22"/>
          <w:szCs w:val="22"/>
          <w:lang w:val="es-ES_tradnl"/>
        </w:rPr>
        <w:t xml:space="preserve">dado que originalmente este Programa se planteó para entidades que mantenían créditos con el BANHVI, en la búsqueda de propiciar un programa de préstamos con tasas de interés menores; y en este sentido </w:t>
      </w:r>
      <w:r w:rsidR="0010187D">
        <w:rPr>
          <w:rFonts w:cs="Arial"/>
          <w:sz w:val="22"/>
          <w:szCs w:val="22"/>
          <w:lang w:val="es-ES_tradnl"/>
        </w:rPr>
        <w:t xml:space="preserve">se considera razonable que la reglamentación pueda reformarse para darle a todas las entidades del </w:t>
      </w:r>
      <w:r w:rsidR="0010187D" w:rsidRPr="0010187D">
        <w:rPr>
          <w:rFonts w:cs="Arial"/>
          <w:sz w:val="22"/>
          <w:szCs w:val="22"/>
          <w:lang w:val="es-ES_tradnl"/>
        </w:rPr>
        <w:t>Sistema Financiero Nacional para la Vivienda</w:t>
      </w:r>
      <w:r w:rsidR="0010187D">
        <w:rPr>
          <w:rFonts w:cs="Arial"/>
          <w:sz w:val="22"/>
          <w:szCs w:val="22"/>
          <w:lang w:val="es-ES_tradnl"/>
        </w:rPr>
        <w:t xml:space="preserve"> y no solo al Banco Popular, mayores alternativas de participar en los diversos programas de financiamiento del FONAVI,</w:t>
      </w:r>
      <w:r w:rsidR="00DD1E85">
        <w:rPr>
          <w:rFonts w:cs="Arial"/>
          <w:sz w:val="22"/>
          <w:szCs w:val="22"/>
          <w:lang w:val="es-ES_tradnl"/>
        </w:rPr>
        <w:t xml:space="preserve"> y</w:t>
      </w:r>
      <w:r w:rsidR="0010187D">
        <w:rPr>
          <w:rFonts w:cs="Arial"/>
          <w:sz w:val="22"/>
          <w:szCs w:val="22"/>
          <w:lang w:val="es-ES_tradnl"/>
        </w:rPr>
        <w:t xml:space="preserve"> a su vez, contribuir de mejor forma </w:t>
      </w:r>
      <w:r w:rsidR="005C0052">
        <w:rPr>
          <w:rFonts w:cs="Arial"/>
          <w:sz w:val="22"/>
          <w:szCs w:val="22"/>
          <w:lang w:val="es-ES_tradnl"/>
        </w:rPr>
        <w:t>al</w:t>
      </w:r>
      <w:r w:rsidR="0010187D">
        <w:rPr>
          <w:rFonts w:cs="Arial"/>
          <w:sz w:val="22"/>
          <w:szCs w:val="22"/>
          <w:lang w:val="es-ES_tradnl"/>
        </w:rPr>
        <w:t xml:space="preserve"> logro de los objetivos del Banco y del Sistema</w:t>
      </w:r>
      <w:r w:rsidR="005C0052">
        <w:rPr>
          <w:rFonts w:cs="Arial"/>
          <w:sz w:val="22"/>
          <w:szCs w:val="22"/>
          <w:lang w:val="es-ES_tradnl"/>
        </w:rPr>
        <w:t xml:space="preserve">, según lo ha estado promoviendo esta </w:t>
      </w:r>
      <w:r w:rsidR="005C0052" w:rsidRPr="005C0052">
        <w:rPr>
          <w:rFonts w:cs="Arial"/>
          <w:sz w:val="22"/>
          <w:szCs w:val="22"/>
          <w:lang w:val="es-ES_tradnl"/>
        </w:rPr>
        <w:t>Junta Directiva</w:t>
      </w:r>
      <w:r w:rsidR="00DD1E85">
        <w:rPr>
          <w:rFonts w:cs="Arial"/>
          <w:sz w:val="22"/>
          <w:szCs w:val="22"/>
          <w:lang w:val="es-ES_tradnl"/>
        </w:rPr>
        <w:t xml:space="preserve">, gestionando la participación del Banco Popular y de otras entidades que no mantienen créditos con el BANHVI, en el Programa de Financiamiento para Familias de Ingresos Medios, con el fin de ofrecer soluciones de vivienda a familias de los estratos comprendidos entre el 1,5 y el 3, </w:t>
      </w:r>
      <w:r w:rsidR="00F71547">
        <w:rPr>
          <w:rFonts w:cs="Arial"/>
          <w:sz w:val="22"/>
          <w:szCs w:val="22"/>
          <w:lang w:val="es-ES_tradnl"/>
        </w:rPr>
        <w:t xml:space="preserve">y </w:t>
      </w:r>
      <w:r w:rsidR="00DD1E85">
        <w:rPr>
          <w:rFonts w:cs="Arial"/>
          <w:sz w:val="22"/>
          <w:szCs w:val="22"/>
          <w:lang w:val="es-ES_tradnl"/>
        </w:rPr>
        <w:t>ofreciendo una menor tasa de interés.</w:t>
      </w:r>
    </w:p>
    <w:p w14:paraId="3979F883" w14:textId="77777777" w:rsidR="00DD1E85" w:rsidRDefault="00DD1E85" w:rsidP="009D03FE">
      <w:pPr>
        <w:spacing w:line="360" w:lineRule="auto"/>
        <w:jc w:val="both"/>
        <w:rPr>
          <w:rFonts w:cs="Arial"/>
          <w:sz w:val="22"/>
          <w:szCs w:val="22"/>
          <w:lang w:val="es-ES_tradnl"/>
        </w:rPr>
      </w:pPr>
    </w:p>
    <w:p w14:paraId="3F02F974" w14:textId="7E881D03" w:rsidR="0010187D" w:rsidRDefault="0010187D"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sidRPr="00F71547">
        <w:rPr>
          <w:rFonts w:cs="Arial"/>
          <w:sz w:val="22"/>
          <w:u w:val="single"/>
          <w:lang w:val="es-ES_tradnl"/>
        </w:rPr>
        <w:t>1</w:t>
      </w:r>
      <w:r w:rsidR="00F71547">
        <w:rPr>
          <w:rFonts w:cs="Arial"/>
          <w:sz w:val="22"/>
          <w:u w:val="single"/>
          <w:lang w:val="es-ES_tradnl"/>
        </w:rPr>
        <w:t>36</w:t>
      </w:r>
      <w:r w:rsidRPr="00F71547">
        <w:rPr>
          <w:rFonts w:cs="Arial"/>
          <w:sz w:val="22"/>
          <w:u w:val="single"/>
          <w:lang w:val="es-ES_tradnl"/>
        </w:rPr>
        <w:t>:</w:t>
      </w:r>
      <w:r w:rsidR="00C73D9B">
        <w:rPr>
          <w:rFonts w:cs="Arial"/>
          <w:sz w:val="22"/>
          <w:u w:val="single"/>
          <w:lang w:val="es-ES_tradnl"/>
        </w:rPr>
        <w:t>37</w:t>
      </w:r>
      <w:r>
        <w:rPr>
          <w:rFonts w:cs="Arial"/>
          <w:sz w:val="22"/>
          <w:lang w:val="es-ES_tradnl"/>
        </w:rPr>
        <w:t xml:space="preserve"> </w:t>
      </w:r>
      <w:r>
        <w:rPr>
          <w:rFonts w:cs="Arial"/>
          <w:sz w:val="22"/>
          <w:szCs w:val="22"/>
          <w:lang w:val="es-ES_tradnl"/>
        </w:rPr>
        <w:t xml:space="preserve">En </w:t>
      </w:r>
      <w:r w:rsidR="00DD1E85">
        <w:rPr>
          <w:rFonts w:cs="Arial"/>
          <w:sz w:val="22"/>
          <w:szCs w:val="22"/>
          <w:lang w:val="es-ES_tradnl"/>
        </w:rPr>
        <w:t>esta dirección</w:t>
      </w:r>
      <w:r>
        <w:rPr>
          <w:rFonts w:cs="Arial"/>
          <w:sz w:val="22"/>
          <w:szCs w:val="22"/>
          <w:lang w:val="es-ES_tradnl"/>
        </w:rPr>
        <w:t xml:space="preserve"> y de conformidad con </w:t>
      </w:r>
      <w:r w:rsidR="00FE1A42">
        <w:rPr>
          <w:rFonts w:cs="Arial"/>
          <w:sz w:val="22"/>
          <w:szCs w:val="22"/>
          <w:lang w:val="es-ES_tradnl"/>
        </w:rPr>
        <w:t xml:space="preserve">las valoraciones realizadas, se concuerda en la pertinencia de actuar conforme lo recomienda la </w:t>
      </w:r>
      <w:r w:rsidR="00FE1A42" w:rsidRPr="00FE1A42">
        <w:rPr>
          <w:rFonts w:cs="Arial"/>
          <w:sz w:val="22"/>
          <w:szCs w:val="22"/>
          <w:lang w:val="es-ES_tradnl"/>
        </w:rPr>
        <w:t>Administración</w:t>
      </w:r>
      <w:r w:rsidR="00FE1A42">
        <w:rPr>
          <w:rFonts w:cs="Arial"/>
          <w:sz w:val="22"/>
          <w:szCs w:val="22"/>
          <w:lang w:val="es-ES_tradnl"/>
        </w:rPr>
        <w:t xml:space="preserve">, en cuanto a continuar realizando conversaciones con el Banco Popular, con el propósito de encontrar puntos de </w:t>
      </w:r>
      <w:r w:rsidR="00FE1A42">
        <w:rPr>
          <w:rFonts w:cs="Arial"/>
          <w:sz w:val="22"/>
          <w:szCs w:val="22"/>
        </w:rPr>
        <w:t>consenso sobre el tipo y las condiciones de la garantía a otorgar por los recursos gestionados.  No obstante, con el fin de aclarar el tema de las garantías que deben respaldar los créditos otorgados por este Banco, para programas de vivienda dirigidos a cumplir los fines del Sistema Financiero Nacional para la Vivienda, se estima oportuno gestionar</w:t>
      </w:r>
      <w:r w:rsidR="00FE1A42">
        <w:rPr>
          <w:rFonts w:cs="Arial"/>
          <w:sz w:val="22"/>
          <w:szCs w:val="22"/>
          <w:lang w:val="es-ES_tradnl"/>
        </w:rPr>
        <w:t xml:space="preserve"> una consulta a la Superintendencia General de Entidades Financieras.  Lo anterior, según se consigna en el </w:t>
      </w:r>
      <w:r w:rsidR="00FE1A42" w:rsidRPr="00FE1A42">
        <w:rPr>
          <w:rFonts w:cs="Arial"/>
          <w:b/>
          <w:bCs/>
          <w:sz w:val="22"/>
          <w:szCs w:val="22"/>
          <w:lang w:val="es-ES_tradnl"/>
        </w:rPr>
        <w:t>Acuerdo N° 4</w:t>
      </w:r>
      <w:r w:rsidR="00FE1A42">
        <w:rPr>
          <w:rFonts w:cs="Arial"/>
          <w:sz w:val="22"/>
          <w:szCs w:val="22"/>
          <w:lang w:val="es-ES_tradnl"/>
        </w:rPr>
        <w:t xml:space="preserve"> que se anexa a esta minuta.  Acto seguido, se retira de la sesión la licenciada Hernández Brenes.</w:t>
      </w:r>
    </w:p>
    <w:p w14:paraId="0A64C50E" w14:textId="77777777" w:rsidR="009D03FE" w:rsidRPr="00D14EAF" w:rsidRDefault="009D03FE" w:rsidP="009D03FE">
      <w:pPr>
        <w:spacing w:line="360" w:lineRule="auto"/>
        <w:jc w:val="both"/>
        <w:rPr>
          <w:rFonts w:cs="Arial"/>
          <w:b/>
          <w:sz w:val="22"/>
        </w:rPr>
      </w:pPr>
      <w:r w:rsidRPr="00D14EAF">
        <w:rPr>
          <w:rFonts w:cs="Arial"/>
          <w:b/>
          <w:sz w:val="22"/>
        </w:rPr>
        <w:t>************</w:t>
      </w:r>
    </w:p>
    <w:p w14:paraId="56E8729E" w14:textId="77777777" w:rsidR="009D03FE" w:rsidRDefault="009D03FE" w:rsidP="009D03FE">
      <w:pPr>
        <w:spacing w:line="360" w:lineRule="auto"/>
        <w:jc w:val="both"/>
        <w:rPr>
          <w:rFonts w:cs="Arial"/>
          <w:b/>
          <w:sz w:val="22"/>
          <w:szCs w:val="22"/>
          <w:u w:val="single"/>
          <w:lang w:val="es-ES_tradnl"/>
        </w:rPr>
      </w:pPr>
    </w:p>
    <w:p w14:paraId="2E81EAA5" w14:textId="6FF1FC1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01101D" w:rsidRPr="0001101D">
        <w:rPr>
          <w:rFonts w:cs="Arial"/>
          <w:b/>
          <w:sz w:val="22"/>
          <w:szCs w:val="22"/>
          <w:u w:val="single"/>
          <w:lang w:val="es-ES_tradnl"/>
        </w:rPr>
        <w:t>Informe sobre la situación financiera del Banco, con corte a setiembre de 2019</w:t>
      </w:r>
    </w:p>
    <w:p w14:paraId="49138E36" w14:textId="77777777" w:rsidR="009D03FE" w:rsidRDefault="009D03FE" w:rsidP="009D03FE">
      <w:pPr>
        <w:spacing w:line="360" w:lineRule="auto"/>
        <w:jc w:val="both"/>
        <w:rPr>
          <w:rFonts w:cs="Arial"/>
          <w:sz w:val="22"/>
          <w:szCs w:val="22"/>
        </w:rPr>
      </w:pPr>
    </w:p>
    <w:p w14:paraId="37BF64ED" w14:textId="794EC8AA" w:rsidR="0008779C" w:rsidRDefault="0008779C" w:rsidP="0008779C">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13</w:t>
      </w:r>
      <w:r w:rsidR="00933CF7">
        <w:rPr>
          <w:rFonts w:cs="Arial"/>
          <w:sz w:val="22"/>
          <w:u w:val="single"/>
          <w:lang w:val="es-ES_tradnl"/>
        </w:rPr>
        <w:t>9</w:t>
      </w:r>
      <w:r w:rsidRPr="0039311E">
        <w:rPr>
          <w:rFonts w:cs="Arial"/>
          <w:sz w:val="22"/>
          <w:u w:val="single"/>
          <w:lang w:val="es-ES_tradnl"/>
        </w:rPr>
        <w:t>:</w:t>
      </w:r>
      <w:r>
        <w:rPr>
          <w:rFonts w:cs="Arial"/>
          <w:sz w:val="22"/>
          <w:u w:val="single"/>
          <w:lang w:val="es-ES_tradnl"/>
        </w:rPr>
        <w:t>5</w:t>
      </w:r>
      <w:r w:rsidR="00965557">
        <w:rPr>
          <w:rFonts w:cs="Arial"/>
          <w:sz w:val="22"/>
          <w:u w:val="single"/>
          <w:lang w:val="es-ES_tradnl"/>
        </w:rPr>
        <w:t>8</w:t>
      </w:r>
      <w:r>
        <w:rPr>
          <w:rFonts w:cs="Arial"/>
          <w:sz w:val="22"/>
          <w:lang w:val="es-ES_tradnl"/>
        </w:rPr>
        <w:t xml:space="preserve"> Se conoce el oficio</w:t>
      </w:r>
      <w:r w:rsidRPr="008E32E4">
        <w:rPr>
          <w:sz w:val="22"/>
          <w:szCs w:val="22"/>
        </w:rPr>
        <w:t xml:space="preserve"> CABANHVI-</w:t>
      </w:r>
      <w:r w:rsidR="00FA76CF">
        <w:rPr>
          <w:sz w:val="22"/>
          <w:szCs w:val="22"/>
        </w:rPr>
        <w:t>26</w:t>
      </w:r>
      <w:r w:rsidRPr="008E32E4">
        <w:rPr>
          <w:sz w:val="22"/>
          <w:szCs w:val="22"/>
        </w:rPr>
        <w:t>-201</w:t>
      </w:r>
      <w:r>
        <w:rPr>
          <w:sz w:val="22"/>
          <w:szCs w:val="22"/>
        </w:rPr>
        <w:t>9</w:t>
      </w:r>
      <w:r w:rsidRPr="008E32E4">
        <w:rPr>
          <w:sz w:val="22"/>
          <w:szCs w:val="22"/>
        </w:rPr>
        <w:t xml:space="preserve"> del </w:t>
      </w:r>
      <w:r w:rsidR="00FA76CF">
        <w:rPr>
          <w:sz w:val="22"/>
          <w:szCs w:val="22"/>
        </w:rPr>
        <w:t>16</w:t>
      </w:r>
      <w:r w:rsidRPr="008E32E4">
        <w:rPr>
          <w:sz w:val="22"/>
          <w:szCs w:val="22"/>
        </w:rPr>
        <w:t xml:space="preserve"> de </w:t>
      </w:r>
      <w:r w:rsidR="00FA76CF">
        <w:rPr>
          <w:sz w:val="22"/>
          <w:szCs w:val="22"/>
        </w:rPr>
        <w:t>diciembre</w:t>
      </w:r>
      <w:r w:rsidRPr="008E32E4">
        <w:rPr>
          <w:sz w:val="22"/>
          <w:szCs w:val="22"/>
        </w:rPr>
        <w:t xml:space="preserve"> de 201</w:t>
      </w:r>
      <w:r>
        <w:rPr>
          <w:sz w:val="22"/>
          <w:szCs w:val="22"/>
        </w:rPr>
        <w:t>9</w:t>
      </w:r>
      <w:r w:rsidRPr="008E32E4">
        <w:rPr>
          <w:sz w:val="22"/>
          <w:szCs w:val="22"/>
        </w:rPr>
        <w:t xml:space="preserve">, por medio del cual, el Comité de Auditoría somete a la consideración de esta Junta Directiva, la información financiera y complementaria del Banco con </w:t>
      </w:r>
      <w:r>
        <w:rPr>
          <w:sz w:val="22"/>
          <w:szCs w:val="22"/>
        </w:rPr>
        <w:t xml:space="preserve">corte al 30 de </w:t>
      </w:r>
      <w:r w:rsidR="00FA76CF">
        <w:rPr>
          <w:sz w:val="22"/>
          <w:szCs w:val="22"/>
        </w:rPr>
        <w:t>setiembre</w:t>
      </w:r>
      <w:r>
        <w:rPr>
          <w:sz w:val="22"/>
          <w:szCs w:val="22"/>
        </w:rPr>
        <w:t xml:space="preserve"> de 2019</w:t>
      </w:r>
      <w:r w:rsidRPr="008E32E4">
        <w:rPr>
          <w:sz w:val="22"/>
          <w:szCs w:val="22"/>
        </w:rPr>
        <w:t>, la cual se adjunta a la</w:t>
      </w:r>
      <w:r>
        <w:rPr>
          <w:sz w:val="22"/>
          <w:szCs w:val="22"/>
        </w:rPr>
        <w:t xml:space="preserve">s notas </w:t>
      </w:r>
      <w:r w:rsidR="006C3266">
        <w:rPr>
          <w:sz w:val="22"/>
          <w:szCs w:val="22"/>
        </w:rPr>
        <w:t xml:space="preserve">GG-ME-1160-2019 y </w:t>
      </w:r>
      <w:r>
        <w:rPr>
          <w:sz w:val="22"/>
          <w:szCs w:val="22"/>
        </w:rPr>
        <w:t>DFC-IN05-0</w:t>
      </w:r>
      <w:r w:rsidR="00FA76CF">
        <w:rPr>
          <w:sz w:val="22"/>
          <w:szCs w:val="22"/>
        </w:rPr>
        <w:t>243</w:t>
      </w:r>
      <w:r>
        <w:rPr>
          <w:sz w:val="22"/>
          <w:szCs w:val="22"/>
        </w:rPr>
        <w:t>-2019</w:t>
      </w:r>
      <w:r w:rsidR="006C3266">
        <w:rPr>
          <w:sz w:val="22"/>
          <w:szCs w:val="22"/>
        </w:rPr>
        <w:t>,</w:t>
      </w:r>
      <w:r>
        <w:rPr>
          <w:sz w:val="22"/>
          <w:szCs w:val="22"/>
        </w:rPr>
        <w:t xml:space="preserve"> de </w:t>
      </w:r>
      <w:r w:rsidR="006C3266">
        <w:rPr>
          <w:sz w:val="22"/>
          <w:szCs w:val="22"/>
        </w:rPr>
        <w:t xml:space="preserve">la </w:t>
      </w:r>
      <w:r w:rsidR="006C3266" w:rsidRPr="00BF78C3">
        <w:rPr>
          <w:rFonts w:cs="Arial"/>
          <w:sz w:val="22"/>
          <w:szCs w:val="22"/>
          <w:lang w:val="es-CR"/>
        </w:rPr>
        <w:t>Gerencia General</w:t>
      </w:r>
      <w:r w:rsidR="006C3266">
        <w:rPr>
          <w:rFonts w:cs="Arial"/>
          <w:sz w:val="22"/>
          <w:szCs w:val="22"/>
          <w:lang w:val="es-CR"/>
        </w:rPr>
        <w:t xml:space="preserve"> y el </w:t>
      </w:r>
      <w:r>
        <w:rPr>
          <w:sz w:val="22"/>
          <w:szCs w:val="22"/>
        </w:rPr>
        <w:t>Departamento Financiero – Contable</w:t>
      </w:r>
      <w:r w:rsidRPr="007B4700">
        <w:rPr>
          <w:sz w:val="22"/>
          <w:szCs w:val="22"/>
        </w:rPr>
        <w:t xml:space="preserve"> </w:t>
      </w:r>
      <w:r>
        <w:rPr>
          <w:rFonts w:cs="Arial"/>
          <w:sz w:val="22"/>
          <w:szCs w:val="22"/>
          <w:lang w:val="es-CR"/>
        </w:rPr>
        <w:t>respectivamente</w:t>
      </w:r>
      <w:r w:rsidRPr="008E32E4">
        <w:rPr>
          <w:sz w:val="22"/>
          <w:szCs w:val="22"/>
        </w:rPr>
        <w:t>.  Dichos documentos se adjuntan al</w:t>
      </w:r>
      <w:r>
        <w:rPr>
          <w:sz w:val="22"/>
          <w:szCs w:val="22"/>
        </w:rPr>
        <w:t xml:space="preserve"> expediente del</w:t>
      </w:r>
      <w:r w:rsidRPr="008E32E4">
        <w:rPr>
          <w:sz w:val="22"/>
          <w:szCs w:val="22"/>
        </w:rPr>
        <w:t xml:space="preserve"> acta.</w:t>
      </w:r>
    </w:p>
    <w:p w14:paraId="448F9889" w14:textId="77777777" w:rsidR="0008779C" w:rsidRDefault="0008779C" w:rsidP="0008779C">
      <w:pPr>
        <w:spacing w:line="360" w:lineRule="auto"/>
        <w:jc w:val="both"/>
        <w:rPr>
          <w:sz w:val="22"/>
          <w:szCs w:val="22"/>
        </w:rPr>
      </w:pPr>
    </w:p>
    <w:p w14:paraId="53DBA1B3" w14:textId="77777777" w:rsidR="0008779C" w:rsidRDefault="0008779C" w:rsidP="0008779C">
      <w:pPr>
        <w:spacing w:line="360" w:lineRule="auto"/>
        <w:jc w:val="both"/>
        <w:rPr>
          <w:rFonts w:cs="Arial"/>
          <w:sz w:val="22"/>
        </w:rPr>
      </w:pPr>
      <w:r>
        <w:rPr>
          <w:sz w:val="22"/>
          <w:szCs w:val="22"/>
        </w:rPr>
        <w:t>Para exponer los alcances del citado informe y atender eventuales consultas de carácter técnico sobre éste y el siguiente tema, se incorpora a la sesión el licenciado José Pablo Durán Rodríguez, jefe del Departamento Financiero – Contable, quien se refiere inicialmente a los</w:t>
      </w:r>
      <w:r>
        <w:rPr>
          <w:rFonts w:cs="Arial"/>
          <w:sz w:val="22"/>
        </w:rPr>
        <w:t xml:space="preserve"> cambios contables, destacando –según se detalla en el documento presentado– la condición del Estado de Resultados y del Estado de Situación Financiera, tanto totales como del FOSUVI y del Fondo de Garantías.</w:t>
      </w:r>
    </w:p>
    <w:p w14:paraId="2BD73961" w14:textId="77777777" w:rsidR="0008779C" w:rsidRPr="004809BC" w:rsidRDefault="0008779C" w:rsidP="0008779C">
      <w:pPr>
        <w:spacing w:line="360" w:lineRule="auto"/>
        <w:jc w:val="both"/>
        <w:rPr>
          <w:rFonts w:cs="Arial"/>
          <w:sz w:val="22"/>
          <w:lang w:val="es-CR"/>
        </w:rPr>
      </w:pPr>
    </w:p>
    <w:p w14:paraId="7AC1008C" w14:textId="66C0FF3A" w:rsidR="0008779C" w:rsidRDefault="0008779C" w:rsidP="0008779C">
      <w:pPr>
        <w:spacing w:line="360" w:lineRule="auto"/>
        <w:jc w:val="both"/>
        <w:rPr>
          <w:rFonts w:cs="Arial"/>
          <w:color w:val="000000"/>
          <w:sz w:val="22"/>
          <w:szCs w:val="22"/>
          <w:lang w:val="es-CR"/>
        </w:rPr>
      </w:pPr>
      <w:r>
        <w:rPr>
          <w:rFonts w:cs="Arial"/>
          <w:sz w:val="22"/>
          <w:lang w:val="es-CR"/>
        </w:rPr>
        <w:t xml:space="preserve">Por otra parte, explica </w:t>
      </w:r>
      <w:r w:rsidR="00965557">
        <w:rPr>
          <w:rFonts w:cs="Arial"/>
          <w:sz w:val="22"/>
          <w:lang w:val="es-CR"/>
        </w:rPr>
        <w:t xml:space="preserve">y atiende las consultas que van planteando los señores Directores, </w:t>
      </w:r>
      <w:r>
        <w:rPr>
          <w:rFonts w:cs="Arial"/>
          <w:sz w:val="22"/>
          <w:lang w:val="es-CR"/>
        </w:rPr>
        <w:t xml:space="preserve">los datos de las estimaciones y provisiones contables, así como la información sobre el comportamiento de la Cuenta General y la ejecución presupuestaria al pasado 30 de </w:t>
      </w:r>
      <w:r w:rsidR="00933CF7">
        <w:rPr>
          <w:rFonts w:cs="Arial"/>
          <w:sz w:val="22"/>
          <w:lang w:val="es-CR"/>
        </w:rPr>
        <w:t>setiembre</w:t>
      </w:r>
      <w:r>
        <w:rPr>
          <w:rFonts w:cs="Arial"/>
          <w:sz w:val="22"/>
          <w:lang w:val="es-CR"/>
        </w:rPr>
        <w:t xml:space="preserve">, concluyendo con la información de la calificación global CAMELS, el comportamiento del límite de financiamiento de egresos con recursos de la comisión del Bono y de la asignación del costo real del macroproceso FOSUVI y el costo promedio por </w:t>
      </w:r>
      <w:r w:rsidRPr="00E82FD9">
        <w:rPr>
          <w:rFonts w:cs="Arial"/>
          <w:color w:val="000000"/>
          <w:sz w:val="22"/>
          <w:szCs w:val="22"/>
          <w:lang w:val="es-CR"/>
        </w:rPr>
        <w:lastRenderedPageBreak/>
        <w:t>Bono Familiar de Vivienda</w:t>
      </w:r>
      <w:r>
        <w:rPr>
          <w:rFonts w:cs="Arial"/>
          <w:color w:val="000000"/>
          <w:sz w:val="22"/>
          <w:szCs w:val="22"/>
          <w:lang w:val="es-CR"/>
        </w:rPr>
        <w:t>.  Esto, integrado a otra información complementaria en materia de inversiones, riesgos, cartera y captaciones.</w:t>
      </w:r>
    </w:p>
    <w:p w14:paraId="593EF18B" w14:textId="77777777" w:rsidR="0008779C" w:rsidRDefault="0008779C" w:rsidP="0008779C">
      <w:pPr>
        <w:spacing w:line="360" w:lineRule="auto"/>
        <w:jc w:val="both"/>
        <w:rPr>
          <w:rFonts w:cs="Arial"/>
          <w:color w:val="000000"/>
          <w:sz w:val="22"/>
          <w:szCs w:val="22"/>
          <w:lang w:val="es-CR"/>
        </w:rPr>
      </w:pPr>
    </w:p>
    <w:p w14:paraId="5EC556E8" w14:textId="0A14789A" w:rsidR="0008779C" w:rsidRPr="00E00710" w:rsidRDefault="0008779C" w:rsidP="0008779C">
      <w:pPr>
        <w:spacing w:line="360" w:lineRule="auto"/>
        <w:jc w:val="both"/>
        <w:rPr>
          <w:rFonts w:cs="Arial"/>
          <w:bCs/>
          <w:sz w:val="22"/>
          <w:szCs w:val="22"/>
        </w:rPr>
      </w:pPr>
      <w:r>
        <w:rPr>
          <w:rFonts w:cs="Arial"/>
          <w:sz w:val="22"/>
          <w:u w:val="single"/>
          <w:lang w:val="es-ES_tradnl"/>
        </w:rPr>
        <w:t>Minuto 15</w:t>
      </w:r>
      <w:r w:rsidR="00965557">
        <w:rPr>
          <w:rFonts w:cs="Arial"/>
          <w:sz w:val="22"/>
          <w:u w:val="single"/>
          <w:lang w:val="es-ES_tradnl"/>
        </w:rPr>
        <w:t>7</w:t>
      </w:r>
      <w:r w:rsidRPr="0039311E">
        <w:rPr>
          <w:rFonts w:cs="Arial"/>
          <w:sz w:val="22"/>
          <w:u w:val="single"/>
          <w:lang w:val="es-ES_tradnl"/>
        </w:rPr>
        <w:t>:</w:t>
      </w:r>
      <w:r w:rsidR="00965557">
        <w:rPr>
          <w:rFonts w:cs="Arial"/>
          <w:sz w:val="22"/>
          <w:u w:val="single"/>
          <w:lang w:val="es-ES_tradnl"/>
        </w:rPr>
        <w:t>18</w:t>
      </w:r>
      <w:r>
        <w:rPr>
          <w:rFonts w:cs="Arial"/>
          <w:sz w:val="22"/>
          <w:lang w:val="es-ES_tradnl"/>
        </w:rPr>
        <w:t xml:space="preserve"> Conocido y suficientemente discutido el informe del Departamento Financiero – Contable, </w:t>
      </w:r>
      <w:r w:rsidRPr="00911E34">
        <w:rPr>
          <w:sz w:val="22"/>
          <w:szCs w:val="22"/>
        </w:rPr>
        <w:t>la Junta Directiva da por conocida la información suministrada.</w:t>
      </w:r>
    </w:p>
    <w:p w14:paraId="179E0DA1" w14:textId="77777777" w:rsidR="009D03FE" w:rsidRPr="00D14EAF" w:rsidRDefault="009D03FE" w:rsidP="009D03FE">
      <w:pPr>
        <w:spacing w:line="360" w:lineRule="auto"/>
        <w:jc w:val="both"/>
        <w:rPr>
          <w:rFonts w:cs="Arial"/>
          <w:b/>
          <w:sz w:val="22"/>
        </w:rPr>
      </w:pPr>
      <w:r w:rsidRPr="00D14EAF">
        <w:rPr>
          <w:rFonts w:cs="Arial"/>
          <w:b/>
          <w:sz w:val="22"/>
        </w:rPr>
        <w:t>************</w:t>
      </w:r>
    </w:p>
    <w:p w14:paraId="257D8B51" w14:textId="77777777" w:rsidR="009D03FE" w:rsidRDefault="009D03FE" w:rsidP="009D03FE">
      <w:pPr>
        <w:spacing w:line="360" w:lineRule="auto"/>
        <w:jc w:val="both"/>
        <w:rPr>
          <w:rFonts w:cs="Arial"/>
          <w:b/>
          <w:bCs/>
          <w:sz w:val="22"/>
          <w:szCs w:val="22"/>
          <w:u w:val="single"/>
          <w:lang w:val="es-ES_tradnl"/>
        </w:rPr>
      </w:pPr>
    </w:p>
    <w:p w14:paraId="5C56743F" w14:textId="4150085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01101D" w:rsidRPr="0001101D">
        <w:rPr>
          <w:rFonts w:cs="Arial"/>
          <w:b/>
          <w:bCs/>
          <w:sz w:val="22"/>
          <w:u w:val="single"/>
        </w:rPr>
        <w:t>Estados Financieros Intermedios, con corte a setiembre de 2019</w:t>
      </w:r>
    </w:p>
    <w:p w14:paraId="7BB67C36" w14:textId="77777777" w:rsidR="009D03FE" w:rsidRDefault="009D03FE" w:rsidP="009D03FE">
      <w:pPr>
        <w:spacing w:line="360" w:lineRule="auto"/>
        <w:jc w:val="both"/>
        <w:rPr>
          <w:rFonts w:cs="Arial"/>
          <w:sz w:val="22"/>
          <w:szCs w:val="22"/>
        </w:rPr>
      </w:pPr>
    </w:p>
    <w:p w14:paraId="587543D5" w14:textId="50CB9B82" w:rsidR="00431CF2" w:rsidRDefault="00431CF2" w:rsidP="00431CF2">
      <w:pPr>
        <w:spacing w:line="360" w:lineRule="auto"/>
        <w:jc w:val="both"/>
        <w:rPr>
          <w:sz w:val="22"/>
          <w:szCs w:val="22"/>
        </w:rPr>
      </w:pPr>
      <w:r w:rsidRPr="00A25DB7">
        <w:rPr>
          <w:rFonts w:cs="Arial"/>
          <w:sz w:val="22"/>
          <w:u w:val="single"/>
          <w:lang w:val="es-ES_tradnl"/>
        </w:rPr>
        <w:t xml:space="preserve">Minuto </w:t>
      </w:r>
      <w:r>
        <w:rPr>
          <w:rFonts w:cs="Arial"/>
          <w:sz w:val="22"/>
          <w:u w:val="single"/>
          <w:lang w:val="es-ES_tradnl"/>
        </w:rPr>
        <w:t>15</w:t>
      </w:r>
      <w:r w:rsidR="00965557">
        <w:rPr>
          <w:rFonts w:cs="Arial"/>
          <w:sz w:val="22"/>
          <w:u w:val="single"/>
          <w:lang w:val="es-ES_tradnl"/>
        </w:rPr>
        <w:t>7</w:t>
      </w:r>
      <w:r w:rsidRPr="00A25DB7">
        <w:rPr>
          <w:rFonts w:cs="Arial"/>
          <w:sz w:val="22"/>
          <w:u w:val="single"/>
          <w:lang w:val="es-ES_tradnl"/>
        </w:rPr>
        <w:t>:</w:t>
      </w:r>
      <w:r w:rsidR="00965557">
        <w:rPr>
          <w:rFonts w:cs="Arial"/>
          <w:sz w:val="22"/>
          <w:u w:val="single"/>
          <w:lang w:val="es-ES_tradnl"/>
        </w:rPr>
        <w:t>27</w:t>
      </w:r>
      <w:r>
        <w:rPr>
          <w:rFonts w:cs="Arial"/>
          <w:sz w:val="22"/>
          <w:lang w:val="es-ES_tradnl"/>
        </w:rPr>
        <w:t xml:space="preserve"> Se </w:t>
      </w:r>
      <w:r>
        <w:rPr>
          <w:sz w:val="22"/>
          <w:szCs w:val="22"/>
        </w:rPr>
        <w:t xml:space="preserve">conoce el oficio </w:t>
      </w:r>
      <w:r w:rsidRPr="008E32E4">
        <w:rPr>
          <w:sz w:val="22"/>
          <w:szCs w:val="22"/>
        </w:rPr>
        <w:t>CABANHVI-</w:t>
      </w:r>
      <w:r w:rsidR="0027744B">
        <w:rPr>
          <w:sz w:val="22"/>
          <w:szCs w:val="22"/>
        </w:rPr>
        <w:t>25</w:t>
      </w:r>
      <w:r w:rsidRPr="008E32E4">
        <w:rPr>
          <w:sz w:val="22"/>
          <w:szCs w:val="22"/>
        </w:rPr>
        <w:t>-201</w:t>
      </w:r>
      <w:r>
        <w:rPr>
          <w:sz w:val="22"/>
          <w:szCs w:val="22"/>
        </w:rPr>
        <w:t>9</w:t>
      </w:r>
      <w:r w:rsidRPr="008E32E4">
        <w:rPr>
          <w:sz w:val="22"/>
          <w:szCs w:val="22"/>
        </w:rPr>
        <w:t xml:space="preserve"> del </w:t>
      </w:r>
      <w:r>
        <w:rPr>
          <w:sz w:val="22"/>
          <w:szCs w:val="22"/>
        </w:rPr>
        <w:t>1</w:t>
      </w:r>
      <w:r w:rsidR="0027744B">
        <w:rPr>
          <w:sz w:val="22"/>
          <w:szCs w:val="22"/>
        </w:rPr>
        <w:t>6</w:t>
      </w:r>
      <w:r w:rsidRPr="008E32E4">
        <w:rPr>
          <w:sz w:val="22"/>
          <w:szCs w:val="22"/>
        </w:rPr>
        <w:t xml:space="preserve"> de </w:t>
      </w:r>
      <w:r w:rsidR="0027744B">
        <w:rPr>
          <w:sz w:val="22"/>
          <w:szCs w:val="22"/>
        </w:rPr>
        <w:t>diciembre</w:t>
      </w:r>
      <w:r w:rsidRPr="008E32E4">
        <w:rPr>
          <w:sz w:val="22"/>
          <w:szCs w:val="22"/>
        </w:rPr>
        <w:t xml:space="preserve"> de 201</w:t>
      </w:r>
      <w:r>
        <w:rPr>
          <w:sz w:val="22"/>
          <w:szCs w:val="22"/>
        </w:rPr>
        <w:t>9</w:t>
      </w:r>
      <w:r w:rsidRPr="008E32E4">
        <w:rPr>
          <w:sz w:val="22"/>
          <w:szCs w:val="22"/>
        </w:rPr>
        <w:t xml:space="preserve">, por medio del cual, el Comité de Auditoría somete a la consideración de esta Junta Directiva, </w:t>
      </w:r>
      <w:r w:rsidR="0027744B">
        <w:rPr>
          <w:sz w:val="22"/>
          <w:szCs w:val="22"/>
        </w:rPr>
        <w:t>el</w:t>
      </w:r>
      <w:r w:rsidRPr="003E2393">
        <w:rPr>
          <w:sz w:val="22"/>
          <w:szCs w:val="22"/>
        </w:rPr>
        <w:t xml:space="preserve"> informe sobre los Estados Financieros Intermedio</w:t>
      </w:r>
      <w:r>
        <w:rPr>
          <w:sz w:val="22"/>
          <w:szCs w:val="22"/>
        </w:rPr>
        <w:t>s a</w:t>
      </w:r>
      <w:r w:rsidR="0027744B">
        <w:rPr>
          <w:sz w:val="22"/>
          <w:szCs w:val="22"/>
        </w:rPr>
        <w:t xml:space="preserve"> setiembre</w:t>
      </w:r>
      <w:r w:rsidRPr="003E2393">
        <w:rPr>
          <w:sz w:val="22"/>
          <w:szCs w:val="22"/>
        </w:rPr>
        <w:t xml:space="preserve"> de 201</w:t>
      </w:r>
      <w:r>
        <w:rPr>
          <w:sz w:val="22"/>
          <w:szCs w:val="22"/>
        </w:rPr>
        <w:t>9</w:t>
      </w:r>
      <w:r w:rsidRPr="003E2393">
        <w:rPr>
          <w:sz w:val="22"/>
          <w:szCs w:val="22"/>
        </w:rPr>
        <w:t xml:space="preserve">, </w:t>
      </w:r>
      <w:r w:rsidR="0027744B">
        <w:rPr>
          <w:sz w:val="22"/>
          <w:szCs w:val="22"/>
        </w:rPr>
        <w:t xml:space="preserve">el </w:t>
      </w:r>
      <w:r>
        <w:rPr>
          <w:sz w:val="22"/>
          <w:szCs w:val="22"/>
        </w:rPr>
        <w:t xml:space="preserve">cual </w:t>
      </w:r>
      <w:r w:rsidRPr="003E2393">
        <w:rPr>
          <w:sz w:val="22"/>
          <w:szCs w:val="22"/>
        </w:rPr>
        <w:t>s</w:t>
      </w:r>
      <w:r>
        <w:rPr>
          <w:sz w:val="22"/>
          <w:szCs w:val="22"/>
        </w:rPr>
        <w:t xml:space="preserve">e adjunta </w:t>
      </w:r>
      <w:r w:rsidRPr="008E32E4">
        <w:rPr>
          <w:sz w:val="22"/>
          <w:szCs w:val="22"/>
        </w:rPr>
        <w:t>a la</w:t>
      </w:r>
      <w:r>
        <w:rPr>
          <w:sz w:val="22"/>
          <w:szCs w:val="22"/>
        </w:rPr>
        <w:t xml:space="preserve"> nota</w:t>
      </w:r>
      <w:r w:rsidRPr="008E32E4">
        <w:rPr>
          <w:sz w:val="22"/>
          <w:szCs w:val="22"/>
        </w:rPr>
        <w:t xml:space="preserve"> </w:t>
      </w:r>
      <w:r>
        <w:rPr>
          <w:sz w:val="22"/>
          <w:szCs w:val="22"/>
        </w:rPr>
        <w:t>GG-ME-</w:t>
      </w:r>
      <w:r w:rsidR="0027744B">
        <w:rPr>
          <w:sz w:val="22"/>
          <w:szCs w:val="22"/>
        </w:rPr>
        <w:t>1141</w:t>
      </w:r>
      <w:r>
        <w:rPr>
          <w:sz w:val="22"/>
          <w:szCs w:val="22"/>
        </w:rPr>
        <w:t>-2019 de</w:t>
      </w:r>
      <w:r w:rsidRPr="00911E34">
        <w:rPr>
          <w:color w:val="000000"/>
          <w:sz w:val="22"/>
          <w:szCs w:val="22"/>
        </w:rPr>
        <w:t xml:space="preserve"> </w:t>
      </w:r>
      <w:r>
        <w:rPr>
          <w:color w:val="000000"/>
          <w:sz w:val="22"/>
          <w:szCs w:val="22"/>
        </w:rPr>
        <w:t xml:space="preserve">la </w:t>
      </w:r>
      <w:r w:rsidRPr="00E00710">
        <w:rPr>
          <w:rFonts w:cs="Arial"/>
          <w:color w:val="000000"/>
          <w:sz w:val="22"/>
          <w:szCs w:val="22"/>
          <w:lang w:val="es-CR"/>
        </w:rPr>
        <w:t>Gerencia General</w:t>
      </w:r>
      <w:r>
        <w:rPr>
          <w:rFonts w:cs="Arial"/>
          <w:color w:val="000000"/>
          <w:sz w:val="22"/>
          <w:szCs w:val="22"/>
          <w:lang w:val="es-CR"/>
        </w:rPr>
        <w:t xml:space="preserve">.  </w:t>
      </w:r>
      <w:r w:rsidRPr="008E32E4">
        <w:rPr>
          <w:sz w:val="22"/>
          <w:szCs w:val="22"/>
        </w:rPr>
        <w:t>Dichos documentos se adjuntan al</w:t>
      </w:r>
      <w:r>
        <w:rPr>
          <w:sz w:val="22"/>
          <w:szCs w:val="22"/>
        </w:rPr>
        <w:t xml:space="preserve"> expediente del</w:t>
      </w:r>
      <w:r w:rsidRPr="008E32E4">
        <w:rPr>
          <w:sz w:val="22"/>
          <w:szCs w:val="22"/>
        </w:rPr>
        <w:t xml:space="preserve"> acta.</w:t>
      </w:r>
    </w:p>
    <w:p w14:paraId="25B81853" w14:textId="77777777" w:rsidR="00431CF2" w:rsidRDefault="00431CF2" w:rsidP="00431CF2">
      <w:pPr>
        <w:pStyle w:val="Textoindependiente"/>
        <w:tabs>
          <w:tab w:val="left" w:pos="8789"/>
        </w:tabs>
        <w:ind w:right="0"/>
        <w:rPr>
          <w:szCs w:val="22"/>
        </w:rPr>
      </w:pPr>
    </w:p>
    <w:p w14:paraId="2289E8BE" w14:textId="6EFF6DCB" w:rsidR="00431CF2" w:rsidRPr="003E2393" w:rsidRDefault="00431CF2" w:rsidP="00431CF2">
      <w:pPr>
        <w:spacing w:line="360" w:lineRule="auto"/>
        <w:jc w:val="both"/>
        <w:rPr>
          <w:sz w:val="22"/>
          <w:szCs w:val="22"/>
        </w:rPr>
      </w:pPr>
      <w:r>
        <w:rPr>
          <w:rFonts w:cs="Arial"/>
          <w:sz w:val="22"/>
          <w:szCs w:val="22"/>
        </w:rPr>
        <w:t xml:space="preserve">El licenciado Durán Rodríguez presenta </w:t>
      </w:r>
      <w:r w:rsidRPr="003E2393">
        <w:rPr>
          <w:sz w:val="22"/>
          <w:szCs w:val="22"/>
        </w:rPr>
        <w:t>los aspectos más relevantes de la información financiera que contiene el referido documento</w:t>
      </w:r>
      <w:r>
        <w:rPr>
          <w:sz w:val="22"/>
          <w:szCs w:val="22"/>
        </w:rPr>
        <w:t xml:space="preserve"> con corte a </w:t>
      </w:r>
      <w:r w:rsidR="00965557">
        <w:rPr>
          <w:sz w:val="22"/>
          <w:szCs w:val="22"/>
        </w:rPr>
        <w:t>setiembre</w:t>
      </w:r>
      <w:r>
        <w:rPr>
          <w:sz w:val="22"/>
          <w:szCs w:val="22"/>
        </w:rPr>
        <w:t xml:space="preserve"> </w:t>
      </w:r>
      <w:r w:rsidRPr="003E2393">
        <w:rPr>
          <w:sz w:val="22"/>
          <w:szCs w:val="22"/>
        </w:rPr>
        <w:t>de 201</w:t>
      </w:r>
      <w:r>
        <w:rPr>
          <w:sz w:val="22"/>
          <w:szCs w:val="22"/>
        </w:rPr>
        <w:t>9</w:t>
      </w:r>
      <w:r w:rsidRPr="003E2393">
        <w:rPr>
          <w:sz w:val="22"/>
          <w:szCs w:val="22"/>
        </w:rPr>
        <w:t>, y además hace ver que los Estados Financieros Intermedios se presentan trimestralmente con base en la normativa SUGEF y vienen a ser una comparación con respecto al año anterior para los cuatro Estados Financieros básicos: Balance de Situación, Estado de Resultados, Estado de Movimientos de Flujo de Efectivo y Estado de Movimientos en el Patrimonio, con una serie de notas explicativas que es preparada por el Departamento Financiero Contable y que debe ser refrendada por parte de la Auditoría Interna, suscrita por la Gerencia General, remitida a la SUGEF y publicada en la página Web del Banco como parte de la información hacia los inversionistas y público en general.</w:t>
      </w:r>
    </w:p>
    <w:p w14:paraId="1FB28A88" w14:textId="77777777" w:rsidR="00431CF2" w:rsidRDefault="00431CF2" w:rsidP="00431CF2">
      <w:pPr>
        <w:spacing w:line="360" w:lineRule="auto"/>
        <w:jc w:val="both"/>
        <w:rPr>
          <w:sz w:val="22"/>
          <w:szCs w:val="22"/>
        </w:rPr>
      </w:pPr>
    </w:p>
    <w:p w14:paraId="1F793E27" w14:textId="7BE53C7F" w:rsidR="00431CF2" w:rsidRDefault="00431CF2" w:rsidP="00431CF2">
      <w:pPr>
        <w:spacing w:line="360" w:lineRule="auto"/>
        <w:jc w:val="both"/>
        <w:rPr>
          <w:rFonts w:cs="Arial"/>
          <w:sz w:val="22"/>
          <w:lang w:val="es-ES_tradnl"/>
        </w:rPr>
      </w:pPr>
      <w:r>
        <w:rPr>
          <w:rFonts w:cs="Arial"/>
          <w:sz w:val="22"/>
          <w:u w:val="single"/>
          <w:lang w:val="es-ES_tradnl"/>
        </w:rPr>
        <w:t>Minuto 16</w:t>
      </w:r>
      <w:r w:rsidR="00965557">
        <w:rPr>
          <w:rFonts w:cs="Arial"/>
          <w:sz w:val="22"/>
          <w:u w:val="single"/>
          <w:lang w:val="es-ES_tradnl"/>
        </w:rPr>
        <w:t>2</w:t>
      </w:r>
      <w:r w:rsidRPr="0039311E">
        <w:rPr>
          <w:rFonts w:cs="Arial"/>
          <w:sz w:val="22"/>
          <w:u w:val="single"/>
          <w:lang w:val="es-ES_tradnl"/>
        </w:rPr>
        <w:t>:</w:t>
      </w:r>
      <w:r w:rsidR="000F4796">
        <w:rPr>
          <w:rFonts w:cs="Arial"/>
          <w:sz w:val="22"/>
          <w:u w:val="single"/>
          <w:lang w:val="es-ES_tradnl"/>
        </w:rPr>
        <w:t>48</w:t>
      </w:r>
      <w:r>
        <w:rPr>
          <w:rFonts w:cs="Arial"/>
          <w:sz w:val="22"/>
          <w:lang w:val="es-ES_tradnl"/>
        </w:rPr>
        <w:t xml:space="preserve"> L</w:t>
      </w:r>
      <w:r w:rsidRPr="003E2393">
        <w:rPr>
          <w:sz w:val="22"/>
          <w:szCs w:val="22"/>
        </w:rPr>
        <w:t xml:space="preserve">a Junta Directiva da </w:t>
      </w:r>
      <w:r>
        <w:rPr>
          <w:sz w:val="22"/>
          <w:szCs w:val="22"/>
        </w:rPr>
        <w:t>por conocido el</w:t>
      </w:r>
      <w:r w:rsidRPr="003E2393">
        <w:rPr>
          <w:sz w:val="22"/>
          <w:szCs w:val="22"/>
        </w:rPr>
        <w:t xml:space="preserve"> citado informe del Comité de Auditoría y toma el </w:t>
      </w:r>
      <w:r w:rsidRPr="000918B4">
        <w:rPr>
          <w:b/>
          <w:sz w:val="22"/>
          <w:szCs w:val="22"/>
        </w:rPr>
        <w:t xml:space="preserve">Acuerdo N° </w:t>
      </w:r>
      <w:r>
        <w:rPr>
          <w:b/>
          <w:sz w:val="22"/>
          <w:szCs w:val="22"/>
        </w:rPr>
        <w:t>5</w:t>
      </w:r>
      <w:r>
        <w:rPr>
          <w:sz w:val="22"/>
          <w:szCs w:val="22"/>
        </w:rPr>
        <w:t xml:space="preserve"> que se anexa a esta minuta.</w:t>
      </w:r>
      <w:r>
        <w:rPr>
          <w:rFonts w:cs="Arial"/>
          <w:sz w:val="22"/>
          <w:lang w:val="es-ES_tradnl"/>
        </w:rPr>
        <w:t xml:space="preserve">  Acto seguido, se retira de la sesión el licenciado Durán Rodríguez.</w:t>
      </w:r>
    </w:p>
    <w:p w14:paraId="529A1A0E" w14:textId="77777777" w:rsidR="009D03FE" w:rsidRPr="00D14EAF" w:rsidRDefault="009D03FE" w:rsidP="009D03FE">
      <w:pPr>
        <w:spacing w:line="360" w:lineRule="auto"/>
        <w:jc w:val="both"/>
        <w:rPr>
          <w:rFonts w:cs="Arial"/>
          <w:b/>
          <w:sz w:val="22"/>
        </w:rPr>
      </w:pPr>
      <w:r w:rsidRPr="00D14EAF">
        <w:rPr>
          <w:rFonts w:cs="Arial"/>
          <w:b/>
          <w:sz w:val="22"/>
        </w:rPr>
        <w:t>************</w:t>
      </w:r>
    </w:p>
    <w:p w14:paraId="7CE67ABA" w14:textId="77777777" w:rsidR="009D03FE" w:rsidRDefault="009D03FE" w:rsidP="009D03FE">
      <w:pPr>
        <w:spacing w:line="360" w:lineRule="auto"/>
        <w:jc w:val="both"/>
        <w:rPr>
          <w:rFonts w:cs="Arial"/>
          <w:b/>
          <w:bCs/>
          <w:sz w:val="22"/>
          <w:szCs w:val="22"/>
          <w:u w:val="single"/>
          <w:lang w:val="es-ES_tradnl"/>
        </w:rPr>
      </w:pPr>
    </w:p>
    <w:p w14:paraId="30FF2423" w14:textId="23EF723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01101D" w:rsidRPr="0001101D">
        <w:rPr>
          <w:rFonts w:cs="Arial"/>
          <w:b/>
          <w:bCs/>
          <w:sz w:val="22"/>
          <w:u w:val="single"/>
        </w:rPr>
        <w:t>Solicitud de información sobre bonos otorgados a familias del asentamiento Triángulo de Solidaridad</w:t>
      </w:r>
    </w:p>
    <w:p w14:paraId="471A2237" w14:textId="77777777" w:rsidR="009D03FE" w:rsidRDefault="009D03FE" w:rsidP="009D03FE">
      <w:pPr>
        <w:spacing w:line="360" w:lineRule="auto"/>
        <w:jc w:val="both"/>
        <w:rPr>
          <w:rFonts w:cs="Arial"/>
          <w:sz w:val="22"/>
          <w:szCs w:val="22"/>
        </w:rPr>
      </w:pPr>
    </w:p>
    <w:p w14:paraId="509F671B" w14:textId="404409A7"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1D5AE2">
        <w:rPr>
          <w:rFonts w:cs="Arial"/>
          <w:sz w:val="22"/>
          <w:u w:val="single"/>
          <w:lang w:val="es-ES_tradnl"/>
        </w:rPr>
        <w:t>16</w:t>
      </w:r>
      <w:r w:rsidR="00DB7575">
        <w:rPr>
          <w:rFonts w:cs="Arial"/>
          <w:sz w:val="22"/>
          <w:u w:val="single"/>
          <w:lang w:val="es-ES_tradnl"/>
        </w:rPr>
        <w:t>5</w:t>
      </w:r>
      <w:r w:rsidRPr="0039311E">
        <w:rPr>
          <w:rFonts w:cs="Arial"/>
          <w:sz w:val="22"/>
          <w:u w:val="single"/>
          <w:lang w:val="es-ES_tradnl"/>
        </w:rPr>
        <w:t>:</w:t>
      </w:r>
      <w:r w:rsidR="00DB7575">
        <w:rPr>
          <w:rFonts w:cs="Arial"/>
          <w:sz w:val="22"/>
          <w:u w:val="single"/>
          <w:lang w:val="es-ES_tradnl"/>
        </w:rPr>
        <w:t>02</w:t>
      </w:r>
      <w:r>
        <w:rPr>
          <w:rFonts w:cs="Arial"/>
          <w:sz w:val="22"/>
          <w:lang w:val="es-ES_tradnl"/>
        </w:rPr>
        <w:t xml:space="preserve"> </w:t>
      </w:r>
      <w:r w:rsidR="00DB7575">
        <w:rPr>
          <w:rFonts w:cs="Arial"/>
          <w:sz w:val="22"/>
          <w:lang w:val="es-ES_tradnl"/>
        </w:rPr>
        <w:t>El señor Gerente General a.i. toma nota de una solicitud de la Directora Pérez Gutiérrez, para que se les suministre, a ella y al Director Alvarado Herrera, información actualizada y verificada, sobre el total de bonos otorgados a familias que provienen del asentamiento Triángulo de Solidaridad.</w:t>
      </w:r>
      <w:r w:rsidR="004475AD">
        <w:rPr>
          <w:rFonts w:cs="Arial"/>
          <w:sz w:val="22"/>
          <w:lang w:val="es-ES_tradnl"/>
        </w:rPr>
        <w:t xml:space="preserve">  Lo anterior, porque han surgido dudas razonables con respecto a los datos que días atrás les fueron entregados sobre la cantidad de casos tramitados. </w:t>
      </w:r>
    </w:p>
    <w:p w14:paraId="4862B9A1" w14:textId="77777777" w:rsidR="009D03FE" w:rsidRPr="00D14EAF" w:rsidRDefault="009D03FE" w:rsidP="009D03FE">
      <w:pPr>
        <w:spacing w:line="360" w:lineRule="auto"/>
        <w:jc w:val="both"/>
        <w:rPr>
          <w:rFonts w:cs="Arial"/>
          <w:b/>
          <w:sz w:val="22"/>
        </w:rPr>
      </w:pPr>
      <w:r w:rsidRPr="00D14EAF">
        <w:rPr>
          <w:rFonts w:cs="Arial"/>
          <w:b/>
          <w:sz w:val="22"/>
        </w:rPr>
        <w:t>************</w:t>
      </w:r>
    </w:p>
    <w:p w14:paraId="0E782C69" w14:textId="77777777" w:rsidR="009D03FE" w:rsidRDefault="009D03FE" w:rsidP="009D03FE">
      <w:pPr>
        <w:spacing w:line="360" w:lineRule="auto"/>
        <w:jc w:val="both"/>
        <w:rPr>
          <w:rFonts w:cs="Arial"/>
          <w:b/>
          <w:bCs/>
          <w:sz w:val="22"/>
          <w:szCs w:val="22"/>
          <w:u w:val="single"/>
          <w:lang w:val="es-ES_tradnl"/>
        </w:rPr>
      </w:pPr>
    </w:p>
    <w:p w14:paraId="334C603B" w14:textId="2C45C96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01101D" w:rsidRPr="0001101D">
        <w:rPr>
          <w:rFonts w:cs="Arial"/>
          <w:b/>
          <w:bCs/>
          <w:sz w:val="22"/>
          <w:u w:val="single"/>
        </w:rPr>
        <w:t xml:space="preserve">Propuesta a raíz de reportaje televisivo sobre el proyecto Cocales de </w:t>
      </w:r>
      <w:proofErr w:type="spellStart"/>
      <w:r w:rsidR="0001101D" w:rsidRPr="0001101D">
        <w:rPr>
          <w:rFonts w:cs="Arial"/>
          <w:b/>
          <w:bCs/>
          <w:sz w:val="22"/>
          <w:u w:val="single"/>
        </w:rPr>
        <w:t>Duacarí</w:t>
      </w:r>
      <w:proofErr w:type="spellEnd"/>
    </w:p>
    <w:p w14:paraId="14149818" w14:textId="77777777" w:rsidR="009D03FE" w:rsidRDefault="009D03FE" w:rsidP="009D03FE">
      <w:pPr>
        <w:spacing w:line="360" w:lineRule="auto"/>
        <w:jc w:val="both"/>
        <w:rPr>
          <w:rFonts w:cs="Arial"/>
          <w:sz w:val="22"/>
          <w:szCs w:val="22"/>
        </w:rPr>
      </w:pPr>
    </w:p>
    <w:p w14:paraId="751B9054" w14:textId="202E081F"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B7575">
        <w:rPr>
          <w:rFonts w:cs="Arial"/>
          <w:sz w:val="22"/>
          <w:u w:val="single"/>
          <w:lang w:val="es-ES_tradnl"/>
        </w:rPr>
        <w:t>170</w:t>
      </w:r>
      <w:r w:rsidRPr="0039311E">
        <w:rPr>
          <w:rFonts w:cs="Arial"/>
          <w:sz w:val="22"/>
          <w:u w:val="single"/>
          <w:lang w:val="es-ES_tradnl"/>
        </w:rPr>
        <w:t>:</w:t>
      </w:r>
      <w:r w:rsidR="00DB7575">
        <w:rPr>
          <w:rFonts w:cs="Arial"/>
          <w:sz w:val="22"/>
          <w:u w:val="single"/>
          <w:lang w:val="es-ES_tradnl"/>
        </w:rPr>
        <w:t>35</w:t>
      </w:r>
      <w:r>
        <w:rPr>
          <w:rFonts w:cs="Arial"/>
          <w:sz w:val="22"/>
          <w:lang w:val="es-ES_tradnl"/>
        </w:rPr>
        <w:t xml:space="preserve"> Se conoce </w:t>
      </w:r>
      <w:r w:rsidR="00DB7575">
        <w:rPr>
          <w:rFonts w:cs="Arial"/>
          <w:sz w:val="22"/>
          <w:lang w:val="es-ES_tradnl"/>
        </w:rPr>
        <w:t xml:space="preserve">y analiza una propuesta del Director Alvarado Herrera, relacionada con el reportaje emitido recientemente por el Canal 7, sobre la situación del proyecto Cocales de </w:t>
      </w:r>
      <w:proofErr w:type="spellStart"/>
      <w:r w:rsidR="00DB7575">
        <w:rPr>
          <w:rFonts w:cs="Arial"/>
          <w:sz w:val="22"/>
          <w:lang w:val="es-ES_tradnl"/>
        </w:rPr>
        <w:t>Duacarí</w:t>
      </w:r>
      <w:proofErr w:type="spellEnd"/>
      <w:r w:rsidR="00DB7575">
        <w:rPr>
          <w:rFonts w:cs="Arial"/>
          <w:sz w:val="22"/>
          <w:lang w:val="es-ES_tradnl"/>
        </w:rPr>
        <w:t xml:space="preserve">.  Propone el Director Alvarado Herrera, con base en los argumentos que expone, que se solicite a la </w:t>
      </w:r>
      <w:r w:rsidR="00DB7575" w:rsidRPr="00DB7575">
        <w:rPr>
          <w:rFonts w:cs="Arial"/>
          <w:sz w:val="22"/>
          <w:lang w:val="es-ES_tradnl"/>
        </w:rPr>
        <w:t>Administración</w:t>
      </w:r>
      <w:r w:rsidR="00DB7575">
        <w:rPr>
          <w:rFonts w:cs="Arial"/>
          <w:sz w:val="22"/>
          <w:lang w:val="es-ES_tradnl"/>
        </w:rPr>
        <w:t xml:space="preserve">, </w:t>
      </w:r>
      <w:r w:rsidR="00DB7575">
        <w:rPr>
          <w:rFonts w:cs="Arial"/>
          <w:sz w:val="22"/>
          <w:szCs w:val="22"/>
          <w:lang w:val="es-ES_tradnl"/>
        </w:rPr>
        <w:t xml:space="preserve">un informe sobre lo actuado por </w:t>
      </w:r>
      <w:proofErr w:type="spellStart"/>
      <w:r w:rsidR="00DB7575">
        <w:rPr>
          <w:rFonts w:cs="Arial"/>
          <w:sz w:val="22"/>
          <w:szCs w:val="22"/>
          <w:lang w:val="es-ES_tradnl"/>
        </w:rPr>
        <w:t>Coocique</w:t>
      </w:r>
      <w:proofErr w:type="spellEnd"/>
      <w:r w:rsidR="00DB7575">
        <w:rPr>
          <w:rFonts w:cs="Arial"/>
          <w:sz w:val="22"/>
          <w:szCs w:val="22"/>
          <w:lang w:val="es-ES_tradnl"/>
        </w:rPr>
        <w:t xml:space="preserve"> R.L. y el BANHVI, en relación con los siguientes asuntos: a) el proceso de selección y calificación de los beneficiarios; b) los estudios que permitieron determinar la necesidad de desarrollar 139 soluciones de vivienda en esa comunidad; c) los retrasos que se han dado en la liquidación del proyecto y, consecuentemente, en la entrega de la totalidad de las soluciones habitacionales.</w:t>
      </w:r>
    </w:p>
    <w:p w14:paraId="3D7CEEE3" w14:textId="77777777" w:rsidR="009D03FE" w:rsidRDefault="009D03FE" w:rsidP="009D03FE">
      <w:pPr>
        <w:spacing w:line="360" w:lineRule="auto"/>
        <w:jc w:val="both"/>
        <w:rPr>
          <w:rFonts w:cs="Arial"/>
          <w:sz w:val="22"/>
          <w:szCs w:val="22"/>
        </w:rPr>
      </w:pPr>
    </w:p>
    <w:p w14:paraId="7CE5446A" w14:textId="3C25FBD8"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DB7575">
        <w:rPr>
          <w:rFonts w:cs="Arial"/>
          <w:sz w:val="22"/>
          <w:u w:val="single"/>
          <w:lang w:val="es-ES_tradnl"/>
        </w:rPr>
        <w:t>182</w:t>
      </w:r>
      <w:r w:rsidRPr="00A25DB7">
        <w:rPr>
          <w:rFonts w:cs="Arial"/>
          <w:sz w:val="22"/>
          <w:u w:val="single"/>
          <w:lang w:val="es-ES_tradnl"/>
        </w:rPr>
        <w:t>:</w:t>
      </w:r>
      <w:r w:rsidR="00DB7575">
        <w:rPr>
          <w:rFonts w:cs="Arial"/>
          <w:sz w:val="22"/>
          <w:u w:val="single"/>
          <w:lang w:val="es-ES_tradnl"/>
        </w:rPr>
        <w:t>20</w:t>
      </w:r>
      <w:r>
        <w:rPr>
          <w:rFonts w:cs="Arial"/>
          <w:sz w:val="22"/>
          <w:lang w:val="es-ES_tradnl"/>
        </w:rPr>
        <w:t xml:space="preserve"> </w:t>
      </w:r>
      <w:r w:rsidR="00DB603E">
        <w:rPr>
          <w:rFonts w:cs="Arial"/>
          <w:sz w:val="22"/>
          <w:lang w:val="es-ES_tradnl"/>
        </w:rPr>
        <w:t>A partir de la anterior moción y de</w:t>
      </w:r>
      <w:r w:rsidR="00DB7575">
        <w:rPr>
          <w:rFonts w:cs="Arial"/>
          <w:sz w:val="22"/>
          <w:lang w:val="es-ES_tradnl"/>
        </w:rPr>
        <w:t xml:space="preserve"> conformidad con el análisis realizado al respecto, la </w:t>
      </w:r>
      <w:r w:rsidR="00DB7575" w:rsidRPr="00DB7575">
        <w:rPr>
          <w:rFonts w:cs="Arial"/>
          <w:sz w:val="22"/>
          <w:lang w:val="es-ES_tradnl"/>
        </w:rPr>
        <w:t>Junta Directiva</w:t>
      </w:r>
      <w:r w:rsidR="00DB7575">
        <w:rPr>
          <w:rFonts w:cs="Arial"/>
          <w:sz w:val="22"/>
          <w:lang w:val="es-ES_tradnl"/>
        </w:rPr>
        <w:t xml:space="preserve"> toma el </w:t>
      </w:r>
      <w:r w:rsidR="00DB7575" w:rsidRPr="00DB7575">
        <w:rPr>
          <w:rFonts w:cs="Arial"/>
          <w:b/>
          <w:bCs/>
          <w:sz w:val="22"/>
          <w:lang w:val="es-ES_tradnl"/>
        </w:rPr>
        <w:t>Acuerdo N° 6</w:t>
      </w:r>
      <w:r w:rsidR="00DB7575">
        <w:rPr>
          <w:rFonts w:cs="Arial"/>
          <w:sz w:val="22"/>
          <w:lang w:val="es-ES_tradnl"/>
        </w:rPr>
        <w:t xml:space="preserve"> que se anexa a esta minuta.</w:t>
      </w:r>
    </w:p>
    <w:p w14:paraId="17F3F9C1" w14:textId="77777777" w:rsidR="009D03FE" w:rsidRPr="00D14EAF" w:rsidRDefault="009D03FE" w:rsidP="009D03FE">
      <w:pPr>
        <w:spacing w:line="360" w:lineRule="auto"/>
        <w:jc w:val="both"/>
        <w:rPr>
          <w:rFonts w:cs="Arial"/>
          <w:b/>
          <w:sz w:val="22"/>
        </w:rPr>
      </w:pPr>
      <w:r w:rsidRPr="00D14EAF">
        <w:rPr>
          <w:rFonts w:cs="Arial"/>
          <w:b/>
          <w:sz w:val="22"/>
        </w:rPr>
        <w:t>************</w:t>
      </w:r>
    </w:p>
    <w:p w14:paraId="05C12E4B" w14:textId="77777777" w:rsidR="009D03FE" w:rsidRDefault="009D03FE" w:rsidP="009D03FE">
      <w:pPr>
        <w:spacing w:line="360" w:lineRule="auto"/>
        <w:jc w:val="both"/>
        <w:rPr>
          <w:rFonts w:cs="Arial"/>
          <w:b/>
          <w:bCs/>
          <w:sz w:val="22"/>
          <w:szCs w:val="22"/>
          <w:u w:val="single"/>
          <w:lang w:val="es-ES_tradnl"/>
        </w:rPr>
      </w:pPr>
    </w:p>
    <w:p w14:paraId="5F19AA2B" w14:textId="4ADCB8A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01101D" w:rsidRPr="0001101D">
        <w:rPr>
          <w:rFonts w:cs="Arial"/>
          <w:b/>
          <w:bCs/>
          <w:sz w:val="22"/>
          <w:u w:val="single"/>
        </w:rPr>
        <w:t>Solicitud de información sobre el proyecto Vistas del Miravalles</w:t>
      </w:r>
    </w:p>
    <w:p w14:paraId="76A212ED" w14:textId="77777777" w:rsidR="009D03FE" w:rsidRDefault="009D03FE" w:rsidP="009D03FE">
      <w:pPr>
        <w:spacing w:line="360" w:lineRule="auto"/>
        <w:jc w:val="both"/>
        <w:rPr>
          <w:rFonts w:cs="Arial"/>
          <w:sz w:val="22"/>
          <w:szCs w:val="22"/>
        </w:rPr>
      </w:pPr>
    </w:p>
    <w:p w14:paraId="42BD1019" w14:textId="17BD1C86"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B43D5">
        <w:rPr>
          <w:rFonts w:cs="Arial"/>
          <w:sz w:val="22"/>
          <w:u w:val="single"/>
          <w:lang w:val="es-ES_tradnl"/>
        </w:rPr>
        <w:t>183</w:t>
      </w:r>
      <w:r w:rsidRPr="0039311E">
        <w:rPr>
          <w:rFonts w:cs="Arial"/>
          <w:sz w:val="22"/>
          <w:u w:val="single"/>
          <w:lang w:val="es-ES_tradnl"/>
        </w:rPr>
        <w:t>:</w:t>
      </w:r>
      <w:r w:rsidR="004B43D5">
        <w:rPr>
          <w:rFonts w:cs="Arial"/>
          <w:sz w:val="22"/>
          <w:u w:val="single"/>
          <w:lang w:val="es-ES_tradnl"/>
        </w:rPr>
        <w:t>30</w:t>
      </w:r>
      <w:r>
        <w:rPr>
          <w:rFonts w:cs="Arial"/>
          <w:sz w:val="22"/>
          <w:lang w:val="es-ES_tradnl"/>
        </w:rPr>
        <w:t xml:space="preserve"> </w:t>
      </w:r>
      <w:r w:rsidR="004B43D5">
        <w:rPr>
          <w:rFonts w:cs="Arial"/>
          <w:sz w:val="22"/>
          <w:lang w:val="es-ES_tradnl"/>
        </w:rPr>
        <w:t xml:space="preserve">A raíz de una inquietud del Director Carranza González sobre la situación del proyecto Vistas del Miravalles, el señor Gerente General a.i. </w:t>
      </w:r>
      <w:r w:rsidR="00A50140">
        <w:rPr>
          <w:rFonts w:cs="Arial"/>
          <w:sz w:val="22"/>
          <w:lang w:val="es-ES_tradnl"/>
        </w:rPr>
        <w:t>indica que va a realizar las consultas respectivas, con el fin de presentar, en la próxima sesión, información actualizada sobre la condición de dicho proyecto.</w:t>
      </w:r>
    </w:p>
    <w:p w14:paraId="2AEBF2E7" w14:textId="77777777" w:rsidR="009D03FE" w:rsidRPr="00D14EAF" w:rsidRDefault="009D03FE" w:rsidP="009D03FE">
      <w:pPr>
        <w:spacing w:line="360" w:lineRule="auto"/>
        <w:jc w:val="both"/>
        <w:rPr>
          <w:rFonts w:cs="Arial"/>
          <w:b/>
          <w:sz w:val="22"/>
        </w:rPr>
      </w:pPr>
      <w:r w:rsidRPr="00D14EAF">
        <w:rPr>
          <w:rFonts w:cs="Arial"/>
          <w:b/>
          <w:sz w:val="22"/>
        </w:rPr>
        <w:t>************</w:t>
      </w:r>
    </w:p>
    <w:p w14:paraId="38D25CD0" w14:textId="77777777" w:rsidR="009D03FE" w:rsidRDefault="009D03FE" w:rsidP="009D03FE">
      <w:pPr>
        <w:spacing w:line="360" w:lineRule="auto"/>
        <w:jc w:val="both"/>
        <w:rPr>
          <w:rFonts w:cs="Arial"/>
          <w:b/>
          <w:bCs/>
          <w:sz w:val="22"/>
          <w:szCs w:val="22"/>
          <w:u w:val="single"/>
          <w:lang w:val="es-ES_tradnl"/>
        </w:rPr>
      </w:pPr>
    </w:p>
    <w:p w14:paraId="793F69AE" w14:textId="65960AB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01101D" w:rsidRPr="0001101D">
        <w:rPr>
          <w:rFonts w:cs="Arial"/>
          <w:b/>
          <w:bCs/>
          <w:sz w:val="22"/>
          <w:u w:val="single"/>
        </w:rPr>
        <w:t>Consulta sobre el pago de gastos de formalización a beneficiarios del artículo 59 y sobre la contratación de plazas en la Dirección FOSUVI</w:t>
      </w:r>
    </w:p>
    <w:p w14:paraId="10C63B6A" w14:textId="77777777" w:rsidR="009D03FE" w:rsidRDefault="009D03FE" w:rsidP="009D03FE">
      <w:pPr>
        <w:spacing w:line="360" w:lineRule="auto"/>
        <w:jc w:val="both"/>
        <w:rPr>
          <w:rFonts w:cs="Arial"/>
          <w:sz w:val="22"/>
          <w:szCs w:val="22"/>
        </w:rPr>
      </w:pPr>
    </w:p>
    <w:p w14:paraId="1FE20715" w14:textId="251201A2"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50140">
        <w:rPr>
          <w:rFonts w:cs="Arial"/>
          <w:sz w:val="22"/>
          <w:u w:val="single"/>
          <w:lang w:val="es-ES_tradnl"/>
        </w:rPr>
        <w:t>184</w:t>
      </w:r>
      <w:r w:rsidRPr="0039311E">
        <w:rPr>
          <w:rFonts w:cs="Arial"/>
          <w:sz w:val="22"/>
          <w:u w:val="single"/>
          <w:lang w:val="es-ES_tradnl"/>
        </w:rPr>
        <w:t>:</w:t>
      </w:r>
      <w:r w:rsidR="00A50140">
        <w:rPr>
          <w:rFonts w:cs="Arial"/>
          <w:sz w:val="22"/>
          <w:u w:val="single"/>
          <w:lang w:val="es-ES_tradnl"/>
        </w:rPr>
        <w:t>45</w:t>
      </w:r>
      <w:r>
        <w:rPr>
          <w:rFonts w:cs="Arial"/>
          <w:sz w:val="22"/>
          <w:lang w:val="es-ES_tradnl"/>
        </w:rPr>
        <w:t xml:space="preserve"> </w:t>
      </w:r>
      <w:r w:rsidR="00A50140">
        <w:rPr>
          <w:rFonts w:cs="Arial"/>
          <w:sz w:val="22"/>
          <w:lang w:val="es-ES_tradnl"/>
        </w:rPr>
        <w:t>Atendiendo una consulta del Director Carranza González, sobre el pago de los gastos de formalización a las familias que tramitan un bono al amparo del artículo 59, el señor Gerente General a.i. afirma que esos gastos se financian de acuerdo con el ingreso per cápita de las familias postuladas.  No obstante, si se conoce de alguna entidad que se niega a incluir esos gastos dentro del bono, se ofrece a intervenir para hacer las aclaraciones correspondientes.</w:t>
      </w:r>
    </w:p>
    <w:p w14:paraId="02BFEDF1" w14:textId="1817D8B9" w:rsidR="00A50140" w:rsidRDefault="00A50140" w:rsidP="009D03FE">
      <w:pPr>
        <w:spacing w:line="360" w:lineRule="auto"/>
        <w:jc w:val="both"/>
        <w:rPr>
          <w:rFonts w:cs="Arial"/>
          <w:sz w:val="22"/>
          <w:lang w:val="es-ES_tradnl"/>
        </w:rPr>
      </w:pPr>
    </w:p>
    <w:p w14:paraId="65E1DE17" w14:textId="363D6E98" w:rsidR="00A50140" w:rsidRDefault="00A50140" w:rsidP="009D03F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186</w:t>
      </w:r>
      <w:r w:rsidRPr="0039311E">
        <w:rPr>
          <w:rFonts w:cs="Arial"/>
          <w:sz w:val="22"/>
          <w:u w:val="single"/>
          <w:lang w:val="es-ES_tradnl"/>
        </w:rPr>
        <w:t>:</w:t>
      </w:r>
      <w:r>
        <w:rPr>
          <w:rFonts w:cs="Arial"/>
          <w:sz w:val="22"/>
          <w:u w:val="single"/>
          <w:lang w:val="es-ES_tradnl"/>
        </w:rPr>
        <w:t>44</w:t>
      </w:r>
      <w:r>
        <w:rPr>
          <w:rFonts w:cs="Arial"/>
          <w:sz w:val="22"/>
          <w:lang w:val="es-ES_tradnl"/>
        </w:rPr>
        <w:t xml:space="preserve"> Atendiendo otra consulta del Director Carranza González, sobre la contratación de las tres plazas para que colaboren en la atención de las recomendaciones pendientes del FOSUVI, el señor Gerente General a.i. informa que una de las plazas ya fue contratada y se </w:t>
      </w:r>
      <w:r w:rsidR="002061F5">
        <w:rPr>
          <w:rFonts w:cs="Arial"/>
          <w:sz w:val="22"/>
          <w:lang w:val="es-ES_tradnl"/>
        </w:rPr>
        <w:t>tiene previsto</w:t>
      </w:r>
      <w:r>
        <w:rPr>
          <w:rFonts w:cs="Arial"/>
          <w:sz w:val="22"/>
          <w:lang w:val="es-ES_tradnl"/>
        </w:rPr>
        <w:t xml:space="preserve"> </w:t>
      </w:r>
      <w:r w:rsidR="002C29BB">
        <w:rPr>
          <w:rFonts w:cs="Arial"/>
          <w:sz w:val="22"/>
          <w:lang w:val="es-ES_tradnl"/>
        </w:rPr>
        <w:t>que,</w:t>
      </w:r>
      <w:r>
        <w:rPr>
          <w:rFonts w:cs="Arial"/>
          <w:sz w:val="22"/>
          <w:lang w:val="es-ES_tradnl"/>
        </w:rPr>
        <w:t xml:space="preserve"> en el transcurso de la presente semana, se concluya el proceso de contratación de las otras dos plazas.</w:t>
      </w:r>
    </w:p>
    <w:p w14:paraId="46BB43ED" w14:textId="77777777" w:rsidR="009D03FE" w:rsidRPr="00D14EAF" w:rsidRDefault="009D03FE" w:rsidP="009D03FE">
      <w:pPr>
        <w:spacing w:line="360" w:lineRule="auto"/>
        <w:jc w:val="both"/>
        <w:rPr>
          <w:rFonts w:cs="Arial"/>
          <w:b/>
          <w:sz w:val="22"/>
        </w:rPr>
      </w:pPr>
      <w:r w:rsidRPr="00D14EAF">
        <w:rPr>
          <w:rFonts w:cs="Arial"/>
          <w:b/>
          <w:sz w:val="22"/>
        </w:rPr>
        <w:t>************</w:t>
      </w:r>
    </w:p>
    <w:p w14:paraId="1929A940" w14:textId="77777777" w:rsidR="009D03FE" w:rsidRDefault="009D03FE" w:rsidP="009D03FE">
      <w:pPr>
        <w:spacing w:line="360" w:lineRule="auto"/>
        <w:jc w:val="both"/>
        <w:rPr>
          <w:rFonts w:cs="Arial"/>
          <w:b/>
          <w:bCs/>
          <w:sz w:val="22"/>
          <w:szCs w:val="22"/>
          <w:u w:val="single"/>
          <w:lang w:val="es-ES_tradnl"/>
        </w:rPr>
      </w:pPr>
    </w:p>
    <w:p w14:paraId="6E4EC108" w14:textId="34918C7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01101D" w:rsidRPr="0001101D">
        <w:rPr>
          <w:rFonts w:cs="Arial"/>
          <w:b/>
          <w:bCs/>
          <w:sz w:val="22"/>
          <w:u w:val="single"/>
        </w:rPr>
        <w:t>Solicitud para atender disposiciones sobre el establecimiento de topes al monto de los bonos al amparo del artículo 59</w:t>
      </w:r>
    </w:p>
    <w:p w14:paraId="5E50465E" w14:textId="77777777" w:rsidR="009D03FE" w:rsidRDefault="009D03FE" w:rsidP="009D03FE">
      <w:pPr>
        <w:spacing w:line="360" w:lineRule="auto"/>
        <w:jc w:val="both"/>
        <w:rPr>
          <w:rFonts w:cs="Arial"/>
          <w:sz w:val="22"/>
          <w:szCs w:val="22"/>
        </w:rPr>
      </w:pPr>
    </w:p>
    <w:p w14:paraId="4BAC3F0B" w14:textId="205079B3" w:rsidR="00A75445" w:rsidRDefault="00A75445" w:rsidP="00A75445">
      <w:pPr>
        <w:spacing w:line="360" w:lineRule="auto"/>
        <w:jc w:val="both"/>
        <w:rPr>
          <w:rFonts w:cs="Arial"/>
          <w:sz w:val="22"/>
          <w:szCs w:val="22"/>
        </w:rPr>
      </w:pPr>
      <w:r w:rsidRPr="0039311E">
        <w:rPr>
          <w:rFonts w:cs="Arial"/>
          <w:sz w:val="22"/>
          <w:u w:val="single"/>
          <w:lang w:val="es-ES_tradnl"/>
        </w:rPr>
        <w:t xml:space="preserve">Minuto </w:t>
      </w:r>
      <w:r w:rsidR="00A50140">
        <w:rPr>
          <w:rFonts w:cs="Arial"/>
          <w:sz w:val="22"/>
          <w:u w:val="single"/>
          <w:lang w:val="es-ES_tradnl"/>
        </w:rPr>
        <w:t>187</w:t>
      </w:r>
      <w:r w:rsidRPr="0039311E">
        <w:rPr>
          <w:rFonts w:cs="Arial"/>
          <w:sz w:val="22"/>
          <w:u w:val="single"/>
          <w:lang w:val="es-ES_tradnl"/>
        </w:rPr>
        <w:t>:</w:t>
      </w:r>
      <w:r w:rsidR="002061F5">
        <w:rPr>
          <w:rFonts w:cs="Arial"/>
          <w:sz w:val="22"/>
          <w:u w:val="single"/>
          <w:lang w:val="es-ES_tradnl"/>
        </w:rPr>
        <w:t>32</w:t>
      </w:r>
      <w:r>
        <w:rPr>
          <w:rFonts w:cs="Arial"/>
          <w:sz w:val="22"/>
          <w:lang w:val="es-ES_tradnl"/>
        </w:rPr>
        <w:t xml:space="preserve"> Se conoce y avala una propuesta de la Directora Chavarría Núñez, para otorgarle a la </w:t>
      </w:r>
      <w:r w:rsidRPr="00515E24">
        <w:rPr>
          <w:rFonts w:cs="Arial"/>
          <w:sz w:val="22"/>
          <w:szCs w:val="22"/>
        </w:rPr>
        <w:t>Administración</w:t>
      </w:r>
      <w:r>
        <w:rPr>
          <w:rFonts w:cs="Arial"/>
          <w:sz w:val="22"/>
          <w:szCs w:val="22"/>
        </w:rPr>
        <w:t xml:space="preserve">, un plazo máximo de dos meses, para atender lo dispuesto en </w:t>
      </w:r>
      <w:r w:rsidR="002061F5">
        <w:rPr>
          <w:rFonts w:cs="Arial"/>
          <w:sz w:val="22"/>
          <w:szCs w:val="22"/>
        </w:rPr>
        <w:t>los acuerdos N° 2 de la sesión 68-2016 del 26/09/2016,</w:t>
      </w:r>
      <w:r w:rsidR="002061F5" w:rsidRPr="00515E24">
        <w:rPr>
          <w:rFonts w:cs="Arial"/>
          <w:sz w:val="22"/>
          <w:szCs w:val="22"/>
        </w:rPr>
        <w:t xml:space="preserve"> </w:t>
      </w:r>
      <w:r w:rsidR="002061F5">
        <w:rPr>
          <w:rFonts w:cs="Arial"/>
          <w:sz w:val="22"/>
          <w:szCs w:val="22"/>
        </w:rPr>
        <w:t>N° 10 de la sesión 44-2018</w:t>
      </w:r>
      <w:r w:rsidR="002061F5" w:rsidRPr="00515E24">
        <w:rPr>
          <w:rFonts w:cs="Arial"/>
          <w:sz w:val="22"/>
          <w:szCs w:val="22"/>
        </w:rPr>
        <w:t xml:space="preserve"> </w:t>
      </w:r>
      <w:r w:rsidR="002061F5">
        <w:rPr>
          <w:rFonts w:cs="Arial"/>
          <w:sz w:val="22"/>
          <w:szCs w:val="22"/>
        </w:rPr>
        <w:t xml:space="preserve">del 20/08/2018, N° 7 de la sesión 01-2019 del 07/01/2019, N° 10 de la sesión 65-2019 del 26/08/2019, N° 2 de la sesión 67-2019 del 29/08/2019 y N° 9 de la sesión 68-2019 del 02/09/2019, referidos a la presentación de una propuesta de </w:t>
      </w:r>
      <w:r w:rsidR="002061F5" w:rsidRPr="00A50C67">
        <w:rPr>
          <w:rFonts w:cs="Arial"/>
          <w:sz w:val="22"/>
          <w:szCs w:val="22"/>
        </w:rPr>
        <w:t xml:space="preserve">mecanismo </w:t>
      </w:r>
      <w:r w:rsidR="002061F5">
        <w:rPr>
          <w:rFonts w:cs="Arial"/>
          <w:sz w:val="22"/>
          <w:szCs w:val="22"/>
        </w:rPr>
        <w:t>para</w:t>
      </w:r>
      <w:r w:rsidR="002061F5" w:rsidRPr="00A50C67">
        <w:rPr>
          <w:rFonts w:cs="Arial"/>
          <w:sz w:val="22"/>
          <w:szCs w:val="22"/>
        </w:rPr>
        <w:t xml:space="preserve"> establecer topes máximos al monto de las soluciones de vivienda</w:t>
      </w:r>
      <w:r w:rsidR="002061F5">
        <w:rPr>
          <w:rFonts w:cs="Arial"/>
          <w:sz w:val="22"/>
          <w:szCs w:val="22"/>
        </w:rPr>
        <w:t xml:space="preserve">, a financiar </w:t>
      </w:r>
      <w:r w:rsidR="002061F5" w:rsidRPr="00A50C67">
        <w:rPr>
          <w:rFonts w:cs="Arial"/>
          <w:sz w:val="22"/>
          <w:szCs w:val="22"/>
        </w:rPr>
        <w:t xml:space="preserve">con recursos del artículo 59 de la Ley del Sistema Financiero Nacional para la Vivienda, particularmente buscando la maximización del uso de los terrenos y promoviendo </w:t>
      </w:r>
      <w:r w:rsidR="002061F5">
        <w:rPr>
          <w:rFonts w:cs="Arial"/>
          <w:sz w:val="22"/>
          <w:szCs w:val="22"/>
        </w:rPr>
        <w:t>la inversión</w:t>
      </w:r>
      <w:r w:rsidR="002061F5" w:rsidRPr="00A50C67">
        <w:rPr>
          <w:rFonts w:cs="Arial"/>
          <w:sz w:val="22"/>
          <w:szCs w:val="22"/>
        </w:rPr>
        <w:t xml:space="preserve"> más eficiente de los recursos </w:t>
      </w:r>
      <w:r w:rsidR="002061F5">
        <w:rPr>
          <w:rFonts w:cs="Arial"/>
          <w:sz w:val="22"/>
          <w:szCs w:val="22"/>
        </w:rPr>
        <w:t>del FOSUVI</w:t>
      </w:r>
      <w:r w:rsidR="002061F5" w:rsidRPr="00A50C67">
        <w:rPr>
          <w:rFonts w:cs="Arial"/>
          <w:sz w:val="22"/>
          <w:szCs w:val="22"/>
        </w:rPr>
        <w:t>.</w:t>
      </w:r>
      <w:r>
        <w:rPr>
          <w:rFonts w:cs="Arial"/>
          <w:sz w:val="22"/>
          <w:szCs w:val="22"/>
        </w:rPr>
        <w:t xml:space="preserve">  Lo anterior, según se consigna en el </w:t>
      </w:r>
      <w:r w:rsidRPr="00764308">
        <w:rPr>
          <w:rFonts w:cs="Arial"/>
          <w:b/>
          <w:bCs/>
          <w:sz w:val="22"/>
          <w:szCs w:val="22"/>
        </w:rPr>
        <w:t xml:space="preserve">Acuerdo N° </w:t>
      </w:r>
      <w:r>
        <w:rPr>
          <w:rFonts w:cs="Arial"/>
          <w:b/>
          <w:bCs/>
          <w:sz w:val="22"/>
          <w:szCs w:val="22"/>
        </w:rPr>
        <w:t>7</w:t>
      </w:r>
      <w:r>
        <w:rPr>
          <w:rFonts w:cs="Arial"/>
          <w:sz w:val="22"/>
          <w:szCs w:val="22"/>
        </w:rPr>
        <w:t xml:space="preserve"> que se anexa a esta minuta.</w:t>
      </w:r>
    </w:p>
    <w:p w14:paraId="3267787B" w14:textId="77777777" w:rsidR="009D03FE" w:rsidRPr="00D14EAF" w:rsidRDefault="009D03FE" w:rsidP="009D03FE">
      <w:pPr>
        <w:spacing w:line="360" w:lineRule="auto"/>
        <w:jc w:val="both"/>
        <w:rPr>
          <w:rFonts w:cs="Arial"/>
          <w:b/>
          <w:sz w:val="22"/>
        </w:rPr>
      </w:pPr>
      <w:r w:rsidRPr="00D14EAF">
        <w:rPr>
          <w:rFonts w:cs="Arial"/>
          <w:b/>
          <w:sz w:val="22"/>
        </w:rPr>
        <w:t>************</w:t>
      </w:r>
    </w:p>
    <w:p w14:paraId="4685CF24" w14:textId="77777777" w:rsidR="009D03FE" w:rsidRDefault="009D03FE" w:rsidP="009D03FE">
      <w:pPr>
        <w:spacing w:line="360" w:lineRule="auto"/>
        <w:jc w:val="both"/>
        <w:rPr>
          <w:rFonts w:cs="Arial"/>
          <w:b/>
          <w:bCs/>
          <w:sz w:val="22"/>
          <w:szCs w:val="22"/>
          <w:u w:val="single"/>
          <w:lang w:val="es-ES_tradnl"/>
        </w:rPr>
      </w:pPr>
    </w:p>
    <w:p w14:paraId="1668645C" w14:textId="67CA288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01101D" w:rsidRPr="0001101D">
        <w:rPr>
          <w:rFonts w:cs="Arial"/>
          <w:b/>
          <w:bCs/>
          <w:sz w:val="22"/>
          <w:u w:val="single"/>
        </w:rPr>
        <w:t>Propuesta para valorar el pago de los gastos de formalización para casos de bono ordinario</w:t>
      </w:r>
    </w:p>
    <w:p w14:paraId="3DDECD74" w14:textId="77777777" w:rsidR="009D03FE" w:rsidRDefault="009D03FE" w:rsidP="009D03FE">
      <w:pPr>
        <w:spacing w:line="360" w:lineRule="auto"/>
        <w:jc w:val="both"/>
        <w:rPr>
          <w:rFonts w:cs="Arial"/>
          <w:sz w:val="22"/>
          <w:szCs w:val="22"/>
        </w:rPr>
      </w:pPr>
    </w:p>
    <w:p w14:paraId="5328DAE9" w14:textId="0105C932" w:rsidR="002061F5" w:rsidRDefault="009D03FE" w:rsidP="002061F5">
      <w:pPr>
        <w:spacing w:line="360" w:lineRule="auto"/>
        <w:jc w:val="both"/>
        <w:rPr>
          <w:rFonts w:cs="Arial"/>
          <w:sz w:val="22"/>
          <w:szCs w:val="22"/>
          <w:lang w:val="es-ES_tradnl"/>
        </w:rPr>
      </w:pPr>
      <w:r w:rsidRPr="0039311E">
        <w:rPr>
          <w:rFonts w:cs="Arial"/>
          <w:sz w:val="22"/>
          <w:u w:val="single"/>
          <w:lang w:val="es-ES_tradnl"/>
        </w:rPr>
        <w:lastRenderedPageBreak/>
        <w:t xml:space="preserve">Minuto </w:t>
      </w:r>
      <w:r w:rsidR="002061F5">
        <w:rPr>
          <w:rFonts w:cs="Arial"/>
          <w:sz w:val="22"/>
          <w:u w:val="single"/>
          <w:lang w:val="es-ES_tradnl"/>
        </w:rPr>
        <w:t>189</w:t>
      </w:r>
      <w:r w:rsidRPr="0039311E">
        <w:rPr>
          <w:rFonts w:cs="Arial"/>
          <w:sz w:val="22"/>
          <w:u w:val="single"/>
          <w:lang w:val="es-ES_tradnl"/>
        </w:rPr>
        <w:t>:</w:t>
      </w:r>
      <w:r w:rsidR="002061F5">
        <w:rPr>
          <w:rFonts w:cs="Arial"/>
          <w:sz w:val="22"/>
          <w:u w:val="single"/>
          <w:lang w:val="es-ES_tradnl"/>
        </w:rPr>
        <w:t>40</w:t>
      </w:r>
      <w:r>
        <w:rPr>
          <w:rFonts w:cs="Arial"/>
          <w:sz w:val="22"/>
          <w:lang w:val="es-ES_tradnl"/>
        </w:rPr>
        <w:t xml:space="preserve"> Se conoce </w:t>
      </w:r>
      <w:r w:rsidR="002061F5">
        <w:rPr>
          <w:rFonts w:cs="Arial"/>
          <w:sz w:val="22"/>
          <w:lang w:val="es-ES_tradnl"/>
        </w:rPr>
        <w:t xml:space="preserve">y avala una moción de la Directora Ulibarri Pernús, tendiente a solicitar a la </w:t>
      </w:r>
      <w:r w:rsidR="002061F5" w:rsidRPr="00A32674">
        <w:rPr>
          <w:rFonts w:cs="Arial"/>
          <w:sz w:val="22"/>
          <w:szCs w:val="22"/>
          <w:lang w:val="es-ES_tradnl"/>
        </w:rPr>
        <w:t>Administración</w:t>
      </w:r>
      <w:r w:rsidR="002061F5">
        <w:rPr>
          <w:rFonts w:cs="Arial"/>
          <w:sz w:val="22"/>
          <w:szCs w:val="22"/>
          <w:lang w:val="es-ES_tradnl"/>
        </w:rPr>
        <w:t xml:space="preserve">, que estudie la posibilidad y la conveniencia de incluir en el bono ordinario, el pago de los costos correspondientes a la formalización de los subsidios.  Lo anterior, en los términos que se indican en el </w:t>
      </w:r>
      <w:r w:rsidR="002061F5" w:rsidRPr="002061F5">
        <w:rPr>
          <w:rFonts w:cs="Arial"/>
          <w:b/>
          <w:bCs/>
          <w:sz w:val="22"/>
          <w:szCs w:val="22"/>
          <w:lang w:val="es-ES_tradnl"/>
        </w:rPr>
        <w:t>Acuerdo N° 8</w:t>
      </w:r>
      <w:r w:rsidR="002061F5">
        <w:rPr>
          <w:rFonts w:cs="Arial"/>
          <w:sz w:val="22"/>
          <w:szCs w:val="22"/>
          <w:lang w:val="es-ES_tradnl"/>
        </w:rPr>
        <w:t xml:space="preserve"> que se anexa a esta minuta.</w:t>
      </w:r>
    </w:p>
    <w:p w14:paraId="0140E951" w14:textId="77777777" w:rsidR="009D03FE" w:rsidRPr="00D14EAF" w:rsidRDefault="009D03FE" w:rsidP="009D03FE">
      <w:pPr>
        <w:spacing w:line="360" w:lineRule="auto"/>
        <w:jc w:val="both"/>
        <w:rPr>
          <w:rFonts w:cs="Arial"/>
          <w:b/>
          <w:sz w:val="22"/>
        </w:rPr>
      </w:pPr>
      <w:r w:rsidRPr="00D14EAF">
        <w:rPr>
          <w:rFonts w:cs="Arial"/>
          <w:b/>
          <w:sz w:val="22"/>
        </w:rPr>
        <w:t>************</w:t>
      </w:r>
    </w:p>
    <w:p w14:paraId="3243844B" w14:textId="77777777" w:rsidR="009D03FE" w:rsidRDefault="009D03FE" w:rsidP="009D03FE">
      <w:pPr>
        <w:spacing w:line="360" w:lineRule="auto"/>
        <w:jc w:val="both"/>
        <w:rPr>
          <w:rFonts w:cs="Arial"/>
          <w:b/>
          <w:bCs/>
          <w:sz w:val="22"/>
          <w:szCs w:val="22"/>
          <w:u w:val="single"/>
          <w:lang w:val="es-ES_tradnl"/>
        </w:rPr>
      </w:pPr>
    </w:p>
    <w:p w14:paraId="6337101B" w14:textId="69A57F3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01101D" w:rsidRPr="0001101D">
        <w:rPr>
          <w:rFonts w:cs="Arial"/>
          <w:b/>
          <w:bCs/>
          <w:sz w:val="22"/>
          <w:u w:val="single"/>
        </w:rPr>
        <w:t>Solicitud para remitir documentos relevantes al nuevo Gerente General designado</w:t>
      </w:r>
    </w:p>
    <w:p w14:paraId="5271BF80" w14:textId="77777777" w:rsidR="009D03FE" w:rsidRDefault="009D03FE" w:rsidP="009D03FE">
      <w:pPr>
        <w:spacing w:line="360" w:lineRule="auto"/>
        <w:jc w:val="both"/>
        <w:rPr>
          <w:rFonts w:cs="Arial"/>
          <w:sz w:val="22"/>
          <w:szCs w:val="22"/>
        </w:rPr>
      </w:pPr>
    </w:p>
    <w:p w14:paraId="70CC7201" w14:textId="3F7FC2DF" w:rsidR="009D03FE" w:rsidRDefault="009D03FE" w:rsidP="009D03FE">
      <w:pPr>
        <w:spacing w:line="360" w:lineRule="auto"/>
        <w:jc w:val="both"/>
        <w:rPr>
          <w:rFonts w:cs="Arial"/>
          <w:sz w:val="22"/>
          <w:lang w:val="es-ES_tradnl"/>
        </w:rPr>
      </w:pPr>
      <w:r w:rsidRPr="0039311E">
        <w:rPr>
          <w:rFonts w:cs="Arial"/>
          <w:sz w:val="22"/>
          <w:u w:val="single"/>
          <w:lang w:val="es-ES_tradnl"/>
        </w:rPr>
        <w:t>Minuto</w:t>
      </w:r>
      <w:r w:rsidR="00DD7FFB">
        <w:rPr>
          <w:rFonts w:cs="Arial"/>
          <w:sz w:val="22"/>
          <w:u w:val="single"/>
          <w:lang w:val="es-ES_tradnl"/>
        </w:rPr>
        <w:t xml:space="preserve"> 194</w:t>
      </w:r>
      <w:r w:rsidRPr="0039311E">
        <w:rPr>
          <w:rFonts w:cs="Arial"/>
          <w:sz w:val="22"/>
          <w:u w:val="single"/>
          <w:lang w:val="es-ES_tradnl"/>
        </w:rPr>
        <w:t>:</w:t>
      </w:r>
      <w:r w:rsidR="00DD7FFB">
        <w:rPr>
          <w:rFonts w:cs="Arial"/>
          <w:sz w:val="22"/>
          <w:u w:val="single"/>
          <w:lang w:val="es-ES_tradnl"/>
        </w:rPr>
        <w:t>45</w:t>
      </w:r>
      <w:r>
        <w:rPr>
          <w:rFonts w:cs="Arial"/>
          <w:sz w:val="22"/>
          <w:lang w:val="es-ES_tradnl"/>
        </w:rPr>
        <w:t xml:space="preserve"> Se conoce </w:t>
      </w:r>
      <w:r w:rsidR="000A2824">
        <w:rPr>
          <w:rFonts w:cs="Arial"/>
          <w:sz w:val="22"/>
          <w:lang w:val="es-ES_tradnl"/>
        </w:rPr>
        <w:t xml:space="preserve">y avala una moción de la Directora Ulibarri Pernús, en el sentido de girar instrucciones a la </w:t>
      </w:r>
      <w:r w:rsidR="000A2824" w:rsidRPr="000A2824">
        <w:rPr>
          <w:rFonts w:cs="Arial"/>
          <w:sz w:val="22"/>
          <w:lang w:val="es-ES_tradnl"/>
        </w:rPr>
        <w:t>Administración</w:t>
      </w:r>
      <w:r w:rsidR="000A2824">
        <w:rPr>
          <w:rFonts w:cs="Arial"/>
          <w:sz w:val="22"/>
          <w:lang w:val="es-ES_tradnl"/>
        </w:rPr>
        <w:t xml:space="preserve">, para que </w:t>
      </w:r>
      <w:r w:rsidR="00DD7FFB">
        <w:rPr>
          <w:rFonts w:cs="Arial"/>
          <w:sz w:val="22"/>
          <w:szCs w:val="22"/>
          <w:lang w:val="es-ES_tradnl"/>
        </w:rPr>
        <w:t xml:space="preserve">le remita al Gerente General designado, para su estudio, los informes que en las últimas semanas han sido enviados por la </w:t>
      </w:r>
      <w:r w:rsidR="00DD7FFB">
        <w:rPr>
          <w:rFonts w:cs="Arial"/>
          <w:sz w:val="22"/>
          <w:lang w:val="es-ES_tradnl"/>
        </w:rPr>
        <w:t xml:space="preserve">Contraloría General de la República, así como cualquier otro </w:t>
      </w:r>
      <w:r w:rsidR="00DD7FFB">
        <w:rPr>
          <w:rFonts w:cs="Arial"/>
          <w:sz w:val="22"/>
          <w:szCs w:val="22"/>
          <w:lang w:val="es-ES_tradnl"/>
        </w:rPr>
        <w:t>documento relevante.</w:t>
      </w:r>
      <w:r w:rsidR="00786CAA">
        <w:rPr>
          <w:rFonts w:cs="Arial"/>
          <w:sz w:val="22"/>
          <w:szCs w:val="22"/>
          <w:lang w:val="es-ES_tradnl"/>
        </w:rPr>
        <w:t xml:space="preserve">  Lo anterior, según se indica en el </w:t>
      </w:r>
      <w:r w:rsidR="00786CAA" w:rsidRPr="00786CAA">
        <w:rPr>
          <w:rFonts w:cs="Arial"/>
          <w:b/>
          <w:bCs/>
          <w:sz w:val="22"/>
          <w:szCs w:val="22"/>
          <w:lang w:val="es-ES_tradnl"/>
        </w:rPr>
        <w:t>Acuerdo N° 9</w:t>
      </w:r>
      <w:r w:rsidR="00786CAA">
        <w:rPr>
          <w:rFonts w:cs="Arial"/>
          <w:sz w:val="22"/>
          <w:szCs w:val="22"/>
          <w:lang w:val="es-ES_tradnl"/>
        </w:rPr>
        <w:t xml:space="preserve"> que se anexa a esta minuta.</w:t>
      </w:r>
    </w:p>
    <w:p w14:paraId="2364A6F1" w14:textId="77777777" w:rsidR="009D03FE" w:rsidRPr="00D14EAF" w:rsidRDefault="009D03FE" w:rsidP="009D03FE">
      <w:pPr>
        <w:spacing w:line="360" w:lineRule="auto"/>
        <w:jc w:val="both"/>
        <w:rPr>
          <w:rFonts w:cs="Arial"/>
          <w:b/>
          <w:sz w:val="22"/>
        </w:rPr>
      </w:pPr>
      <w:r w:rsidRPr="00D14EAF">
        <w:rPr>
          <w:rFonts w:cs="Arial"/>
          <w:b/>
          <w:sz w:val="22"/>
        </w:rPr>
        <w:t>************</w:t>
      </w:r>
    </w:p>
    <w:p w14:paraId="676526AB" w14:textId="77777777" w:rsidR="009D03FE" w:rsidRDefault="009D03FE" w:rsidP="009D03FE">
      <w:pPr>
        <w:spacing w:line="360" w:lineRule="auto"/>
        <w:jc w:val="both"/>
        <w:rPr>
          <w:rFonts w:cs="Arial"/>
          <w:b/>
          <w:bCs/>
          <w:sz w:val="22"/>
          <w:szCs w:val="22"/>
          <w:u w:val="single"/>
          <w:lang w:val="es-ES_tradnl"/>
        </w:rPr>
      </w:pPr>
    </w:p>
    <w:p w14:paraId="2E895406" w14:textId="1388386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01101D" w:rsidRPr="0001101D">
        <w:rPr>
          <w:rFonts w:cs="Arial"/>
          <w:b/>
          <w:bCs/>
          <w:sz w:val="22"/>
          <w:u w:val="single"/>
        </w:rPr>
        <w:t>Propuesta con respecto al proyecto de vivienda productiva</w:t>
      </w:r>
    </w:p>
    <w:p w14:paraId="65694537" w14:textId="77777777" w:rsidR="009D03FE" w:rsidRDefault="009D03FE" w:rsidP="009D03FE">
      <w:pPr>
        <w:spacing w:line="360" w:lineRule="auto"/>
        <w:jc w:val="both"/>
        <w:rPr>
          <w:rFonts w:cs="Arial"/>
          <w:sz w:val="22"/>
          <w:szCs w:val="22"/>
        </w:rPr>
      </w:pPr>
    </w:p>
    <w:p w14:paraId="5A25156D" w14:textId="59184B30" w:rsidR="00FA0BA6"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87032">
        <w:rPr>
          <w:rFonts w:cs="Arial"/>
          <w:sz w:val="22"/>
          <w:u w:val="single"/>
          <w:lang w:val="es-ES_tradnl"/>
        </w:rPr>
        <w:t>19</w:t>
      </w:r>
      <w:r w:rsidR="00FA0BA6">
        <w:rPr>
          <w:rFonts w:cs="Arial"/>
          <w:sz w:val="22"/>
          <w:u w:val="single"/>
          <w:lang w:val="es-ES_tradnl"/>
        </w:rPr>
        <w:t>6</w:t>
      </w:r>
      <w:r w:rsidRPr="0039311E">
        <w:rPr>
          <w:rFonts w:cs="Arial"/>
          <w:sz w:val="22"/>
          <w:u w:val="single"/>
          <w:lang w:val="es-ES_tradnl"/>
        </w:rPr>
        <w:t>:</w:t>
      </w:r>
      <w:r w:rsidR="00FA0BA6">
        <w:rPr>
          <w:rFonts w:cs="Arial"/>
          <w:sz w:val="22"/>
          <w:u w:val="single"/>
          <w:lang w:val="es-ES_tradnl"/>
        </w:rPr>
        <w:t>52</w:t>
      </w:r>
      <w:r>
        <w:rPr>
          <w:rFonts w:cs="Arial"/>
          <w:sz w:val="22"/>
          <w:lang w:val="es-ES_tradnl"/>
        </w:rPr>
        <w:t xml:space="preserve"> Se conoce </w:t>
      </w:r>
      <w:r w:rsidR="00187032">
        <w:rPr>
          <w:rFonts w:cs="Arial"/>
          <w:sz w:val="22"/>
          <w:lang w:val="es-ES_tradnl"/>
        </w:rPr>
        <w:t xml:space="preserve">y toma nota de una solicitud de la Directora Ulibarri Pernús, para que en una próxima sesión se </w:t>
      </w:r>
      <w:r w:rsidR="00FA0BA6">
        <w:rPr>
          <w:rFonts w:cs="Arial"/>
          <w:sz w:val="22"/>
          <w:lang w:val="es-ES_tradnl"/>
        </w:rPr>
        <w:t>discuta la forma de implementar un programa de vivienda productiva, dirigido a que las familias puedan contar con un espacio para generar recursos en las mismas viviendas que se otorgan con recursos del FOSUVI.  Y al especto, se toma nota de un ofrecimiento de la Directora Presidenta, para promover una reunión con Banca para el Desarrollo.</w:t>
      </w:r>
    </w:p>
    <w:p w14:paraId="4D2E2055" w14:textId="77777777" w:rsidR="009D03FE" w:rsidRPr="00D14EAF" w:rsidRDefault="009D03FE" w:rsidP="009D03FE">
      <w:pPr>
        <w:spacing w:line="360" w:lineRule="auto"/>
        <w:jc w:val="both"/>
        <w:rPr>
          <w:rFonts w:cs="Arial"/>
          <w:b/>
          <w:sz w:val="22"/>
        </w:rPr>
      </w:pPr>
      <w:r w:rsidRPr="00D14EAF">
        <w:rPr>
          <w:rFonts w:cs="Arial"/>
          <w:b/>
          <w:sz w:val="22"/>
        </w:rPr>
        <w:t>************</w:t>
      </w:r>
    </w:p>
    <w:p w14:paraId="7D9B4AB8" w14:textId="77777777" w:rsidR="009D03FE" w:rsidRDefault="009D03FE" w:rsidP="009D03FE">
      <w:pPr>
        <w:spacing w:line="360" w:lineRule="auto"/>
        <w:jc w:val="both"/>
        <w:rPr>
          <w:rFonts w:cs="Arial"/>
          <w:b/>
          <w:bCs/>
          <w:sz w:val="22"/>
          <w:szCs w:val="22"/>
          <w:u w:val="single"/>
          <w:lang w:val="es-ES_tradnl"/>
        </w:rPr>
      </w:pPr>
    </w:p>
    <w:p w14:paraId="498E7FFC" w14:textId="4AF2936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01101D" w:rsidRPr="0001101D">
        <w:rPr>
          <w:rFonts w:cs="Arial"/>
          <w:b/>
          <w:bCs/>
          <w:sz w:val="22"/>
          <w:u w:val="single"/>
        </w:rPr>
        <w:t>Informes con respecto a la implementación de ajustes al Sistema de Vivienda, el Impuesto sobre la Renta para las inversiones y la auditoría externa de Tecnologías de Información</w:t>
      </w:r>
    </w:p>
    <w:p w14:paraId="7AD0CC39" w14:textId="77777777" w:rsidR="009D03FE" w:rsidRDefault="009D03FE" w:rsidP="009D03FE">
      <w:pPr>
        <w:spacing w:line="360" w:lineRule="auto"/>
        <w:jc w:val="both"/>
        <w:rPr>
          <w:rFonts w:cs="Arial"/>
          <w:sz w:val="22"/>
          <w:szCs w:val="22"/>
        </w:rPr>
      </w:pPr>
    </w:p>
    <w:p w14:paraId="37379334" w14:textId="2A0F0B39"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A0BA6">
        <w:rPr>
          <w:rFonts w:cs="Arial"/>
          <w:sz w:val="22"/>
          <w:u w:val="single"/>
          <w:lang w:val="es-ES_tradnl"/>
        </w:rPr>
        <w:t>199</w:t>
      </w:r>
      <w:r w:rsidRPr="0039311E">
        <w:rPr>
          <w:rFonts w:cs="Arial"/>
          <w:sz w:val="22"/>
          <w:u w:val="single"/>
          <w:lang w:val="es-ES_tradnl"/>
        </w:rPr>
        <w:t>:</w:t>
      </w:r>
      <w:r w:rsidR="00FA0BA6">
        <w:rPr>
          <w:rFonts w:cs="Arial"/>
          <w:sz w:val="22"/>
          <w:u w:val="single"/>
          <w:lang w:val="es-ES_tradnl"/>
        </w:rPr>
        <w:t>02</w:t>
      </w:r>
      <w:r>
        <w:rPr>
          <w:rFonts w:cs="Arial"/>
          <w:sz w:val="22"/>
          <w:lang w:val="es-ES_tradnl"/>
        </w:rPr>
        <w:t xml:space="preserve"> </w:t>
      </w:r>
      <w:r w:rsidR="00FA0BA6">
        <w:rPr>
          <w:rFonts w:cs="Arial"/>
          <w:sz w:val="22"/>
          <w:lang w:val="es-ES_tradnl"/>
        </w:rPr>
        <w:t>El señor Gerente General a.i. informa que se ha logrado ajustar el Sistema de Vivienda para permitir la implementación de “</w:t>
      </w:r>
      <w:proofErr w:type="spellStart"/>
      <w:r w:rsidR="00FA0BA6">
        <w:rPr>
          <w:rFonts w:cs="Arial"/>
          <w:sz w:val="22"/>
          <w:lang w:val="es-ES_tradnl"/>
        </w:rPr>
        <w:t>multiactas</w:t>
      </w:r>
      <w:proofErr w:type="spellEnd"/>
      <w:r w:rsidR="00FA0BA6">
        <w:rPr>
          <w:rFonts w:cs="Arial"/>
          <w:sz w:val="22"/>
          <w:lang w:val="es-ES_tradnl"/>
        </w:rPr>
        <w:t xml:space="preserve">” para agilizar el trámite de emisión de bonos de vivienda. </w:t>
      </w:r>
    </w:p>
    <w:p w14:paraId="6A170C54" w14:textId="1E2E4F8B" w:rsidR="009D03FE" w:rsidRDefault="009D03FE" w:rsidP="009D03FE">
      <w:pPr>
        <w:spacing w:line="360" w:lineRule="auto"/>
        <w:jc w:val="both"/>
        <w:rPr>
          <w:rFonts w:cs="Arial"/>
          <w:sz w:val="22"/>
          <w:szCs w:val="22"/>
        </w:rPr>
      </w:pPr>
    </w:p>
    <w:p w14:paraId="71AE460F" w14:textId="41B39C25" w:rsidR="00FA0BA6" w:rsidRDefault="00FA0BA6" w:rsidP="009D03FE">
      <w:pPr>
        <w:spacing w:line="360" w:lineRule="auto"/>
        <w:jc w:val="both"/>
        <w:rPr>
          <w:rFonts w:cs="Arial"/>
          <w:sz w:val="22"/>
          <w:szCs w:val="22"/>
        </w:rPr>
      </w:pPr>
      <w:r>
        <w:rPr>
          <w:rFonts w:cs="Arial"/>
          <w:sz w:val="22"/>
          <w:szCs w:val="22"/>
        </w:rPr>
        <w:lastRenderedPageBreak/>
        <w:t xml:space="preserve">Adicionalmente, </w:t>
      </w:r>
      <w:r w:rsidR="00C94958">
        <w:rPr>
          <w:rFonts w:cs="Arial"/>
          <w:sz w:val="22"/>
          <w:szCs w:val="22"/>
        </w:rPr>
        <w:t>comunica</w:t>
      </w:r>
      <w:r>
        <w:rPr>
          <w:rFonts w:cs="Arial"/>
          <w:sz w:val="22"/>
          <w:szCs w:val="22"/>
        </w:rPr>
        <w:t xml:space="preserve"> </w:t>
      </w:r>
      <w:r w:rsidR="00C94958">
        <w:rPr>
          <w:rFonts w:cs="Arial"/>
          <w:sz w:val="22"/>
          <w:szCs w:val="22"/>
        </w:rPr>
        <w:t xml:space="preserve">el señor Gerente General a.i., </w:t>
      </w:r>
      <w:r>
        <w:rPr>
          <w:rFonts w:cs="Arial"/>
          <w:sz w:val="22"/>
          <w:szCs w:val="22"/>
        </w:rPr>
        <w:t xml:space="preserve">que se ha presentado un </w:t>
      </w:r>
      <w:r w:rsidR="00C94958">
        <w:rPr>
          <w:rFonts w:cs="Arial"/>
          <w:sz w:val="22"/>
          <w:szCs w:val="22"/>
        </w:rPr>
        <w:t xml:space="preserve">recurso de apelación ante el Ministerio de Hacienda, </w:t>
      </w:r>
      <w:r>
        <w:rPr>
          <w:rFonts w:cs="Arial"/>
          <w:sz w:val="22"/>
          <w:szCs w:val="22"/>
        </w:rPr>
        <w:t xml:space="preserve">a raíz de una resolución que indica que el BANHVI no está </w:t>
      </w:r>
      <w:r w:rsidR="00C94958">
        <w:rPr>
          <w:rFonts w:cs="Arial"/>
          <w:sz w:val="22"/>
          <w:szCs w:val="22"/>
        </w:rPr>
        <w:t>exento</w:t>
      </w:r>
      <w:r>
        <w:rPr>
          <w:rFonts w:cs="Arial"/>
          <w:sz w:val="22"/>
          <w:szCs w:val="22"/>
        </w:rPr>
        <w:t xml:space="preserve"> del Impuesto sobre la Renta </w:t>
      </w:r>
      <w:r w:rsidR="00C94958">
        <w:rPr>
          <w:rFonts w:cs="Arial"/>
          <w:sz w:val="22"/>
          <w:szCs w:val="22"/>
        </w:rPr>
        <w:t>para las inversiones.</w:t>
      </w:r>
    </w:p>
    <w:p w14:paraId="1FF58D0B" w14:textId="2A3094CC" w:rsidR="00C94958" w:rsidRDefault="00C94958" w:rsidP="009D03FE">
      <w:pPr>
        <w:spacing w:line="360" w:lineRule="auto"/>
        <w:jc w:val="both"/>
        <w:rPr>
          <w:rFonts w:cs="Arial"/>
          <w:sz w:val="22"/>
          <w:szCs w:val="22"/>
        </w:rPr>
      </w:pPr>
    </w:p>
    <w:p w14:paraId="24C9199F" w14:textId="498FF42E" w:rsidR="00C94958" w:rsidRDefault="00C94958" w:rsidP="009D03FE">
      <w:pPr>
        <w:spacing w:line="360" w:lineRule="auto"/>
        <w:jc w:val="both"/>
        <w:rPr>
          <w:rFonts w:cs="Arial"/>
          <w:sz w:val="22"/>
          <w:szCs w:val="22"/>
        </w:rPr>
      </w:pPr>
      <w:r>
        <w:rPr>
          <w:rFonts w:cs="Arial"/>
          <w:sz w:val="22"/>
          <w:szCs w:val="22"/>
        </w:rPr>
        <w:t xml:space="preserve">Finalmente, informa que ya la SUGEF conoció y aceptó el informe de la Auditoría Externa de Tecnología de Información, y ha solicitado el plan de acción correspondiente, solicitando que se establezcan prioridades para la atención de las debilidades identificadas, el cual se deberá someter previamente a esta </w:t>
      </w:r>
      <w:r w:rsidRPr="00C94958">
        <w:rPr>
          <w:rFonts w:cs="Arial"/>
          <w:sz w:val="22"/>
          <w:szCs w:val="22"/>
          <w:lang w:val="es-ES_tradnl"/>
        </w:rPr>
        <w:t>Junta Directiva</w:t>
      </w:r>
      <w:r>
        <w:rPr>
          <w:rFonts w:cs="Arial"/>
          <w:sz w:val="22"/>
          <w:szCs w:val="22"/>
        </w:rPr>
        <w:t>.</w:t>
      </w:r>
    </w:p>
    <w:p w14:paraId="366AFE9D"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41B6AA05" w14:textId="77777777" w:rsidR="009D03FE" w:rsidRDefault="009D03FE" w:rsidP="002D0146">
      <w:pPr>
        <w:spacing w:line="360" w:lineRule="auto"/>
        <w:jc w:val="both"/>
        <w:rPr>
          <w:rFonts w:cs="Arial"/>
          <w:b/>
          <w:bCs/>
          <w:sz w:val="22"/>
          <w:szCs w:val="22"/>
          <w:u w:val="single"/>
          <w:lang w:val="es-ES_tradnl"/>
        </w:rPr>
      </w:pPr>
    </w:p>
    <w:p w14:paraId="17A56B9E" w14:textId="065875A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01101D" w:rsidRPr="0001101D">
        <w:rPr>
          <w:rFonts w:cs="Arial"/>
          <w:b/>
          <w:bCs/>
          <w:sz w:val="22"/>
          <w:u w:val="single"/>
          <w:lang w:val="es-ES_tradnl"/>
        </w:rPr>
        <w:t>Reporte sobre el cumplimiento de informes para la Junta Directiva, del Sistema de Información Gerencial, con corte a noviembre de 2019</w:t>
      </w:r>
    </w:p>
    <w:p w14:paraId="401E5228" w14:textId="77777777" w:rsidR="009D03FE" w:rsidRDefault="009D03FE" w:rsidP="009D03FE">
      <w:pPr>
        <w:spacing w:line="360" w:lineRule="auto"/>
        <w:jc w:val="both"/>
        <w:rPr>
          <w:rFonts w:cs="Arial"/>
          <w:sz w:val="22"/>
          <w:szCs w:val="22"/>
        </w:rPr>
      </w:pPr>
    </w:p>
    <w:p w14:paraId="389698B4" w14:textId="38495397" w:rsidR="0088663D" w:rsidRDefault="0088663D" w:rsidP="0088663D">
      <w:pPr>
        <w:spacing w:line="360" w:lineRule="auto"/>
        <w:jc w:val="both"/>
        <w:rPr>
          <w:rFonts w:cs="Arial"/>
          <w:sz w:val="22"/>
          <w:lang w:val="es-ES_tradnl"/>
        </w:rPr>
      </w:pPr>
      <w:r w:rsidRPr="0039311E">
        <w:rPr>
          <w:rFonts w:cs="Arial"/>
          <w:sz w:val="22"/>
          <w:u w:val="single"/>
          <w:lang w:val="es-ES_tradnl"/>
        </w:rPr>
        <w:t xml:space="preserve">Minuto </w:t>
      </w:r>
      <w:r w:rsidR="0002568D">
        <w:rPr>
          <w:rFonts w:cs="Arial"/>
          <w:sz w:val="22"/>
          <w:u w:val="single"/>
          <w:lang w:val="es-ES_tradnl"/>
        </w:rPr>
        <w:t>203</w:t>
      </w:r>
      <w:r w:rsidRPr="0039311E">
        <w:rPr>
          <w:rFonts w:cs="Arial"/>
          <w:sz w:val="22"/>
          <w:u w:val="single"/>
          <w:lang w:val="es-ES_tradnl"/>
        </w:rPr>
        <w:t>:</w:t>
      </w:r>
      <w:r>
        <w:rPr>
          <w:rFonts w:cs="Arial"/>
          <w:sz w:val="22"/>
          <w:u w:val="single"/>
          <w:lang w:val="es-ES_tradnl"/>
        </w:rPr>
        <w:t>1</w:t>
      </w:r>
      <w:r w:rsidR="0002568D">
        <w:rPr>
          <w:rFonts w:cs="Arial"/>
          <w:sz w:val="22"/>
          <w:u w:val="single"/>
          <w:lang w:val="es-ES_tradnl"/>
        </w:rPr>
        <w:t>7</w:t>
      </w:r>
      <w:r>
        <w:rPr>
          <w:rFonts w:cs="Arial"/>
          <w:sz w:val="22"/>
          <w:lang w:val="es-ES_tradnl"/>
        </w:rPr>
        <w:t xml:space="preserve"> Se conoce el oficio GG-IN11-1</w:t>
      </w:r>
      <w:r w:rsidR="00D84DE9">
        <w:rPr>
          <w:rFonts w:cs="Arial"/>
          <w:sz w:val="22"/>
          <w:lang w:val="es-ES_tradnl"/>
        </w:rPr>
        <w:t>307</w:t>
      </w:r>
      <w:r>
        <w:rPr>
          <w:rFonts w:cs="Arial"/>
          <w:sz w:val="22"/>
          <w:lang w:val="es-ES_tradnl"/>
        </w:rPr>
        <w:t>-2019</w:t>
      </w:r>
      <w:r w:rsidR="00D84DE9">
        <w:rPr>
          <w:rFonts w:cs="Arial"/>
          <w:sz w:val="22"/>
          <w:lang w:val="es-ES_tradnl"/>
        </w:rPr>
        <w:t xml:space="preserve"> del 13 de diciembre de 2019</w:t>
      </w:r>
      <w:r>
        <w:rPr>
          <w:rFonts w:cs="Arial"/>
          <w:sz w:val="22"/>
          <w:lang w:val="es-ES_tradnl"/>
        </w:rPr>
        <w:t xml:space="preserve">, mediante el cual, la Gerencia General </w:t>
      </w:r>
      <w:r w:rsidR="00D84DE9">
        <w:rPr>
          <w:rFonts w:cs="Arial"/>
          <w:sz w:val="22"/>
          <w:lang w:val="es-ES_tradnl"/>
        </w:rPr>
        <w:t xml:space="preserve">somete a la consideración de este Órgano Colegiado, </w:t>
      </w:r>
      <w:r>
        <w:rPr>
          <w:rFonts w:cs="Arial"/>
          <w:sz w:val="22"/>
          <w:lang w:val="es-ES_tradnl"/>
        </w:rPr>
        <w:t>el reporte de cumplimiento del cronograma de informes para la Junta Directiva del Sistema de Información Gerencial</w:t>
      </w:r>
      <w:r w:rsidR="00D84DE9">
        <w:rPr>
          <w:rFonts w:cs="Arial"/>
          <w:sz w:val="22"/>
          <w:lang w:val="es-ES_tradnl"/>
        </w:rPr>
        <w:t>, con corte al mes de noviembre de 2019</w:t>
      </w:r>
      <w:r>
        <w:rPr>
          <w:rFonts w:cs="Arial"/>
          <w:sz w:val="22"/>
          <w:lang w:val="es-ES_tradnl"/>
        </w:rPr>
        <w:t>. Sobre el particular, la Junta Directiva da por conocida dicha nota.</w:t>
      </w:r>
    </w:p>
    <w:p w14:paraId="12D1F369"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1B73AE4E" w14:textId="77777777" w:rsidR="009D03FE" w:rsidRDefault="009D03FE" w:rsidP="002D0146">
      <w:pPr>
        <w:spacing w:line="360" w:lineRule="auto"/>
        <w:jc w:val="both"/>
        <w:rPr>
          <w:rFonts w:cs="Arial"/>
          <w:b/>
          <w:bCs/>
          <w:sz w:val="22"/>
          <w:szCs w:val="22"/>
          <w:u w:val="single"/>
          <w:lang w:val="es-ES_tradnl"/>
        </w:rPr>
      </w:pPr>
    </w:p>
    <w:p w14:paraId="3FF2B1CA" w14:textId="4F124F2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01101D" w:rsidRPr="0001101D">
        <w:rPr>
          <w:rFonts w:cs="Arial"/>
          <w:b/>
          <w:bCs/>
          <w:sz w:val="22"/>
          <w:u w:val="single"/>
        </w:rPr>
        <w:t xml:space="preserve">Copia de oficio enviado por la </w:t>
      </w:r>
      <w:r w:rsidR="0001101D" w:rsidRPr="0001101D">
        <w:rPr>
          <w:rFonts w:cs="Arial"/>
          <w:b/>
          <w:bCs/>
          <w:sz w:val="22"/>
          <w:u w:val="single"/>
          <w:lang w:val="es-ES_tradnl"/>
        </w:rPr>
        <w:t xml:space="preserve">Gerencia General a la Contraloría General de la República, remitiendo observaciones al </w:t>
      </w:r>
      <w:r w:rsidR="0001101D" w:rsidRPr="0001101D">
        <w:rPr>
          <w:rFonts w:cs="Arial"/>
          <w:b/>
          <w:bCs/>
          <w:sz w:val="22"/>
          <w:u w:val="single"/>
          <w:lang w:val="es-CR"/>
        </w:rPr>
        <w:t>borrador del informe sobre la calidad de la información de bonos de vivienda, contenida en el sistema automatizado del BANHVI</w:t>
      </w:r>
    </w:p>
    <w:p w14:paraId="5C9B68D9" w14:textId="77777777" w:rsidR="009D03FE" w:rsidRDefault="009D03FE" w:rsidP="009D03FE">
      <w:pPr>
        <w:spacing w:line="360" w:lineRule="auto"/>
        <w:jc w:val="both"/>
        <w:rPr>
          <w:rFonts w:cs="Arial"/>
          <w:sz w:val="22"/>
          <w:szCs w:val="22"/>
        </w:rPr>
      </w:pPr>
    </w:p>
    <w:p w14:paraId="288D50CB" w14:textId="15948DFA" w:rsidR="00AE518D" w:rsidRDefault="009D03FE" w:rsidP="00C27EF8">
      <w:pPr>
        <w:spacing w:line="360" w:lineRule="auto"/>
        <w:jc w:val="both"/>
        <w:rPr>
          <w:rFonts w:cs="Arial"/>
          <w:sz w:val="22"/>
        </w:rPr>
      </w:pPr>
      <w:r w:rsidRPr="0039311E">
        <w:rPr>
          <w:rFonts w:cs="Arial"/>
          <w:sz w:val="22"/>
          <w:u w:val="single"/>
          <w:lang w:val="es-ES_tradnl"/>
        </w:rPr>
        <w:t xml:space="preserve">Minuto </w:t>
      </w:r>
      <w:r w:rsidR="0002568D">
        <w:rPr>
          <w:rFonts w:cs="Arial"/>
          <w:sz w:val="22"/>
          <w:u w:val="single"/>
          <w:lang w:val="es-ES_tradnl"/>
        </w:rPr>
        <w:t>203</w:t>
      </w:r>
      <w:r w:rsidRPr="0039311E">
        <w:rPr>
          <w:rFonts w:cs="Arial"/>
          <w:sz w:val="22"/>
          <w:u w:val="single"/>
          <w:lang w:val="es-ES_tradnl"/>
        </w:rPr>
        <w:t>:</w:t>
      </w:r>
      <w:r w:rsidR="0002568D">
        <w:rPr>
          <w:rFonts w:cs="Arial"/>
          <w:sz w:val="22"/>
          <w:u w:val="single"/>
          <w:lang w:val="es-ES_tradnl"/>
        </w:rPr>
        <w:t>25</w:t>
      </w:r>
      <w:r>
        <w:rPr>
          <w:rFonts w:cs="Arial"/>
          <w:sz w:val="22"/>
          <w:lang w:val="es-ES_tradnl"/>
        </w:rPr>
        <w:t xml:space="preserve"> Se conoce </w:t>
      </w:r>
      <w:r w:rsidR="00AE518D">
        <w:rPr>
          <w:rFonts w:cs="Arial"/>
          <w:sz w:val="22"/>
          <w:lang w:val="es-ES_tradnl"/>
        </w:rPr>
        <w:t>copia de</w:t>
      </w:r>
      <w:r>
        <w:rPr>
          <w:rFonts w:cs="Arial"/>
          <w:sz w:val="22"/>
          <w:lang w:val="es-ES_tradnl"/>
        </w:rPr>
        <w:t xml:space="preserve">l oficio </w:t>
      </w:r>
      <w:r w:rsidR="00AE518D">
        <w:rPr>
          <w:rFonts w:cs="Arial"/>
          <w:sz w:val="22"/>
          <w:lang w:val="es-ES_tradnl"/>
        </w:rPr>
        <w:t xml:space="preserve">GG-OF-1311-2019 del 13 de diciembre de 2019, mediante el cual, la </w:t>
      </w:r>
      <w:r w:rsidR="00AE518D" w:rsidRPr="00AE518D">
        <w:rPr>
          <w:rFonts w:cs="Arial"/>
          <w:sz w:val="22"/>
          <w:lang w:val="es-ES_tradnl"/>
        </w:rPr>
        <w:t>Gerencia General</w:t>
      </w:r>
      <w:r w:rsidR="00AE518D">
        <w:rPr>
          <w:rFonts w:cs="Arial"/>
          <w:sz w:val="22"/>
          <w:lang w:val="es-ES_tradnl"/>
        </w:rPr>
        <w:t xml:space="preserve"> remite a la Contraloría General de la República, observaciones con respecto al </w:t>
      </w:r>
      <w:r w:rsidR="00AE518D" w:rsidRPr="00AE518D">
        <w:rPr>
          <w:rFonts w:cs="Arial"/>
          <w:sz w:val="22"/>
        </w:rPr>
        <w:t>borrador del informe sobre la calidad de la información de bonos de vivienda, contenida en el sistema automatizado del BANHVI</w:t>
      </w:r>
      <w:r w:rsidR="00AE518D">
        <w:rPr>
          <w:rFonts w:cs="Arial"/>
          <w:sz w:val="22"/>
        </w:rPr>
        <w:t>.</w:t>
      </w:r>
    </w:p>
    <w:p w14:paraId="7F17665D" w14:textId="3FBF06FB" w:rsidR="00AE518D" w:rsidRDefault="00AE518D" w:rsidP="00C27EF8">
      <w:pPr>
        <w:spacing w:line="360" w:lineRule="auto"/>
        <w:jc w:val="both"/>
        <w:rPr>
          <w:rFonts w:cs="Arial"/>
          <w:sz w:val="22"/>
        </w:rPr>
      </w:pPr>
    </w:p>
    <w:p w14:paraId="1E7B9524" w14:textId="63586D8A" w:rsidR="00AE518D" w:rsidRDefault="00AE518D" w:rsidP="00C27EF8">
      <w:pPr>
        <w:spacing w:line="360" w:lineRule="auto"/>
        <w:jc w:val="both"/>
        <w:rPr>
          <w:rFonts w:cs="Arial"/>
          <w:sz w:val="22"/>
          <w:lang w:val="es-ES_tradnl"/>
        </w:rPr>
      </w:pPr>
      <w:r>
        <w:rPr>
          <w:rFonts w:cs="Arial"/>
          <w:sz w:val="22"/>
        </w:rPr>
        <w:t xml:space="preserve">Al respecto, la </w:t>
      </w:r>
      <w:r w:rsidRPr="00AE518D">
        <w:rPr>
          <w:rFonts w:cs="Arial"/>
          <w:sz w:val="22"/>
          <w:lang w:val="es-ES_tradnl"/>
        </w:rPr>
        <w:t>Junta Directiva</w:t>
      </w:r>
      <w:r>
        <w:rPr>
          <w:rFonts w:cs="Arial"/>
          <w:sz w:val="22"/>
          <w:lang w:val="es-ES_tradnl"/>
        </w:rPr>
        <w:t xml:space="preserve"> da por conocida dicha nota.</w:t>
      </w:r>
    </w:p>
    <w:p w14:paraId="0D968760"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62D42A31" w14:textId="77777777" w:rsidR="004755F8" w:rsidRPr="00AB2826" w:rsidRDefault="004755F8" w:rsidP="002D0146">
      <w:pPr>
        <w:spacing w:line="360" w:lineRule="auto"/>
        <w:jc w:val="both"/>
        <w:rPr>
          <w:rFonts w:cs="Arial"/>
          <w:color w:val="000000"/>
          <w:sz w:val="22"/>
          <w:szCs w:val="22"/>
        </w:rPr>
      </w:pPr>
    </w:p>
    <w:p w14:paraId="00637C1C" w14:textId="6BB6A83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01101D" w:rsidRPr="0001101D">
        <w:rPr>
          <w:rFonts w:cs="Arial"/>
          <w:b/>
          <w:bCs/>
          <w:sz w:val="22"/>
          <w:u w:val="single"/>
        </w:rPr>
        <w:t xml:space="preserve">Copia de oficio enviado por la </w:t>
      </w:r>
      <w:r w:rsidR="0001101D" w:rsidRPr="0001101D">
        <w:rPr>
          <w:rFonts w:cs="Arial"/>
          <w:b/>
          <w:bCs/>
          <w:sz w:val="22"/>
          <w:u w:val="single"/>
          <w:lang w:val="es-ES_tradnl"/>
        </w:rPr>
        <w:t xml:space="preserve">Gerencia General a la SUGEF, remitiendo </w:t>
      </w:r>
      <w:r w:rsidR="0001101D" w:rsidRPr="0001101D">
        <w:rPr>
          <w:rFonts w:cs="Arial"/>
          <w:b/>
          <w:bCs/>
          <w:sz w:val="22"/>
          <w:u w:val="single"/>
          <w:lang w:val="es-CR"/>
        </w:rPr>
        <w:t xml:space="preserve">el informe de avance trimestral, sobre la ejecución del plan de acción, relacionado con las </w:t>
      </w:r>
      <w:r w:rsidR="0001101D" w:rsidRPr="0001101D">
        <w:rPr>
          <w:rFonts w:cs="Arial"/>
          <w:b/>
          <w:bCs/>
          <w:sz w:val="22"/>
          <w:u w:val="single"/>
          <w:lang w:val="es-CR"/>
        </w:rPr>
        <w:lastRenderedPageBreak/>
        <w:t>observaciones señaladas en el estudio de gestión de riesgos sobre el FOSUVI y el FONAVI</w:t>
      </w:r>
    </w:p>
    <w:p w14:paraId="039CFDA4" w14:textId="77777777" w:rsidR="009D03FE" w:rsidRDefault="009D03FE" w:rsidP="009D03FE">
      <w:pPr>
        <w:spacing w:line="360" w:lineRule="auto"/>
        <w:jc w:val="both"/>
        <w:rPr>
          <w:rFonts w:cs="Arial"/>
          <w:sz w:val="22"/>
          <w:szCs w:val="22"/>
        </w:rPr>
      </w:pPr>
    </w:p>
    <w:p w14:paraId="7AEF7981" w14:textId="10FC8C55" w:rsidR="004F5635" w:rsidRDefault="004F5635" w:rsidP="004F5635">
      <w:pPr>
        <w:spacing w:line="360" w:lineRule="auto"/>
        <w:jc w:val="both"/>
        <w:rPr>
          <w:rFonts w:cs="Arial"/>
          <w:sz w:val="22"/>
          <w:lang w:val="es-ES_tradnl"/>
        </w:rPr>
      </w:pPr>
      <w:r w:rsidRPr="0039311E">
        <w:rPr>
          <w:rFonts w:cs="Arial"/>
          <w:sz w:val="22"/>
          <w:u w:val="single"/>
          <w:lang w:val="es-ES_tradnl"/>
        </w:rPr>
        <w:t xml:space="preserve">Minuto </w:t>
      </w:r>
      <w:r w:rsidR="0002568D">
        <w:rPr>
          <w:rFonts w:cs="Arial"/>
          <w:sz w:val="22"/>
          <w:u w:val="single"/>
          <w:lang w:val="es-ES_tradnl"/>
        </w:rPr>
        <w:t>203</w:t>
      </w:r>
      <w:r w:rsidRPr="0039311E">
        <w:rPr>
          <w:rFonts w:cs="Arial"/>
          <w:sz w:val="22"/>
          <w:u w:val="single"/>
          <w:lang w:val="es-ES_tradnl"/>
        </w:rPr>
        <w:t>:</w:t>
      </w:r>
      <w:r w:rsidR="0002568D">
        <w:rPr>
          <w:rFonts w:cs="Arial"/>
          <w:sz w:val="22"/>
          <w:u w:val="single"/>
          <w:lang w:val="es-ES_tradnl"/>
        </w:rPr>
        <w:t>40</w:t>
      </w:r>
      <w:r>
        <w:rPr>
          <w:rFonts w:cs="Arial"/>
          <w:sz w:val="22"/>
          <w:lang w:val="es-ES_tradnl"/>
        </w:rPr>
        <w:t xml:space="preserve"> Se conoce el oficio GG-OF-1</w:t>
      </w:r>
      <w:r w:rsidR="00D84DE9">
        <w:rPr>
          <w:rFonts w:cs="Arial"/>
          <w:sz w:val="22"/>
          <w:lang w:val="es-ES_tradnl"/>
        </w:rPr>
        <w:t>306</w:t>
      </w:r>
      <w:r>
        <w:rPr>
          <w:rFonts w:cs="Arial"/>
          <w:sz w:val="22"/>
          <w:lang w:val="es-ES_tradnl"/>
        </w:rPr>
        <w:t xml:space="preserve">-2019 del </w:t>
      </w:r>
      <w:r w:rsidR="00D84DE9">
        <w:rPr>
          <w:rFonts w:cs="Arial"/>
          <w:sz w:val="22"/>
          <w:lang w:val="es-ES_tradnl"/>
        </w:rPr>
        <w:t>13</w:t>
      </w:r>
      <w:r>
        <w:rPr>
          <w:rFonts w:cs="Arial"/>
          <w:sz w:val="22"/>
          <w:lang w:val="es-ES_tradnl"/>
        </w:rPr>
        <w:t xml:space="preserve"> de </w:t>
      </w:r>
      <w:r w:rsidR="00D84DE9">
        <w:rPr>
          <w:rFonts w:cs="Arial"/>
          <w:sz w:val="22"/>
          <w:lang w:val="es-ES_tradnl"/>
        </w:rPr>
        <w:t>diciembre</w:t>
      </w:r>
      <w:r>
        <w:rPr>
          <w:rFonts w:cs="Arial"/>
          <w:sz w:val="22"/>
          <w:lang w:val="es-ES_tradnl"/>
        </w:rPr>
        <w:t xml:space="preserve"> de 2019, mediante el cual, la Gerencia General remite al licenciado Bernardo Alfar</w:t>
      </w:r>
      <w:r w:rsidR="00AE518D">
        <w:rPr>
          <w:rFonts w:cs="Arial"/>
          <w:sz w:val="22"/>
          <w:lang w:val="es-ES_tradnl"/>
        </w:rPr>
        <w:t>o</w:t>
      </w:r>
      <w:r>
        <w:rPr>
          <w:rFonts w:cs="Arial"/>
          <w:sz w:val="22"/>
          <w:lang w:val="es-ES_tradnl"/>
        </w:rPr>
        <w:t xml:space="preserve"> Araya, Superintendente General de Entidades </w:t>
      </w:r>
      <w:r w:rsidRPr="00BB298B">
        <w:rPr>
          <w:rFonts w:cs="Arial"/>
          <w:sz w:val="22"/>
          <w:szCs w:val="22"/>
          <w:lang w:val="es-ES_tradnl"/>
        </w:rPr>
        <w:t>Financieras</w:t>
      </w:r>
      <w:r>
        <w:rPr>
          <w:rFonts w:cs="Arial"/>
          <w:sz w:val="22"/>
          <w:szCs w:val="22"/>
          <w:lang w:val="es-ES_tradnl"/>
        </w:rPr>
        <w:t>,</w:t>
      </w:r>
      <w:r w:rsidRPr="00BB298B">
        <w:rPr>
          <w:rFonts w:cs="Arial"/>
          <w:sz w:val="22"/>
          <w:szCs w:val="22"/>
          <w:lang w:val="es-ES_tradnl"/>
        </w:rPr>
        <w:t xml:space="preserve"> </w:t>
      </w:r>
      <w:r w:rsidRPr="00BB298B">
        <w:rPr>
          <w:color w:val="000000"/>
          <w:sz w:val="22"/>
          <w:szCs w:val="22"/>
        </w:rPr>
        <w:t xml:space="preserve">el </w:t>
      </w:r>
      <w:r w:rsidR="00D84DE9">
        <w:rPr>
          <w:color w:val="000000"/>
          <w:sz w:val="22"/>
          <w:szCs w:val="22"/>
        </w:rPr>
        <w:t>quinto</w:t>
      </w:r>
      <w:r w:rsidRPr="005A7B9F">
        <w:rPr>
          <w:color w:val="000000"/>
          <w:sz w:val="22"/>
          <w:szCs w:val="22"/>
        </w:rPr>
        <w:t xml:space="preserve"> informe de avance trimestral, </w:t>
      </w:r>
      <w:r w:rsidR="00D84DE9">
        <w:rPr>
          <w:color w:val="000000"/>
          <w:sz w:val="22"/>
          <w:szCs w:val="22"/>
        </w:rPr>
        <w:t xml:space="preserve">con corte a noviembre de 2019, </w:t>
      </w:r>
      <w:r w:rsidRPr="005A7B9F">
        <w:rPr>
          <w:color w:val="000000"/>
          <w:sz w:val="22"/>
          <w:szCs w:val="22"/>
        </w:rPr>
        <w:t xml:space="preserve">sobre la ejecución de las acciones del plan para subsanar las debilidades comunicadas por </w:t>
      </w:r>
      <w:r w:rsidR="00D84DE9">
        <w:rPr>
          <w:color w:val="000000"/>
          <w:sz w:val="22"/>
          <w:szCs w:val="22"/>
        </w:rPr>
        <w:t>esa Superintendencia, en el oficio SGF-2419-2018</w:t>
      </w:r>
      <w:r>
        <w:rPr>
          <w:color w:val="000000"/>
          <w:sz w:val="22"/>
          <w:szCs w:val="22"/>
        </w:rPr>
        <w:t>. Al respecto, la Junta Directiva da por conocida dicha nota.</w:t>
      </w:r>
    </w:p>
    <w:p w14:paraId="25323BBF"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132AC696" w14:textId="77777777" w:rsidR="00277DD3" w:rsidRPr="00AB2826" w:rsidRDefault="00277DD3" w:rsidP="00277DD3">
      <w:pPr>
        <w:spacing w:line="360" w:lineRule="auto"/>
        <w:jc w:val="both"/>
        <w:rPr>
          <w:rFonts w:cs="Arial"/>
          <w:sz w:val="22"/>
          <w:szCs w:val="22"/>
        </w:rPr>
      </w:pPr>
    </w:p>
    <w:p w14:paraId="6B1124CF" w14:textId="2C37FB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01101D" w:rsidRPr="0001101D">
        <w:rPr>
          <w:rFonts w:cs="Arial"/>
          <w:b/>
          <w:bCs/>
          <w:sz w:val="22"/>
          <w:u w:val="single"/>
          <w:lang w:val="es-CR"/>
        </w:rPr>
        <w:t xml:space="preserve">Oficio de la </w:t>
      </w:r>
      <w:r w:rsidR="0001101D" w:rsidRPr="0001101D">
        <w:rPr>
          <w:rFonts w:cs="Arial"/>
          <w:b/>
          <w:bCs/>
          <w:sz w:val="22"/>
          <w:u w:val="single"/>
          <w:lang w:val="es-ES_tradnl"/>
        </w:rPr>
        <w:t>Contraloría General de la República, comunicando</w:t>
      </w:r>
      <w:r w:rsidR="0001101D" w:rsidRPr="0001101D">
        <w:rPr>
          <w:rFonts w:cs="Arial"/>
          <w:b/>
          <w:bCs/>
          <w:sz w:val="22"/>
          <w:u w:val="single"/>
          <w:lang w:val="es-CR"/>
        </w:rPr>
        <w:t xml:space="preserve"> la aprobación parcial del presupuesto inicial para el año 2020</w:t>
      </w:r>
    </w:p>
    <w:p w14:paraId="0BBDFB82" w14:textId="77777777" w:rsidR="009D03FE" w:rsidRDefault="009D03FE" w:rsidP="009D03FE">
      <w:pPr>
        <w:spacing w:line="360" w:lineRule="auto"/>
        <w:jc w:val="both"/>
        <w:rPr>
          <w:rFonts w:cs="Arial"/>
          <w:sz w:val="22"/>
          <w:szCs w:val="22"/>
        </w:rPr>
      </w:pPr>
    </w:p>
    <w:p w14:paraId="5FD88737" w14:textId="37C004D5" w:rsidR="00773D9C" w:rsidRDefault="009D03FE" w:rsidP="00773D9C">
      <w:pPr>
        <w:spacing w:line="360" w:lineRule="auto"/>
        <w:jc w:val="both"/>
        <w:rPr>
          <w:color w:val="000000"/>
          <w:sz w:val="22"/>
          <w:szCs w:val="22"/>
        </w:rPr>
      </w:pPr>
      <w:r w:rsidRPr="0039311E">
        <w:rPr>
          <w:rFonts w:cs="Arial"/>
          <w:sz w:val="22"/>
          <w:u w:val="single"/>
          <w:lang w:val="es-ES_tradnl"/>
        </w:rPr>
        <w:t xml:space="preserve">Minuto </w:t>
      </w:r>
      <w:r w:rsidR="0002568D">
        <w:rPr>
          <w:rFonts w:cs="Arial"/>
          <w:sz w:val="22"/>
          <w:u w:val="single"/>
          <w:lang w:val="es-ES_tradnl"/>
        </w:rPr>
        <w:t>203</w:t>
      </w:r>
      <w:r w:rsidRPr="0039311E">
        <w:rPr>
          <w:rFonts w:cs="Arial"/>
          <w:sz w:val="22"/>
          <w:u w:val="single"/>
          <w:lang w:val="es-ES_tradnl"/>
        </w:rPr>
        <w:t>:</w:t>
      </w:r>
      <w:r w:rsidR="0002568D">
        <w:rPr>
          <w:rFonts w:cs="Arial"/>
          <w:sz w:val="22"/>
          <w:u w:val="single"/>
          <w:lang w:val="es-ES_tradnl"/>
        </w:rPr>
        <w:t>44</w:t>
      </w:r>
      <w:r>
        <w:rPr>
          <w:rFonts w:cs="Arial"/>
          <w:sz w:val="22"/>
          <w:lang w:val="es-ES_tradnl"/>
        </w:rPr>
        <w:t xml:space="preserve"> Se </w:t>
      </w:r>
      <w:r w:rsidR="00773D9C">
        <w:rPr>
          <w:rFonts w:cs="Arial"/>
          <w:color w:val="000000"/>
          <w:sz w:val="22"/>
          <w:szCs w:val="22"/>
        </w:rPr>
        <w:t>conoce el oficio N° 1</w:t>
      </w:r>
      <w:r w:rsidR="00750D34">
        <w:rPr>
          <w:rFonts w:cs="Arial"/>
          <w:color w:val="000000"/>
          <w:sz w:val="22"/>
          <w:szCs w:val="22"/>
        </w:rPr>
        <w:t>9892</w:t>
      </w:r>
      <w:r w:rsidR="00773D9C">
        <w:rPr>
          <w:rFonts w:cs="Arial"/>
          <w:color w:val="000000"/>
          <w:sz w:val="22"/>
          <w:szCs w:val="22"/>
        </w:rPr>
        <w:t xml:space="preserve"> (DFOE-EC-0</w:t>
      </w:r>
      <w:r w:rsidR="00750D34">
        <w:rPr>
          <w:rFonts w:cs="Arial"/>
          <w:color w:val="000000"/>
          <w:sz w:val="22"/>
          <w:szCs w:val="22"/>
        </w:rPr>
        <w:t>972</w:t>
      </w:r>
      <w:r w:rsidR="00773D9C">
        <w:rPr>
          <w:rFonts w:cs="Arial"/>
          <w:color w:val="000000"/>
          <w:sz w:val="22"/>
          <w:szCs w:val="22"/>
        </w:rPr>
        <w:t xml:space="preserve">) del </w:t>
      </w:r>
      <w:r w:rsidR="00750D34">
        <w:rPr>
          <w:rFonts w:cs="Arial"/>
          <w:color w:val="000000"/>
          <w:sz w:val="22"/>
          <w:szCs w:val="22"/>
        </w:rPr>
        <w:t>16</w:t>
      </w:r>
      <w:r w:rsidR="00773D9C">
        <w:rPr>
          <w:rFonts w:cs="Arial"/>
          <w:color w:val="000000"/>
          <w:sz w:val="22"/>
          <w:szCs w:val="22"/>
        </w:rPr>
        <w:t xml:space="preserve"> de </w:t>
      </w:r>
      <w:r w:rsidR="00750D34">
        <w:rPr>
          <w:rFonts w:cs="Arial"/>
          <w:color w:val="000000"/>
          <w:sz w:val="22"/>
          <w:szCs w:val="22"/>
        </w:rPr>
        <w:t>diciembre</w:t>
      </w:r>
      <w:r w:rsidR="00773D9C">
        <w:rPr>
          <w:rFonts w:cs="Arial"/>
          <w:color w:val="000000"/>
          <w:sz w:val="22"/>
          <w:szCs w:val="22"/>
        </w:rPr>
        <w:t xml:space="preserve"> de 201</w:t>
      </w:r>
      <w:r w:rsidR="00750D34">
        <w:rPr>
          <w:rFonts w:cs="Arial"/>
          <w:color w:val="000000"/>
          <w:sz w:val="22"/>
          <w:szCs w:val="22"/>
        </w:rPr>
        <w:t>9</w:t>
      </w:r>
      <w:r w:rsidR="00773D9C">
        <w:rPr>
          <w:rFonts w:cs="Arial"/>
          <w:color w:val="000000"/>
          <w:sz w:val="22"/>
          <w:szCs w:val="22"/>
        </w:rPr>
        <w:t xml:space="preserve">, mediante el cual, </w:t>
      </w:r>
      <w:r w:rsidR="00750D34">
        <w:rPr>
          <w:rFonts w:cs="Arial"/>
          <w:color w:val="000000"/>
          <w:sz w:val="22"/>
          <w:szCs w:val="22"/>
        </w:rPr>
        <w:t>la</w:t>
      </w:r>
      <w:r w:rsidR="00773D9C">
        <w:rPr>
          <w:rFonts w:cs="Arial"/>
          <w:color w:val="000000"/>
          <w:sz w:val="22"/>
          <w:szCs w:val="22"/>
        </w:rPr>
        <w:t xml:space="preserve"> licenciad</w:t>
      </w:r>
      <w:r w:rsidR="00750D34">
        <w:rPr>
          <w:rFonts w:cs="Arial"/>
          <w:color w:val="000000"/>
          <w:sz w:val="22"/>
          <w:szCs w:val="22"/>
        </w:rPr>
        <w:t>a</w:t>
      </w:r>
      <w:r w:rsidR="00773D9C">
        <w:rPr>
          <w:rFonts w:cs="Arial"/>
          <w:color w:val="000000"/>
          <w:sz w:val="22"/>
          <w:szCs w:val="22"/>
        </w:rPr>
        <w:t xml:space="preserve"> </w:t>
      </w:r>
      <w:r w:rsidR="00750D34">
        <w:rPr>
          <w:rFonts w:cs="Arial"/>
          <w:color w:val="000000"/>
          <w:sz w:val="22"/>
          <w:szCs w:val="22"/>
        </w:rPr>
        <w:t>Jessica Víquez Alvarado</w:t>
      </w:r>
      <w:r w:rsidR="00773D9C">
        <w:rPr>
          <w:rFonts w:cs="Arial"/>
          <w:color w:val="000000"/>
          <w:sz w:val="22"/>
          <w:szCs w:val="22"/>
        </w:rPr>
        <w:t xml:space="preserve">, Gerente del Área de Fiscalización de Servicios Económicos de la </w:t>
      </w:r>
      <w:r w:rsidR="00773D9C" w:rsidRPr="00163087">
        <w:rPr>
          <w:rFonts w:cs="Arial"/>
          <w:color w:val="000000"/>
          <w:sz w:val="22"/>
          <w:szCs w:val="22"/>
          <w:lang w:val="es-CR"/>
        </w:rPr>
        <w:t>Contraloría General de la República</w:t>
      </w:r>
      <w:r w:rsidR="00773D9C">
        <w:rPr>
          <w:rFonts w:cs="Arial"/>
          <w:color w:val="000000"/>
          <w:sz w:val="22"/>
          <w:szCs w:val="22"/>
          <w:lang w:val="es-CR"/>
        </w:rPr>
        <w:t>, comunica</w:t>
      </w:r>
      <w:r w:rsidR="00773D9C">
        <w:rPr>
          <w:rFonts w:cs="Arial"/>
          <w:sz w:val="22"/>
          <w:szCs w:val="22"/>
        </w:rPr>
        <w:t xml:space="preserve"> </w:t>
      </w:r>
      <w:r w:rsidR="00773D9C">
        <w:rPr>
          <w:color w:val="000000"/>
          <w:sz w:val="22"/>
          <w:szCs w:val="22"/>
        </w:rPr>
        <w:t>la aprobación parcial del presupuesto inicial del BANHVI para el año 20</w:t>
      </w:r>
      <w:r w:rsidR="00750D34">
        <w:rPr>
          <w:color w:val="000000"/>
          <w:sz w:val="22"/>
          <w:szCs w:val="22"/>
        </w:rPr>
        <w:t>20</w:t>
      </w:r>
      <w:r w:rsidR="00773D9C">
        <w:rPr>
          <w:color w:val="000000"/>
          <w:sz w:val="22"/>
          <w:szCs w:val="22"/>
        </w:rPr>
        <w:t>.</w:t>
      </w:r>
    </w:p>
    <w:p w14:paraId="10C8261F" w14:textId="77777777" w:rsidR="00773D9C" w:rsidRDefault="00773D9C" w:rsidP="00773D9C">
      <w:pPr>
        <w:spacing w:line="360" w:lineRule="auto"/>
        <w:jc w:val="both"/>
        <w:rPr>
          <w:color w:val="000000"/>
          <w:sz w:val="22"/>
          <w:szCs w:val="22"/>
        </w:rPr>
      </w:pPr>
    </w:p>
    <w:p w14:paraId="7DF17F5E" w14:textId="7BF90630" w:rsidR="009D03FE" w:rsidRDefault="00773D9C" w:rsidP="009D03FE">
      <w:pPr>
        <w:spacing w:line="360" w:lineRule="auto"/>
        <w:jc w:val="both"/>
        <w:rPr>
          <w:rFonts w:cs="Arial"/>
          <w:sz w:val="22"/>
          <w:szCs w:val="22"/>
        </w:rPr>
      </w:pPr>
      <w:r>
        <w:rPr>
          <w:color w:val="000000"/>
          <w:sz w:val="22"/>
          <w:szCs w:val="22"/>
        </w:rPr>
        <w:t xml:space="preserve">Sobre el particular, la Junta Directiva toma el </w:t>
      </w:r>
      <w:r w:rsidR="009E103E" w:rsidRPr="00773D9C">
        <w:rPr>
          <w:rFonts w:cs="Arial"/>
          <w:b/>
          <w:bCs/>
          <w:sz w:val="22"/>
          <w:lang w:val="es-ES_tradnl"/>
        </w:rPr>
        <w:t>Acuerdo N° 10</w:t>
      </w:r>
      <w:r>
        <w:rPr>
          <w:color w:val="000000"/>
          <w:sz w:val="22"/>
          <w:szCs w:val="22"/>
        </w:rPr>
        <w:t xml:space="preserve"> </w:t>
      </w:r>
      <w:r w:rsidR="009E103E">
        <w:rPr>
          <w:color w:val="000000"/>
          <w:sz w:val="22"/>
          <w:szCs w:val="22"/>
        </w:rPr>
        <w:t>que se anexa a esta minuta.</w:t>
      </w:r>
    </w:p>
    <w:p w14:paraId="11AD543D" w14:textId="77777777" w:rsidR="00277DD3" w:rsidRDefault="009D03FE" w:rsidP="009D03FE">
      <w:pPr>
        <w:spacing w:line="360" w:lineRule="auto"/>
        <w:jc w:val="both"/>
        <w:rPr>
          <w:rFonts w:cs="Arial"/>
          <w:sz w:val="22"/>
          <w:szCs w:val="22"/>
        </w:rPr>
      </w:pPr>
      <w:r w:rsidRPr="00D14EAF">
        <w:rPr>
          <w:rFonts w:cs="Arial"/>
          <w:b/>
          <w:sz w:val="22"/>
        </w:rPr>
        <w:t>************</w:t>
      </w:r>
    </w:p>
    <w:p w14:paraId="41857530" w14:textId="77777777" w:rsidR="00277DD3" w:rsidRDefault="00277DD3" w:rsidP="00277DD3">
      <w:pPr>
        <w:spacing w:line="360" w:lineRule="auto"/>
        <w:jc w:val="both"/>
        <w:rPr>
          <w:rFonts w:cs="Arial"/>
          <w:sz w:val="22"/>
          <w:szCs w:val="22"/>
        </w:rPr>
      </w:pPr>
    </w:p>
    <w:p w14:paraId="37ED81CA" w14:textId="3D22124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01101D" w:rsidRPr="0001101D">
        <w:rPr>
          <w:rFonts w:cs="Arial"/>
          <w:b/>
          <w:bCs/>
          <w:sz w:val="22"/>
          <w:u w:val="single"/>
          <w:lang w:val="es-CR"/>
        </w:rPr>
        <w:t xml:space="preserve">Oficio de las empresas </w:t>
      </w:r>
      <w:proofErr w:type="spellStart"/>
      <w:r w:rsidR="0001101D" w:rsidRPr="0001101D">
        <w:rPr>
          <w:rFonts w:cs="Arial"/>
          <w:b/>
          <w:bCs/>
          <w:sz w:val="22"/>
          <w:u w:val="single"/>
          <w:lang w:val="es-CR"/>
        </w:rPr>
        <w:t>Axe</w:t>
      </w:r>
      <w:proofErr w:type="spellEnd"/>
      <w:r w:rsidR="0001101D" w:rsidRPr="0001101D">
        <w:rPr>
          <w:rFonts w:cs="Arial"/>
          <w:b/>
          <w:bCs/>
          <w:sz w:val="22"/>
          <w:u w:val="single"/>
          <w:lang w:val="es-CR"/>
        </w:rPr>
        <w:t xml:space="preserve"> Gold y </w:t>
      </w:r>
      <w:proofErr w:type="spellStart"/>
      <w:r w:rsidR="0001101D" w:rsidRPr="0001101D">
        <w:rPr>
          <w:rFonts w:cs="Arial"/>
          <w:b/>
          <w:bCs/>
          <w:sz w:val="22"/>
          <w:u w:val="single"/>
          <w:lang w:val="es-CR"/>
        </w:rPr>
        <w:t>Agroservicios</w:t>
      </w:r>
      <w:proofErr w:type="spellEnd"/>
      <w:r w:rsidR="0001101D" w:rsidRPr="0001101D">
        <w:rPr>
          <w:rFonts w:cs="Arial"/>
          <w:b/>
          <w:bCs/>
          <w:sz w:val="22"/>
          <w:u w:val="single"/>
          <w:lang w:val="es-CR"/>
        </w:rPr>
        <w:t xml:space="preserve"> Múltiples, informando que estarán otorgando créditos puente para financiar viviendas a familias de bajos recursos en la zona de Pococí</w:t>
      </w:r>
    </w:p>
    <w:p w14:paraId="2D98E392" w14:textId="77777777" w:rsidR="009D03FE" w:rsidRDefault="009D03FE" w:rsidP="009D03FE">
      <w:pPr>
        <w:spacing w:line="360" w:lineRule="auto"/>
        <w:jc w:val="both"/>
        <w:rPr>
          <w:rFonts w:cs="Arial"/>
          <w:sz w:val="22"/>
          <w:szCs w:val="22"/>
        </w:rPr>
      </w:pPr>
    </w:p>
    <w:p w14:paraId="5D5F32ED" w14:textId="5F9BFAC5"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2568D">
        <w:rPr>
          <w:rFonts w:cs="Arial"/>
          <w:sz w:val="22"/>
          <w:u w:val="single"/>
          <w:lang w:val="es-ES_tradnl"/>
        </w:rPr>
        <w:t>204</w:t>
      </w:r>
      <w:r w:rsidRPr="0039311E">
        <w:rPr>
          <w:rFonts w:cs="Arial"/>
          <w:sz w:val="22"/>
          <w:u w:val="single"/>
          <w:lang w:val="es-ES_tradnl"/>
        </w:rPr>
        <w:t>:</w:t>
      </w:r>
      <w:r w:rsidR="0002568D">
        <w:rPr>
          <w:rFonts w:cs="Arial"/>
          <w:sz w:val="22"/>
          <w:u w:val="single"/>
          <w:lang w:val="es-ES_tradnl"/>
        </w:rPr>
        <w:t>38</w:t>
      </w:r>
      <w:r>
        <w:rPr>
          <w:rFonts w:cs="Arial"/>
          <w:sz w:val="22"/>
          <w:lang w:val="es-ES_tradnl"/>
        </w:rPr>
        <w:t xml:space="preserve"> Se conoce oficio </w:t>
      </w:r>
      <w:r w:rsidR="00631F57">
        <w:rPr>
          <w:rFonts w:cs="Arial"/>
          <w:sz w:val="22"/>
          <w:lang w:val="es-ES_tradnl"/>
        </w:rPr>
        <w:t xml:space="preserve">del 19 de noviembre </w:t>
      </w:r>
      <w:r w:rsidR="0070654E">
        <w:rPr>
          <w:rFonts w:cs="Arial"/>
          <w:sz w:val="22"/>
          <w:lang w:val="es-ES_tradnl"/>
        </w:rPr>
        <w:t xml:space="preserve">de 2019, mediante el cual, el señor Ruperto Rojas Alvarado, representante de la Sociedad </w:t>
      </w:r>
      <w:proofErr w:type="spellStart"/>
      <w:r w:rsidR="0070654E">
        <w:rPr>
          <w:rFonts w:cs="Arial"/>
          <w:sz w:val="22"/>
          <w:lang w:val="es-ES_tradnl"/>
        </w:rPr>
        <w:t>Axe</w:t>
      </w:r>
      <w:proofErr w:type="spellEnd"/>
      <w:r w:rsidR="0070654E">
        <w:rPr>
          <w:rFonts w:cs="Arial"/>
          <w:sz w:val="22"/>
          <w:lang w:val="es-ES_tradnl"/>
        </w:rPr>
        <w:t xml:space="preserve"> Gold S.A. y la Sociedad </w:t>
      </w:r>
      <w:proofErr w:type="spellStart"/>
      <w:r w:rsidR="0070654E">
        <w:rPr>
          <w:rFonts w:cs="Arial"/>
          <w:sz w:val="22"/>
          <w:lang w:val="es-ES_tradnl"/>
        </w:rPr>
        <w:t>Agroservicios</w:t>
      </w:r>
      <w:proofErr w:type="spellEnd"/>
      <w:r w:rsidR="0070654E">
        <w:rPr>
          <w:rFonts w:cs="Arial"/>
          <w:sz w:val="22"/>
          <w:lang w:val="es-ES_tradnl"/>
        </w:rPr>
        <w:t xml:space="preserve"> Múltiples S.R.L., informa, en resumen, que dichas empresas estarán </w:t>
      </w:r>
      <w:r w:rsidR="0070654E" w:rsidRPr="0070654E">
        <w:rPr>
          <w:rFonts w:cs="Arial"/>
          <w:sz w:val="22"/>
          <w:lang w:val="es-CR"/>
        </w:rPr>
        <w:t>otorgando créditos puente a familias de bajos recursos en la zona de Pococí</w:t>
      </w:r>
      <w:r w:rsidR="0070654E">
        <w:rPr>
          <w:rFonts w:cs="Arial"/>
          <w:sz w:val="22"/>
          <w:lang w:val="es-CR"/>
        </w:rPr>
        <w:t xml:space="preserve">, con el fin de financiar la construcción de sus viviendas y que al finalizar el proceso constructivo, se </w:t>
      </w:r>
      <w:r w:rsidR="00380857">
        <w:rPr>
          <w:rFonts w:cs="Arial"/>
          <w:sz w:val="22"/>
          <w:lang w:val="es-CR"/>
        </w:rPr>
        <w:t xml:space="preserve">puedan </w:t>
      </w:r>
      <w:r w:rsidR="0070654E">
        <w:rPr>
          <w:rFonts w:cs="Arial"/>
          <w:sz w:val="22"/>
          <w:lang w:val="es-CR"/>
        </w:rPr>
        <w:t>postul</w:t>
      </w:r>
      <w:r w:rsidR="00380857">
        <w:rPr>
          <w:rFonts w:cs="Arial"/>
          <w:sz w:val="22"/>
          <w:lang w:val="es-CR"/>
        </w:rPr>
        <w:t>ar</w:t>
      </w:r>
      <w:r w:rsidR="0070654E">
        <w:rPr>
          <w:rFonts w:cs="Arial"/>
          <w:sz w:val="22"/>
          <w:lang w:val="es-CR"/>
        </w:rPr>
        <w:t xml:space="preserve"> a un bono y a un crédito complementario, a través de una entidad autorizada del </w:t>
      </w:r>
      <w:r w:rsidR="0070654E" w:rsidRPr="0070654E">
        <w:rPr>
          <w:rFonts w:cs="Arial"/>
          <w:sz w:val="22"/>
          <w:szCs w:val="22"/>
          <w:lang w:val="es-CR"/>
        </w:rPr>
        <w:t>Sistema Financiero Nacional para la Vivienda</w:t>
      </w:r>
      <w:r w:rsidR="0070654E">
        <w:rPr>
          <w:rFonts w:cs="Arial"/>
          <w:sz w:val="22"/>
          <w:lang w:val="es-CR"/>
        </w:rPr>
        <w:t>.</w:t>
      </w:r>
    </w:p>
    <w:p w14:paraId="2831949A" w14:textId="77777777" w:rsidR="009D03FE" w:rsidRDefault="009D03FE" w:rsidP="009D03FE">
      <w:pPr>
        <w:spacing w:line="360" w:lineRule="auto"/>
        <w:jc w:val="both"/>
        <w:rPr>
          <w:rFonts w:cs="Arial"/>
          <w:sz w:val="22"/>
          <w:szCs w:val="22"/>
        </w:rPr>
      </w:pPr>
    </w:p>
    <w:p w14:paraId="111E9E02" w14:textId="0BEE5A17" w:rsidR="009D03FE" w:rsidRDefault="00380857" w:rsidP="009D03FE">
      <w:pPr>
        <w:spacing w:line="360" w:lineRule="auto"/>
        <w:jc w:val="both"/>
        <w:rPr>
          <w:rFonts w:cs="Arial"/>
          <w:sz w:val="22"/>
          <w:lang w:val="es-ES_tradnl"/>
        </w:rPr>
      </w:pPr>
      <w:r>
        <w:rPr>
          <w:rFonts w:cs="Arial"/>
          <w:sz w:val="22"/>
          <w:lang w:val="es-ES_tradnl"/>
        </w:rPr>
        <w:lastRenderedPageBreak/>
        <w:t xml:space="preserve">Con base en el análisis que se realiza al respecto, la </w:t>
      </w:r>
      <w:r w:rsidRPr="00380857">
        <w:rPr>
          <w:rFonts w:cs="Arial"/>
          <w:sz w:val="22"/>
          <w:lang w:val="es-ES_tradnl"/>
        </w:rPr>
        <w:t>Junta Directiva</w:t>
      </w:r>
      <w:r>
        <w:rPr>
          <w:rFonts w:cs="Arial"/>
          <w:sz w:val="22"/>
          <w:lang w:val="es-ES_tradnl"/>
        </w:rPr>
        <w:t xml:space="preserve"> resuelve solicitar el criterio de la Administración con respecto a lo señalado por dichas empresas</w:t>
      </w:r>
      <w:r w:rsidR="00E465A9">
        <w:rPr>
          <w:rFonts w:cs="Arial"/>
          <w:sz w:val="22"/>
          <w:lang w:val="es-ES_tradnl"/>
        </w:rPr>
        <w:t xml:space="preserve"> y la recomendación correspondiente</w:t>
      </w:r>
      <w:r>
        <w:rPr>
          <w:rFonts w:cs="Arial"/>
          <w:sz w:val="22"/>
          <w:lang w:val="es-ES_tradnl"/>
        </w:rPr>
        <w:t xml:space="preserve">. Lo anterior, según se consigna en el </w:t>
      </w:r>
      <w:r w:rsidRPr="00380857">
        <w:rPr>
          <w:rFonts w:cs="Arial"/>
          <w:b/>
          <w:bCs/>
          <w:sz w:val="22"/>
          <w:lang w:val="es-ES_tradnl"/>
        </w:rPr>
        <w:t>Acuerdo N° 11</w:t>
      </w:r>
      <w:r>
        <w:rPr>
          <w:rFonts w:cs="Arial"/>
          <w:sz w:val="22"/>
          <w:lang w:val="es-ES_tradnl"/>
        </w:rPr>
        <w:t xml:space="preserve"> que se anexa a esta minuta.</w:t>
      </w:r>
    </w:p>
    <w:p w14:paraId="777F28C9" w14:textId="77777777" w:rsidR="00277DD3" w:rsidRDefault="009D03FE" w:rsidP="009D03FE">
      <w:pPr>
        <w:spacing w:line="360" w:lineRule="auto"/>
        <w:jc w:val="both"/>
        <w:rPr>
          <w:rFonts w:cs="Arial"/>
          <w:sz w:val="22"/>
          <w:szCs w:val="22"/>
        </w:rPr>
      </w:pPr>
      <w:r w:rsidRPr="00D14EAF">
        <w:rPr>
          <w:rFonts w:cs="Arial"/>
          <w:b/>
          <w:sz w:val="22"/>
        </w:rPr>
        <w:t>************</w:t>
      </w:r>
    </w:p>
    <w:p w14:paraId="644C8C19" w14:textId="77777777" w:rsidR="00E97960" w:rsidRDefault="00E97960" w:rsidP="00E97960">
      <w:pPr>
        <w:spacing w:line="360" w:lineRule="auto"/>
        <w:jc w:val="both"/>
        <w:rPr>
          <w:rFonts w:cs="Arial"/>
          <w:sz w:val="22"/>
          <w:szCs w:val="22"/>
        </w:rPr>
      </w:pPr>
    </w:p>
    <w:p w14:paraId="67A77645" w14:textId="3E017C46"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01101D" w:rsidRPr="0001101D">
        <w:rPr>
          <w:rFonts w:cs="Arial"/>
          <w:b/>
          <w:bCs/>
          <w:sz w:val="22"/>
          <w:u w:val="single"/>
          <w:lang w:val="es-CR"/>
        </w:rPr>
        <w:t xml:space="preserve">Oficio de la </w:t>
      </w:r>
      <w:r w:rsidR="0001101D" w:rsidRPr="0001101D">
        <w:rPr>
          <w:rFonts w:cs="Arial"/>
          <w:b/>
          <w:bCs/>
          <w:sz w:val="22"/>
          <w:u w:val="single"/>
          <w:lang w:val="es-ES_tradnl"/>
        </w:rPr>
        <w:t xml:space="preserve">Contraloría General de la República, remitiendo </w:t>
      </w:r>
      <w:r w:rsidR="0001101D" w:rsidRPr="0001101D">
        <w:rPr>
          <w:rFonts w:cs="Arial"/>
          <w:b/>
          <w:bCs/>
          <w:sz w:val="22"/>
          <w:u w:val="single"/>
          <w:lang w:val="es-CR"/>
        </w:rPr>
        <w:t>informe sobre la administración y venta de bienes realizables inmuebles del Sector Público</w:t>
      </w:r>
    </w:p>
    <w:p w14:paraId="1E711115" w14:textId="77777777" w:rsidR="00E97960" w:rsidRDefault="00E97960" w:rsidP="00E97960">
      <w:pPr>
        <w:spacing w:line="360" w:lineRule="auto"/>
        <w:jc w:val="both"/>
        <w:rPr>
          <w:rFonts w:cs="Arial"/>
          <w:sz w:val="22"/>
          <w:szCs w:val="22"/>
        </w:rPr>
      </w:pPr>
    </w:p>
    <w:p w14:paraId="20BEC017" w14:textId="4A801A88" w:rsidR="00D54FFD" w:rsidRDefault="00D54FFD" w:rsidP="00D54FFD">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20</w:t>
      </w:r>
      <w:r w:rsidR="00DF500F">
        <w:rPr>
          <w:rFonts w:cs="Arial"/>
          <w:sz w:val="22"/>
          <w:u w:val="single"/>
          <w:lang w:val="es-ES_tradnl"/>
        </w:rPr>
        <w:t>9</w:t>
      </w:r>
      <w:r w:rsidRPr="0039311E">
        <w:rPr>
          <w:rFonts w:cs="Arial"/>
          <w:sz w:val="22"/>
          <w:u w:val="single"/>
          <w:lang w:val="es-ES_tradnl"/>
        </w:rPr>
        <w:t>:</w:t>
      </w:r>
      <w:r w:rsidR="00DF500F">
        <w:rPr>
          <w:rFonts w:cs="Arial"/>
          <w:sz w:val="22"/>
          <w:u w:val="single"/>
          <w:lang w:val="es-ES_tradnl"/>
        </w:rPr>
        <w:t>04</w:t>
      </w:r>
      <w:r>
        <w:rPr>
          <w:rFonts w:cs="Arial"/>
          <w:sz w:val="22"/>
          <w:lang w:val="es-ES_tradnl"/>
        </w:rPr>
        <w:t xml:space="preserve"> </w:t>
      </w:r>
      <w:r>
        <w:rPr>
          <w:rFonts w:cs="Arial"/>
          <w:sz w:val="22"/>
          <w:szCs w:val="22"/>
        </w:rPr>
        <w:t xml:space="preserve">Se conoce el oficio N° 20182 (DFOE-EC-0993) del 18 de diciembre de 2019, mediante el cual, la Licda. Jessica Víquez Alvarado, Gerente del Área de Fiscalización de Servicios Económicos de la </w:t>
      </w:r>
      <w:r w:rsidRPr="00D67D95">
        <w:rPr>
          <w:rFonts w:cs="Arial"/>
          <w:sz w:val="22"/>
          <w:szCs w:val="22"/>
        </w:rPr>
        <w:t>Contraloría General de la República</w:t>
      </w:r>
      <w:r>
        <w:rPr>
          <w:rFonts w:cs="Arial"/>
          <w:sz w:val="22"/>
          <w:szCs w:val="22"/>
        </w:rPr>
        <w:t xml:space="preserve">, remite a este Banco el informe DFOE-EC-SGP-00002-2019, denominado “Informe sobre </w:t>
      </w:r>
      <w:r w:rsidR="00B17886">
        <w:rPr>
          <w:rFonts w:cs="Arial"/>
          <w:sz w:val="22"/>
          <w:szCs w:val="22"/>
        </w:rPr>
        <w:t>la administración y venta de bienes realizables inmuebles del Sector Público</w:t>
      </w:r>
      <w:r>
        <w:rPr>
          <w:rFonts w:cs="Arial"/>
          <w:sz w:val="22"/>
          <w:szCs w:val="22"/>
        </w:rPr>
        <w:t>”.</w:t>
      </w:r>
      <w:r w:rsidRPr="00C563E4">
        <w:rPr>
          <w:rFonts w:cs="Arial"/>
          <w:sz w:val="22"/>
          <w:szCs w:val="22"/>
        </w:rPr>
        <w:t xml:space="preserve"> </w:t>
      </w:r>
    </w:p>
    <w:p w14:paraId="50DC0813" w14:textId="77777777" w:rsidR="00D54FFD" w:rsidRDefault="00D54FFD" w:rsidP="00D54FFD">
      <w:pPr>
        <w:spacing w:line="360" w:lineRule="auto"/>
        <w:jc w:val="both"/>
        <w:rPr>
          <w:rFonts w:cs="Arial"/>
          <w:sz w:val="22"/>
          <w:u w:val="single"/>
          <w:lang w:val="es-ES_tradnl"/>
        </w:rPr>
      </w:pPr>
    </w:p>
    <w:p w14:paraId="242E92F3" w14:textId="0AFE403D" w:rsidR="00D54FFD" w:rsidRDefault="00D54FFD" w:rsidP="00D54FFD">
      <w:pPr>
        <w:spacing w:line="360" w:lineRule="auto"/>
        <w:jc w:val="both"/>
        <w:rPr>
          <w:rFonts w:cs="Arial"/>
          <w:sz w:val="22"/>
          <w:lang w:val="es-ES_tradnl"/>
        </w:rPr>
      </w:pPr>
      <w:r>
        <w:rPr>
          <w:rFonts w:cs="Arial"/>
          <w:color w:val="000000"/>
          <w:sz w:val="22"/>
          <w:szCs w:val="22"/>
          <w:lang w:val="es-CR"/>
        </w:rPr>
        <w:t xml:space="preserve">Sobre el particular, la </w:t>
      </w:r>
      <w:r w:rsidRPr="003537ED">
        <w:rPr>
          <w:rFonts w:cs="Arial"/>
          <w:color w:val="000000"/>
          <w:sz w:val="22"/>
          <w:szCs w:val="22"/>
          <w:lang w:val="es-CR"/>
        </w:rPr>
        <w:t>Junta Directiva</w:t>
      </w:r>
      <w:r>
        <w:rPr>
          <w:rFonts w:cs="Arial"/>
          <w:color w:val="000000"/>
          <w:sz w:val="22"/>
          <w:szCs w:val="22"/>
          <w:lang w:val="es-CR"/>
        </w:rPr>
        <w:t xml:space="preserve"> toma el </w:t>
      </w:r>
      <w:r w:rsidRPr="003537ED">
        <w:rPr>
          <w:rFonts w:cs="Arial"/>
          <w:b/>
          <w:color w:val="000000"/>
          <w:sz w:val="22"/>
          <w:szCs w:val="22"/>
          <w:lang w:val="es-CR"/>
        </w:rPr>
        <w:t>Acuerdo N° 1</w:t>
      </w:r>
      <w:r>
        <w:rPr>
          <w:rFonts w:cs="Arial"/>
          <w:b/>
          <w:color w:val="000000"/>
          <w:sz w:val="22"/>
          <w:szCs w:val="22"/>
          <w:lang w:val="es-CR"/>
        </w:rPr>
        <w:t>2</w:t>
      </w:r>
      <w:r>
        <w:rPr>
          <w:rFonts w:cs="Arial"/>
          <w:color w:val="000000"/>
          <w:sz w:val="22"/>
          <w:szCs w:val="22"/>
          <w:lang w:val="es-CR"/>
        </w:rPr>
        <w:t xml:space="preserve"> que se adjunta a esta minuta</w:t>
      </w:r>
      <w:r w:rsidR="001E1530">
        <w:rPr>
          <w:rFonts w:cs="Arial"/>
          <w:color w:val="000000"/>
          <w:sz w:val="22"/>
          <w:szCs w:val="22"/>
          <w:lang w:val="es-CR"/>
        </w:rPr>
        <w:t>.</w:t>
      </w:r>
    </w:p>
    <w:p w14:paraId="11B37249" w14:textId="77777777" w:rsidR="00E97960" w:rsidRDefault="00E97960" w:rsidP="00E97960">
      <w:pPr>
        <w:spacing w:line="360" w:lineRule="auto"/>
        <w:jc w:val="both"/>
        <w:rPr>
          <w:rFonts w:cs="Arial"/>
          <w:sz w:val="22"/>
          <w:szCs w:val="22"/>
        </w:rPr>
      </w:pPr>
      <w:r w:rsidRPr="00D14EAF">
        <w:rPr>
          <w:rFonts w:cs="Arial"/>
          <w:b/>
          <w:sz w:val="22"/>
        </w:rPr>
        <w:t>************</w:t>
      </w:r>
    </w:p>
    <w:p w14:paraId="2C34060E" w14:textId="77777777" w:rsidR="00E97960" w:rsidRDefault="00E97960" w:rsidP="00E97960">
      <w:pPr>
        <w:spacing w:line="360" w:lineRule="auto"/>
        <w:jc w:val="both"/>
        <w:rPr>
          <w:rFonts w:cs="Arial"/>
          <w:sz w:val="22"/>
          <w:szCs w:val="22"/>
        </w:rPr>
      </w:pPr>
    </w:p>
    <w:p w14:paraId="62D90F04" w14:textId="4F907DD9"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01101D" w:rsidRPr="0001101D">
        <w:rPr>
          <w:rFonts w:cs="Arial"/>
          <w:b/>
          <w:bCs/>
          <w:sz w:val="22"/>
          <w:u w:val="single"/>
          <w:lang w:val="es-CR"/>
        </w:rPr>
        <w:t>Oficio de la Mutual Cartago de Ahorro y Préstamo, informando sobre los resultados positivos que obtuvo esa mutual, a raíz de las medidas tomadas para contribuir al trámite de bonos en el último trimestre del 2019</w:t>
      </w:r>
    </w:p>
    <w:p w14:paraId="3C21F4AE" w14:textId="77777777" w:rsidR="00E97960" w:rsidRDefault="00E97960" w:rsidP="00E97960">
      <w:pPr>
        <w:spacing w:line="360" w:lineRule="auto"/>
        <w:jc w:val="both"/>
        <w:rPr>
          <w:rFonts w:cs="Arial"/>
          <w:sz w:val="22"/>
          <w:szCs w:val="22"/>
        </w:rPr>
      </w:pPr>
    </w:p>
    <w:p w14:paraId="7DB48415" w14:textId="7FE73984"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DF500F">
        <w:rPr>
          <w:rFonts w:cs="Arial"/>
          <w:sz w:val="22"/>
          <w:u w:val="single"/>
          <w:lang w:val="es-ES_tradnl"/>
        </w:rPr>
        <w:t>2</w:t>
      </w:r>
      <w:r w:rsidR="00767301">
        <w:rPr>
          <w:rFonts w:cs="Arial"/>
          <w:sz w:val="22"/>
          <w:u w:val="single"/>
          <w:lang w:val="es-ES_tradnl"/>
        </w:rPr>
        <w:t>11</w:t>
      </w:r>
      <w:r w:rsidRPr="0039311E">
        <w:rPr>
          <w:rFonts w:cs="Arial"/>
          <w:sz w:val="22"/>
          <w:u w:val="single"/>
          <w:lang w:val="es-ES_tradnl"/>
        </w:rPr>
        <w:t>:</w:t>
      </w:r>
      <w:r w:rsidR="00723F00">
        <w:rPr>
          <w:rFonts w:cs="Arial"/>
          <w:sz w:val="22"/>
          <w:u w:val="single"/>
          <w:lang w:val="es-ES_tradnl"/>
        </w:rPr>
        <w:t>51</w:t>
      </w:r>
      <w:r>
        <w:rPr>
          <w:rFonts w:cs="Arial"/>
          <w:sz w:val="22"/>
          <w:lang w:val="es-ES_tradnl"/>
        </w:rPr>
        <w:t xml:space="preserve"> Se conoce el oficio </w:t>
      </w:r>
      <w:r w:rsidR="00723F00">
        <w:rPr>
          <w:rFonts w:cs="Arial"/>
          <w:sz w:val="22"/>
          <w:lang w:val="es-ES_tradnl"/>
        </w:rPr>
        <w:t xml:space="preserve">DVS-1784-2019 del 16 de diciembre de 2019, mediante el cual, el Lic. Carlos Romero </w:t>
      </w:r>
      <w:r w:rsidR="00A13A77">
        <w:rPr>
          <w:rFonts w:cs="Arial"/>
          <w:sz w:val="22"/>
          <w:lang w:val="es-ES_tradnl"/>
        </w:rPr>
        <w:t>Padilla, jefe del Departamento de Vivienda Social de la Mutual Cartago de Ahorro y Préstamo,</w:t>
      </w:r>
      <w:r w:rsidR="004E3FA3">
        <w:rPr>
          <w:rFonts w:cs="Arial"/>
          <w:sz w:val="22"/>
          <w:lang w:val="es-ES_tradnl"/>
        </w:rPr>
        <w:t xml:space="preserve"> informa</w:t>
      </w:r>
      <w:r w:rsidR="004E3FA3" w:rsidRPr="004E3FA3">
        <w:rPr>
          <w:rFonts w:cs="Arial"/>
          <w:sz w:val="22"/>
          <w:lang w:val="es-CR"/>
        </w:rPr>
        <w:t xml:space="preserve"> sobre los resultados positivos que obtuvo esa mutual, a raíz de las medidas tomadas para contribuir al trámite de bonos en el último trimestre de</w:t>
      </w:r>
      <w:r w:rsidR="004E3FA3">
        <w:rPr>
          <w:rFonts w:cs="Arial"/>
          <w:sz w:val="22"/>
          <w:lang w:val="es-CR"/>
        </w:rPr>
        <w:t>l año</w:t>
      </w:r>
      <w:r w:rsidR="004E3FA3" w:rsidRPr="004E3FA3">
        <w:rPr>
          <w:rFonts w:cs="Arial"/>
          <w:sz w:val="22"/>
          <w:lang w:val="es-CR"/>
        </w:rPr>
        <w:t xml:space="preserve"> 2019</w:t>
      </w:r>
      <w:r w:rsidR="004E3FA3">
        <w:rPr>
          <w:rFonts w:cs="Arial"/>
          <w:sz w:val="22"/>
          <w:lang w:val="es-CR"/>
        </w:rPr>
        <w:t>.</w:t>
      </w:r>
    </w:p>
    <w:p w14:paraId="113C27C5" w14:textId="77777777" w:rsidR="00E97960" w:rsidRDefault="00E97960" w:rsidP="00E97960">
      <w:pPr>
        <w:spacing w:line="360" w:lineRule="auto"/>
        <w:jc w:val="both"/>
        <w:rPr>
          <w:rFonts w:cs="Arial"/>
          <w:sz w:val="22"/>
          <w:szCs w:val="22"/>
        </w:rPr>
      </w:pPr>
    </w:p>
    <w:p w14:paraId="39ABBF2A" w14:textId="0D827A44" w:rsidR="00E97960" w:rsidRDefault="004E3FA3" w:rsidP="00E97960">
      <w:pPr>
        <w:spacing w:line="360" w:lineRule="auto"/>
        <w:jc w:val="both"/>
        <w:rPr>
          <w:rFonts w:cs="Arial"/>
          <w:sz w:val="22"/>
          <w:lang w:val="es-ES_tradnl"/>
        </w:rPr>
      </w:pPr>
      <w:r w:rsidRPr="004E3FA3">
        <w:rPr>
          <w:rFonts w:cs="Arial"/>
          <w:sz w:val="22"/>
          <w:lang w:val="es-ES_tradnl"/>
        </w:rPr>
        <w:t xml:space="preserve">Al respecto, la Junta Directiva toma el </w:t>
      </w:r>
      <w:r w:rsidRPr="004E3FA3">
        <w:rPr>
          <w:rFonts w:cs="Arial"/>
          <w:b/>
          <w:bCs/>
          <w:sz w:val="22"/>
          <w:lang w:val="es-ES_tradnl"/>
        </w:rPr>
        <w:t>Acuerdo N° 13</w:t>
      </w:r>
      <w:r w:rsidRPr="004E3FA3">
        <w:rPr>
          <w:rFonts w:cs="Arial"/>
          <w:sz w:val="22"/>
          <w:lang w:val="es-ES_tradnl"/>
        </w:rPr>
        <w:t xml:space="preserve"> que se anexa a esta minuta.</w:t>
      </w:r>
    </w:p>
    <w:p w14:paraId="0CD17DAF" w14:textId="77777777" w:rsidR="00E97960" w:rsidRDefault="00E97960" w:rsidP="00E97960">
      <w:pPr>
        <w:spacing w:line="360" w:lineRule="auto"/>
        <w:jc w:val="both"/>
        <w:rPr>
          <w:rFonts w:cs="Arial"/>
          <w:sz w:val="22"/>
          <w:szCs w:val="22"/>
        </w:rPr>
      </w:pPr>
      <w:r w:rsidRPr="00D14EAF">
        <w:rPr>
          <w:rFonts w:cs="Arial"/>
          <w:b/>
          <w:sz w:val="22"/>
        </w:rPr>
        <w:t>************</w:t>
      </w:r>
    </w:p>
    <w:p w14:paraId="5BCF6ABB" w14:textId="77777777" w:rsidR="00E97960" w:rsidRDefault="00E97960" w:rsidP="00E97960">
      <w:pPr>
        <w:spacing w:line="360" w:lineRule="auto"/>
        <w:jc w:val="both"/>
        <w:rPr>
          <w:rFonts w:cs="Arial"/>
          <w:sz w:val="22"/>
          <w:szCs w:val="22"/>
        </w:rPr>
      </w:pPr>
    </w:p>
    <w:p w14:paraId="57B89E03" w14:textId="0064ED93"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DF500F">
        <w:rPr>
          <w:rFonts w:cs="Arial"/>
          <w:szCs w:val="22"/>
          <w:u w:val="single"/>
        </w:rPr>
        <w:t>213</w:t>
      </w:r>
      <w:r w:rsidRPr="00E97960">
        <w:rPr>
          <w:rFonts w:cs="Arial"/>
          <w:szCs w:val="22"/>
          <w:u w:val="single"/>
        </w:rPr>
        <w:t>:</w:t>
      </w:r>
      <w:r w:rsidR="00723F00">
        <w:rPr>
          <w:rFonts w:cs="Arial"/>
          <w:szCs w:val="22"/>
          <w:u w:val="single"/>
        </w:rPr>
        <w:t>25</w:t>
      </w:r>
      <w:r>
        <w:rPr>
          <w:rFonts w:cs="Arial"/>
          <w:szCs w:val="22"/>
        </w:rPr>
        <w:t xml:space="preserve"> </w:t>
      </w:r>
      <w:r w:rsidR="00FA4CCB" w:rsidRPr="00AB2826">
        <w:rPr>
          <w:rFonts w:cs="Arial"/>
          <w:szCs w:val="22"/>
        </w:rPr>
        <w:t xml:space="preserve">Siendo las </w:t>
      </w:r>
      <w:r w:rsidR="0001101D">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723F00">
        <w:rPr>
          <w:rFonts w:cs="Arial"/>
          <w:szCs w:val="22"/>
        </w:rPr>
        <w:t>treinta</w:t>
      </w:r>
      <w:r w:rsidR="0001101D">
        <w:rPr>
          <w:rFonts w:cs="Arial"/>
          <w:szCs w:val="22"/>
        </w:rPr>
        <w:t xml:space="preserve"> y cinco</w:t>
      </w:r>
      <w:r w:rsidR="00EC7E01">
        <w:rPr>
          <w:rFonts w:cs="Arial"/>
          <w:szCs w:val="22"/>
        </w:rPr>
        <w:t xml:space="preserve"> minutos</w:t>
      </w:r>
      <w:r w:rsidR="00FA4CCB" w:rsidRPr="00AB2826">
        <w:rPr>
          <w:rFonts w:cs="Arial"/>
          <w:szCs w:val="22"/>
        </w:rPr>
        <w:t>, se levanta la sesión.</w:t>
      </w:r>
    </w:p>
    <w:p w14:paraId="6092B699" w14:textId="77777777" w:rsidR="006321F4" w:rsidRPr="00D14EAF" w:rsidRDefault="006321F4" w:rsidP="002D0146">
      <w:pPr>
        <w:spacing w:line="360" w:lineRule="auto"/>
        <w:jc w:val="both"/>
        <w:rPr>
          <w:rFonts w:cs="Arial"/>
          <w:b/>
          <w:sz w:val="22"/>
        </w:rPr>
      </w:pPr>
      <w:r w:rsidRPr="00D14EAF">
        <w:rPr>
          <w:rFonts w:cs="Arial"/>
          <w:b/>
          <w:sz w:val="22"/>
        </w:rPr>
        <w:t>************</w:t>
      </w:r>
    </w:p>
    <w:p w14:paraId="7773FFCB" w14:textId="77777777" w:rsidR="002B71CC" w:rsidRDefault="002B71CC">
      <w:pPr>
        <w:rPr>
          <w:rFonts w:cs="Arial"/>
          <w:sz w:val="22"/>
          <w:szCs w:val="22"/>
        </w:rPr>
      </w:pPr>
      <w:r>
        <w:rPr>
          <w:rFonts w:cs="Arial"/>
          <w:sz w:val="22"/>
          <w:szCs w:val="22"/>
        </w:rPr>
        <w:br w:type="page"/>
      </w:r>
    </w:p>
    <w:p w14:paraId="38290462" w14:textId="77777777" w:rsidR="00FA4CCB" w:rsidRDefault="00FA4CCB" w:rsidP="00AB2826">
      <w:pPr>
        <w:spacing w:line="360" w:lineRule="auto"/>
        <w:jc w:val="both"/>
        <w:rPr>
          <w:rFonts w:cs="Arial"/>
          <w:sz w:val="22"/>
          <w:szCs w:val="22"/>
        </w:rPr>
      </w:pPr>
    </w:p>
    <w:p w14:paraId="189A0456" w14:textId="77777777" w:rsidR="002B71CC" w:rsidRDefault="002B71CC" w:rsidP="00AB2826">
      <w:pPr>
        <w:spacing w:line="360" w:lineRule="auto"/>
        <w:jc w:val="both"/>
        <w:rPr>
          <w:rFonts w:cs="Arial"/>
          <w:sz w:val="22"/>
          <w:szCs w:val="22"/>
        </w:rPr>
      </w:pPr>
    </w:p>
    <w:p w14:paraId="67A51DD3" w14:textId="77777777" w:rsidR="002B71CC" w:rsidRDefault="002B71CC" w:rsidP="002B71CC">
      <w:pPr>
        <w:pStyle w:val="Ttulo"/>
        <w:ind w:right="51"/>
        <w:rPr>
          <w:rFonts w:cs="Arial"/>
        </w:rPr>
      </w:pPr>
      <w:r>
        <w:rPr>
          <w:rFonts w:cs="Arial"/>
        </w:rPr>
        <w:t>BANCO HIPOTECARIO DE LA VIVIENDA</w:t>
      </w:r>
    </w:p>
    <w:p w14:paraId="4476058A"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7EBF4975" w14:textId="77777777" w:rsidR="002B71CC" w:rsidRDefault="002B71CC" w:rsidP="002B71CC">
      <w:pPr>
        <w:spacing w:line="360" w:lineRule="auto"/>
        <w:ind w:right="51"/>
        <w:jc w:val="center"/>
        <w:rPr>
          <w:rFonts w:cs="Arial"/>
          <w:b/>
          <w:sz w:val="22"/>
          <w:u w:val="single"/>
        </w:rPr>
      </w:pPr>
    </w:p>
    <w:p w14:paraId="0B7214E7" w14:textId="6C282E08"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01101D">
        <w:rPr>
          <w:rFonts w:cs="Arial"/>
          <w:b/>
          <w:sz w:val="22"/>
          <w:u w:val="single"/>
        </w:rPr>
        <w:t>01</w:t>
      </w:r>
      <w:r>
        <w:rPr>
          <w:rFonts w:cs="Arial"/>
          <w:b/>
          <w:sz w:val="22"/>
          <w:u w:val="single"/>
        </w:rPr>
        <w:t>-20</w:t>
      </w:r>
      <w:r w:rsidR="00E97960">
        <w:rPr>
          <w:rFonts w:cs="Arial"/>
          <w:b/>
          <w:sz w:val="22"/>
          <w:u w:val="single"/>
        </w:rPr>
        <w:t>20</w:t>
      </w:r>
    </w:p>
    <w:p w14:paraId="32989E16" w14:textId="059644B6" w:rsidR="002B71CC" w:rsidRDefault="002B71CC" w:rsidP="002B71CC">
      <w:pPr>
        <w:spacing w:line="360" w:lineRule="auto"/>
        <w:ind w:right="51"/>
        <w:jc w:val="center"/>
        <w:rPr>
          <w:rFonts w:cs="Arial"/>
          <w:b/>
          <w:sz w:val="22"/>
          <w:u w:val="single"/>
        </w:rPr>
      </w:pPr>
      <w:r>
        <w:rPr>
          <w:rFonts w:cs="Arial"/>
          <w:b/>
          <w:sz w:val="22"/>
          <w:u w:val="single"/>
        </w:rPr>
        <w:t xml:space="preserve">DEL </w:t>
      </w:r>
      <w:r w:rsidR="0001101D">
        <w:rPr>
          <w:rFonts w:cs="Arial"/>
          <w:b/>
          <w:sz w:val="22"/>
          <w:u w:val="single"/>
        </w:rPr>
        <w:t>06</w:t>
      </w:r>
      <w:r>
        <w:rPr>
          <w:rFonts w:cs="Arial"/>
          <w:b/>
          <w:sz w:val="22"/>
          <w:u w:val="single"/>
        </w:rPr>
        <w:t xml:space="preserve"> DE </w:t>
      </w:r>
      <w:r w:rsidR="0001101D">
        <w:rPr>
          <w:rFonts w:cs="Arial"/>
          <w:b/>
          <w:sz w:val="22"/>
          <w:u w:val="single"/>
        </w:rPr>
        <w:t>ENERO</w:t>
      </w:r>
      <w:r>
        <w:rPr>
          <w:rFonts w:cs="Arial"/>
          <w:b/>
          <w:sz w:val="22"/>
          <w:u w:val="single"/>
        </w:rPr>
        <w:t xml:space="preserve"> DE 20</w:t>
      </w:r>
      <w:r w:rsidR="00E97960">
        <w:rPr>
          <w:rFonts w:cs="Arial"/>
          <w:b/>
          <w:sz w:val="22"/>
          <w:u w:val="single"/>
        </w:rPr>
        <w:t>20</w:t>
      </w:r>
    </w:p>
    <w:p w14:paraId="23F5865D" w14:textId="77777777" w:rsidR="002B71CC" w:rsidRDefault="002B71CC" w:rsidP="00AB2826">
      <w:pPr>
        <w:spacing w:line="360" w:lineRule="auto"/>
        <w:jc w:val="both"/>
        <w:rPr>
          <w:rFonts w:cs="Arial"/>
          <w:sz w:val="22"/>
          <w:szCs w:val="22"/>
        </w:rPr>
      </w:pPr>
    </w:p>
    <w:p w14:paraId="1D30657E" w14:textId="77777777" w:rsidR="002B71CC" w:rsidRDefault="002B71CC" w:rsidP="00AB2826">
      <w:pPr>
        <w:spacing w:line="360" w:lineRule="auto"/>
        <w:jc w:val="both"/>
        <w:rPr>
          <w:rFonts w:cs="Arial"/>
          <w:sz w:val="22"/>
          <w:szCs w:val="22"/>
        </w:rPr>
      </w:pPr>
    </w:p>
    <w:p w14:paraId="2B037FF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3343117E" w14:textId="09C2D3AB" w:rsidR="002B71CC" w:rsidRPr="005E76A6" w:rsidRDefault="005E76A6" w:rsidP="002B71CC">
      <w:pPr>
        <w:spacing w:line="360" w:lineRule="auto"/>
        <w:jc w:val="both"/>
        <w:rPr>
          <w:rFonts w:cs="Arial"/>
          <w:sz w:val="22"/>
          <w:szCs w:val="22"/>
          <w:lang w:val="es-ES_tradnl"/>
        </w:rPr>
      </w:pPr>
      <w:r>
        <w:rPr>
          <w:rFonts w:cs="Arial"/>
          <w:sz w:val="22"/>
          <w:szCs w:val="22"/>
        </w:rPr>
        <w:t xml:space="preserve">Instruir a la </w:t>
      </w:r>
      <w:r w:rsidRPr="005E76A6">
        <w:rPr>
          <w:rFonts w:cs="Arial"/>
          <w:sz w:val="22"/>
          <w:szCs w:val="22"/>
          <w:lang w:val="es-ES_tradnl"/>
        </w:rPr>
        <w:t>Administración</w:t>
      </w:r>
      <w:r>
        <w:rPr>
          <w:rFonts w:cs="Arial"/>
          <w:sz w:val="22"/>
          <w:szCs w:val="22"/>
          <w:lang w:val="es-ES_tradnl"/>
        </w:rPr>
        <w:t xml:space="preserve">, para que someta al conocimiento de esta </w:t>
      </w:r>
      <w:r w:rsidRPr="005E76A6">
        <w:rPr>
          <w:rFonts w:cs="Arial"/>
          <w:sz w:val="22"/>
          <w:szCs w:val="22"/>
          <w:lang w:val="es-ES_tradnl"/>
        </w:rPr>
        <w:t>Junta Directiva</w:t>
      </w:r>
      <w:r>
        <w:rPr>
          <w:rFonts w:cs="Arial"/>
          <w:sz w:val="22"/>
          <w:szCs w:val="22"/>
          <w:lang w:val="es-ES_tradnl"/>
        </w:rPr>
        <w:t xml:space="preserve">, el </w:t>
      </w:r>
      <w:r>
        <w:rPr>
          <w:rFonts w:cs="Arial"/>
          <w:sz w:val="22"/>
          <w:szCs w:val="22"/>
        </w:rPr>
        <w:t xml:space="preserve">plan de divulgación y </w:t>
      </w:r>
      <w:r w:rsidRPr="007E15AB">
        <w:rPr>
          <w:rFonts w:cs="Arial"/>
          <w:sz w:val="22"/>
          <w:szCs w:val="22"/>
        </w:rPr>
        <w:t xml:space="preserve">capacitación, dirigido a los diferentes actores del Sistema Financiero Nacional para la Vivienda, sobre </w:t>
      </w:r>
      <w:r>
        <w:rPr>
          <w:rFonts w:cs="Arial"/>
          <w:sz w:val="22"/>
          <w:szCs w:val="22"/>
          <w:lang w:val="es-ES_tradnl"/>
        </w:rPr>
        <w:t>el contenido y el manejo de la factura electrónica en operaciones de bono de vivienda, según lo dispuesto en el acuerdo N° 2 de la sesión 99-2019 del 12 de diciembre de 2019.</w:t>
      </w:r>
    </w:p>
    <w:p w14:paraId="2F02E637" w14:textId="658625E8"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sidR="00973D70">
        <w:rPr>
          <w:rFonts w:cs="Arial"/>
          <w:szCs w:val="22"/>
        </w:rPr>
        <w:t xml:space="preserve"> y</w:t>
      </w:r>
      <w:r>
        <w:rPr>
          <w:rFonts w:cs="Arial"/>
          <w:szCs w:val="22"/>
        </w:rPr>
        <w:t xml:space="preserve"> Firme</w:t>
      </w:r>
      <w:r w:rsidRPr="00AB2826">
        <w:rPr>
          <w:rFonts w:cs="Arial"/>
          <w:szCs w:val="22"/>
        </w:rPr>
        <w:t>.-</w:t>
      </w:r>
    </w:p>
    <w:p w14:paraId="1D46A4D9" w14:textId="77777777" w:rsidR="002B71CC" w:rsidRPr="00D14EAF" w:rsidRDefault="002B71CC" w:rsidP="002B71CC">
      <w:pPr>
        <w:spacing w:line="360" w:lineRule="auto"/>
        <w:jc w:val="both"/>
        <w:rPr>
          <w:rFonts w:cs="Arial"/>
          <w:b/>
          <w:sz w:val="22"/>
        </w:rPr>
      </w:pPr>
      <w:r w:rsidRPr="00D14EAF">
        <w:rPr>
          <w:rFonts w:cs="Arial"/>
          <w:b/>
          <w:sz w:val="22"/>
        </w:rPr>
        <w:t>************</w:t>
      </w:r>
    </w:p>
    <w:p w14:paraId="32D3682E" w14:textId="77777777" w:rsidR="002B71CC" w:rsidRDefault="002B71CC" w:rsidP="002B71CC">
      <w:pPr>
        <w:spacing w:line="360" w:lineRule="auto"/>
        <w:jc w:val="both"/>
        <w:rPr>
          <w:rFonts w:cs="Arial"/>
          <w:sz w:val="22"/>
          <w:lang w:val="es-ES_tradnl"/>
        </w:rPr>
      </w:pPr>
    </w:p>
    <w:p w14:paraId="7350761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BA22531" w14:textId="77777777" w:rsidR="00646C60" w:rsidRPr="001972A7" w:rsidRDefault="00646C60" w:rsidP="00646C60">
      <w:pPr>
        <w:spacing w:line="360" w:lineRule="auto"/>
        <w:jc w:val="both"/>
        <w:rPr>
          <w:rFonts w:cs="Arial"/>
          <w:b/>
          <w:sz w:val="22"/>
          <w:szCs w:val="22"/>
        </w:rPr>
      </w:pPr>
      <w:r w:rsidRPr="001972A7">
        <w:rPr>
          <w:rFonts w:cs="Arial"/>
          <w:b/>
          <w:sz w:val="22"/>
          <w:szCs w:val="22"/>
        </w:rPr>
        <w:t>Considerando:</w:t>
      </w:r>
    </w:p>
    <w:p w14:paraId="7679A449" w14:textId="4B890080" w:rsidR="00646C60" w:rsidRDefault="00646C60" w:rsidP="00646C60">
      <w:pPr>
        <w:spacing w:line="360" w:lineRule="auto"/>
        <w:jc w:val="both"/>
        <w:rPr>
          <w:rFonts w:cs="Arial"/>
          <w:sz w:val="22"/>
          <w:szCs w:val="22"/>
        </w:rPr>
      </w:pPr>
      <w:r w:rsidRPr="001972A7">
        <w:rPr>
          <w:rFonts w:cs="Arial"/>
          <w:b/>
          <w:sz w:val="22"/>
          <w:szCs w:val="22"/>
        </w:rPr>
        <w:t>Primero:</w:t>
      </w:r>
      <w:r>
        <w:rPr>
          <w:rFonts w:cs="Arial"/>
          <w:sz w:val="22"/>
          <w:szCs w:val="22"/>
        </w:rPr>
        <w:t xml:space="preserve"> Que por medio del oficio N° 20118 (DFOE-EC-0985) del 18 de diciembre de 2019, la Licda. Jessica Víquez Alvarado, Gerente del Área de Fiscalización de Servicios Económicos de la </w:t>
      </w:r>
      <w:r w:rsidRPr="00D67D95">
        <w:rPr>
          <w:rFonts w:cs="Arial"/>
          <w:sz w:val="22"/>
          <w:szCs w:val="22"/>
        </w:rPr>
        <w:t>Contraloría General de la República</w:t>
      </w:r>
      <w:r>
        <w:rPr>
          <w:rFonts w:cs="Arial"/>
          <w:sz w:val="22"/>
          <w:szCs w:val="22"/>
        </w:rPr>
        <w:t>, remite a este Banco el informe DFOE-EC-IF-00026-2019, denominado “Informe de auditoría de carácter especial sobre la calidad de la información de bonos de vivienda contenida en el sistema automatizado del BANHVI”.</w:t>
      </w:r>
    </w:p>
    <w:p w14:paraId="33A07C68" w14:textId="77777777" w:rsidR="00646C60" w:rsidRPr="00F47341" w:rsidRDefault="00646C60" w:rsidP="00646C60">
      <w:pPr>
        <w:spacing w:line="360" w:lineRule="auto"/>
        <w:jc w:val="both"/>
        <w:rPr>
          <w:rFonts w:cs="Arial"/>
          <w:sz w:val="16"/>
          <w:szCs w:val="16"/>
        </w:rPr>
      </w:pPr>
    </w:p>
    <w:p w14:paraId="2ED16D3C" w14:textId="61A0CDB2" w:rsidR="00646C60" w:rsidRDefault="00646C60" w:rsidP="00646C60">
      <w:pPr>
        <w:spacing w:line="360" w:lineRule="auto"/>
        <w:jc w:val="both"/>
        <w:rPr>
          <w:rFonts w:cs="Arial"/>
          <w:sz w:val="22"/>
          <w:szCs w:val="22"/>
        </w:rPr>
      </w:pPr>
      <w:r w:rsidRPr="001972A7">
        <w:rPr>
          <w:rFonts w:cs="Arial"/>
          <w:b/>
          <w:sz w:val="22"/>
          <w:szCs w:val="22"/>
        </w:rPr>
        <w:t>Segundo:</w:t>
      </w:r>
      <w:r>
        <w:rPr>
          <w:rFonts w:cs="Arial"/>
          <w:sz w:val="22"/>
          <w:szCs w:val="22"/>
        </w:rPr>
        <w:t xml:space="preserve"> Que en el aparte 4 de dicho informe, la </w:t>
      </w:r>
      <w:r w:rsidRPr="001972A7">
        <w:rPr>
          <w:rFonts w:cs="Arial"/>
          <w:sz w:val="22"/>
          <w:szCs w:val="22"/>
        </w:rPr>
        <w:t>Contraloría General de la República</w:t>
      </w:r>
      <w:r>
        <w:rPr>
          <w:rFonts w:cs="Arial"/>
          <w:sz w:val="22"/>
          <w:szCs w:val="22"/>
        </w:rPr>
        <w:t xml:space="preserve"> emite una serie de disposiciones a esta </w:t>
      </w:r>
      <w:r w:rsidRPr="001972A7">
        <w:rPr>
          <w:rFonts w:cs="Arial"/>
          <w:sz w:val="22"/>
          <w:szCs w:val="22"/>
        </w:rPr>
        <w:t>Junta Directiva</w:t>
      </w:r>
      <w:r>
        <w:rPr>
          <w:rFonts w:cs="Arial"/>
          <w:sz w:val="22"/>
          <w:szCs w:val="22"/>
        </w:rPr>
        <w:t xml:space="preserve"> y a la </w:t>
      </w:r>
      <w:r w:rsidRPr="002E6853">
        <w:rPr>
          <w:rFonts w:cs="Arial"/>
          <w:sz w:val="22"/>
          <w:szCs w:val="22"/>
        </w:rPr>
        <w:t>Gerencia General</w:t>
      </w:r>
      <w:r>
        <w:rPr>
          <w:rFonts w:cs="Arial"/>
          <w:sz w:val="22"/>
          <w:szCs w:val="22"/>
        </w:rPr>
        <w:t xml:space="preserve"> de este Banco, sobre las cuales este órgano colegiado estima pertinente girar instrucciones a la </w:t>
      </w:r>
      <w:r w:rsidRPr="007A4B4D">
        <w:rPr>
          <w:rFonts w:cs="Arial"/>
          <w:sz w:val="22"/>
          <w:szCs w:val="22"/>
        </w:rPr>
        <w:t>Administración</w:t>
      </w:r>
      <w:r>
        <w:rPr>
          <w:rFonts w:cs="Arial"/>
          <w:sz w:val="22"/>
          <w:szCs w:val="22"/>
        </w:rPr>
        <w:t>, para su debida y oportuna implementación.</w:t>
      </w:r>
    </w:p>
    <w:p w14:paraId="33586D44" w14:textId="77777777" w:rsidR="00646C60" w:rsidRPr="00B71087" w:rsidRDefault="00646C60" w:rsidP="00646C60">
      <w:pPr>
        <w:spacing w:line="360" w:lineRule="auto"/>
        <w:jc w:val="both"/>
        <w:rPr>
          <w:rFonts w:cs="Arial"/>
          <w:sz w:val="22"/>
          <w:szCs w:val="22"/>
        </w:rPr>
      </w:pPr>
    </w:p>
    <w:p w14:paraId="626494B4" w14:textId="77777777" w:rsidR="00646C60" w:rsidRPr="00BD3ED9" w:rsidRDefault="00646C60" w:rsidP="00646C60">
      <w:pPr>
        <w:spacing w:line="360" w:lineRule="auto"/>
        <w:jc w:val="both"/>
        <w:rPr>
          <w:rFonts w:cs="Arial"/>
          <w:b/>
          <w:sz w:val="22"/>
          <w:szCs w:val="22"/>
        </w:rPr>
      </w:pPr>
      <w:r w:rsidRPr="00BD3ED9">
        <w:rPr>
          <w:rFonts w:cs="Arial"/>
          <w:b/>
          <w:sz w:val="22"/>
          <w:szCs w:val="22"/>
        </w:rPr>
        <w:t>Por tanto, se acuerda:</w:t>
      </w:r>
    </w:p>
    <w:p w14:paraId="47A9B6C6" w14:textId="5D8F9384" w:rsidR="00646C60" w:rsidRDefault="00646C60" w:rsidP="00646C60">
      <w:pPr>
        <w:spacing w:line="360" w:lineRule="auto"/>
        <w:jc w:val="both"/>
        <w:rPr>
          <w:rFonts w:cs="Arial"/>
          <w:sz w:val="22"/>
          <w:szCs w:val="22"/>
          <w:lang w:val="es-CR"/>
        </w:rPr>
      </w:pPr>
      <w:r w:rsidRPr="00FA1AA7">
        <w:rPr>
          <w:rFonts w:cs="Arial"/>
          <w:sz w:val="22"/>
          <w:szCs w:val="22"/>
          <w:lang w:val="es-CR"/>
        </w:rPr>
        <w:lastRenderedPageBreak/>
        <w:t>Instruir a la Gerencia General</w:t>
      </w:r>
      <w:r>
        <w:rPr>
          <w:rFonts w:cs="Arial"/>
          <w:sz w:val="22"/>
          <w:szCs w:val="22"/>
          <w:lang w:val="es-CR"/>
        </w:rPr>
        <w:t>,</w:t>
      </w:r>
      <w:r w:rsidRPr="00FA1AA7">
        <w:rPr>
          <w:rFonts w:cs="Arial"/>
          <w:sz w:val="22"/>
          <w:szCs w:val="22"/>
          <w:lang w:val="es-CR"/>
        </w:rPr>
        <w:t xml:space="preserve"> para que </w:t>
      </w:r>
      <w:r>
        <w:rPr>
          <w:rFonts w:cs="Arial"/>
          <w:sz w:val="22"/>
          <w:szCs w:val="22"/>
          <w:lang w:val="es-CR"/>
        </w:rPr>
        <w:t xml:space="preserve">en relación con el informe </w:t>
      </w:r>
      <w:r>
        <w:rPr>
          <w:rFonts w:cs="Arial"/>
          <w:sz w:val="22"/>
          <w:szCs w:val="22"/>
        </w:rPr>
        <w:t xml:space="preserve">DFOE-EC-IF-00026-2019, de la </w:t>
      </w:r>
      <w:r w:rsidRPr="007A4B4D">
        <w:rPr>
          <w:rFonts w:cs="Arial"/>
          <w:sz w:val="22"/>
          <w:szCs w:val="22"/>
          <w:lang w:val="es-CR"/>
        </w:rPr>
        <w:t>Contraloría General de la República</w:t>
      </w:r>
      <w:r>
        <w:rPr>
          <w:rFonts w:cs="Arial"/>
          <w:sz w:val="22"/>
          <w:szCs w:val="22"/>
          <w:lang w:val="es-CR"/>
        </w:rPr>
        <w:t>, ejecute las siguientes acciones:</w:t>
      </w:r>
    </w:p>
    <w:p w14:paraId="5218A33C" w14:textId="2DE7651C" w:rsidR="000F1E42" w:rsidRDefault="00646C60" w:rsidP="00646C60">
      <w:pPr>
        <w:spacing w:line="360" w:lineRule="auto"/>
        <w:jc w:val="both"/>
        <w:rPr>
          <w:rFonts w:cs="Arial"/>
          <w:sz w:val="22"/>
          <w:szCs w:val="22"/>
          <w:lang w:val="es-ES_tradnl"/>
        </w:rPr>
      </w:pPr>
      <w:r>
        <w:rPr>
          <w:rFonts w:cs="Arial"/>
          <w:b/>
          <w:sz w:val="22"/>
          <w:szCs w:val="22"/>
          <w:lang w:val="es-CR"/>
        </w:rPr>
        <w:t>1.-</w:t>
      </w:r>
      <w:r>
        <w:rPr>
          <w:rFonts w:cs="Arial"/>
          <w:sz w:val="22"/>
          <w:szCs w:val="22"/>
          <w:lang w:val="es-CR"/>
        </w:rPr>
        <w:t xml:space="preserve"> </w:t>
      </w:r>
      <w:r w:rsidR="000F1E42">
        <w:rPr>
          <w:rFonts w:cs="Arial"/>
          <w:sz w:val="22"/>
          <w:szCs w:val="22"/>
          <w:lang w:val="es-CR"/>
        </w:rPr>
        <w:t xml:space="preserve">Elabore y someta a la consideración de esta </w:t>
      </w:r>
      <w:r w:rsidR="000F1E42" w:rsidRPr="000F1E42">
        <w:rPr>
          <w:rFonts w:cs="Arial"/>
          <w:sz w:val="22"/>
          <w:szCs w:val="22"/>
          <w:lang w:val="es-ES_tradnl"/>
        </w:rPr>
        <w:t>Junta Directiva</w:t>
      </w:r>
      <w:r w:rsidR="000F1E42">
        <w:rPr>
          <w:rFonts w:cs="Arial"/>
          <w:sz w:val="22"/>
          <w:szCs w:val="22"/>
          <w:lang w:val="es-ES_tradnl"/>
        </w:rPr>
        <w:t xml:space="preserve">, </w:t>
      </w:r>
      <w:r w:rsidR="00577551">
        <w:rPr>
          <w:rFonts w:cs="Arial"/>
          <w:sz w:val="22"/>
          <w:szCs w:val="22"/>
          <w:lang w:val="es-ES_tradnl"/>
        </w:rPr>
        <w:t xml:space="preserve">dentro del plazo indicado en la disposición 4.4, </w:t>
      </w:r>
      <w:r w:rsidR="000F1E42">
        <w:rPr>
          <w:rFonts w:cs="Arial"/>
          <w:sz w:val="22"/>
          <w:szCs w:val="22"/>
          <w:lang w:val="es-ES_tradnl"/>
        </w:rPr>
        <w:t xml:space="preserve">el Plan Maestro del Proyecto de Rediseño del Sistema de Vivienda, con el propósito de subsanar las deficiencias relacionadas con el alcance, riesgos, costos, recursos, tiempos y cambios vinculados al citado proyecto. </w:t>
      </w:r>
    </w:p>
    <w:p w14:paraId="64CA141C" w14:textId="77777777" w:rsidR="000F1E42" w:rsidRDefault="000F1E42" w:rsidP="00646C60">
      <w:pPr>
        <w:spacing w:line="360" w:lineRule="auto"/>
        <w:jc w:val="both"/>
        <w:rPr>
          <w:rFonts w:cs="Arial"/>
          <w:sz w:val="22"/>
          <w:szCs w:val="22"/>
          <w:lang w:val="es-CR"/>
        </w:rPr>
      </w:pPr>
    </w:p>
    <w:p w14:paraId="15B2523D" w14:textId="3C3D0230" w:rsidR="00646C60" w:rsidRDefault="00646C60" w:rsidP="00646C60">
      <w:pPr>
        <w:spacing w:line="360" w:lineRule="auto"/>
        <w:jc w:val="both"/>
        <w:rPr>
          <w:rFonts w:cs="Arial"/>
          <w:sz w:val="22"/>
          <w:szCs w:val="22"/>
          <w:lang w:val="es-CR"/>
        </w:rPr>
      </w:pPr>
      <w:r>
        <w:rPr>
          <w:rFonts w:cs="Arial"/>
          <w:b/>
          <w:sz w:val="22"/>
          <w:szCs w:val="22"/>
          <w:lang w:val="es-CR"/>
        </w:rPr>
        <w:t>2.-</w:t>
      </w:r>
      <w:r>
        <w:rPr>
          <w:rFonts w:cs="Arial"/>
          <w:sz w:val="22"/>
          <w:szCs w:val="22"/>
          <w:lang w:val="es-CR"/>
        </w:rPr>
        <w:t xml:space="preserve"> Ejecute</w:t>
      </w:r>
      <w:r w:rsidR="00577551">
        <w:rPr>
          <w:rFonts w:cs="Arial"/>
          <w:sz w:val="22"/>
          <w:szCs w:val="22"/>
          <w:lang w:val="es-CR"/>
        </w:rPr>
        <w:t>,</w:t>
      </w:r>
      <w:r>
        <w:rPr>
          <w:rFonts w:cs="Arial"/>
          <w:sz w:val="22"/>
          <w:szCs w:val="22"/>
          <w:lang w:val="es-CR"/>
        </w:rPr>
        <w:t xml:space="preserve"> oportuna y debidamente, las disposiciones 4.</w:t>
      </w:r>
      <w:r w:rsidR="000F1E42">
        <w:rPr>
          <w:rFonts w:cs="Arial"/>
          <w:sz w:val="22"/>
          <w:szCs w:val="22"/>
          <w:lang w:val="es-CR"/>
        </w:rPr>
        <w:t>5</w:t>
      </w:r>
      <w:r>
        <w:rPr>
          <w:rFonts w:cs="Arial"/>
          <w:sz w:val="22"/>
          <w:szCs w:val="22"/>
          <w:lang w:val="es-CR"/>
        </w:rPr>
        <w:t xml:space="preserve"> </w:t>
      </w:r>
      <w:r w:rsidR="000F1E42">
        <w:rPr>
          <w:rFonts w:cs="Arial"/>
          <w:sz w:val="22"/>
          <w:szCs w:val="22"/>
          <w:lang w:val="es-CR"/>
        </w:rPr>
        <w:t xml:space="preserve">y </w:t>
      </w:r>
      <w:r>
        <w:rPr>
          <w:rFonts w:cs="Arial"/>
          <w:sz w:val="22"/>
          <w:szCs w:val="22"/>
          <w:lang w:val="es-CR"/>
        </w:rPr>
        <w:t>4.</w:t>
      </w:r>
      <w:r w:rsidR="000F1E42">
        <w:rPr>
          <w:rFonts w:cs="Arial"/>
          <w:sz w:val="22"/>
          <w:szCs w:val="22"/>
          <w:lang w:val="es-CR"/>
        </w:rPr>
        <w:t xml:space="preserve">6, </w:t>
      </w:r>
      <w:r>
        <w:rPr>
          <w:rFonts w:cs="Arial"/>
          <w:sz w:val="22"/>
          <w:szCs w:val="22"/>
          <w:lang w:val="es-CR"/>
        </w:rPr>
        <w:t xml:space="preserve">dirigidas a la </w:t>
      </w:r>
      <w:r w:rsidRPr="00E369CB">
        <w:rPr>
          <w:rFonts w:cs="Arial"/>
          <w:sz w:val="22"/>
          <w:szCs w:val="22"/>
          <w:lang w:val="es-CR"/>
        </w:rPr>
        <w:t>Gerencia General</w:t>
      </w:r>
      <w:r>
        <w:rPr>
          <w:rFonts w:cs="Arial"/>
          <w:sz w:val="22"/>
          <w:szCs w:val="22"/>
          <w:lang w:val="es-CR"/>
        </w:rPr>
        <w:t>.</w:t>
      </w:r>
    </w:p>
    <w:p w14:paraId="7509BE08" w14:textId="77777777" w:rsidR="00646C60" w:rsidRDefault="00646C60" w:rsidP="00646C60">
      <w:pPr>
        <w:spacing w:line="360" w:lineRule="auto"/>
        <w:jc w:val="both"/>
        <w:rPr>
          <w:rFonts w:cs="Arial"/>
          <w:sz w:val="22"/>
          <w:szCs w:val="22"/>
          <w:lang w:val="es-CR"/>
        </w:rPr>
      </w:pPr>
    </w:p>
    <w:p w14:paraId="25AB8149" w14:textId="117D15B3" w:rsidR="002B71CC" w:rsidRDefault="000F1E42" w:rsidP="002B71CC">
      <w:pPr>
        <w:spacing w:line="360" w:lineRule="auto"/>
        <w:jc w:val="both"/>
        <w:rPr>
          <w:rFonts w:cs="Arial"/>
          <w:sz w:val="22"/>
          <w:szCs w:val="22"/>
        </w:rPr>
      </w:pPr>
      <w:r>
        <w:rPr>
          <w:rFonts w:cs="Arial"/>
          <w:b/>
          <w:sz w:val="22"/>
          <w:szCs w:val="22"/>
          <w:lang w:val="es-CR"/>
        </w:rPr>
        <w:t>3</w:t>
      </w:r>
      <w:r w:rsidR="00646C60">
        <w:rPr>
          <w:rFonts w:cs="Arial"/>
          <w:b/>
          <w:sz w:val="22"/>
          <w:szCs w:val="22"/>
          <w:lang w:val="es-CR"/>
        </w:rPr>
        <w:t>.-</w:t>
      </w:r>
      <w:r w:rsidR="00646C60">
        <w:rPr>
          <w:rFonts w:cs="Arial"/>
          <w:sz w:val="22"/>
          <w:szCs w:val="22"/>
          <w:lang w:val="es-CR"/>
        </w:rPr>
        <w:t xml:space="preserve"> Comunique al Área de Seguimiento de Disposiciones de la </w:t>
      </w:r>
      <w:r w:rsidR="00646C60" w:rsidRPr="00E369CB">
        <w:rPr>
          <w:rFonts w:cs="Arial"/>
          <w:sz w:val="22"/>
          <w:szCs w:val="22"/>
          <w:lang w:val="es-CR"/>
        </w:rPr>
        <w:t>Contraloría General de la República</w:t>
      </w:r>
      <w:r w:rsidR="00646C60">
        <w:rPr>
          <w:rFonts w:cs="Arial"/>
          <w:sz w:val="22"/>
          <w:szCs w:val="22"/>
          <w:lang w:val="es-CR"/>
        </w:rPr>
        <w:t>, los datos de los responsables del expediente de cumplimiento y del rol de contacto oficial; tareas que serán asumidas por el Gerente General y el asistente de la Gerencia General, respectivamente.</w:t>
      </w:r>
    </w:p>
    <w:p w14:paraId="3F8B9C6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9FC98F9" w14:textId="77777777" w:rsidR="002B71CC" w:rsidRPr="00D14EAF" w:rsidRDefault="002B71CC" w:rsidP="002B71CC">
      <w:pPr>
        <w:spacing w:line="360" w:lineRule="auto"/>
        <w:jc w:val="both"/>
        <w:rPr>
          <w:rFonts w:cs="Arial"/>
          <w:b/>
          <w:sz w:val="22"/>
        </w:rPr>
      </w:pPr>
      <w:r w:rsidRPr="00D14EAF">
        <w:rPr>
          <w:rFonts w:cs="Arial"/>
          <w:b/>
          <w:sz w:val="22"/>
        </w:rPr>
        <w:t>************</w:t>
      </w:r>
    </w:p>
    <w:p w14:paraId="0DF5A2CC" w14:textId="77777777" w:rsidR="002B71CC" w:rsidRDefault="002B71CC" w:rsidP="002B71CC">
      <w:pPr>
        <w:spacing w:line="360" w:lineRule="auto"/>
        <w:jc w:val="both"/>
        <w:rPr>
          <w:rFonts w:cs="Arial"/>
          <w:sz w:val="22"/>
          <w:lang w:val="es-ES_tradnl"/>
        </w:rPr>
      </w:pPr>
    </w:p>
    <w:p w14:paraId="237320F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1BBF7679" w14:textId="77777777" w:rsidR="0095348E" w:rsidRPr="00BB303F" w:rsidRDefault="0095348E" w:rsidP="0095348E">
      <w:pPr>
        <w:spacing w:line="360" w:lineRule="auto"/>
        <w:jc w:val="both"/>
        <w:rPr>
          <w:rFonts w:cs="Arial"/>
          <w:b/>
          <w:sz w:val="22"/>
          <w:szCs w:val="22"/>
        </w:rPr>
      </w:pPr>
      <w:r w:rsidRPr="00BB303F">
        <w:rPr>
          <w:rFonts w:cs="Arial"/>
          <w:b/>
          <w:sz w:val="22"/>
          <w:szCs w:val="22"/>
        </w:rPr>
        <w:t>Considerando:</w:t>
      </w:r>
    </w:p>
    <w:p w14:paraId="1B30D288" w14:textId="06D75036" w:rsidR="0095348E" w:rsidRPr="00BB303F" w:rsidRDefault="0095348E" w:rsidP="0095348E">
      <w:pPr>
        <w:spacing w:line="360" w:lineRule="auto"/>
        <w:jc w:val="both"/>
        <w:rPr>
          <w:rFonts w:cs="Arial"/>
          <w:color w:val="000000"/>
          <w:sz w:val="22"/>
          <w:szCs w:val="22"/>
        </w:rPr>
      </w:pPr>
      <w:r w:rsidRPr="00BB303F">
        <w:rPr>
          <w:rFonts w:cs="Arial"/>
          <w:b/>
          <w:bCs/>
          <w:color w:val="000000"/>
          <w:sz w:val="22"/>
          <w:szCs w:val="22"/>
        </w:rPr>
        <w:t>A)</w:t>
      </w:r>
      <w:r w:rsidRPr="00BB303F">
        <w:rPr>
          <w:rFonts w:cs="Arial"/>
          <w:color w:val="000000"/>
          <w:sz w:val="22"/>
          <w:szCs w:val="22"/>
        </w:rPr>
        <w:t xml:space="preserve"> Que mediante el oficio </w:t>
      </w:r>
      <w:r w:rsidR="00F571F7">
        <w:rPr>
          <w:rFonts w:cs="Arial"/>
          <w:color w:val="000000"/>
          <w:sz w:val="22"/>
          <w:szCs w:val="22"/>
        </w:rPr>
        <w:t>GG</w:t>
      </w:r>
      <w:r>
        <w:rPr>
          <w:rFonts w:cs="Arial"/>
          <w:color w:val="000000"/>
          <w:sz w:val="22"/>
          <w:szCs w:val="22"/>
        </w:rPr>
        <w:t>-ME-</w:t>
      </w:r>
      <w:r w:rsidR="00F571F7">
        <w:rPr>
          <w:rFonts w:cs="Arial"/>
          <w:color w:val="000000"/>
          <w:sz w:val="22"/>
          <w:szCs w:val="22"/>
        </w:rPr>
        <w:t>1331</w:t>
      </w:r>
      <w:r>
        <w:rPr>
          <w:rFonts w:cs="Arial"/>
          <w:color w:val="000000"/>
          <w:sz w:val="22"/>
          <w:szCs w:val="22"/>
        </w:rPr>
        <w:t xml:space="preserve">-2019 del </w:t>
      </w:r>
      <w:r w:rsidR="00F571F7">
        <w:rPr>
          <w:rFonts w:cs="Arial"/>
          <w:color w:val="000000"/>
          <w:sz w:val="22"/>
          <w:szCs w:val="22"/>
        </w:rPr>
        <w:t>18</w:t>
      </w:r>
      <w:r>
        <w:rPr>
          <w:rFonts w:cs="Arial"/>
          <w:color w:val="000000"/>
          <w:sz w:val="22"/>
          <w:szCs w:val="22"/>
        </w:rPr>
        <w:t xml:space="preserve"> de </w:t>
      </w:r>
      <w:r w:rsidR="00F571F7">
        <w:rPr>
          <w:rFonts w:cs="Arial"/>
          <w:color w:val="000000"/>
          <w:sz w:val="22"/>
          <w:szCs w:val="22"/>
        </w:rPr>
        <w:t>diciembre</w:t>
      </w:r>
      <w:r>
        <w:rPr>
          <w:rFonts w:cs="Arial"/>
          <w:color w:val="000000"/>
          <w:sz w:val="22"/>
          <w:szCs w:val="22"/>
        </w:rPr>
        <w:t xml:space="preserve"> de 2019, </w:t>
      </w:r>
      <w:r w:rsidRPr="00BB303F">
        <w:rPr>
          <w:rFonts w:cs="Arial"/>
          <w:color w:val="000000"/>
          <w:sz w:val="22"/>
          <w:szCs w:val="22"/>
        </w:rPr>
        <w:t xml:space="preserve">la </w:t>
      </w:r>
      <w:r w:rsidR="00F571F7" w:rsidRPr="00F571F7">
        <w:rPr>
          <w:rFonts w:cs="Arial"/>
          <w:color w:val="000000"/>
          <w:sz w:val="22"/>
          <w:szCs w:val="22"/>
          <w:lang w:val="es-ES_tradnl"/>
        </w:rPr>
        <w:t>Gerencia General</w:t>
      </w:r>
      <w:r w:rsidRPr="00BB303F">
        <w:rPr>
          <w:rFonts w:cs="Arial"/>
          <w:color w:val="000000"/>
          <w:sz w:val="22"/>
          <w:szCs w:val="22"/>
        </w:rPr>
        <w:t xml:space="preserve"> remite a esta Junta Directiva, con su respectivo aval, el informe DFNV-ME-04</w:t>
      </w:r>
      <w:r w:rsidR="00F571F7">
        <w:rPr>
          <w:rFonts w:cs="Arial"/>
          <w:color w:val="000000"/>
          <w:sz w:val="22"/>
          <w:szCs w:val="22"/>
        </w:rPr>
        <w:t>85</w:t>
      </w:r>
      <w:r w:rsidRPr="00BB303F">
        <w:rPr>
          <w:rFonts w:cs="Arial"/>
          <w:color w:val="000000"/>
          <w:sz w:val="22"/>
          <w:szCs w:val="22"/>
        </w:rPr>
        <w:t>-201</w:t>
      </w:r>
      <w:r w:rsidR="00F571F7">
        <w:rPr>
          <w:rFonts w:cs="Arial"/>
          <w:color w:val="000000"/>
          <w:sz w:val="22"/>
          <w:szCs w:val="22"/>
        </w:rPr>
        <w:t>9</w:t>
      </w:r>
      <w:r w:rsidRPr="00BB303F">
        <w:rPr>
          <w:rFonts w:cs="Arial"/>
          <w:color w:val="000000"/>
          <w:sz w:val="22"/>
          <w:szCs w:val="22"/>
        </w:rPr>
        <w:t xml:space="preserve"> de la Dirección FONAVI, que contiene la propuesta de los Programas de </w:t>
      </w:r>
      <w:r>
        <w:rPr>
          <w:rFonts w:cs="Arial"/>
          <w:color w:val="000000"/>
          <w:sz w:val="22"/>
          <w:szCs w:val="22"/>
        </w:rPr>
        <w:t xml:space="preserve">Colocación de </w:t>
      </w:r>
      <w:r w:rsidRPr="00BB303F">
        <w:rPr>
          <w:rFonts w:cs="Arial"/>
          <w:color w:val="000000"/>
          <w:sz w:val="22"/>
          <w:szCs w:val="22"/>
        </w:rPr>
        <w:t>Crédito y el Plan Anual de Captaciones a ejecutar por el BANHVI en el año 20</w:t>
      </w:r>
      <w:r w:rsidR="00F571F7">
        <w:rPr>
          <w:rFonts w:cs="Arial"/>
          <w:color w:val="000000"/>
          <w:sz w:val="22"/>
          <w:szCs w:val="22"/>
        </w:rPr>
        <w:t>20</w:t>
      </w:r>
      <w:r w:rsidRPr="00BB303F">
        <w:rPr>
          <w:rFonts w:cs="Arial"/>
          <w:color w:val="000000"/>
          <w:sz w:val="22"/>
          <w:szCs w:val="22"/>
        </w:rPr>
        <w:t>, así como los principales resultados generados por la estrategia de colocación de crédito y captación de recursos propuesta.</w:t>
      </w:r>
    </w:p>
    <w:p w14:paraId="3B096554" w14:textId="77777777" w:rsidR="0095348E" w:rsidRPr="00BB303F" w:rsidRDefault="0095348E" w:rsidP="0095348E">
      <w:pPr>
        <w:spacing w:line="360" w:lineRule="auto"/>
        <w:jc w:val="both"/>
        <w:rPr>
          <w:rFonts w:cs="Arial"/>
          <w:color w:val="000000"/>
          <w:sz w:val="22"/>
          <w:szCs w:val="22"/>
        </w:rPr>
      </w:pPr>
    </w:p>
    <w:p w14:paraId="72810AA6" w14:textId="4030F52B" w:rsidR="0095348E" w:rsidRPr="00BB303F" w:rsidRDefault="0095348E" w:rsidP="0095348E">
      <w:pPr>
        <w:spacing w:line="360" w:lineRule="auto"/>
        <w:jc w:val="both"/>
        <w:rPr>
          <w:rFonts w:cs="Arial"/>
          <w:color w:val="000000"/>
          <w:sz w:val="22"/>
          <w:szCs w:val="22"/>
        </w:rPr>
      </w:pPr>
      <w:r w:rsidRPr="00BB303F">
        <w:rPr>
          <w:rFonts w:cs="Arial"/>
          <w:b/>
          <w:bCs/>
          <w:color w:val="000000"/>
          <w:sz w:val="22"/>
          <w:szCs w:val="22"/>
        </w:rPr>
        <w:t>B)</w:t>
      </w:r>
      <w:r w:rsidRPr="00BB303F">
        <w:rPr>
          <w:rFonts w:cs="Arial"/>
          <w:color w:val="000000"/>
          <w:sz w:val="22"/>
          <w:szCs w:val="22"/>
        </w:rPr>
        <w:t xml:space="preserve"> Que con vista de la información suministrada por la Administración y del análisis realizado al respecto, esta Junta Directiva no encuentra objeción en aprobar los referidos programas, en los mismos términos propuestos en el documento adjunto al oficio DFNV-ME-04</w:t>
      </w:r>
      <w:r w:rsidR="00F571F7">
        <w:rPr>
          <w:rFonts w:cs="Arial"/>
          <w:color w:val="000000"/>
          <w:sz w:val="22"/>
          <w:szCs w:val="22"/>
        </w:rPr>
        <w:t>85</w:t>
      </w:r>
      <w:r w:rsidRPr="00BB303F">
        <w:rPr>
          <w:rFonts w:cs="Arial"/>
          <w:color w:val="000000"/>
          <w:sz w:val="22"/>
          <w:szCs w:val="22"/>
        </w:rPr>
        <w:t>-201</w:t>
      </w:r>
      <w:r w:rsidR="00F571F7">
        <w:rPr>
          <w:rFonts w:cs="Arial"/>
          <w:color w:val="000000"/>
          <w:sz w:val="22"/>
          <w:szCs w:val="22"/>
        </w:rPr>
        <w:t>9</w:t>
      </w:r>
      <w:r>
        <w:rPr>
          <w:rFonts w:cs="Arial"/>
          <w:color w:val="000000"/>
          <w:sz w:val="22"/>
          <w:szCs w:val="22"/>
        </w:rPr>
        <w:t xml:space="preserve"> de la Dirección FONAVI.</w:t>
      </w:r>
    </w:p>
    <w:p w14:paraId="5B8278EA" w14:textId="77777777" w:rsidR="0095348E" w:rsidRPr="00BB303F" w:rsidRDefault="0095348E" w:rsidP="0095348E">
      <w:pPr>
        <w:spacing w:line="360" w:lineRule="auto"/>
        <w:jc w:val="both"/>
        <w:rPr>
          <w:rFonts w:cs="Arial"/>
          <w:color w:val="000000"/>
          <w:sz w:val="22"/>
          <w:szCs w:val="22"/>
        </w:rPr>
      </w:pPr>
    </w:p>
    <w:p w14:paraId="37659787" w14:textId="77777777" w:rsidR="0095348E" w:rsidRPr="00BB303F" w:rsidRDefault="0095348E" w:rsidP="0095348E">
      <w:pPr>
        <w:spacing w:line="360" w:lineRule="auto"/>
        <w:jc w:val="both"/>
        <w:rPr>
          <w:rFonts w:cs="Arial"/>
          <w:b/>
          <w:sz w:val="22"/>
          <w:szCs w:val="22"/>
        </w:rPr>
      </w:pPr>
      <w:r w:rsidRPr="00BB303F">
        <w:rPr>
          <w:rFonts w:cs="Arial"/>
          <w:b/>
          <w:sz w:val="22"/>
          <w:szCs w:val="22"/>
        </w:rPr>
        <w:t>Por tanto, se acuerda:</w:t>
      </w:r>
    </w:p>
    <w:p w14:paraId="4F72ECCF" w14:textId="77777777" w:rsidR="0095348E" w:rsidRPr="00BB303F" w:rsidRDefault="0095348E" w:rsidP="0095348E">
      <w:pPr>
        <w:spacing w:line="360" w:lineRule="auto"/>
        <w:jc w:val="both"/>
        <w:rPr>
          <w:rFonts w:cs="Arial"/>
          <w:sz w:val="22"/>
          <w:szCs w:val="22"/>
        </w:rPr>
      </w:pPr>
      <w:r w:rsidRPr="00BB303F">
        <w:rPr>
          <w:rFonts w:cs="Arial"/>
          <w:b/>
          <w:sz w:val="22"/>
          <w:szCs w:val="22"/>
        </w:rPr>
        <w:t>PRIMERO:</w:t>
      </w:r>
      <w:r w:rsidRPr="00BB303F">
        <w:rPr>
          <w:rFonts w:cs="Arial"/>
          <w:sz w:val="22"/>
          <w:szCs w:val="22"/>
        </w:rPr>
        <w:t xml:space="preserve"> Aprobar los siguientes:</w:t>
      </w:r>
    </w:p>
    <w:p w14:paraId="06F3A814" w14:textId="77777777" w:rsidR="0095348E" w:rsidRPr="00BB303F" w:rsidRDefault="0095348E" w:rsidP="0095348E">
      <w:pPr>
        <w:spacing w:line="360" w:lineRule="auto"/>
        <w:jc w:val="both"/>
        <w:rPr>
          <w:rFonts w:cs="Arial"/>
          <w:sz w:val="22"/>
          <w:szCs w:val="22"/>
        </w:rPr>
      </w:pPr>
    </w:p>
    <w:p w14:paraId="4C83C9CD" w14:textId="77777777" w:rsidR="0095348E" w:rsidRPr="00BB303F" w:rsidRDefault="0095348E" w:rsidP="0095348E">
      <w:pPr>
        <w:spacing w:line="360" w:lineRule="auto"/>
        <w:jc w:val="center"/>
        <w:rPr>
          <w:rFonts w:cs="Arial"/>
          <w:b/>
          <w:sz w:val="22"/>
          <w:szCs w:val="22"/>
          <w:u w:val="single"/>
        </w:rPr>
      </w:pPr>
      <w:r w:rsidRPr="00BB303F">
        <w:rPr>
          <w:rFonts w:cs="Arial"/>
          <w:b/>
          <w:sz w:val="22"/>
          <w:szCs w:val="22"/>
          <w:u w:val="single"/>
        </w:rPr>
        <w:lastRenderedPageBreak/>
        <w:t>PROGRAMAS DE COLOCACIÓN DE CRÉDITO DEL FONAVI</w:t>
      </w:r>
    </w:p>
    <w:p w14:paraId="76E1A2B3" w14:textId="6628CD26" w:rsidR="0095348E" w:rsidRPr="00BB303F" w:rsidRDefault="0095348E" w:rsidP="0095348E">
      <w:pPr>
        <w:spacing w:line="360" w:lineRule="auto"/>
        <w:jc w:val="center"/>
        <w:rPr>
          <w:rFonts w:cs="Arial"/>
          <w:sz w:val="22"/>
          <w:szCs w:val="22"/>
        </w:rPr>
      </w:pPr>
      <w:r w:rsidRPr="00BB303F">
        <w:rPr>
          <w:rFonts w:cs="Arial"/>
          <w:b/>
          <w:sz w:val="22"/>
          <w:szCs w:val="22"/>
          <w:u w:val="single"/>
        </w:rPr>
        <w:t>PARA EL AÑO 20</w:t>
      </w:r>
      <w:r w:rsidR="00FC793E">
        <w:rPr>
          <w:rFonts w:cs="Arial"/>
          <w:b/>
          <w:sz w:val="22"/>
          <w:szCs w:val="22"/>
          <w:u w:val="single"/>
        </w:rPr>
        <w:t>20</w:t>
      </w:r>
    </w:p>
    <w:p w14:paraId="492B9614" w14:textId="77777777" w:rsidR="0095348E" w:rsidRPr="00BB303F" w:rsidRDefault="0095348E" w:rsidP="0095348E">
      <w:pPr>
        <w:pStyle w:val="Textoindependiente"/>
        <w:ind w:right="0"/>
        <w:rPr>
          <w:rFonts w:cs="Arial"/>
          <w:szCs w:val="22"/>
        </w:rPr>
      </w:pPr>
    </w:p>
    <w:p w14:paraId="28294A38" w14:textId="77777777" w:rsidR="0095348E" w:rsidRPr="00BB303F" w:rsidRDefault="0095348E" w:rsidP="0095348E">
      <w:pPr>
        <w:pStyle w:val="Textoindependiente"/>
        <w:spacing w:line="240" w:lineRule="auto"/>
        <w:ind w:right="0"/>
        <w:rPr>
          <w:rFonts w:cs="Arial"/>
          <w:b/>
          <w:bCs/>
          <w:szCs w:val="22"/>
        </w:rPr>
      </w:pPr>
      <w:r w:rsidRPr="00BB303F">
        <w:rPr>
          <w:rFonts w:cs="Arial"/>
          <w:b/>
          <w:bCs/>
          <w:szCs w:val="22"/>
        </w:rPr>
        <w:t>I.   PROGRAMA DE CRÉDITO DE LARGO PLAZO EN COLONES</w:t>
      </w:r>
    </w:p>
    <w:p w14:paraId="53110EB9" w14:textId="77777777" w:rsidR="0095348E" w:rsidRPr="00BB303F" w:rsidRDefault="0095348E" w:rsidP="0095348E">
      <w:pPr>
        <w:jc w:val="both"/>
        <w:rPr>
          <w:rFonts w:cs="Arial"/>
          <w:sz w:val="22"/>
          <w:szCs w:val="22"/>
          <w:lang w:val="es-ES_tradnl"/>
        </w:rPr>
      </w:pPr>
    </w:p>
    <w:p w14:paraId="506EBAE1" w14:textId="77777777" w:rsidR="0095348E" w:rsidRPr="00BB303F" w:rsidRDefault="0095348E" w:rsidP="0095348E">
      <w:pPr>
        <w:jc w:val="both"/>
        <w:rPr>
          <w:rFonts w:cs="Arial"/>
          <w:sz w:val="22"/>
          <w:szCs w:val="22"/>
          <w:lang w:val="es-ES_tradnl"/>
        </w:rPr>
      </w:pPr>
      <w:r w:rsidRPr="00BB303F">
        <w:rPr>
          <w:rFonts w:cs="Arial"/>
          <w:sz w:val="22"/>
          <w:szCs w:val="22"/>
          <w:lang w:val="es-ES_tradnl"/>
        </w:rPr>
        <w:t xml:space="preserve">Las condiciones para el </w:t>
      </w:r>
      <w:r w:rsidRPr="00BB303F">
        <w:rPr>
          <w:rFonts w:cs="Arial"/>
          <w:b/>
          <w:sz w:val="22"/>
          <w:szCs w:val="22"/>
          <w:u w:val="single"/>
          <w:lang w:val="es-ES_tradnl"/>
        </w:rPr>
        <w:t>Programa de Crédito de Largo Plazo en Colones</w:t>
      </w:r>
      <w:r w:rsidRPr="00BB303F">
        <w:rPr>
          <w:rFonts w:cs="Arial"/>
          <w:sz w:val="22"/>
          <w:szCs w:val="22"/>
          <w:lang w:val="es-ES_tradnl"/>
        </w:rPr>
        <w:t>, sea ejecutado mediante crédito convencional o mediante de línea de crédito, son las que se detallan a continuación:</w:t>
      </w:r>
    </w:p>
    <w:p w14:paraId="43042440" w14:textId="77777777" w:rsidR="0095348E" w:rsidRPr="00BB303F" w:rsidRDefault="0095348E" w:rsidP="0095348E">
      <w:pPr>
        <w:jc w:val="both"/>
        <w:rPr>
          <w:rFonts w:cs="Arial"/>
          <w:sz w:val="22"/>
          <w:szCs w:val="22"/>
          <w:lang w:val="es-ES_tradnl"/>
        </w:rPr>
      </w:pPr>
    </w:p>
    <w:p w14:paraId="10EF9547" w14:textId="1C798CA6" w:rsidR="0095348E" w:rsidRDefault="0095348E" w:rsidP="0095348E">
      <w:pPr>
        <w:numPr>
          <w:ilvl w:val="0"/>
          <w:numId w:val="19"/>
        </w:numPr>
        <w:tabs>
          <w:tab w:val="num" w:pos="426"/>
        </w:tabs>
        <w:ind w:left="426" w:hanging="426"/>
        <w:jc w:val="both"/>
        <w:rPr>
          <w:rFonts w:cs="Arial"/>
          <w:sz w:val="22"/>
          <w:szCs w:val="22"/>
          <w:lang w:val="es-ES_tradnl"/>
        </w:rPr>
      </w:pPr>
      <w:r w:rsidRPr="00BB303F">
        <w:rPr>
          <w:rFonts w:cs="Arial"/>
          <w:b/>
          <w:sz w:val="22"/>
          <w:szCs w:val="22"/>
          <w:lang w:val="es-ES_tradnl"/>
        </w:rPr>
        <w:t>Plan de inversión</w:t>
      </w:r>
      <w:r w:rsidRPr="00BB303F">
        <w:rPr>
          <w:rFonts w:cs="Arial"/>
          <w:sz w:val="22"/>
          <w:szCs w:val="22"/>
          <w:lang w:val="es-ES_tradnl"/>
        </w:rPr>
        <w:t>: Financiamiento de soluciones individuales de vivienda</w:t>
      </w:r>
      <w:r>
        <w:rPr>
          <w:rFonts w:cs="Arial"/>
          <w:sz w:val="22"/>
          <w:szCs w:val="22"/>
          <w:lang w:val="es-ES_tradnl"/>
        </w:rPr>
        <w:t>,</w:t>
      </w:r>
      <w:r w:rsidRPr="00BB303F">
        <w:rPr>
          <w:rFonts w:cs="Arial"/>
          <w:sz w:val="22"/>
          <w:szCs w:val="22"/>
          <w:lang w:val="es-ES_tradnl"/>
        </w:rPr>
        <w:t xml:space="preserve"> bajo las modalidades de compra de vivienda, compra de lote, compra de lote y construcción, construcción de vivienda en lote propio, reparaciones, ampliaciones y mejoras y cancelación de hipotecas originadas en créditos de vivienda.  El monto máximo de cada solución habitacional financiada –incluyendo el terreno y la construcción– será equivalente al de las viviendas que están exentas del pago del impuesto previsto en la Ley del Impuesto Solidario para el Fortalecimiento de Programas de Vivienda y su Reglamento, el cual se ajusta anualmente. En caso de que el crédito sea para compra de lote, el valor del inmueble financiado podrá ser</w:t>
      </w:r>
      <w:r>
        <w:rPr>
          <w:rFonts w:cs="Arial"/>
          <w:sz w:val="22"/>
          <w:szCs w:val="22"/>
          <w:lang w:val="es-ES_tradnl"/>
        </w:rPr>
        <w:t>,</w:t>
      </w:r>
      <w:r w:rsidRPr="00BB303F">
        <w:rPr>
          <w:rFonts w:cs="Arial"/>
          <w:sz w:val="22"/>
          <w:szCs w:val="22"/>
          <w:lang w:val="es-ES_tradnl"/>
        </w:rPr>
        <w:t xml:space="preserve"> como máximo</w:t>
      </w:r>
      <w:r>
        <w:rPr>
          <w:rFonts w:cs="Arial"/>
          <w:sz w:val="22"/>
          <w:szCs w:val="22"/>
          <w:lang w:val="es-ES_tradnl"/>
        </w:rPr>
        <w:t>,</w:t>
      </w:r>
      <w:r w:rsidRPr="00BB303F">
        <w:rPr>
          <w:rFonts w:cs="Arial"/>
          <w:sz w:val="22"/>
          <w:szCs w:val="22"/>
          <w:lang w:val="es-ES_tradnl"/>
        </w:rPr>
        <w:t xml:space="preserve"> el 40% del monto indicado.</w:t>
      </w:r>
      <w:r w:rsidR="00791A55">
        <w:rPr>
          <w:rFonts w:cs="Arial"/>
          <w:sz w:val="22"/>
          <w:szCs w:val="22"/>
          <w:lang w:val="es-ES_tradnl"/>
        </w:rPr>
        <w:t xml:space="preserve"> En caso de que el crédito sea para compra de lote, el valor del inmueble financiado podrá ser como máximo el 40% del monto indicado.</w:t>
      </w:r>
    </w:p>
    <w:p w14:paraId="523E7918" w14:textId="77777777" w:rsidR="0095348E" w:rsidRDefault="0095348E" w:rsidP="0095348E">
      <w:pPr>
        <w:ind w:left="426"/>
        <w:jc w:val="both"/>
        <w:rPr>
          <w:rFonts w:cs="Arial"/>
          <w:b/>
          <w:sz w:val="22"/>
          <w:szCs w:val="22"/>
          <w:lang w:val="es-ES_tradnl"/>
        </w:rPr>
      </w:pPr>
    </w:p>
    <w:p w14:paraId="41B85F51" w14:textId="77777777" w:rsidR="0095348E" w:rsidRPr="00DF7A17" w:rsidRDefault="0095348E" w:rsidP="0095348E">
      <w:pPr>
        <w:ind w:left="426"/>
        <w:jc w:val="both"/>
        <w:rPr>
          <w:rFonts w:cs="Arial"/>
          <w:sz w:val="22"/>
          <w:szCs w:val="22"/>
          <w:lang w:val="es-ES_tradnl"/>
        </w:rPr>
      </w:pPr>
      <w:r w:rsidRPr="00DF7A17">
        <w:rPr>
          <w:rFonts w:cs="Arial"/>
          <w:sz w:val="22"/>
          <w:szCs w:val="22"/>
          <w:lang w:val="es-ES_tradnl"/>
        </w:rPr>
        <w:t xml:space="preserve">Al menos </w:t>
      </w:r>
      <w:r>
        <w:rPr>
          <w:rFonts w:cs="Arial"/>
          <w:sz w:val="22"/>
          <w:szCs w:val="22"/>
          <w:lang w:val="es-ES_tradnl"/>
        </w:rPr>
        <w:t>el 10% de los recursos colocados en créditos para vivienda, deberá ser dirigido a personas jóvenes entre los dieciocho y treinta y cinco años de edad.</w:t>
      </w:r>
    </w:p>
    <w:p w14:paraId="592D78D8" w14:textId="77777777" w:rsidR="0095348E" w:rsidRPr="00BB303F" w:rsidRDefault="0095348E" w:rsidP="0095348E">
      <w:pPr>
        <w:ind w:left="426"/>
        <w:jc w:val="both"/>
        <w:rPr>
          <w:rFonts w:cs="Arial"/>
          <w:sz w:val="22"/>
          <w:szCs w:val="22"/>
          <w:lang w:val="es-ES_tradnl"/>
        </w:rPr>
      </w:pPr>
    </w:p>
    <w:p w14:paraId="4081EF2E" w14:textId="77777777" w:rsidR="0095348E" w:rsidRPr="00BB303F" w:rsidRDefault="0095348E" w:rsidP="0095348E">
      <w:pPr>
        <w:numPr>
          <w:ilvl w:val="0"/>
          <w:numId w:val="19"/>
        </w:numPr>
        <w:tabs>
          <w:tab w:val="num" w:pos="426"/>
        </w:tabs>
        <w:ind w:left="426" w:hanging="426"/>
        <w:jc w:val="both"/>
        <w:rPr>
          <w:rFonts w:cs="Arial"/>
          <w:sz w:val="22"/>
          <w:szCs w:val="22"/>
          <w:lang w:val="es-ES_tradnl"/>
        </w:rPr>
      </w:pPr>
      <w:r w:rsidRPr="00BB303F">
        <w:rPr>
          <w:rFonts w:cs="Arial"/>
          <w:b/>
          <w:bCs/>
          <w:sz w:val="22"/>
          <w:szCs w:val="22"/>
          <w:lang w:val="es-ES_tradnl"/>
        </w:rPr>
        <w:t xml:space="preserve">Moneda: </w:t>
      </w:r>
      <w:r w:rsidRPr="00BB303F">
        <w:rPr>
          <w:rFonts w:cs="Arial"/>
          <w:sz w:val="22"/>
          <w:szCs w:val="22"/>
          <w:lang w:val="es-ES_tradnl"/>
        </w:rPr>
        <w:t>Colones.</w:t>
      </w:r>
    </w:p>
    <w:p w14:paraId="53C18317" w14:textId="77777777" w:rsidR="0095348E" w:rsidRPr="00BB303F" w:rsidRDefault="0095348E" w:rsidP="0095348E">
      <w:pPr>
        <w:ind w:left="708"/>
        <w:rPr>
          <w:rFonts w:cs="Arial"/>
          <w:sz w:val="22"/>
          <w:szCs w:val="22"/>
          <w:vertAlign w:val="superscript"/>
          <w:lang w:val="es-ES_tradnl"/>
        </w:rPr>
      </w:pPr>
    </w:p>
    <w:p w14:paraId="41CED8DB" w14:textId="1BE1B606" w:rsidR="0095348E" w:rsidRPr="00BB303F" w:rsidRDefault="0095348E" w:rsidP="0095348E">
      <w:pPr>
        <w:numPr>
          <w:ilvl w:val="0"/>
          <w:numId w:val="19"/>
        </w:numPr>
        <w:tabs>
          <w:tab w:val="num" w:pos="426"/>
        </w:tabs>
        <w:ind w:left="426" w:hanging="426"/>
        <w:jc w:val="both"/>
        <w:rPr>
          <w:rFonts w:cs="Arial"/>
          <w:sz w:val="22"/>
          <w:szCs w:val="22"/>
          <w:lang w:val="es-ES_tradnl"/>
        </w:rPr>
      </w:pPr>
      <w:r w:rsidRPr="00BB303F">
        <w:rPr>
          <w:rFonts w:cs="Arial"/>
          <w:b/>
          <w:sz w:val="22"/>
          <w:szCs w:val="22"/>
          <w:lang w:val="es-ES_tradnl"/>
        </w:rPr>
        <w:t xml:space="preserve">Tasa de interés </w:t>
      </w:r>
      <w:r>
        <w:rPr>
          <w:rFonts w:cs="Arial"/>
          <w:b/>
          <w:sz w:val="22"/>
          <w:szCs w:val="22"/>
          <w:lang w:val="es-ES_tradnl"/>
        </w:rPr>
        <w:t>corriente</w:t>
      </w:r>
      <w:r w:rsidRPr="00BB303F">
        <w:rPr>
          <w:rFonts w:cs="Arial"/>
          <w:sz w:val="22"/>
          <w:szCs w:val="22"/>
          <w:lang w:val="es-ES_tradnl"/>
        </w:rPr>
        <w:t xml:space="preserve">: </w:t>
      </w:r>
      <w:r w:rsidRPr="00BB303F">
        <w:rPr>
          <w:rFonts w:cs="Arial"/>
          <w:color w:val="000000"/>
          <w:sz w:val="22"/>
          <w:szCs w:val="22"/>
          <w:lang w:val="es-ES_tradnl"/>
        </w:rPr>
        <w:t>Tasa Básica</w:t>
      </w:r>
      <w:r w:rsidR="00501437">
        <w:rPr>
          <w:rFonts w:cs="Arial"/>
          <w:color w:val="000000"/>
          <w:sz w:val="22"/>
          <w:szCs w:val="22"/>
          <w:lang w:val="es-ES_tradnl"/>
        </w:rPr>
        <w:t xml:space="preserve"> Pasiva</w:t>
      </w:r>
      <w:r>
        <w:rPr>
          <w:rFonts w:cs="Arial"/>
          <w:color w:val="000000"/>
          <w:sz w:val="22"/>
          <w:szCs w:val="22"/>
          <w:lang w:val="es-ES_tradnl"/>
        </w:rPr>
        <w:t xml:space="preserve"> </w:t>
      </w:r>
      <w:r w:rsidRPr="00BB303F">
        <w:rPr>
          <w:rFonts w:cs="Arial"/>
          <w:color w:val="000000"/>
          <w:sz w:val="22"/>
          <w:szCs w:val="22"/>
          <w:lang w:val="es-ES_tradnl"/>
        </w:rPr>
        <w:t>(TB</w:t>
      </w:r>
      <w:r w:rsidR="00501437">
        <w:rPr>
          <w:rFonts w:cs="Arial"/>
          <w:color w:val="000000"/>
          <w:sz w:val="22"/>
          <w:szCs w:val="22"/>
          <w:lang w:val="es-ES_tradnl"/>
        </w:rPr>
        <w:t>P</w:t>
      </w:r>
      <w:r w:rsidRPr="00BB303F">
        <w:rPr>
          <w:rFonts w:cs="Arial"/>
          <w:color w:val="000000"/>
          <w:sz w:val="22"/>
          <w:szCs w:val="22"/>
          <w:lang w:val="es-ES_tradnl"/>
        </w:rPr>
        <w:t xml:space="preserve">) calculada por el Banco Central de Costa Rica más </w:t>
      </w:r>
      <w:r w:rsidR="00501437">
        <w:rPr>
          <w:rFonts w:cs="Arial"/>
          <w:color w:val="000000"/>
          <w:sz w:val="22"/>
          <w:szCs w:val="22"/>
          <w:lang w:val="es-ES_tradnl"/>
        </w:rPr>
        <w:t>2</w:t>
      </w:r>
      <w:r w:rsidRPr="00BB303F">
        <w:rPr>
          <w:rFonts w:cs="Arial"/>
          <w:color w:val="000000"/>
          <w:sz w:val="22"/>
          <w:szCs w:val="22"/>
          <w:lang w:val="es-ES_tradnl"/>
        </w:rPr>
        <w:t>.</w:t>
      </w:r>
      <w:r>
        <w:rPr>
          <w:rFonts w:cs="Arial"/>
          <w:color w:val="000000"/>
          <w:sz w:val="22"/>
          <w:szCs w:val="22"/>
          <w:lang w:val="es-ES_tradnl"/>
        </w:rPr>
        <w:t>0</w:t>
      </w:r>
      <w:r w:rsidRPr="00BB303F">
        <w:rPr>
          <w:rFonts w:cs="Arial"/>
          <w:color w:val="000000"/>
          <w:sz w:val="22"/>
          <w:szCs w:val="22"/>
          <w:lang w:val="es-ES_tradnl"/>
        </w:rPr>
        <w:t>0 puntos porcentuales en caso de Entidades sujetas al requerimiento de Encaje Mínimo Legal y TB</w:t>
      </w:r>
      <w:r w:rsidR="00501437">
        <w:rPr>
          <w:rFonts w:cs="Arial"/>
          <w:color w:val="000000"/>
          <w:sz w:val="22"/>
          <w:szCs w:val="22"/>
          <w:lang w:val="es-ES_tradnl"/>
        </w:rPr>
        <w:t>P</w:t>
      </w:r>
      <w:r w:rsidRPr="00BB303F">
        <w:rPr>
          <w:rFonts w:cs="Arial"/>
          <w:color w:val="000000"/>
          <w:sz w:val="22"/>
          <w:szCs w:val="22"/>
          <w:lang w:val="es-ES_tradnl"/>
        </w:rPr>
        <w:t xml:space="preserve"> más </w:t>
      </w:r>
      <w:r w:rsidR="00501437">
        <w:rPr>
          <w:rFonts w:cs="Arial"/>
          <w:color w:val="000000"/>
          <w:sz w:val="22"/>
          <w:szCs w:val="22"/>
          <w:lang w:val="es-ES_tradnl"/>
        </w:rPr>
        <w:t>2</w:t>
      </w:r>
      <w:r w:rsidRPr="00BB303F">
        <w:rPr>
          <w:rFonts w:cs="Arial"/>
          <w:color w:val="000000"/>
          <w:sz w:val="22"/>
          <w:szCs w:val="22"/>
          <w:lang w:val="es-ES_tradnl"/>
        </w:rPr>
        <w:t>.</w:t>
      </w:r>
      <w:r>
        <w:rPr>
          <w:rFonts w:cs="Arial"/>
          <w:color w:val="000000"/>
          <w:sz w:val="22"/>
          <w:szCs w:val="22"/>
          <w:lang w:val="es-ES_tradnl"/>
        </w:rPr>
        <w:t>25</w:t>
      </w:r>
      <w:r w:rsidRPr="00BB303F">
        <w:rPr>
          <w:rFonts w:cs="Arial"/>
          <w:color w:val="000000"/>
          <w:sz w:val="22"/>
          <w:szCs w:val="22"/>
          <w:lang w:val="es-ES_tradnl"/>
        </w:rPr>
        <w:t xml:space="preserve"> puntos porcentuales para el resto de las Entidades, ajustable mensualmente.</w:t>
      </w:r>
    </w:p>
    <w:p w14:paraId="376218AF" w14:textId="77777777" w:rsidR="0095348E" w:rsidRPr="00BB303F" w:rsidRDefault="0095348E" w:rsidP="0095348E">
      <w:pPr>
        <w:tabs>
          <w:tab w:val="num" w:pos="426"/>
        </w:tabs>
        <w:ind w:left="426"/>
        <w:jc w:val="both"/>
        <w:rPr>
          <w:rFonts w:cs="Arial"/>
          <w:sz w:val="22"/>
          <w:szCs w:val="22"/>
          <w:lang w:val="es-ES_tradnl"/>
        </w:rPr>
      </w:pPr>
    </w:p>
    <w:p w14:paraId="4959C438" w14:textId="77777777" w:rsidR="0095348E" w:rsidRPr="00BB303F" w:rsidRDefault="0095348E" w:rsidP="0095348E">
      <w:pPr>
        <w:numPr>
          <w:ilvl w:val="0"/>
          <w:numId w:val="19"/>
        </w:numPr>
        <w:tabs>
          <w:tab w:val="num" w:pos="426"/>
        </w:tabs>
        <w:ind w:left="426" w:hanging="426"/>
        <w:jc w:val="both"/>
        <w:rPr>
          <w:rFonts w:cs="Arial"/>
          <w:sz w:val="22"/>
          <w:szCs w:val="22"/>
          <w:lang w:val="es-ES_tradnl"/>
        </w:rPr>
      </w:pPr>
      <w:r w:rsidRPr="00BB303F">
        <w:rPr>
          <w:rFonts w:cs="Arial"/>
          <w:b/>
          <w:sz w:val="22"/>
          <w:szCs w:val="22"/>
          <w:lang w:val="es-ES_tradnl"/>
        </w:rPr>
        <w:t>Tasa de interés moratoria:</w:t>
      </w:r>
      <w:r w:rsidRPr="00BB303F">
        <w:rPr>
          <w:rFonts w:cs="Arial"/>
          <w:sz w:val="22"/>
          <w:szCs w:val="22"/>
          <w:lang w:val="es-ES_tradnl"/>
        </w:rPr>
        <w:t xml:space="preserve"> Equivalente a la tasa de interés corriente más dos puntos porcentuales.  En caso de que ese valor exceda al límite del 30% que establece el artículo 498 del Código de Comercio, se ajustará al nivel máximo factible</w:t>
      </w:r>
      <w:r>
        <w:rPr>
          <w:rFonts w:cs="Arial"/>
          <w:sz w:val="22"/>
          <w:szCs w:val="22"/>
          <w:lang w:val="es-ES_tradnl"/>
        </w:rPr>
        <w:t>,</w:t>
      </w:r>
      <w:r w:rsidRPr="00BB303F">
        <w:rPr>
          <w:rFonts w:cs="Arial"/>
          <w:sz w:val="22"/>
          <w:szCs w:val="22"/>
          <w:lang w:val="es-ES_tradnl"/>
        </w:rPr>
        <w:t xml:space="preserve"> sin que llegue a exceder el límite de referencia.</w:t>
      </w:r>
    </w:p>
    <w:p w14:paraId="13C97F99" w14:textId="77777777" w:rsidR="0095348E" w:rsidRPr="00BB303F" w:rsidRDefault="0095348E" w:rsidP="0095348E">
      <w:pPr>
        <w:tabs>
          <w:tab w:val="num" w:pos="426"/>
        </w:tabs>
        <w:jc w:val="both"/>
        <w:rPr>
          <w:rFonts w:cs="Arial"/>
          <w:sz w:val="22"/>
          <w:szCs w:val="22"/>
          <w:lang w:val="es-ES_tradnl"/>
        </w:rPr>
      </w:pPr>
    </w:p>
    <w:p w14:paraId="3430CF99" w14:textId="77777777" w:rsidR="0095348E" w:rsidRPr="00BB303F" w:rsidRDefault="0095348E" w:rsidP="0095348E">
      <w:pPr>
        <w:numPr>
          <w:ilvl w:val="0"/>
          <w:numId w:val="19"/>
        </w:numPr>
        <w:tabs>
          <w:tab w:val="num" w:pos="426"/>
        </w:tabs>
        <w:ind w:left="426" w:hanging="426"/>
        <w:jc w:val="both"/>
        <w:rPr>
          <w:rFonts w:cs="Arial"/>
          <w:sz w:val="22"/>
          <w:szCs w:val="22"/>
          <w:lang w:val="es-ES_tradnl"/>
        </w:rPr>
      </w:pPr>
      <w:r w:rsidRPr="00BB303F">
        <w:rPr>
          <w:rFonts w:cs="Arial"/>
          <w:b/>
          <w:sz w:val="22"/>
          <w:szCs w:val="22"/>
          <w:lang w:val="es-ES_tradnl"/>
        </w:rPr>
        <w:t>Comisión de formalización</w:t>
      </w:r>
      <w:r w:rsidRPr="00BB303F">
        <w:rPr>
          <w:rFonts w:cs="Arial"/>
          <w:sz w:val="22"/>
          <w:szCs w:val="22"/>
          <w:lang w:val="es-ES_tradnl"/>
        </w:rPr>
        <w:t>: Uno por ciento (</w:t>
      </w:r>
      <w:r w:rsidRPr="00BB303F">
        <w:rPr>
          <w:rFonts w:cs="Arial"/>
          <w:color w:val="000000"/>
          <w:sz w:val="22"/>
          <w:szCs w:val="22"/>
          <w:lang w:val="es-ES_tradnl"/>
        </w:rPr>
        <w:t>1%) sobre el monto desembolsado.</w:t>
      </w:r>
    </w:p>
    <w:p w14:paraId="4F98F134" w14:textId="77777777" w:rsidR="0095348E" w:rsidRPr="00BB303F" w:rsidRDefault="0095348E" w:rsidP="0095348E">
      <w:pPr>
        <w:tabs>
          <w:tab w:val="num" w:pos="426"/>
        </w:tabs>
        <w:jc w:val="both"/>
        <w:rPr>
          <w:rFonts w:cs="Arial"/>
          <w:sz w:val="22"/>
          <w:szCs w:val="22"/>
          <w:lang w:val="es-ES_tradnl"/>
        </w:rPr>
      </w:pPr>
    </w:p>
    <w:p w14:paraId="396A42D0" w14:textId="77777777" w:rsidR="0095348E" w:rsidRPr="00BB303F" w:rsidRDefault="0095348E" w:rsidP="0095348E">
      <w:pPr>
        <w:numPr>
          <w:ilvl w:val="0"/>
          <w:numId w:val="19"/>
        </w:numPr>
        <w:tabs>
          <w:tab w:val="num" w:pos="426"/>
        </w:tabs>
        <w:ind w:left="426" w:hanging="426"/>
        <w:jc w:val="both"/>
        <w:rPr>
          <w:rFonts w:cs="Arial"/>
          <w:sz w:val="22"/>
          <w:szCs w:val="22"/>
          <w:lang w:val="es-ES_tradnl"/>
        </w:rPr>
      </w:pPr>
      <w:r w:rsidRPr="00BB303F">
        <w:rPr>
          <w:rFonts w:cs="Arial"/>
          <w:b/>
          <w:sz w:val="22"/>
          <w:szCs w:val="22"/>
          <w:lang w:val="es-ES_tradnl"/>
        </w:rPr>
        <w:t>Comisión por pago anticipado:</w:t>
      </w:r>
      <w:r w:rsidRPr="00BB303F">
        <w:rPr>
          <w:rFonts w:cs="Arial"/>
          <w:sz w:val="22"/>
          <w:szCs w:val="22"/>
          <w:lang w:val="es-ES_tradnl"/>
        </w:rPr>
        <w:t xml:space="preserve"> Tres por ciento (</w:t>
      </w:r>
      <w:r w:rsidRPr="00BB303F">
        <w:rPr>
          <w:rFonts w:cs="Arial"/>
          <w:color w:val="000000"/>
          <w:sz w:val="22"/>
          <w:szCs w:val="22"/>
          <w:lang w:val="es-ES_tradnl"/>
        </w:rPr>
        <w:t>3%) sobre el monto del pago extraordinario durante los primeros cinco años del plazo del financiamiento.  Esta condición no será aplicada en aquellos casos en que la entidad autorizada se comprometa contractualmente a no incorporar el cobro de comisión por pago anticipado en las operaciones de crédito formalizadas con los recursos del BANHVI.</w:t>
      </w:r>
      <w:r w:rsidRPr="00BB303F">
        <w:rPr>
          <w:rFonts w:cs="Arial"/>
          <w:sz w:val="22"/>
          <w:szCs w:val="22"/>
          <w:lang w:val="es-ES_tradnl"/>
        </w:rPr>
        <w:t xml:space="preserve"> </w:t>
      </w:r>
    </w:p>
    <w:p w14:paraId="3C92071F" w14:textId="77777777" w:rsidR="0095348E" w:rsidRPr="00BB303F" w:rsidRDefault="0095348E" w:rsidP="0095348E">
      <w:pPr>
        <w:tabs>
          <w:tab w:val="num" w:pos="426"/>
        </w:tabs>
        <w:jc w:val="both"/>
        <w:rPr>
          <w:rFonts w:cs="Arial"/>
          <w:sz w:val="22"/>
          <w:szCs w:val="22"/>
          <w:lang w:val="es-ES_tradnl"/>
        </w:rPr>
      </w:pPr>
    </w:p>
    <w:p w14:paraId="4927F6C5" w14:textId="77777777" w:rsidR="0095348E" w:rsidRPr="00BB303F" w:rsidRDefault="0095348E" w:rsidP="0095348E">
      <w:pPr>
        <w:numPr>
          <w:ilvl w:val="0"/>
          <w:numId w:val="19"/>
        </w:numPr>
        <w:tabs>
          <w:tab w:val="num" w:pos="426"/>
        </w:tabs>
        <w:ind w:left="426" w:hanging="426"/>
        <w:jc w:val="both"/>
        <w:rPr>
          <w:rFonts w:cs="Arial"/>
          <w:sz w:val="22"/>
          <w:szCs w:val="22"/>
          <w:lang w:val="es-ES_tradnl"/>
        </w:rPr>
      </w:pPr>
      <w:r w:rsidRPr="00BB303F">
        <w:rPr>
          <w:rFonts w:cs="Arial"/>
          <w:b/>
          <w:sz w:val="22"/>
          <w:szCs w:val="22"/>
          <w:lang w:val="es-ES_tradnl"/>
        </w:rPr>
        <w:t>Plazo del financiamiento</w:t>
      </w:r>
      <w:r w:rsidRPr="00BB303F">
        <w:rPr>
          <w:rFonts w:cs="Arial"/>
          <w:sz w:val="22"/>
          <w:szCs w:val="22"/>
          <w:lang w:val="es-ES_tradnl"/>
        </w:rPr>
        <w:t>: Máximo de 15 años.</w:t>
      </w:r>
    </w:p>
    <w:p w14:paraId="1D32BA7C" w14:textId="77777777" w:rsidR="0095348E" w:rsidRPr="00BB303F" w:rsidRDefault="0095348E" w:rsidP="0095348E">
      <w:pPr>
        <w:ind w:left="708"/>
        <w:rPr>
          <w:rFonts w:cs="Arial"/>
          <w:sz w:val="22"/>
          <w:szCs w:val="22"/>
          <w:lang w:val="es-ES_tradnl"/>
        </w:rPr>
      </w:pPr>
    </w:p>
    <w:p w14:paraId="3E28F57F" w14:textId="77777777" w:rsidR="0095348E" w:rsidRPr="00BB303F" w:rsidRDefault="0095348E" w:rsidP="0095348E">
      <w:pPr>
        <w:numPr>
          <w:ilvl w:val="0"/>
          <w:numId w:val="19"/>
        </w:numPr>
        <w:tabs>
          <w:tab w:val="num" w:pos="426"/>
        </w:tabs>
        <w:ind w:left="426" w:hanging="426"/>
        <w:jc w:val="both"/>
        <w:rPr>
          <w:rFonts w:cs="Arial"/>
          <w:sz w:val="22"/>
          <w:szCs w:val="22"/>
          <w:lang w:val="es-ES_tradnl"/>
        </w:rPr>
      </w:pPr>
      <w:r w:rsidRPr="00BB303F">
        <w:rPr>
          <w:rFonts w:cs="Arial"/>
          <w:b/>
          <w:sz w:val="22"/>
          <w:szCs w:val="22"/>
          <w:lang w:val="es-ES_tradnl"/>
        </w:rPr>
        <w:t>Forma de pago</w:t>
      </w:r>
      <w:r w:rsidRPr="00BB303F">
        <w:rPr>
          <w:rFonts w:cs="Arial"/>
          <w:sz w:val="22"/>
          <w:szCs w:val="22"/>
          <w:lang w:val="es-ES_tradnl"/>
        </w:rPr>
        <w:t>: Cuotas mensuales niveladas por mes vencido.</w:t>
      </w:r>
    </w:p>
    <w:p w14:paraId="445EE9CB" w14:textId="77777777" w:rsidR="0095348E" w:rsidRPr="00BB303F" w:rsidRDefault="0095348E" w:rsidP="0095348E">
      <w:pPr>
        <w:tabs>
          <w:tab w:val="num" w:pos="426"/>
        </w:tabs>
        <w:jc w:val="both"/>
        <w:rPr>
          <w:rFonts w:cs="Arial"/>
          <w:sz w:val="22"/>
          <w:szCs w:val="22"/>
          <w:lang w:val="es-ES_tradnl"/>
        </w:rPr>
      </w:pPr>
    </w:p>
    <w:p w14:paraId="083BF6BA" w14:textId="77777777" w:rsidR="0095348E" w:rsidRPr="00BB303F" w:rsidRDefault="0095348E" w:rsidP="0095348E">
      <w:pPr>
        <w:numPr>
          <w:ilvl w:val="0"/>
          <w:numId w:val="19"/>
        </w:numPr>
        <w:tabs>
          <w:tab w:val="num" w:pos="426"/>
        </w:tabs>
        <w:ind w:left="426" w:hanging="426"/>
        <w:jc w:val="both"/>
        <w:rPr>
          <w:rFonts w:cs="Arial"/>
          <w:sz w:val="22"/>
          <w:szCs w:val="22"/>
          <w:lang w:val="es-ES_tradnl"/>
        </w:rPr>
      </w:pPr>
      <w:r w:rsidRPr="00BB303F">
        <w:rPr>
          <w:rFonts w:cs="Arial"/>
          <w:b/>
          <w:sz w:val="22"/>
          <w:szCs w:val="22"/>
          <w:lang w:val="es-ES_tradnl"/>
        </w:rPr>
        <w:lastRenderedPageBreak/>
        <w:t>Monto máximo del crédito</w:t>
      </w:r>
      <w:r w:rsidRPr="00BB303F">
        <w:rPr>
          <w:rFonts w:cs="Arial"/>
          <w:sz w:val="22"/>
          <w:szCs w:val="22"/>
          <w:lang w:val="es-ES_tradnl"/>
        </w:rPr>
        <w:t>: El monto máximo de los créditos otorgados</w:t>
      </w:r>
      <w:r>
        <w:rPr>
          <w:rFonts w:cs="Arial"/>
          <w:sz w:val="22"/>
          <w:szCs w:val="22"/>
          <w:lang w:val="es-ES_tradnl"/>
        </w:rPr>
        <w:t>,</w:t>
      </w:r>
      <w:r w:rsidRPr="00BB303F">
        <w:rPr>
          <w:rFonts w:cs="Arial"/>
          <w:sz w:val="22"/>
          <w:szCs w:val="22"/>
          <w:lang w:val="es-ES_tradnl"/>
        </w:rPr>
        <w:t xml:space="preserve"> se establece en función de la capacidad de pago de las Entidades solicitantes y contemplando el límite de operaciones activas establecido de conformidad con la Ley Nº 7558 y el oficio SUGEF-2046-20080443 de la Superintendencia General de Entidades Financieras.</w:t>
      </w:r>
    </w:p>
    <w:p w14:paraId="7F74F936" w14:textId="77777777" w:rsidR="0095348E" w:rsidRPr="00BB303F" w:rsidRDefault="0095348E" w:rsidP="0095348E">
      <w:pPr>
        <w:ind w:left="708"/>
        <w:rPr>
          <w:rFonts w:cs="Arial"/>
          <w:b/>
          <w:sz w:val="22"/>
          <w:szCs w:val="22"/>
          <w:lang w:val="es-ES_tradnl"/>
        </w:rPr>
      </w:pPr>
    </w:p>
    <w:p w14:paraId="45897CEF" w14:textId="77777777" w:rsidR="0095348E" w:rsidRPr="00BB303F" w:rsidRDefault="0095348E" w:rsidP="0095348E">
      <w:pPr>
        <w:numPr>
          <w:ilvl w:val="0"/>
          <w:numId w:val="19"/>
        </w:numPr>
        <w:tabs>
          <w:tab w:val="num" w:pos="426"/>
        </w:tabs>
        <w:ind w:left="426" w:hanging="426"/>
        <w:jc w:val="both"/>
        <w:rPr>
          <w:rFonts w:cs="Arial"/>
          <w:sz w:val="22"/>
          <w:szCs w:val="22"/>
          <w:lang w:val="es-ES_tradnl"/>
        </w:rPr>
      </w:pPr>
      <w:r w:rsidRPr="00BB303F">
        <w:rPr>
          <w:rFonts w:cs="Arial"/>
          <w:b/>
          <w:sz w:val="22"/>
          <w:szCs w:val="22"/>
          <w:lang w:val="es-ES_tradnl"/>
        </w:rPr>
        <w:t xml:space="preserve">Tipo de Garantías: </w:t>
      </w:r>
      <w:r w:rsidRPr="00BB303F">
        <w:rPr>
          <w:rFonts w:cs="Arial"/>
          <w:sz w:val="22"/>
          <w:szCs w:val="22"/>
          <w:lang w:val="es-ES_tradnl"/>
        </w:rPr>
        <w:t>Alternativas incorporadas en el “Reglamento de los Programas de Crédito y Avales del Fondo Nacional para la Vivienda del Banco Hipotecario de la Vivienda” vigente.</w:t>
      </w:r>
    </w:p>
    <w:p w14:paraId="468AC174" w14:textId="77777777" w:rsidR="0095348E" w:rsidRPr="00BB303F" w:rsidRDefault="0095348E" w:rsidP="0095348E">
      <w:pPr>
        <w:tabs>
          <w:tab w:val="num" w:pos="720"/>
        </w:tabs>
        <w:jc w:val="both"/>
        <w:rPr>
          <w:rFonts w:cs="Arial"/>
          <w:sz w:val="22"/>
          <w:szCs w:val="22"/>
          <w:lang w:val="es-ES_tradnl"/>
        </w:rPr>
      </w:pPr>
    </w:p>
    <w:p w14:paraId="542C56CE" w14:textId="7E64ACA1" w:rsidR="0095348E" w:rsidRPr="00BB303F" w:rsidRDefault="0095348E" w:rsidP="0095348E">
      <w:pPr>
        <w:numPr>
          <w:ilvl w:val="0"/>
          <w:numId w:val="19"/>
        </w:numPr>
        <w:tabs>
          <w:tab w:val="num" w:pos="426"/>
        </w:tabs>
        <w:ind w:left="426" w:hanging="426"/>
        <w:jc w:val="both"/>
        <w:rPr>
          <w:rFonts w:cs="Arial"/>
          <w:sz w:val="22"/>
          <w:szCs w:val="22"/>
          <w:lang w:val="es-ES_tradnl"/>
        </w:rPr>
      </w:pPr>
      <w:r w:rsidRPr="00BB303F">
        <w:rPr>
          <w:rFonts w:cs="Arial"/>
          <w:b/>
          <w:sz w:val="22"/>
          <w:szCs w:val="22"/>
          <w:lang w:val="es-ES_tradnl"/>
        </w:rPr>
        <w:t>Monto global del programa</w:t>
      </w:r>
      <w:r w:rsidRPr="00BB303F">
        <w:rPr>
          <w:rFonts w:cs="Arial"/>
          <w:sz w:val="22"/>
          <w:szCs w:val="22"/>
          <w:lang w:val="es-ES_tradnl"/>
        </w:rPr>
        <w:t>: ¢</w:t>
      </w:r>
      <w:r w:rsidR="000E25C5">
        <w:rPr>
          <w:rFonts w:cs="Arial"/>
          <w:sz w:val="22"/>
          <w:szCs w:val="22"/>
          <w:lang w:val="es-ES_tradnl"/>
        </w:rPr>
        <w:t>25</w:t>
      </w:r>
      <w:r w:rsidRPr="00BB303F">
        <w:rPr>
          <w:rFonts w:cs="Arial"/>
          <w:sz w:val="22"/>
          <w:szCs w:val="22"/>
          <w:lang w:val="es-ES_tradnl"/>
        </w:rPr>
        <w:t>.000 millones.</w:t>
      </w:r>
    </w:p>
    <w:p w14:paraId="440B0A9B" w14:textId="77777777" w:rsidR="0095348E" w:rsidRPr="00BB303F" w:rsidRDefault="0095348E" w:rsidP="0095348E">
      <w:pPr>
        <w:ind w:left="708"/>
        <w:rPr>
          <w:rFonts w:cs="Arial"/>
          <w:sz w:val="22"/>
          <w:szCs w:val="22"/>
          <w:lang w:val="es-ES_tradnl"/>
        </w:rPr>
      </w:pPr>
    </w:p>
    <w:p w14:paraId="76A2BA1E" w14:textId="77777777" w:rsidR="0095348E" w:rsidRPr="00BB303F" w:rsidRDefault="0095348E" w:rsidP="0095348E">
      <w:pPr>
        <w:tabs>
          <w:tab w:val="num" w:pos="426"/>
        </w:tabs>
        <w:jc w:val="both"/>
        <w:rPr>
          <w:rFonts w:cs="Arial"/>
          <w:sz w:val="22"/>
          <w:szCs w:val="22"/>
          <w:lang w:val="es-ES_tradnl"/>
        </w:rPr>
      </w:pPr>
      <w:r w:rsidRPr="00BB303F">
        <w:rPr>
          <w:rFonts w:cs="Arial"/>
          <w:sz w:val="22"/>
          <w:szCs w:val="22"/>
          <w:lang w:val="es-ES_tradnl"/>
        </w:rPr>
        <w:t>Adicionalmente, en el caso de financiamiento mediante línea de crédito, se aplicarán las siguientes condiciones:</w:t>
      </w:r>
    </w:p>
    <w:p w14:paraId="5BCAFA9F" w14:textId="77777777" w:rsidR="0095348E" w:rsidRPr="00BB303F" w:rsidRDefault="0095348E" w:rsidP="0095348E">
      <w:pPr>
        <w:tabs>
          <w:tab w:val="num" w:pos="426"/>
        </w:tabs>
        <w:ind w:left="426"/>
        <w:jc w:val="both"/>
        <w:rPr>
          <w:rFonts w:cs="Arial"/>
          <w:sz w:val="22"/>
          <w:szCs w:val="22"/>
          <w:lang w:val="es-ES_tradnl"/>
        </w:rPr>
      </w:pPr>
      <w:r w:rsidRPr="00BB303F">
        <w:rPr>
          <w:rFonts w:cs="Arial"/>
          <w:sz w:val="22"/>
          <w:szCs w:val="22"/>
          <w:lang w:val="es-ES_tradnl"/>
        </w:rPr>
        <w:t xml:space="preserve"> </w:t>
      </w:r>
    </w:p>
    <w:p w14:paraId="14FD8AFE" w14:textId="77777777" w:rsidR="0095348E" w:rsidRPr="00BB303F" w:rsidRDefault="0095348E" w:rsidP="0095348E">
      <w:pPr>
        <w:numPr>
          <w:ilvl w:val="0"/>
          <w:numId w:val="19"/>
        </w:numPr>
        <w:tabs>
          <w:tab w:val="num" w:pos="426"/>
        </w:tabs>
        <w:ind w:left="426" w:hanging="426"/>
        <w:jc w:val="both"/>
        <w:rPr>
          <w:rFonts w:cs="Arial"/>
          <w:sz w:val="22"/>
          <w:szCs w:val="22"/>
          <w:lang w:val="es-ES_tradnl"/>
        </w:rPr>
      </w:pPr>
      <w:r w:rsidRPr="00BB303F">
        <w:rPr>
          <w:rFonts w:cs="Arial"/>
          <w:b/>
          <w:sz w:val="22"/>
          <w:szCs w:val="22"/>
          <w:lang w:val="es-ES_tradnl"/>
        </w:rPr>
        <w:t xml:space="preserve">Tipo de línea de crédito: </w:t>
      </w:r>
      <w:proofErr w:type="spellStart"/>
      <w:r w:rsidRPr="00BB303F">
        <w:rPr>
          <w:rFonts w:cs="Arial"/>
          <w:sz w:val="22"/>
          <w:szCs w:val="22"/>
          <w:lang w:val="es-ES_tradnl"/>
        </w:rPr>
        <w:t>Revolutiva</w:t>
      </w:r>
      <w:proofErr w:type="spellEnd"/>
      <w:r w:rsidRPr="00BB303F">
        <w:rPr>
          <w:rFonts w:cs="Arial"/>
          <w:sz w:val="22"/>
          <w:szCs w:val="22"/>
          <w:lang w:val="es-ES_tradnl"/>
        </w:rPr>
        <w:t xml:space="preserve">, sin compromiso de desembolso y sujeta al límite de operaciones activas vigente. </w:t>
      </w:r>
    </w:p>
    <w:p w14:paraId="5DC9F4F5" w14:textId="77777777" w:rsidR="0095348E" w:rsidRPr="00BB303F" w:rsidRDefault="0095348E" w:rsidP="0095348E">
      <w:pPr>
        <w:tabs>
          <w:tab w:val="num" w:pos="426"/>
        </w:tabs>
        <w:ind w:left="426"/>
        <w:jc w:val="both"/>
        <w:rPr>
          <w:rFonts w:cs="Arial"/>
          <w:sz w:val="22"/>
          <w:szCs w:val="22"/>
          <w:lang w:val="es-ES_tradnl"/>
        </w:rPr>
      </w:pPr>
    </w:p>
    <w:p w14:paraId="27C74E2C" w14:textId="77777777" w:rsidR="0095348E" w:rsidRPr="00BB303F" w:rsidRDefault="0095348E" w:rsidP="0095348E">
      <w:pPr>
        <w:numPr>
          <w:ilvl w:val="0"/>
          <w:numId w:val="19"/>
        </w:numPr>
        <w:tabs>
          <w:tab w:val="num" w:pos="426"/>
        </w:tabs>
        <w:ind w:left="426" w:hanging="426"/>
        <w:jc w:val="both"/>
        <w:rPr>
          <w:rFonts w:cs="Arial"/>
          <w:sz w:val="22"/>
          <w:szCs w:val="22"/>
          <w:lang w:val="es-ES_tradnl"/>
        </w:rPr>
      </w:pPr>
      <w:r w:rsidRPr="00BB303F">
        <w:rPr>
          <w:rFonts w:cs="Arial"/>
          <w:b/>
          <w:sz w:val="22"/>
          <w:szCs w:val="22"/>
          <w:lang w:val="es-ES_tradnl"/>
        </w:rPr>
        <w:t>Plazo de la línea de crédito:</w:t>
      </w:r>
      <w:r w:rsidRPr="00BB303F">
        <w:rPr>
          <w:rFonts w:cs="Arial"/>
          <w:sz w:val="22"/>
          <w:szCs w:val="22"/>
          <w:lang w:val="es-ES_tradnl"/>
        </w:rPr>
        <w:t xml:space="preserve"> 20 años; el plazo de los subpréstamos que se formalicen al amparo de la línea de crédito será como máximo de 15 años y no podrá superar el plazo máximo de la línea de crédito.</w:t>
      </w:r>
    </w:p>
    <w:p w14:paraId="240EA86E" w14:textId="77777777" w:rsidR="0095348E" w:rsidRPr="00BB303F" w:rsidRDefault="0095348E" w:rsidP="0095348E">
      <w:pPr>
        <w:tabs>
          <w:tab w:val="num" w:pos="426"/>
        </w:tabs>
        <w:ind w:left="426"/>
        <w:jc w:val="both"/>
        <w:rPr>
          <w:rFonts w:cs="Arial"/>
          <w:sz w:val="22"/>
          <w:szCs w:val="22"/>
          <w:lang w:val="es-ES_tradnl"/>
        </w:rPr>
      </w:pPr>
    </w:p>
    <w:p w14:paraId="61605183" w14:textId="52445386" w:rsidR="0095348E" w:rsidRDefault="0095348E" w:rsidP="0095348E">
      <w:pPr>
        <w:rPr>
          <w:rFonts w:cs="Arial"/>
          <w:sz w:val="22"/>
          <w:szCs w:val="22"/>
          <w:lang w:val="es-ES_tradnl"/>
        </w:rPr>
      </w:pPr>
    </w:p>
    <w:p w14:paraId="2245143F" w14:textId="7131ED52" w:rsidR="00270F04" w:rsidRDefault="00270F04" w:rsidP="0095348E">
      <w:pPr>
        <w:rPr>
          <w:rFonts w:cs="Arial"/>
          <w:sz w:val="22"/>
          <w:szCs w:val="22"/>
          <w:lang w:val="es-ES_tradnl"/>
        </w:rPr>
      </w:pPr>
      <w:r w:rsidRPr="00BB303F">
        <w:rPr>
          <w:rFonts w:cs="Arial"/>
          <w:b/>
          <w:caps/>
          <w:sz w:val="22"/>
          <w:szCs w:val="22"/>
          <w:lang w:val="es-ES_tradnl"/>
        </w:rPr>
        <w:t xml:space="preserve">II.   Programa </w:t>
      </w:r>
      <w:r>
        <w:rPr>
          <w:rFonts w:cs="Arial"/>
          <w:b/>
          <w:caps/>
          <w:sz w:val="22"/>
          <w:szCs w:val="22"/>
          <w:lang w:val="es-ES_tradnl"/>
        </w:rPr>
        <w:t xml:space="preserve">INTEGRAL </w:t>
      </w:r>
      <w:r w:rsidRPr="00BB303F">
        <w:rPr>
          <w:rFonts w:cs="Arial"/>
          <w:b/>
          <w:caps/>
          <w:sz w:val="22"/>
          <w:szCs w:val="22"/>
          <w:lang w:val="es-ES_tradnl"/>
        </w:rPr>
        <w:t xml:space="preserve">de </w:t>
      </w:r>
      <w:r>
        <w:rPr>
          <w:rFonts w:cs="Arial"/>
          <w:b/>
          <w:caps/>
          <w:sz w:val="22"/>
          <w:szCs w:val="22"/>
          <w:lang w:val="es-ES_tradnl"/>
        </w:rPr>
        <w:t>FINANCIAMIENTO PARA FAMILIAS DE INGRESOS MEDIOS</w:t>
      </w:r>
    </w:p>
    <w:p w14:paraId="60D51601" w14:textId="69BA1BB9" w:rsidR="00270F04" w:rsidRPr="00C2582E" w:rsidRDefault="00270F04" w:rsidP="0095348E">
      <w:pPr>
        <w:rPr>
          <w:rFonts w:cs="Arial"/>
          <w:sz w:val="22"/>
          <w:szCs w:val="22"/>
          <w:lang w:val="es-ES_tradnl"/>
        </w:rPr>
      </w:pPr>
    </w:p>
    <w:p w14:paraId="3D6E544D" w14:textId="62F2305B" w:rsidR="00C2582E" w:rsidRPr="00C2582E" w:rsidRDefault="00C2582E" w:rsidP="00C2582E">
      <w:pPr>
        <w:jc w:val="both"/>
        <w:rPr>
          <w:rFonts w:cs="Arial"/>
          <w:sz w:val="22"/>
          <w:szCs w:val="22"/>
        </w:rPr>
      </w:pPr>
      <w:r w:rsidRPr="00C2582E">
        <w:rPr>
          <w:rFonts w:cs="Arial"/>
          <w:sz w:val="22"/>
          <w:szCs w:val="22"/>
        </w:rPr>
        <w:t xml:space="preserve">Las condiciones para el </w:t>
      </w:r>
      <w:r w:rsidRPr="00C2582E">
        <w:rPr>
          <w:rFonts w:cs="Arial"/>
          <w:sz w:val="22"/>
          <w:szCs w:val="22"/>
          <w:u w:val="single"/>
        </w:rPr>
        <w:t>Programa Integral de Financiamiento para Familias de Ingresos Medios</w:t>
      </w:r>
      <w:r>
        <w:rPr>
          <w:rFonts w:cs="Arial"/>
          <w:sz w:val="22"/>
          <w:szCs w:val="22"/>
        </w:rPr>
        <w:t xml:space="preserve">, </w:t>
      </w:r>
      <w:r w:rsidRPr="00C2582E">
        <w:rPr>
          <w:rFonts w:cs="Arial"/>
          <w:sz w:val="22"/>
          <w:szCs w:val="22"/>
        </w:rPr>
        <w:t>son las que se detallan a continuación:</w:t>
      </w:r>
    </w:p>
    <w:p w14:paraId="4CA4F021" w14:textId="77777777" w:rsidR="00C2582E" w:rsidRPr="00C2582E" w:rsidRDefault="00C2582E" w:rsidP="00C2582E">
      <w:pPr>
        <w:ind w:left="360"/>
        <w:jc w:val="both"/>
        <w:rPr>
          <w:rFonts w:cs="Arial"/>
          <w:sz w:val="22"/>
          <w:szCs w:val="22"/>
        </w:rPr>
      </w:pPr>
    </w:p>
    <w:p w14:paraId="6E9CF9E0" w14:textId="77777777" w:rsidR="00C2582E" w:rsidRPr="00C2582E" w:rsidRDefault="00C2582E" w:rsidP="00C2582E">
      <w:pPr>
        <w:numPr>
          <w:ilvl w:val="0"/>
          <w:numId w:val="25"/>
        </w:numPr>
        <w:tabs>
          <w:tab w:val="clear" w:pos="720"/>
          <w:tab w:val="num" w:pos="360"/>
        </w:tabs>
        <w:ind w:left="360"/>
        <w:jc w:val="both"/>
        <w:rPr>
          <w:rFonts w:cs="Arial"/>
          <w:sz w:val="22"/>
          <w:szCs w:val="22"/>
        </w:rPr>
      </w:pPr>
      <w:r w:rsidRPr="00C2582E">
        <w:rPr>
          <w:rFonts w:cs="Arial"/>
          <w:b/>
          <w:sz w:val="22"/>
          <w:szCs w:val="22"/>
        </w:rPr>
        <w:t>Plan de inversión</w:t>
      </w:r>
      <w:r w:rsidRPr="00C2582E">
        <w:rPr>
          <w:rFonts w:cs="Arial"/>
          <w:sz w:val="22"/>
          <w:szCs w:val="22"/>
        </w:rPr>
        <w:t xml:space="preserve">:  Financiamiento de soluciones individuales de vivienda, bajo las modalidades de compra de vivienda, compra de lote y construcción y construcción de vivienda en lote propio.  </w:t>
      </w:r>
    </w:p>
    <w:p w14:paraId="172B090E" w14:textId="77777777" w:rsidR="00C2582E" w:rsidRPr="00C2582E" w:rsidRDefault="00C2582E" w:rsidP="00C2582E">
      <w:pPr>
        <w:pStyle w:val="Prrafodelista"/>
        <w:rPr>
          <w:rFonts w:cs="Arial"/>
          <w:sz w:val="22"/>
          <w:szCs w:val="22"/>
        </w:rPr>
      </w:pPr>
    </w:p>
    <w:p w14:paraId="6907092B" w14:textId="77777777" w:rsidR="00C2582E" w:rsidRPr="00C2582E" w:rsidRDefault="00C2582E" w:rsidP="00C2582E">
      <w:pPr>
        <w:pStyle w:val="Prrafodelista"/>
        <w:ind w:left="284"/>
        <w:jc w:val="both"/>
        <w:rPr>
          <w:rFonts w:cs="Arial"/>
          <w:sz w:val="22"/>
          <w:szCs w:val="22"/>
        </w:rPr>
      </w:pPr>
      <w:r w:rsidRPr="00C2582E">
        <w:rPr>
          <w:rFonts w:cs="Arial"/>
          <w:sz w:val="22"/>
          <w:szCs w:val="22"/>
        </w:rPr>
        <w:t xml:space="preserve">En los casos en los que el plan de inversión es el de construcción en lote propio y el lote fue adquirido mediante un crédito hipotecario que se mantiene vigente con condiciones menos favorables a las del Programa, será factible la cancelación de la hipoteca original bajo las siguientes condiciones: </w:t>
      </w:r>
    </w:p>
    <w:p w14:paraId="4DF7A178" w14:textId="77777777" w:rsidR="00C2582E" w:rsidRPr="00C2582E" w:rsidRDefault="00C2582E" w:rsidP="00C2582E">
      <w:pPr>
        <w:pStyle w:val="Prrafodelista"/>
        <w:ind w:left="284"/>
        <w:jc w:val="both"/>
        <w:rPr>
          <w:rFonts w:cs="Arial"/>
          <w:sz w:val="22"/>
          <w:szCs w:val="22"/>
        </w:rPr>
      </w:pPr>
    </w:p>
    <w:p w14:paraId="2FFA532F" w14:textId="77777777" w:rsidR="00C2582E" w:rsidRPr="00C2582E" w:rsidRDefault="00C2582E" w:rsidP="00C2582E">
      <w:pPr>
        <w:pStyle w:val="Prrafodelista"/>
        <w:numPr>
          <w:ilvl w:val="0"/>
          <w:numId w:val="26"/>
        </w:numPr>
        <w:jc w:val="both"/>
        <w:rPr>
          <w:rFonts w:cs="Arial"/>
          <w:sz w:val="22"/>
          <w:szCs w:val="22"/>
        </w:rPr>
      </w:pPr>
      <w:r w:rsidRPr="00C2582E">
        <w:rPr>
          <w:rFonts w:cs="Arial"/>
          <w:sz w:val="22"/>
          <w:szCs w:val="22"/>
        </w:rPr>
        <w:t>La verificación de que el origen del gravamen existente está relacionado con un objetivo de vivienda.</w:t>
      </w:r>
    </w:p>
    <w:p w14:paraId="3155FCB4" w14:textId="77777777" w:rsidR="00C2582E" w:rsidRPr="00C2582E" w:rsidRDefault="00C2582E" w:rsidP="00C2582E">
      <w:pPr>
        <w:pStyle w:val="Prrafodelista"/>
        <w:numPr>
          <w:ilvl w:val="0"/>
          <w:numId w:val="26"/>
        </w:numPr>
        <w:jc w:val="both"/>
        <w:rPr>
          <w:rFonts w:cs="Arial"/>
          <w:sz w:val="22"/>
          <w:szCs w:val="22"/>
        </w:rPr>
      </w:pPr>
      <w:r w:rsidRPr="00C2582E">
        <w:rPr>
          <w:rFonts w:cs="Arial"/>
          <w:sz w:val="22"/>
          <w:szCs w:val="22"/>
        </w:rPr>
        <w:t xml:space="preserve">Los recursos utilizados para la cancelación del gravamen corresponden en su totalidad al crédito que está otorgando la Entidad Autorizada, siendo que los recursos del bono familiar de vivienda no pueden ser utilizados para amortizar total o parcialmente ese gravamen. </w:t>
      </w:r>
    </w:p>
    <w:p w14:paraId="4ACC5BEF" w14:textId="77777777" w:rsidR="00C2582E" w:rsidRPr="00C2582E" w:rsidRDefault="00C2582E" w:rsidP="00C2582E">
      <w:pPr>
        <w:ind w:left="360"/>
        <w:jc w:val="both"/>
        <w:rPr>
          <w:rFonts w:cs="Arial"/>
          <w:color w:val="833C0B"/>
          <w:sz w:val="22"/>
          <w:szCs w:val="22"/>
        </w:rPr>
      </w:pPr>
    </w:p>
    <w:p w14:paraId="1CEFB1CC" w14:textId="77777777" w:rsidR="00C2582E" w:rsidRPr="00C2582E" w:rsidRDefault="00C2582E" w:rsidP="00C2582E">
      <w:pPr>
        <w:numPr>
          <w:ilvl w:val="0"/>
          <w:numId w:val="25"/>
        </w:numPr>
        <w:tabs>
          <w:tab w:val="clear" w:pos="720"/>
          <w:tab w:val="num" w:pos="360"/>
        </w:tabs>
        <w:ind w:left="360"/>
        <w:jc w:val="both"/>
        <w:rPr>
          <w:rFonts w:cs="Arial"/>
          <w:sz w:val="22"/>
          <w:szCs w:val="22"/>
        </w:rPr>
      </w:pPr>
      <w:r w:rsidRPr="00C2582E">
        <w:rPr>
          <w:rFonts w:cs="Arial"/>
          <w:b/>
          <w:sz w:val="22"/>
          <w:szCs w:val="22"/>
        </w:rPr>
        <w:t>Población objetivo:</w:t>
      </w:r>
      <w:r w:rsidRPr="00C2582E">
        <w:rPr>
          <w:rFonts w:cs="Arial"/>
          <w:sz w:val="22"/>
          <w:szCs w:val="22"/>
        </w:rPr>
        <w:t xml:space="preserve"> El programa está dirigido a las familias de los segmentos medios, identificados concretamente como los estratos 1.5 al 6 según la definición de la Ley 7052.</w:t>
      </w:r>
    </w:p>
    <w:p w14:paraId="3284AE03" w14:textId="77777777" w:rsidR="00C2582E" w:rsidRPr="00C2582E" w:rsidRDefault="00C2582E" w:rsidP="00C2582E">
      <w:pPr>
        <w:ind w:left="360"/>
        <w:jc w:val="both"/>
        <w:rPr>
          <w:rFonts w:cs="Arial"/>
          <w:color w:val="833C0B"/>
          <w:sz w:val="22"/>
          <w:szCs w:val="22"/>
        </w:rPr>
      </w:pPr>
    </w:p>
    <w:p w14:paraId="271466D5" w14:textId="77777777" w:rsidR="00C2582E" w:rsidRPr="00C2582E" w:rsidRDefault="00C2582E" w:rsidP="00C2582E">
      <w:pPr>
        <w:numPr>
          <w:ilvl w:val="0"/>
          <w:numId w:val="25"/>
        </w:numPr>
        <w:tabs>
          <w:tab w:val="clear" w:pos="720"/>
          <w:tab w:val="num" w:pos="360"/>
        </w:tabs>
        <w:ind w:left="360"/>
        <w:jc w:val="both"/>
        <w:rPr>
          <w:rFonts w:cs="Arial"/>
          <w:sz w:val="22"/>
          <w:szCs w:val="22"/>
        </w:rPr>
      </w:pPr>
      <w:r w:rsidRPr="00C2582E">
        <w:rPr>
          <w:rFonts w:cs="Arial"/>
          <w:b/>
          <w:sz w:val="22"/>
          <w:szCs w:val="22"/>
        </w:rPr>
        <w:t>Moneda:</w:t>
      </w:r>
      <w:r w:rsidRPr="00C2582E">
        <w:rPr>
          <w:rFonts w:cs="Arial"/>
          <w:sz w:val="22"/>
          <w:szCs w:val="22"/>
        </w:rPr>
        <w:t xml:space="preserve">  Colones</w:t>
      </w:r>
    </w:p>
    <w:p w14:paraId="54B9C6A1" w14:textId="77777777" w:rsidR="00C2582E" w:rsidRPr="00C2582E" w:rsidRDefault="00C2582E" w:rsidP="00C2582E">
      <w:pPr>
        <w:pStyle w:val="Prrafodelista"/>
        <w:rPr>
          <w:rFonts w:cs="Arial"/>
          <w:b/>
          <w:color w:val="833C0B"/>
          <w:sz w:val="22"/>
          <w:szCs w:val="22"/>
        </w:rPr>
      </w:pPr>
    </w:p>
    <w:p w14:paraId="7605F2BD" w14:textId="77777777" w:rsidR="00C2582E" w:rsidRPr="00C2582E" w:rsidRDefault="00C2582E" w:rsidP="00C2582E">
      <w:pPr>
        <w:numPr>
          <w:ilvl w:val="0"/>
          <w:numId w:val="25"/>
        </w:numPr>
        <w:tabs>
          <w:tab w:val="clear" w:pos="720"/>
          <w:tab w:val="num" w:pos="360"/>
        </w:tabs>
        <w:ind w:left="360"/>
        <w:jc w:val="both"/>
        <w:rPr>
          <w:rFonts w:cs="Arial"/>
          <w:sz w:val="22"/>
          <w:szCs w:val="22"/>
        </w:rPr>
      </w:pPr>
      <w:r w:rsidRPr="00C2582E">
        <w:rPr>
          <w:rFonts w:cs="Arial"/>
          <w:b/>
          <w:sz w:val="22"/>
          <w:szCs w:val="22"/>
        </w:rPr>
        <w:lastRenderedPageBreak/>
        <w:t>Tasa de interés corriente</w:t>
      </w:r>
      <w:r w:rsidRPr="00C2582E">
        <w:rPr>
          <w:rFonts w:cs="Arial"/>
          <w:sz w:val="22"/>
          <w:szCs w:val="22"/>
        </w:rPr>
        <w:t xml:space="preserve">:  Tasa Básica Pasiva (TBP) calculada por el Banco Central de Costa Rica menos 1.00 punto porcentual, ajustable mensualmente. </w:t>
      </w:r>
    </w:p>
    <w:p w14:paraId="5D3E3E36" w14:textId="77777777" w:rsidR="00C2582E" w:rsidRPr="00C2582E" w:rsidRDefault="00C2582E" w:rsidP="00C2582E">
      <w:pPr>
        <w:pStyle w:val="Prrafodelista"/>
        <w:rPr>
          <w:rFonts w:cs="Arial"/>
          <w:sz w:val="22"/>
          <w:szCs w:val="22"/>
        </w:rPr>
      </w:pPr>
    </w:p>
    <w:p w14:paraId="37E579B4" w14:textId="5D781F89" w:rsidR="00C2582E" w:rsidRPr="001C1135" w:rsidRDefault="00C2582E" w:rsidP="001C1135">
      <w:pPr>
        <w:numPr>
          <w:ilvl w:val="0"/>
          <w:numId w:val="25"/>
        </w:numPr>
        <w:tabs>
          <w:tab w:val="clear" w:pos="720"/>
          <w:tab w:val="num" w:pos="360"/>
        </w:tabs>
        <w:ind w:left="360"/>
        <w:jc w:val="both"/>
        <w:rPr>
          <w:rFonts w:cs="Arial"/>
          <w:sz w:val="22"/>
          <w:szCs w:val="22"/>
        </w:rPr>
      </w:pPr>
      <w:r w:rsidRPr="001C1135">
        <w:rPr>
          <w:rFonts w:cs="Arial"/>
          <w:b/>
          <w:sz w:val="22"/>
          <w:szCs w:val="22"/>
        </w:rPr>
        <w:t>Tasa de interés moratoria</w:t>
      </w:r>
      <w:r w:rsidRPr="001C1135">
        <w:rPr>
          <w:rFonts w:cs="Arial"/>
          <w:sz w:val="22"/>
          <w:szCs w:val="22"/>
        </w:rPr>
        <w:t>:  Equivalente a la tasa de interés corriente más dos puntos porcentuales.</w:t>
      </w:r>
      <w:r w:rsidR="001C1135" w:rsidRPr="001C1135">
        <w:rPr>
          <w:rFonts w:cs="Arial"/>
          <w:sz w:val="22"/>
          <w:szCs w:val="22"/>
        </w:rPr>
        <w:t xml:space="preserve"> En </w:t>
      </w:r>
      <w:r w:rsidR="001C1135" w:rsidRPr="001C1135">
        <w:rPr>
          <w:rFonts w:cs="Arial"/>
          <w:sz w:val="22"/>
          <w:szCs w:val="22"/>
          <w:lang w:val="es-ES_tradnl"/>
        </w:rPr>
        <w:t>caso de que ese valor exceda al límite del 30% que establece el artículo 498 del Código de Comercio, se ajustará al nivel máximo factible, sin que llegue a exceder el límite de referencia.</w:t>
      </w:r>
      <w:r w:rsidRPr="001C1135">
        <w:rPr>
          <w:rFonts w:cs="Arial"/>
          <w:sz w:val="22"/>
          <w:szCs w:val="22"/>
        </w:rPr>
        <w:t xml:space="preserve"> </w:t>
      </w:r>
    </w:p>
    <w:p w14:paraId="797AD14B" w14:textId="77777777" w:rsidR="00C2582E" w:rsidRPr="00C2582E" w:rsidRDefault="00C2582E" w:rsidP="00C2582E">
      <w:pPr>
        <w:tabs>
          <w:tab w:val="num" w:pos="426"/>
        </w:tabs>
        <w:ind w:right="-160"/>
        <w:jc w:val="both"/>
        <w:rPr>
          <w:rFonts w:cs="Arial"/>
          <w:sz w:val="22"/>
          <w:szCs w:val="22"/>
        </w:rPr>
      </w:pPr>
    </w:p>
    <w:p w14:paraId="77BC2174" w14:textId="002C8E57" w:rsidR="00C2582E" w:rsidRPr="00C2582E" w:rsidRDefault="00C2582E" w:rsidP="00C2582E">
      <w:pPr>
        <w:numPr>
          <w:ilvl w:val="0"/>
          <w:numId w:val="25"/>
        </w:numPr>
        <w:tabs>
          <w:tab w:val="clear" w:pos="720"/>
          <w:tab w:val="num" w:pos="360"/>
          <w:tab w:val="num" w:pos="426"/>
        </w:tabs>
        <w:ind w:left="360" w:right="-160"/>
        <w:jc w:val="both"/>
        <w:rPr>
          <w:rFonts w:cs="Arial"/>
          <w:sz w:val="22"/>
          <w:szCs w:val="22"/>
        </w:rPr>
      </w:pPr>
      <w:r w:rsidRPr="00C2582E">
        <w:rPr>
          <w:rFonts w:cs="Arial"/>
          <w:b/>
          <w:sz w:val="22"/>
          <w:szCs w:val="22"/>
        </w:rPr>
        <w:t>Comisión de formalización</w:t>
      </w:r>
      <w:r w:rsidRPr="00C2582E">
        <w:rPr>
          <w:rFonts w:cs="Arial"/>
          <w:sz w:val="22"/>
          <w:szCs w:val="22"/>
        </w:rPr>
        <w:t>:  Uno por ciento (1%) sobre el monto desembolsado.</w:t>
      </w:r>
      <w:r w:rsidR="001C1135">
        <w:rPr>
          <w:rFonts w:cs="Arial"/>
          <w:sz w:val="22"/>
          <w:szCs w:val="22"/>
        </w:rPr>
        <w:t xml:space="preserve"> Aplica únicamente en el caso de que se realicen nuevos desembolsos de recursos, siendo que para las operaciones vigentes esta comisión ya fue aplicada.</w:t>
      </w:r>
    </w:p>
    <w:p w14:paraId="075C5F0C" w14:textId="77777777" w:rsidR="00C2582E" w:rsidRPr="00C2582E" w:rsidRDefault="00C2582E" w:rsidP="00C2582E">
      <w:pPr>
        <w:tabs>
          <w:tab w:val="num" w:pos="426"/>
        </w:tabs>
        <w:ind w:right="-160"/>
        <w:jc w:val="both"/>
        <w:rPr>
          <w:rFonts w:cs="Arial"/>
          <w:sz w:val="22"/>
          <w:szCs w:val="22"/>
        </w:rPr>
      </w:pPr>
    </w:p>
    <w:p w14:paraId="7DB7053B" w14:textId="634C2B52" w:rsidR="00C2582E" w:rsidRPr="00C2582E" w:rsidRDefault="00C2582E" w:rsidP="00C2582E">
      <w:pPr>
        <w:numPr>
          <w:ilvl w:val="0"/>
          <w:numId w:val="25"/>
        </w:numPr>
        <w:tabs>
          <w:tab w:val="clear" w:pos="720"/>
          <w:tab w:val="num" w:pos="360"/>
          <w:tab w:val="num" w:pos="426"/>
        </w:tabs>
        <w:ind w:left="360" w:right="-160"/>
        <w:jc w:val="both"/>
        <w:rPr>
          <w:rFonts w:cs="Arial"/>
          <w:sz w:val="22"/>
          <w:szCs w:val="22"/>
        </w:rPr>
      </w:pPr>
      <w:r w:rsidRPr="00C2582E">
        <w:rPr>
          <w:rFonts w:cs="Arial"/>
          <w:b/>
          <w:sz w:val="22"/>
          <w:szCs w:val="22"/>
        </w:rPr>
        <w:t>Comisión por pago anticipado:</w:t>
      </w:r>
      <w:r w:rsidRPr="00C2582E">
        <w:rPr>
          <w:rFonts w:cs="Arial"/>
          <w:sz w:val="22"/>
          <w:szCs w:val="22"/>
        </w:rPr>
        <w:t xml:space="preserve">  Tres por ciento (3%) sobre el monto del pago extraordinario durante los primeros 5 años del plazo del financiamiento.</w:t>
      </w:r>
      <w:r w:rsidR="001C1135">
        <w:rPr>
          <w:rFonts w:cs="Arial"/>
          <w:sz w:val="22"/>
          <w:szCs w:val="22"/>
        </w:rPr>
        <w:t xml:space="preserve"> Esta condición no será aplicada en aquellos casos en que la Entidad Autorizada se comprometa contractualmente</w:t>
      </w:r>
      <w:r w:rsidR="00C87CC2">
        <w:rPr>
          <w:rFonts w:cs="Arial"/>
          <w:sz w:val="22"/>
          <w:szCs w:val="22"/>
        </w:rPr>
        <w:t>,</w:t>
      </w:r>
      <w:r w:rsidR="001C1135">
        <w:rPr>
          <w:rFonts w:cs="Arial"/>
          <w:sz w:val="22"/>
          <w:szCs w:val="22"/>
        </w:rPr>
        <w:t xml:space="preserve"> a no incorporar el cobro de comisión por pago anticipado en las operaciones de crédito formalizadas con los recursos del BANHVI.</w:t>
      </w:r>
      <w:r w:rsidRPr="00C2582E">
        <w:rPr>
          <w:rFonts w:cs="Arial"/>
          <w:sz w:val="22"/>
          <w:szCs w:val="22"/>
        </w:rPr>
        <w:t xml:space="preserve"> </w:t>
      </w:r>
    </w:p>
    <w:p w14:paraId="71509946" w14:textId="77777777" w:rsidR="00C2582E" w:rsidRPr="00C2582E" w:rsidRDefault="00C2582E" w:rsidP="00C2582E">
      <w:pPr>
        <w:tabs>
          <w:tab w:val="num" w:pos="426"/>
        </w:tabs>
        <w:ind w:right="-160"/>
        <w:jc w:val="both"/>
        <w:rPr>
          <w:rFonts w:cs="Arial"/>
          <w:sz w:val="22"/>
          <w:szCs w:val="22"/>
        </w:rPr>
      </w:pPr>
    </w:p>
    <w:p w14:paraId="3C15018D" w14:textId="77777777" w:rsidR="00C2582E" w:rsidRPr="00C2582E" w:rsidRDefault="00C2582E" w:rsidP="00C2582E">
      <w:pPr>
        <w:numPr>
          <w:ilvl w:val="0"/>
          <w:numId w:val="25"/>
        </w:numPr>
        <w:tabs>
          <w:tab w:val="clear" w:pos="720"/>
          <w:tab w:val="num" w:pos="360"/>
          <w:tab w:val="num" w:pos="426"/>
        </w:tabs>
        <w:ind w:left="360" w:right="-160"/>
        <w:jc w:val="both"/>
        <w:rPr>
          <w:rFonts w:cs="Arial"/>
          <w:sz w:val="22"/>
          <w:szCs w:val="22"/>
        </w:rPr>
      </w:pPr>
      <w:r w:rsidRPr="00C2582E">
        <w:rPr>
          <w:rFonts w:cs="Arial"/>
          <w:b/>
          <w:sz w:val="22"/>
          <w:szCs w:val="22"/>
        </w:rPr>
        <w:t>Plazo del financiamiento</w:t>
      </w:r>
      <w:r w:rsidRPr="00C2582E">
        <w:rPr>
          <w:rFonts w:cs="Arial"/>
          <w:sz w:val="22"/>
          <w:szCs w:val="22"/>
        </w:rPr>
        <w:t>:  Máximo de 15 años.</w:t>
      </w:r>
    </w:p>
    <w:p w14:paraId="0CE94017" w14:textId="77777777" w:rsidR="00C2582E" w:rsidRPr="00C2582E" w:rsidRDefault="00C2582E" w:rsidP="00C2582E">
      <w:pPr>
        <w:pStyle w:val="Prrafodelista"/>
        <w:rPr>
          <w:rFonts w:cs="Arial"/>
          <w:sz w:val="22"/>
          <w:szCs w:val="22"/>
        </w:rPr>
      </w:pPr>
    </w:p>
    <w:p w14:paraId="6B4C58DE" w14:textId="77777777" w:rsidR="00C2582E" w:rsidRPr="00C2582E" w:rsidRDefault="00C2582E" w:rsidP="00C2582E">
      <w:pPr>
        <w:numPr>
          <w:ilvl w:val="0"/>
          <w:numId w:val="25"/>
        </w:numPr>
        <w:tabs>
          <w:tab w:val="clear" w:pos="720"/>
          <w:tab w:val="num" w:pos="360"/>
          <w:tab w:val="num" w:pos="426"/>
        </w:tabs>
        <w:ind w:left="360" w:right="-160"/>
        <w:jc w:val="both"/>
        <w:rPr>
          <w:rFonts w:cs="Arial"/>
          <w:sz w:val="22"/>
          <w:szCs w:val="22"/>
        </w:rPr>
      </w:pPr>
      <w:r w:rsidRPr="00C2582E">
        <w:rPr>
          <w:rFonts w:cs="Arial"/>
          <w:b/>
          <w:sz w:val="22"/>
          <w:szCs w:val="22"/>
        </w:rPr>
        <w:t>Forma de pago</w:t>
      </w:r>
      <w:r w:rsidRPr="00C2582E">
        <w:rPr>
          <w:rFonts w:cs="Arial"/>
          <w:sz w:val="22"/>
          <w:szCs w:val="22"/>
        </w:rPr>
        <w:t>:  Cuotas mensuales niveladas por mes vencido.</w:t>
      </w:r>
    </w:p>
    <w:p w14:paraId="6AFA246C" w14:textId="77777777" w:rsidR="00C2582E" w:rsidRPr="00C2582E" w:rsidRDefault="00C2582E" w:rsidP="00C2582E">
      <w:pPr>
        <w:tabs>
          <w:tab w:val="num" w:pos="426"/>
        </w:tabs>
        <w:ind w:right="-160"/>
        <w:jc w:val="both"/>
        <w:rPr>
          <w:rFonts w:cs="Arial"/>
          <w:sz w:val="22"/>
          <w:szCs w:val="22"/>
        </w:rPr>
      </w:pPr>
    </w:p>
    <w:p w14:paraId="1954331B" w14:textId="77777777" w:rsidR="00C2582E" w:rsidRPr="00C2582E" w:rsidRDefault="00C2582E" w:rsidP="00C2582E">
      <w:pPr>
        <w:numPr>
          <w:ilvl w:val="0"/>
          <w:numId w:val="25"/>
        </w:numPr>
        <w:tabs>
          <w:tab w:val="clear" w:pos="720"/>
          <w:tab w:val="num" w:pos="360"/>
          <w:tab w:val="num" w:pos="426"/>
        </w:tabs>
        <w:ind w:left="360" w:right="-160"/>
        <w:jc w:val="both"/>
        <w:rPr>
          <w:rFonts w:cs="Arial"/>
          <w:sz w:val="22"/>
          <w:szCs w:val="22"/>
        </w:rPr>
      </w:pPr>
      <w:r w:rsidRPr="00C2582E">
        <w:rPr>
          <w:rFonts w:cs="Arial"/>
          <w:b/>
          <w:sz w:val="22"/>
          <w:szCs w:val="22"/>
        </w:rPr>
        <w:t>Monto máximo del crédito</w:t>
      </w:r>
      <w:r w:rsidRPr="00C2582E">
        <w:rPr>
          <w:rFonts w:cs="Arial"/>
          <w:sz w:val="22"/>
          <w:szCs w:val="22"/>
        </w:rPr>
        <w:t>:  El monto máximo de los créditos otorgados se establece en función de la capacidad de pago de las Entidades solicitantes y contemplando el límite de operaciones activas establecido de conformidad con la Ley Nº 7558 y el oficio SUGEF-2046-20080443 de la Superintendencia General de Entidades Financieras.</w:t>
      </w:r>
    </w:p>
    <w:p w14:paraId="4E394DA0" w14:textId="77777777" w:rsidR="00C2582E" w:rsidRPr="00C2582E" w:rsidRDefault="00C2582E" w:rsidP="00C2582E">
      <w:pPr>
        <w:pStyle w:val="Prrafodelista"/>
        <w:rPr>
          <w:rFonts w:cs="Arial"/>
          <w:b/>
          <w:sz w:val="22"/>
          <w:szCs w:val="22"/>
        </w:rPr>
      </w:pPr>
    </w:p>
    <w:p w14:paraId="0763E385" w14:textId="77777777" w:rsidR="00C2582E" w:rsidRPr="00C2582E" w:rsidRDefault="00C2582E" w:rsidP="00C2582E">
      <w:pPr>
        <w:numPr>
          <w:ilvl w:val="0"/>
          <w:numId w:val="25"/>
        </w:numPr>
        <w:tabs>
          <w:tab w:val="clear" w:pos="720"/>
          <w:tab w:val="num" w:pos="360"/>
          <w:tab w:val="num" w:pos="426"/>
        </w:tabs>
        <w:ind w:left="360" w:right="-160"/>
        <w:jc w:val="both"/>
        <w:rPr>
          <w:rFonts w:cs="Arial"/>
          <w:sz w:val="22"/>
          <w:szCs w:val="22"/>
        </w:rPr>
      </w:pPr>
      <w:r w:rsidRPr="00C2582E">
        <w:rPr>
          <w:rFonts w:cs="Arial"/>
          <w:b/>
          <w:sz w:val="22"/>
          <w:szCs w:val="22"/>
        </w:rPr>
        <w:t xml:space="preserve">Tipo de Garantías:  </w:t>
      </w:r>
      <w:r w:rsidRPr="00C2582E">
        <w:rPr>
          <w:rFonts w:cs="Arial"/>
          <w:sz w:val="22"/>
          <w:szCs w:val="22"/>
        </w:rPr>
        <w:t>Alternativas incorporadas en el “Reglamento de los Programas de Crédito y Avales del Fondo Nacional para la Vivienda del Banco Hipotecario de la Vivienda” vigente.</w:t>
      </w:r>
    </w:p>
    <w:p w14:paraId="1E1C2A7A" w14:textId="77777777" w:rsidR="00C2582E" w:rsidRPr="00C2582E" w:rsidRDefault="00C2582E" w:rsidP="00C2582E">
      <w:pPr>
        <w:pStyle w:val="Prrafodelista"/>
        <w:rPr>
          <w:rFonts w:cs="Arial"/>
          <w:b/>
          <w:sz w:val="22"/>
          <w:szCs w:val="22"/>
        </w:rPr>
      </w:pPr>
    </w:p>
    <w:p w14:paraId="399656E6" w14:textId="7A8EB7E9" w:rsidR="00C2582E" w:rsidRPr="00C2582E" w:rsidRDefault="00C2582E" w:rsidP="00C2582E">
      <w:pPr>
        <w:numPr>
          <w:ilvl w:val="0"/>
          <w:numId w:val="25"/>
        </w:numPr>
        <w:tabs>
          <w:tab w:val="clear" w:pos="720"/>
          <w:tab w:val="num" w:pos="360"/>
          <w:tab w:val="num" w:pos="426"/>
        </w:tabs>
        <w:ind w:left="360" w:right="-160"/>
        <w:jc w:val="both"/>
        <w:rPr>
          <w:rFonts w:cs="Arial"/>
          <w:sz w:val="22"/>
          <w:szCs w:val="22"/>
        </w:rPr>
      </w:pPr>
      <w:r w:rsidRPr="00C2582E">
        <w:rPr>
          <w:rFonts w:cs="Arial"/>
          <w:b/>
          <w:sz w:val="22"/>
          <w:szCs w:val="22"/>
        </w:rPr>
        <w:t>Monto global del programa</w:t>
      </w:r>
      <w:r w:rsidRPr="00C2582E">
        <w:rPr>
          <w:rFonts w:cs="Arial"/>
          <w:sz w:val="22"/>
          <w:szCs w:val="22"/>
        </w:rPr>
        <w:t>:  ¢28</w:t>
      </w:r>
      <w:r w:rsidR="00C87CC2">
        <w:rPr>
          <w:rFonts w:cs="Arial"/>
          <w:sz w:val="22"/>
          <w:szCs w:val="22"/>
        </w:rPr>
        <w:t>.</w:t>
      </w:r>
      <w:r w:rsidRPr="00C2582E">
        <w:rPr>
          <w:rFonts w:cs="Arial"/>
          <w:sz w:val="22"/>
          <w:szCs w:val="22"/>
        </w:rPr>
        <w:t>873 millones.</w:t>
      </w:r>
    </w:p>
    <w:p w14:paraId="57908175" w14:textId="77777777" w:rsidR="00C2582E" w:rsidRPr="00C2582E" w:rsidRDefault="00C2582E" w:rsidP="00C2582E">
      <w:pPr>
        <w:tabs>
          <w:tab w:val="num" w:pos="426"/>
        </w:tabs>
        <w:ind w:right="-160"/>
        <w:jc w:val="both"/>
        <w:rPr>
          <w:rFonts w:cs="Arial"/>
          <w:sz w:val="22"/>
          <w:szCs w:val="22"/>
        </w:rPr>
      </w:pPr>
    </w:p>
    <w:p w14:paraId="5DC33F6B" w14:textId="77777777" w:rsidR="00C2582E" w:rsidRPr="00C2582E" w:rsidRDefault="00C2582E" w:rsidP="00C2582E">
      <w:pPr>
        <w:tabs>
          <w:tab w:val="num" w:pos="426"/>
        </w:tabs>
        <w:ind w:right="-160"/>
        <w:jc w:val="both"/>
        <w:rPr>
          <w:rFonts w:cs="Arial"/>
          <w:sz w:val="22"/>
          <w:szCs w:val="22"/>
        </w:rPr>
      </w:pPr>
      <w:r w:rsidRPr="00C2582E">
        <w:rPr>
          <w:rFonts w:cs="Arial"/>
          <w:sz w:val="22"/>
          <w:szCs w:val="22"/>
        </w:rPr>
        <w:t>Adicionalmente, en el caso de financiamiento mediante línea de crédito, se aplicarán las siguientes condiciones:</w:t>
      </w:r>
    </w:p>
    <w:p w14:paraId="2664C483" w14:textId="77777777" w:rsidR="00C2582E" w:rsidRPr="00C2582E" w:rsidRDefault="00C2582E" w:rsidP="00C2582E">
      <w:pPr>
        <w:tabs>
          <w:tab w:val="num" w:pos="426"/>
        </w:tabs>
        <w:ind w:left="426" w:right="-160"/>
        <w:jc w:val="both"/>
        <w:rPr>
          <w:rFonts w:cs="Arial"/>
          <w:sz w:val="22"/>
          <w:szCs w:val="22"/>
        </w:rPr>
      </w:pPr>
      <w:r w:rsidRPr="00C2582E">
        <w:rPr>
          <w:rFonts w:cs="Arial"/>
          <w:sz w:val="22"/>
          <w:szCs w:val="22"/>
        </w:rPr>
        <w:t xml:space="preserve"> </w:t>
      </w:r>
    </w:p>
    <w:p w14:paraId="02D3AADD" w14:textId="77777777" w:rsidR="00C2582E" w:rsidRPr="00C2582E" w:rsidRDefault="00C2582E" w:rsidP="00C2582E">
      <w:pPr>
        <w:numPr>
          <w:ilvl w:val="0"/>
          <w:numId w:val="25"/>
        </w:numPr>
        <w:tabs>
          <w:tab w:val="clear" w:pos="720"/>
          <w:tab w:val="num" w:pos="360"/>
          <w:tab w:val="num" w:pos="426"/>
        </w:tabs>
        <w:ind w:left="360" w:right="-160"/>
        <w:jc w:val="both"/>
        <w:rPr>
          <w:rFonts w:cs="Arial"/>
          <w:sz w:val="22"/>
          <w:szCs w:val="22"/>
        </w:rPr>
      </w:pPr>
      <w:r w:rsidRPr="00C2582E">
        <w:rPr>
          <w:rFonts w:cs="Arial"/>
          <w:b/>
          <w:sz w:val="22"/>
          <w:szCs w:val="22"/>
        </w:rPr>
        <w:t xml:space="preserve">Tipo de línea de crédito:  </w:t>
      </w:r>
      <w:r w:rsidRPr="00C2582E">
        <w:rPr>
          <w:rFonts w:cs="Arial"/>
          <w:sz w:val="22"/>
          <w:szCs w:val="22"/>
        </w:rPr>
        <w:t xml:space="preserve">Sin compromiso de desembolso y sujeta al límite de operaciones activas vigente. </w:t>
      </w:r>
    </w:p>
    <w:p w14:paraId="0D4E8886" w14:textId="77777777" w:rsidR="00C2582E" w:rsidRPr="00C2582E" w:rsidRDefault="00C2582E" w:rsidP="00C2582E">
      <w:pPr>
        <w:tabs>
          <w:tab w:val="num" w:pos="426"/>
        </w:tabs>
        <w:ind w:left="426" w:right="-160"/>
        <w:jc w:val="both"/>
        <w:rPr>
          <w:rFonts w:cs="Arial"/>
          <w:sz w:val="22"/>
          <w:szCs w:val="22"/>
        </w:rPr>
      </w:pPr>
    </w:p>
    <w:p w14:paraId="18D844EA" w14:textId="77777777" w:rsidR="00C2582E" w:rsidRPr="00C2582E" w:rsidRDefault="00C2582E" w:rsidP="00C2582E">
      <w:pPr>
        <w:numPr>
          <w:ilvl w:val="0"/>
          <w:numId w:val="25"/>
        </w:numPr>
        <w:tabs>
          <w:tab w:val="clear" w:pos="720"/>
          <w:tab w:val="num" w:pos="360"/>
          <w:tab w:val="num" w:pos="426"/>
        </w:tabs>
        <w:ind w:left="360" w:right="-160"/>
        <w:jc w:val="both"/>
        <w:rPr>
          <w:rFonts w:cs="Arial"/>
          <w:sz w:val="22"/>
          <w:szCs w:val="22"/>
        </w:rPr>
      </w:pPr>
      <w:r w:rsidRPr="00C2582E">
        <w:rPr>
          <w:rFonts w:cs="Arial"/>
          <w:b/>
          <w:sz w:val="22"/>
          <w:szCs w:val="22"/>
        </w:rPr>
        <w:t>Plazo de la línea de crédito:</w:t>
      </w:r>
      <w:r w:rsidRPr="00C2582E">
        <w:rPr>
          <w:rFonts w:cs="Arial"/>
          <w:sz w:val="22"/>
          <w:szCs w:val="22"/>
        </w:rPr>
        <w:t xml:space="preserve">  20 años; el plazo de los subpréstamos que se formalicen al amparo de la línea de crédito será como máximo de 15 años y no podrá superar el plazo máximo de la línea de crédito.</w:t>
      </w:r>
    </w:p>
    <w:p w14:paraId="3BD89360" w14:textId="77777777" w:rsidR="00C2582E" w:rsidRPr="00C2582E" w:rsidRDefault="00C2582E" w:rsidP="00C2582E">
      <w:pPr>
        <w:pStyle w:val="Prrafodelista"/>
        <w:rPr>
          <w:rFonts w:cs="Arial"/>
          <w:sz w:val="22"/>
          <w:szCs w:val="22"/>
        </w:rPr>
      </w:pPr>
    </w:p>
    <w:p w14:paraId="7E9A9450" w14:textId="234B8FDE" w:rsidR="00C2582E" w:rsidRPr="00C2582E" w:rsidRDefault="00C2582E" w:rsidP="00C2582E">
      <w:pPr>
        <w:ind w:right="-160"/>
        <w:jc w:val="both"/>
        <w:rPr>
          <w:rFonts w:cs="Arial"/>
          <w:b/>
          <w:sz w:val="22"/>
          <w:szCs w:val="22"/>
        </w:rPr>
      </w:pPr>
      <w:r w:rsidRPr="00C2582E">
        <w:rPr>
          <w:rFonts w:cs="Arial"/>
          <w:sz w:val="22"/>
          <w:szCs w:val="22"/>
          <w:lang w:eastAsia="es-CR"/>
        </w:rPr>
        <w:t xml:space="preserve">En el caso de </w:t>
      </w:r>
      <w:r w:rsidR="00C87CC2" w:rsidRPr="00C2582E">
        <w:rPr>
          <w:rFonts w:cs="Arial"/>
          <w:sz w:val="22"/>
          <w:szCs w:val="22"/>
          <w:lang w:eastAsia="es-CR"/>
        </w:rPr>
        <w:t>que,</w:t>
      </w:r>
      <w:r w:rsidRPr="00C2582E">
        <w:rPr>
          <w:rFonts w:cs="Arial"/>
          <w:sz w:val="22"/>
          <w:szCs w:val="22"/>
          <w:lang w:eastAsia="es-CR"/>
        </w:rPr>
        <w:t xml:space="preserve"> al vencerse el plazo de los financiamientos otorgados por el BANHVI a las Entidades Autorizadas, se determina que éstas mantienen saldos vigentes en las operaciones</w:t>
      </w:r>
      <w:r w:rsidRPr="00C2582E">
        <w:rPr>
          <w:rFonts w:cs="Arial"/>
          <w:sz w:val="22"/>
          <w:szCs w:val="22"/>
        </w:rPr>
        <w:t xml:space="preserve"> de crédito de vivienda que fueron formalizadas al amparo del </w:t>
      </w:r>
      <w:r w:rsidRPr="00C2582E">
        <w:rPr>
          <w:rFonts w:cs="Arial"/>
          <w:sz w:val="22"/>
          <w:szCs w:val="22"/>
          <w:lang w:eastAsia="es-CR"/>
        </w:rPr>
        <w:t>Programa Integral de Financiamiento para Familias de Ingresos Medios</w:t>
      </w:r>
      <w:r w:rsidRPr="00C2582E">
        <w:rPr>
          <w:rFonts w:cs="Arial"/>
          <w:sz w:val="22"/>
          <w:szCs w:val="22"/>
        </w:rPr>
        <w:t xml:space="preserve">, se realizará una renovación del financiamiento otorgado por el BANHVI, manteniendo la condición establecida para la tasa de interés.  El monto del nuevo financiamiento será el equivalente a una proporción del saldo de principal de las operaciones pendientes de recuperación, de conformidad con la participación establecida para los recursos asociados al financiamiento del BANHVI (máximo </w:t>
      </w:r>
      <w:r w:rsidRPr="00C2582E">
        <w:rPr>
          <w:rFonts w:cs="Arial"/>
          <w:sz w:val="22"/>
          <w:szCs w:val="22"/>
        </w:rPr>
        <w:lastRenderedPageBreak/>
        <w:t>del 70%); por su parte, el plazo será el equivalente al plazo promedio restante de las operaciones que mantienen vigentes las Entidades Autorizadas.</w:t>
      </w:r>
    </w:p>
    <w:p w14:paraId="0B38BFB2" w14:textId="77777777" w:rsidR="00C2582E" w:rsidRPr="00C2582E" w:rsidRDefault="00C2582E" w:rsidP="00C2582E">
      <w:pPr>
        <w:pStyle w:val="Prrafodelista"/>
        <w:ind w:left="0"/>
        <w:rPr>
          <w:rFonts w:cs="Arial"/>
          <w:b/>
          <w:sz w:val="22"/>
          <w:szCs w:val="22"/>
        </w:rPr>
      </w:pPr>
    </w:p>
    <w:p w14:paraId="1B1EC23E" w14:textId="77777777" w:rsidR="00C2582E" w:rsidRPr="00C2582E" w:rsidRDefault="00C2582E" w:rsidP="00C2582E">
      <w:pPr>
        <w:pStyle w:val="Prrafodelista"/>
        <w:ind w:left="0"/>
        <w:jc w:val="both"/>
        <w:rPr>
          <w:rFonts w:cs="Arial"/>
          <w:sz w:val="22"/>
          <w:szCs w:val="22"/>
        </w:rPr>
      </w:pPr>
      <w:r w:rsidRPr="00C2582E">
        <w:rPr>
          <w:rFonts w:cs="Arial"/>
          <w:sz w:val="22"/>
          <w:szCs w:val="22"/>
        </w:rPr>
        <w:t xml:space="preserve">La renovación del financiamiento por parte del BANHVI a las Entidades Autorizadas, aplica tanto para los casos de los créditos actualmente vigentes a los que se realice el ajuste de tasa de interés, como para las nuevas operaciones que se formalicen al amparo de este </w:t>
      </w:r>
      <w:r w:rsidRPr="00C2582E">
        <w:rPr>
          <w:rFonts w:cs="Arial"/>
          <w:sz w:val="22"/>
          <w:szCs w:val="22"/>
          <w:lang w:eastAsia="es-CR"/>
        </w:rPr>
        <w:t>Programa.</w:t>
      </w:r>
    </w:p>
    <w:p w14:paraId="23C66F9C" w14:textId="0EB480A0" w:rsidR="00270F04" w:rsidRPr="00C2582E" w:rsidRDefault="00270F04" w:rsidP="0095348E">
      <w:pPr>
        <w:rPr>
          <w:rFonts w:cs="Arial"/>
          <w:sz w:val="22"/>
          <w:szCs w:val="22"/>
          <w:lang w:val="es-ES_tradnl"/>
        </w:rPr>
      </w:pPr>
    </w:p>
    <w:p w14:paraId="5A80D3DE" w14:textId="77777777" w:rsidR="00270F04" w:rsidRPr="00BB303F" w:rsidRDefault="00270F04" w:rsidP="0095348E">
      <w:pPr>
        <w:rPr>
          <w:rFonts w:cs="Arial"/>
          <w:sz w:val="22"/>
          <w:szCs w:val="22"/>
          <w:lang w:val="es-ES_tradnl"/>
        </w:rPr>
      </w:pPr>
    </w:p>
    <w:p w14:paraId="4723E85B" w14:textId="3ADD07E0" w:rsidR="0095348E" w:rsidRPr="00BB303F" w:rsidRDefault="0095348E" w:rsidP="0095348E">
      <w:pPr>
        <w:jc w:val="both"/>
        <w:rPr>
          <w:rFonts w:cs="Arial"/>
          <w:b/>
          <w:caps/>
          <w:sz w:val="22"/>
          <w:szCs w:val="22"/>
          <w:lang w:val="es-ES_tradnl"/>
        </w:rPr>
      </w:pPr>
      <w:r w:rsidRPr="00BB303F">
        <w:rPr>
          <w:rFonts w:cs="Arial"/>
          <w:b/>
          <w:caps/>
          <w:sz w:val="22"/>
          <w:szCs w:val="22"/>
          <w:lang w:val="es-ES_tradnl"/>
        </w:rPr>
        <w:t>I</w:t>
      </w:r>
      <w:r w:rsidR="00270F04">
        <w:rPr>
          <w:rFonts w:cs="Arial"/>
          <w:b/>
          <w:caps/>
          <w:sz w:val="22"/>
          <w:szCs w:val="22"/>
          <w:lang w:val="es-ES_tradnl"/>
        </w:rPr>
        <w:t>I</w:t>
      </w:r>
      <w:r w:rsidRPr="00BB303F">
        <w:rPr>
          <w:rFonts w:cs="Arial"/>
          <w:b/>
          <w:caps/>
          <w:sz w:val="22"/>
          <w:szCs w:val="22"/>
          <w:lang w:val="es-ES_tradnl"/>
        </w:rPr>
        <w:t>I.   Programa de Crédito de Corto Plazo en Colones</w:t>
      </w:r>
    </w:p>
    <w:p w14:paraId="4795B5C3" w14:textId="77777777" w:rsidR="0095348E" w:rsidRPr="00BB303F" w:rsidRDefault="0095348E" w:rsidP="0095348E">
      <w:pPr>
        <w:tabs>
          <w:tab w:val="num" w:pos="720"/>
        </w:tabs>
        <w:jc w:val="both"/>
        <w:rPr>
          <w:rFonts w:cs="Arial"/>
          <w:sz w:val="22"/>
          <w:szCs w:val="22"/>
          <w:lang w:val="es-ES_tradnl"/>
        </w:rPr>
      </w:pPr>
    </w:p>
    <w:p w14:paraId="556AD759" w14:textId="77777777" w:rsidR="0095348E" w:rsidRPr="00BB303F" w:rsidRDefault="0095348E" w:rsidP="0095348E">
      <w:pPr>
        <w:jc w:val="both"/>
        <w:rPr>
          <w:rFonts w:cs="Arial"/>
          <w:sz w:val="22"/>
          <w:szCs w:val="22"/>
          <w:lang w:val="es-ES_tradnl"/>
        </w:rPr>
      </w:pPr>
      <w:r w:rsidRPr="00BB303F">
        <w:rPr>
          <w:rFonts w:cs="Arial"/>
          <w:sz w:val="22"/>
          <w:szCs w:val="22"/>
          <w:lang w:val="es-ES_tradnl"/>
        </w:rPr>
        <w:t xml:space="preserve">Para el </w:t>
      </w:r>
      <w:r w:rsidRPr="00BB303F">
        <w:rPr>
          <w:rFonts w:cs="Arial"/>
          <w:b/>
          <w:sz w:val="22"/>
          <w:szCs w:val="22"/>
          <w:u w:val="single"/>
          <w:lang w:val="es-ES_tradnl"/>
        </w:rPr>
        <w:t xml:space="preserve">Programa de Crédito de Corto Plazo en Colones </w:t>
      </w:r>
      <w:r w:rsidRPr="00BB303F">
        <w:rPr>
          <w:rFonts w:cs="Arial"/>
          <w:sz w:val="22"/>
          <w:szCs w:val="22"/>
          <w:lang w:val="es-ES_tradnl"/>
        </w:rPr>
        <w:t>se establecen las siguientes condiciones:</w:t>
      </w:r>
    </w:p>
    <w:p w14:paraId="7ED4658B" w14:textId="77777777" w:rsidR="0095348E" w:rsidRPr="00BB303F" w:rsidRDefault="0095348E" w:rsidP="0095348E">
      <w:pPr>
        <w:jc w:val="both"/>
        <w:rPr>
          <w:rFonts w:cs="Arial"/>
          <w:sz w:val="22"/>
          <w:szCs w:val="22"/>
          <w:lang w:val="es-ES_tradnl"/>
        </w:rPr>
      </w:pPr>
    </w:p>
    <w:p w14:paraId="35487B22" w14:textId="77777777" w:rsidR="0095348E" w:rsidRPr="00BB303F" w:rsidRDefault="0095348E" w:rsidP="0095348E">
      <w:pPr>
        <w:numPr>
          <w:ilvl w:val="0"/>
          <w:numId w:val="20"/>
        </w:numPr>
        <w:tabs>
          <w:tab w:val="num" w:pos="426"/>
        </w:tabs>
        <w:ind w:left="426" w:hanging="426"/>
        <w:jc w:val="both"/>
        <w:rPr>
          <w:rFonts w:cs="Arial"/>
          <w:sz w:val="22"/>
          <w:szCs w:val="22"/>
          <w:lang w:val="es-ES_tradnl"/>
        </w:rPr>
      </w:pPr>
      <w:r w:rsidRPr="00BB303F">
        <w:rPr>
          <w:rFonts w:cs="Arial"/>
          <w:b/>
          <w:sz w:val="22"/>
          <w:szCs w:val="22"/>
          <w:lang w:val="es-ES_tradnl"/>
        </w:rPr>
        <w:t>Plan de inversión</w:t>
      </w:r>
      <w:r w:rsidRPr="00BB303F">
        <w:rPr>
          <w:rFonts w:cs="Arial"/>
          <w:sz w:val="22"/>
          <w:szCs w:val="22"/>
          <w:lang w:val="es-ES_tradnl"/>
        </w:rPr>
        <w:t xml:space="preserve">: Formalización de operaciones de crédito para el desarrollo de proyectos de vivienda.  </w:t>
      </w:r>
    </w:p>
    <w:p w14:paraId="38A8A816" w14:textId="77777777" w:rsidR="0095348E" w:rsidRPr="00BB303F" w:rsidRDefault="0095348E" w:rsidP="0095348E">
      <w:pPr>
        <w:tabs>
          <w:tab w:val="num" w:pos="426"/>
        </w:tabs>
        <w:ind w:left="426"/>
        <w:jc w:val="both"/>
        <w:rPr>
          <w:rFonts w:cs="Arial"/>
          <w:sz w:val="22"/>
          <w:szCs w:val="22"/>
          <w:lang w:val="es-ES_tradnl"/>
        </w:rPr>
      </w:pPr>
    </w:p>
    <w:p w14:paraId="39451A93" w14:textId="77777777" w:rsidR="0095348E" w:rsidRPr="00BB303F" w:rsidRDefault="0095348E" w:rsidP="0095348E">
      <w:pPr>
        <w:numPr>
          <w:ilvl w:val="0"/>
          <w:numId w:val="20"/>
        </w:numPr>
        <w:tabs>
          <w:tab w:val="num" w:pos="426"/>
        </w:tabs>
        <w:ind w:left="426" w:hanging="426"/>
        <w:jc w:val="both"/>
        <w:rPr>
          <w:rFonts w:cs="Arial"/>
          <w:sz w:val="22"/>
          <w:szCs w:val="22"/>
          <w:lang w:val="es-ES_tradnl"/>
        </w:rPr>
      </w:pPr>
      <w:r w:rsidRPr="00BB303F">
        <w:rPr>
          <w:rFonts w:cs="Arial"/>
          <w:b/>
          <w:bCs/>
          <w:sz w:val="22"/>
          <w:szCs w:val="22"/>
          <w:lang w:val="es-ES_tradnl"/>
        </w:rPr>
        <w:t xml:space="preserve">Moneda: </w:t>
      </w:r>
      <w:r w:rsidRPr="00BB303F">
        <w:rPr>
          <w:rFonts w:cs="Arial"/>
          <w:sz w:val="22"/>
          <w:szCs w:val="22"/>
          <w:lang w:val="es-ES_tradnl"/>
        </w:rPr>
        <w:t>Colones.</w:t>
      </w:r>
    </w:p>
    <w:p w14:paraId="2B19574A" w14:textId="77777777" w:rsidR="0095348E" w:rsidRPr="00BB303F" w:rsidRDefault="0095348E" w:rsidP="0095348E">
      <w:pPr>
        <w:tabs>
          <w:tab w:val="num" w:pos="426"/>
        </w:tabs>
        <w:jc w:val="both"/>
        <w:rPr>
          <w:rFonts w:cs="Arial"/>
          <w:sz w:val="22"/>
          <w:szCs w:val="22"/>
          <w:lang w:val="es-ES_tradnl"/>
        </w:rPr>
      </w:pPr>
    </w:p>
    <w:p w14:paraId="06367C37" w14:textId="77777777" w:rsidR="0095348E" w:rsidRPr="00BB303F" w:rsidRDefault="0095348E" w:rsidP="0095348E">
      <w:pPr>
        <w:numPr>
          <w:ilvl w:val="0"/>
          <w:numId w:val="20"/>
        </w:numPr>
        <w:tabs>
          <w:tab w:val="num" w:pos="426"/>
        </w:tabs>
        <w:ind w:left="426" w:hanging="426"/>
        <w:jc w:val="both"/>
        <w:rPr>
          <w:rFonts w:cs="Arial"/>
          <w:sz w:val="22"/>
          <w:szCs w:val="22"/>
          <w:lang w:val="es-ES_tradnl"/>
        </w:rPr>
      </w:pPr>
      <w:r w:rsidRPr="00BB303F">
        <w:rPr>
          <w:rFonts w:cs="Arial"/>
          <w:b/>
          <w:sz w:val="22"/>
          <w:szCs w:val="22"/>
          <w:lang w:val="es-ES_tradnl"/>
        </w:rPr>
        <w:t>Tasa de interés corriente</w:t>
      </w:r>
      <w:r w:rsidRPr="00BB303F">
        <w:rPr>
          <w:rFonts w:cs="Arial"/>
          <w:sz w:val="22"/>
          <w:szCs w:val="22"/>
          <w:lang w:val="es-ES_tradnl"/>
        </w:rPr>
        <w:t xml:space="preserve">:  </w:t>
      </w:r>
      <w:r w:rsidRPr="00BB303F">
        <w:rPr>
          <w:rFonts w:cs="Arial"/>
          <w:color w:val="000000"/>
          <w:sz w:val="22"/>
          <w:szCs w:val="22"/>
          <w:lang w:val="es-ES_tradnl"/>
        </w:rPr>
        <w:t xml:space="preserve">Tasa Básica (TB) calculada por el Banco Central de Costa Rica más </w:t>
      </w:r>
      <w:r>
        <w:rPr>
          <w:rFonts w:cs="Arial"/>
          <w:color w:val="000000"/>
          <w:sz w:val="22"/>
          <w:szCs w:val="22"/>
          <w:lang w:val="es-ES_tradnl"/>
        </w:rPr>
        <w:t>4</w:t>
      </w:r>
      <w:r w:rsidRPr="00BB303F">
        <w:rPr>
          <w:rFonts w:cs="Arial"/>
          <w:color w:val="000000"/>
          <w:sz w:val="22"/>
          <w:szCs w:val="22"/>
          <w:lang w:val="es-ES_tradnl"/>
        </w:rPr>
        <w:t>.</w:t>
      </w:r>
      <w:r>
        <w:rPr>
          <w:rFonts w:cs="Arial"/>
          <w:color w:val="000000"/>
          <w:sz w:val="22"/>
          <w:szCs w:val="22"/>
          <w:lang w:val="es-ES_tradnl"/>
        </w:rPr>
        <w:t>5</w:t>
      </w:r>
      <w:r w:rsidRPr="00BB303F">
        <w:rPr>
          <w:rFonts w:cs="Arial"/>
          <w:color w:val="000000"/>
          <w:sz w:val="22"/>
          <w:szCs w:val="22"/>
          <w:lang w:val="es-ES_tradnl"/>
        </w:rPr>
        <w:t xml:space="preserve">0 puntos porcentuales en caso de Entidades sujetas al requerimiento de Encaje Mínimo Legal y TB más </w:t>
      </w:r>
      <w:r>
        <w:rPr>
          <w:rFonts w:cs="Arial"/>
          <w:color w:val="000000"/>
          <w:sz w:val="22"/>
          <w:szCs w:val="22"/>
          <w:lang w:val="es-ES_tradnl"/>
        </w:rPr>
        <w:t>4</w:t>
      </w:r>
      <w:r w:rsidRPr="00BB303F">
        <w:rPr>
          <w:rFonts w:cs="Arial"/>
          <w:color w:val="000000"/>
          <w:sz w:val="22"/>
          <w:szCs w:val="22"/>
          <w:lang w:val="es-ES_tradnl"/>
        </w:rPr>
        <w:t>.</w:t>
      </w:r>
      <w:r>
        <w:rPr>
          <w:rFonts w:cs="Arial"/>
          <w:color w:val="000000"/>
          <w:sz w:val="22"/>
          <w:szCs w:val="22"/>
          <w:lang w:val="es-ES_tradnl"/>
        </w:rPr>
        <w:t>7</w:t>
      </w:r>
      <w:r w:rsidRPr="00BB303F">
        <w:rPr>
          <w:rFonts w:cs="Arial"/>
          <w:color w:val="000000"/>
          <w:sz w:val="22"/>
          <w:szCs w:val="22"/>
          <w:lang w:val="es-ES_tradnl"/>
        </w:rPr>
        <w:t>5 puntos porcentuales para el resto de las Entidades, ajustable mensualmente.</w:t>
      </w:r>
    </w:p>
    <w:p w14:paraId="734804A6" w14:textId="77777777" w:rsidR="0095348E" w:rsidRPr="00BB303F" w:rsidRDefault="0095348E" w:rsidP="0095348E">
      <w:pPr>
        <w:tabs>
          <w:tab w:val="num" w:pos="426"/>
        </w:tabs>
        <w:ind w:left="426"/>
        <w:jc w:val="both"/>
        <w:rPr>
          <w:rFonts w:cs="Arial"/>
          <w:sz w:val="22"/>
          <w:szCs w:val="22"/>
          <w:lang w:val="es-ES_tradnl"/>
        </w:rPr>
      </w:pPr>
    </w:p>
    <w:p w14:paraId="2CE736C3" w14:textId="77777777" w:rsidR="0095348E" w:rsidRPr="00BB303F" w:rsidRDefault="0095348E" w:rsidP="0095348E">
      <w:pPr>
        <w:numPr>
          <w:ilvl w:val="0"/>
          <w:numId w:val="20"/>
        </w:numPr>
        <w:tabs>
          <w:tab w:val="num" w:pos="426"/>
        </w:tabs>
        <w:ind w:left="426" w:hanging="426"/>
        <w:jc w:val="both"/>
        <w:rPr>
          <w:rFonts w:cs="Arial"/>
          <w:sz w:val="22"/>
          <w:szCs w:val="22"/>
          <w:lang w:val="es-ES_tradnl"/>
        </w:rPr>
      </w:pPr>
      <w:r w:rsidRPr="00BB303F">
        <w:rPr>
          <w:rFonts w:cs="Arial"/>
          <w:b/>
          <w:sz w:val="22"/>
          <w:szCs w:val="22"/>
          <w:lang w:val="es-ES_tradnl"/>
        </w:rPr>
        <w:t>Tasa de interés moratoria:</w:t>
      </w:r>
      <w:r w:rsidRPr="00BB303F">
        <w:rPr>
          <w:rFonts w:cs="Arial"/>
          <w:sz w:val="22"/>
          <w:szCs w:val="22"/>
          <w:lang w:val="es-ES_tradnl"/>
        </w:rPr>
        <w:t xml:space="preserve"> Equivalente a la tasa de interés corriente más dos puntos porcentuales.  En caso de que ese valor exceda al límite del 30% que establece el artículo 498 del Código de Comercio, se ajustará al nivel máximo factible sin que llegue a exceder el límite de referencia.</w:t>
      </w:r>
    </w:p>
    <w:p w14:paraId="3D2CA464" w14:textId="77777777" w:rsidR="0095348E" w:rsidRPr="00BB303F" w:rsidRDefault="0095348E" w:rsidP="0095348E">
      <w:pPr>
        <w:jc w:val="both"/>
        <w:rPr>
          <w:rFonts w:cs="Arial"/>
          <w:b/>
          <w:sz w:val="22"/>
          <w:szCs w:val="22"/>
          <w:lang w:val="es-ES_tradnl"/>
        </w:rPr>
      </w:pPr>
    </w:p>
    <w:p w14:paraId="74AB6A17" w14:textId="77777777" w:rsidR="0095348E" w:rsidRPr="00BB303F" w:rsidRDefault="0095348E" w:rsidP="0095348E">
      <w:pPr>
        <w:numPr>
          <w:ilvl w:val="0"/>
          <w:numId w:val="20"/>
        </w:numPr>
        <w:tabs>
          <w:tab w:val="num" w:pos="426"/>
        </w:tabs>
        <w:ind w:left="426" w:hanging="426"/>
        <w:jc w:val="both"/>
        <w:rPr>
          <w:rFonts w:cs="Arial"/>
          <w:sz w:val="22"/>
          <w:szCs w:val="22"/>
          <w:lang w:val="es-ES_tradnl"/>
        </w:rPr>
      </w:pPr>
      <w:r w:rsidRPr="00BB303F">
        <w:rPr>
          <w:rFonts w:cs="Arial"/>
          <w:b/>
          <w:sz w:val="22"/>
          <w:szCs w:val="22"/>
          <w:lang w:val="es-ES_tradnl"/>
        </w:rPr>
        <w:t>Comisión de formalización</w:t>
      </w:r>
      <w:r w:rsidRPr="00BB303F">
        <w:rPr>
          <w:rFonts w:cs="Arial"/>
          <w:sz w:val="22"/>
          <w:szCs w:val="22"/>
          <w:lang w:val="es-ES_tradnl"/>
        </w:rPr>
        <w:t>: Uno por ciento (1</w:t>
      </w:r>
      <w:r w:rsidRPr="00BB303F">
        <w:rPr>
          <w:rFonts w:cs="Arial"/>
          <w:color w:val="000000"/>
          <w:sz w:val="22"/>
          <w:szCs w:val="22"/>
          <w:lang w:val="es-ES_tradnl"/>
        </w:rPr>
        <w:t>%) sobre el monto desembolsado.</w:t>
      </w:r>
    </w:p>
    <w:p w14:paraId="6F11E56B" w14:textId="77777777" w:rsidR="0095348E" w:rsidRPr="00BB303F" w:rsidRDefault="0095348E" w:rsidP="0095348E">
      <w:pPr>
        <w:tabs>
          <w:tab w:val="num" w:pos="426"/>
        </w:tabs>
        <w:jc w:val="both"/>
        <w:rPr>
          <w:rFonts w:cs="Arial"/>
          <w:b/>
          <w:sz w:val="22"/>
          <w:szCs w:val="22"/>
          <w:lang w:val="es-ES_tradnl"/>
        </w:rPr>
      </w:pPr>
    </w:p>
    <w:p w14:paraId="1C9B3DD3" w14:textId="77777777" w:rsidR="0095348E" w:rsidRPr="00BB303F" w:rsidRDefault="0095348E" w:rsidP="0095348E">
      <w:pPr>
        <w:numPr>
          <w:ilvl w:val="0"/>
          <w:numId w:val="20"/>
        </w:numPr>
        <w:tabs>
          <w:tab w:val="num" w:pos="426"/>
        </w:tabs>
        <w:ind w:left="426" w:hanging="426"/>
        <w:jc w:val="both"/>
        <w:rPr>
          <w:rFonts w:cs="Arial"/>
          <w:sz w:val="22"/>
          <w:szCs w:val="22"/>
          <w:lang w:val="es-ES_tradnl"/>
        </w:rPr>
      </w:pPr>
      <w:r w:rsidRPr="00BB303F">
        <w:rPr>
          <w:rFonts w:cs="Arial"/>
          <w:b/>
          <w:sz w:val="22"/>
          <w:szCs w:val="22"/>
          <w:lang w:val="es-ES_tradnl"/>
        </w:rPr>
        <w:t xml:space="preserve">Comisión por pago anticipado: </w:t>
      </w:r>
      <w:r w:rsidRPr="00BB303F">
        <w:rPr>
          <w:rFonts w:cs="Arial"/>
          <w:sz w:val="22"/>
          <w:szCs w:val="22"/>
          <w:lang w:val="es-ES_tradnl"/>
        </w:rPr>
        <w:t xml:space="preserve">Tres por ciento (3%) sobre el monto del pago extraordinario durante el primer año del plazo del financiamiento. </w:t>
      </w:r>
      <w:r w:rsidRPr="00BB303F">
        <w:rPr>
          <w:rFonts w:cs="Arial"/>
          <w:color w:val="000000"/>
          <w:sz w:val="22"/>
          <w:szCs w:val="22"/>
          <w:lang w:val="es-ES_tradnl"/>
        </w:rPr>
        <w:t>Esta condición no será aplicada en aquellos casos en que la entidad autorizada se comprometa contractualmente</w:t>
      </w:r>
      <w:r>
        <w:rPr>
          <w:rFonts w:cs="Arial"/>
          <w:color w:val="000000"/>
          <w:sz w:val="22"/>
          <w:szCs w:val="22"/>
          <w:lang w:val="es-ES_tradnl"/>
        </w:rPr>
        <w:t>,</w:t>
      </w:r>
      <w:r w:rsidRPr="00BB303F">
        <w:rPr>
          <w:rFonts w:cs="Arial"/>
          <w:color w:val="000000"/>
          <w:sz w:val="22"/>
          <w:szCs w:val="22"/>
          <w:lang w:val="es-ES_tradnl"/>
        </w:rPr>
        <w:t xml:space="preserve"> a no incorporar el cobro de comisión por pago anticipado en las operaciones de crédito formalizadas con los recursos del BANHVI.</w:t>
      </w:r>
    </w:p>
    <w:p w14:paraId="0A9F7630" w14:textId="77777777" w:rsidR="0095348E" w:rsidRPr="00BB303F" w:rsidRDefault="0095348E" w:rsidP="0095348E">
      <w:pPr>
        <w:ind w:left="708"/>
        <w:rPr>
          <w:rFonts w:cs="Arial"/>
          <w:sz w:val="22"/>
          <w:szCs w:val="22"/>
          <w:lang w:val="es-ES_tradnl"/>
        </w:rPr>
      </w:pPr>
    </w:p>
    <w:p w14:paraId="2285BB33" w14:textId="77777777" w:rsidR="0095348E" w:rsidRPr="00BB303F" w:rsidRDefault="0095348E" w:rsidP="0095348E">
      <w:pPr>
        <w:numPr>
          <w:ilvl w:val="0"/>
          <w:numId w:val="20"/>
        </w:numPr>
        <w:tabs>
          <w:tab w:val="num" w:pos="426"/>
        </w:tabs>
        <w:ind w:left="426" w:hanging="426"/>
        <w:jc w:val="both"/>
        <w:rPr>
          <w:rFonts w:cs="Arial"/>
          <w:sz w:val="22"/>
          <w:szCs w:val="22"/>
          <w:lang w:val="es-ES_tradnl"/>
        </w:rPr>
      </w:pPr>
      <w:r w:rsidRPr="00BB303F">
        <w:rPr>
          <w:rFonts w:cs="Arial"/>
          <w:b/>
          <w:sz w:val="22"/>
          <w:szCs w:val="22"/>
          <w:lang w:val="es-ES_tradnl"/>
        </w:rPr>
        <w:t>Plazo del financiamiento</w:t>
      </w:r>
      <w:r w:rsidRPr="00BB303F">
        <w:rPr>
          <w:rFonts w:cs="Arial"/>
          <w:sz w:val="22"/>
          <w:szCs w:val="22"/>
          <w:lang w:val="es-ES_tradnl"/>
        </w:rPr>
        <w:t>:   Máximo de 3 años.</w:t>
      </w:r>
    </w:p>
    <w:p w14:paraId="7F6B49FF" w14:textId="77777777" w:rsidR="0095348E" w:rsidRPr="00BB303F" w:rsidRDefault="0095348E" w:rsidP="0095348E">
      <w:pPr>
        <w:jc w:val="both"/>
        <w:rPr>
          <w:rFonts w:cs="Arial"/>
          <w:sz w:val="22"/>
          <w:szCs w:val="22"/>
          <w:lang w:val="es-ES_tradnl"/>
        </w:rPr>
      </w:pPr>
    </w:p>
    <w:p w14:paraId="5202BDDC" w14:textId="77777777" w:rsidR="0095348E" w:rsidRPr="00BB303F" w:rsidRDefault="0095348E" w:rsidP="0095348E">
      <w:pPr>
        <w:numPr>
          <w:ilvl w:val="0"/>
          <w:numId w:val="20"/>
        </w:numPr>
        <w:tabs>
          <w:tab w:val="num" w:pos="426"/>
        </w:tabs>
        <w:ind w:left="426" w:hanging="426"/>
        <w:jc w:val="both"/>
        <w:rPr>
          <w:rFonts w:cs="Arial"/>
          <w:sz w:val="22"/>
          <w:szCs w:val="22"/>
          <w:lang w:val="es-ES_tradnl"/>
        </w:rPr>
      </w:pPr>
      <w:r w:rsidRPr="00BB303F">
        <w:rPr>
          <w:rFonts w:cs="Arial"/>
          <w:b/>
          <w:sz w:val="22"/>
          <w:szCs w:val="22"/>
          <w:lang w:val="es-ES_tradnl"/>
        </w:rPr>
        <w:t>Forma de pago</w:t>
      </w:r>
      <w:r w:rsidRPr="00BB303F">
        <w:rPr>
          <w:rFonts w:cs="Arial"/>
          <w:sz w:val="22"/>
          <w:szCs w:val="22"/>
          <w:lang w:val="es-ES_tradnl"/>
        </w:rPr>
        <w:t>: Cuotas mensuales niveladas por mes vencido, con la posibilidad de otorgar un periodo de gracia de hasta seis meses en el pago de principal.</w:t>
      </w:r>
    </w:p>
    <w:p w14:paraId="4E3A956F" w14:textId="77777777" w:rsidR="0095348E" w:rsidRPr="00BB303F" w:rsidRDefault="0095348E" w:rsidP="0095348E">
      <w:pPr>
        <w:ind w:left="708"/>
        <w:rPr>
          <w:rFonts w:cs="Arial"/>
          <w:sz w:val="22"/>
          <w:szCs w:val="22"/>
          <w:lang w:val="es-ES_tradnl"/>
        </w:rPr>
      </w:pPr>
    </w:p>
    <w:p w14:paraId="3883AE79" w14:textId="77777777" w:rsidR="0095348E" w:rsidRPr="00BB303F" w:rsidRDefault="0095348E" w:rsidP="0095348E">
      <w:pPr>
        <w:numPr>
          <w:ilvl w:val="0"/>
          <w:numId w:val="20"/>
        </w:numPr>
        <w:tabs>
          <w:tab w:val="num" w:pos="426"/>
        </w:tabs>
        <w:ind w:left="426" w:hanging="426"/>
        <w:jc w:val="both"/>
        <w:rPr>
          <w:rFonts w:cs="Arial"/>
          <w:sz w:val="22"/>
          <w:szCs w:val="22"/>
          <w:lang w:val="es-ES_tradnl"/>
        </w:rPr>
      </w:pPr>
      <w:r w:rsidRPr="00BB303F">
        <w:rPr>
          <w:rFonts w:cs="Arial"/>
          <w:b/>
          <w:sz w:val="22"/>
          <w:szCs w:val="22"/>
          <w:lang w:val="es-ES_tradnl"/>
        </w:rPr>
        <w:t>Monto máximo del crédito</w:t>
      </w:r>
      <w:r w:rsidRPr="00BB303F">
        <w:rPr>
          <w:rFonts w:cs="Arial"/>
          <w:sz w:val="22"/>
          <w:szCs w:val="22"/>
          <w:lang w:val="es-ES_tradnl"/>
        </w:rPr>
        <w:t>: El monto máximo de los créditos otorgados</w:t>
      </w:r>
      <w:r>
        <w:rPr>
          <w:rFonts w:cs="Arial"/>
          <w:sz w:val="22"/>
          <w:szCs w:val="22"/>
          <w:lang w:val="es-ES_tradnl"/>
        </w:rPr>
        <w:t>,</w:t>
      </w:r>
      <w:r w:rsidRPr="00BB303F">
        <w:rPr>
          <w:rFonts w:cs="Arial"/>
          <w:sz w:val="22"/>
          <w:szCs w:val="22"/>
          <w:lang w:val="es-ES_tradnl"/>
        </w:rPr>
        <w:t xml:space="preserve"> se establece en función de la capacidad de pago de las Entidades solicitantes y contemplando el límite de operaciones activas</w:t>
      </w:r>
      <w:r>
        <w:rPr>
          <w:rFonts w:cs="Arial"/>
          <w:sz w:val="22"/>
          <w:szCs w:val="22"/>
          <w:lang w:val="es-ES_tradnl"/>
        </w:rPr>
        <w:t>,</w:t>
      </w:r>
      <w:r w:rsidRPr="00BB303F">
        <w:rPr>
          <w:rFonts w:cs="Arial"/>
          <w:sz w:val="22"/>
          <w:szCs w:val="22"/>
          <w:lang w:val="es-ES_tradnl"/>
        </w:rPr>
        <w:t xml:space="preserve"> establecido de conformidad con la Ley Nº 7558 y el oficio SUGEF-2046-20080443 de la Superintendencia General de Entidades Financieras.</w:t>
      </w:r>
    </w:p>
    <w:p w14:paraId="2EC9280F" w14:textId="77777777" w:rsidR="0095348E" w:rsidRPr="00BB303F" w:rsidRDefault="0095348E" w:rsidP="0095348E">
      <w:pPr>
        <w:tabs>
          <w:tab w:val="num" w:pos="426"/>
        </w:tabs>
        <w:jc w:val="both"/>
        <w:rPr>
          <w:rFonts w:cs="Arial"/>
          <w:sz w:val="22"/>
          <w:szCs w:val="22"/>
          <w:lang w:val="es-ES_tradnl"/>
        </w:rPr>
      </w:pPr>
    </w:p>
    <w:p w14:paraId="76128197" w14:textId="77777777" w:rsidR="0095348E" w:rsidRPr="00BB303F" w:rsidRDefault="0095348E" w:rsidP="0095348E">
      <w:pPr>
        <w:numPr>
          <w:ilvl w:val="0"/>
          <w:numId w:val="20"/>
        </w:numPr>
        <w:tabs>
          <w:tab w:val="num" w:pos="426"/>
        </w:tabs>
        <w:ind w:left="426" w:hanging="426"/>
        <w:jc w:val="both"/>
        <w:rPr>
          <w:rFonts w:cs="Arial"/>
          <w:sz w:val="22"/>
          <w:szCs w:val="22"/>
          <w:lang w:val="es-ES_tradnl"/>
        </w:rPr>
      </w:pPr>
      <w:r w:rsidRPr="00BB303F">
        <w:rPr>
          <w:rFonts w:cs="Arial"/>
          <w:b/>
          <w:sz w:val="22"/>
          <w:szCs w:val="22"/>
          <w:lang w:val="es-ES_tradnl"/>
        </w:rPr>
        <w:t xml:space="preserve">Tipo de Garantías: </w:t>
      </w:r>
      <w:r w:rsidRPr="00BB303F">
        <w:rPr>
          <w:rFonts w:cs="Arial"/>
          <w:sz w:val="22"/>
          <w:szCs w:val="22"/>
          <w:lang w:val="es-ES_tradnl"/>
        </w:rPr>
        <w:t>Alternativas incorporadas en el “Reglamento de los Programas de Crédito y Avales del Fondo Nacional para la Vivienda</w:t>
      </w:r>
      <w:r>
        <w:rPr>
          <w:rFonts w:cs="Arial"/>
          <w:sz w:val="22"/>
          <w:szCs w:val="22"/>
          <w:lang w:val="es-ES_tradnl"/>
        </w:rPr>
        <w:t xml:space="preserve"> del Banco Hipotecario de la Vivienda</w:t>
      </w:r>
      <w:r w:rsidRPr="00BB303F">
        <w:rPr>
          <w:rFonts w:cs="Arial"/>
          <w:sz w:val="22"/>
          <w:szCs w:val="22"/>
          <w:lang w:val="es-ES_tradnl"/>
        </w:rPr>
        <w:t>” vigente.</w:t>
      </w:r>
    </w:p>
    <w:p w14:paraId="3F027C43" w14:textId="77777777" w:rsidR="0095348E" w:rsidRPr="00BB303F" w:rsidRDefault="0095348E" w:rsidP="0095348E">
      <w:pPr>
        <w:tabs>
          <w:tab w:val="num" w:pos="720"/>
        </w:tabs>
        <w:ind w:left="426"/>
        <w:jc w:val="both"/>
        <w:rPr>
          <w:rFonts w:cs="Arial"/>
          <w:sz w:val="22"/>
          <w:szCs w:val="22"/>
          <w:lang w:val="es-ES_tradnl"/>
        </w:rPr>
      </w:pPr>
    </w:p>
    <w:p w14:paraId="5D65DA4C" w14:textId="77777777" w:rsidR="0095348E" w:rsidRPr="00BB303F" w:rsidRDefault="0095348E" w:rsidP="0095348E">
      <w:pPr>
        <w:numPr>
          <w:ilvl w:val="0"/>
          <w:numId w:val="20"/>
        </w:numPr>
        <w:tabs>
          <w:tab w:val="num" w:pos="426"/>
          <w:tab w:val="num" w:pos="567"/>
          <w:tab w:val="num" w:pos="720"/>
        </w:tabs>
        <w:ind w:left="426" w:hanging="426"/>
        <w:jc w:val="both"/>
        <w:rPr>
          <w:rFonts w:cs="Arial"/>
          <w:sz w:val="22"/>
          <w:szCs w:val="22"/>
          <w:lang w:val="es-ES_tradnl"/>
        </w:rPr>
      </w:pPr>
      <w:r w:rsidRPr="00BB303F">
        <w:rPr>
          <w:rFonts w:cs="Arial"/>
          <w:b/>
          <w:sz w:val="22"/>
          <w:szCs w:val="22"/>
          <w:lang w:val="es-ES_tradnl"/>
        </w:rPr>
        <w:lastRenderedPageBreak/>
        <w:t>Monto global del programa</w:t>
      </w:r>
      <w:r w:rsidRPr="00BB303F">
        <w:rPr>
          <w:rFonts w:cs="Arial"/>
          <w:sz w:val="22"/>
          <w:szCs w:val="22"/>
          <w:lang w:val="es-ES_tradnl"/>
        </w:rPr>
        <w:t>: ¢</w:t>
      </w:r>
      <w:r>
        <w:rPr>
          <w:rFonts w:cs="Arial"/>
          <w:sz w:val="22"/>
          <w:szCs w:val="22"/>
          <w:lang w:val="es-ES_tradnl"/>
        </w:rPr>
        <w:t>5.0</w:t>
      </w:r>
      <w:r w:rsidRPr="00BB303F">
        <w:rPr>
          <w:rFonts w:cs="Arial"/>
          <w:sz w:val="22"/>
          <w:szCs w:val="22"/>
          <w:lang w:val="es-ES_tradnl"/>
        </w:rPr>
        <w:t>00 millones.</w:t>
      </w:r>
    </w:p>
    <w:p w14:paraId="27748C26" w14:textId="77777777" w:rsidR="0095348E" w:rsidRPr="00BB303F" w:rsidRDefault="0095348E" w:rsidP="0095348E">
      <w:pPr>
        <w:tabs>
          <w:tab w:val="num" w:pos="567"/>
        </w:tabs>
        <w:jc w:val="both"/>
        <w:rPr>
          <w:rFonts w:cs="Arial"/>
          <w:sz w:val="22"/>
          <w:szCs w:val="22"/>
          <w:lang w:val="es-ES_tradnl"/>
        </w:rPr>
      </w:pPr>
    </w:p>
    <w:p w14:paraId="3D314EEB" w14:textId="77777777" w:rsidR="0095348E" w:rsidRPr="00BB303F" w:rsidRDefault="0095348E" w:rsidP="0095348E">
      <w:pPr>
        <w:tabs>
          <w:tab w:val="num" w:pos="426"/>
        </w:tabs>
        <w:jc w:val="both"/>
        <w:rPr>
          <w:rFonts w:cs="Arial"/>
          <w:sz w:val="22"/>
          <w:szCs w:val="22"/>
          <w:lang w:val="es-ES_tradnl"/>
        </w:rPr>
      </w:pPr>
      <w:r w:rsidRPr="00BB303F">
        <w:rPr>
          <w:rFonts w:cs="Arial"/>
          <w:sz w:val="22"/>
          <w:szCs w:val="22"/>
          <w:lang w:val="es-ES_tradnl"/>
        </w:rPr>
        <w:t>Adicionalmente, en el caso de financiamiento mediante línea de crédito, se aplicarán las siguientes condiciones:</w:t>
      </w:r>
    </w:p>
    <w:p w14:paraId="27AD614B" w14:textId="77777777" w:rsidR="0095348E" w:rsidRPr="00BB303F" w:rsidRDefault="0095348E" w:rsidP="0095348E">
      <w:pPr>
        <w:tabs>
          <w:tab w:val="num" w:pos="426"/>
        </w:tabs>
        <w:ind w:left="426"/>
        <w:jc w:val="both"/>
        <w:rPr>
          <w:rFonts w:cs="Arial"/>
          <w:sz w:val="22"/>
          <w:szCs w:val="22"/>
          <w:lang w:val="es-ES_tradnl"/>
        </w:rPr>
      </w:pPr>
      <w:r w:rsidRPr="00BB303F">
        <w:rPr>
          <w:rFonts w:cs="Arial"/>
          <w:sz w:val="22"/>
          <w:szCs w:val="22"/>
          <w:lang w:val="es-ES_tradnl"/>
        </w:rPr>
        <w:t xml:space="preserve"> </w:t>
      </w:r>
    </w:p>
    <w:p w14:paraId="417A3E82" w14:textId="77777777" w:rsidR="0095348E" w:rsidRPr="00BB303F" w:rsidRDefault="0095348E" w:rsidP="0095348E">
      <w:pPr>
        <w:numPr>
          <w:ilvl w:val="0"/>
          <w:numId w:val="20"/>
        </w:numPr>
        <w:tabs>
          <w:tab w:val="num" w:pos="426"/>
        </w:tabs>
        <w:ind w:left="426" w:hanging="426"/>
        <w:jc w:val="both"/>
        <w:rPr>
          <w:rFonts w:cs="Arial"/>
          <w:sz w:val="22"/>
          <w:szCs w:val="22"/>
          <w:lang w:val="es-ES_tradnl"/>
        </w:rPr>
      </w:pPr>
      <w:r w:rsidRPr="00BB303F">
        <w:rPr>
          <w:rFonts w:cs="Arial"/>
          <w:b/>
          <w:sz w:val="22"/>
          <w:szCs w:val="22"/>
          <w:lang w:val="es-ES_tradnl"/>
        </w:rPr>
        <w:t xml:space="preserve">Tipo de línea de crédito: </w:t>
      </w:r>
      <w:proofErr w:type="spellStart"/>
      <w:r w:rsidRPr="00BB303F">
        <w:rPr>
          <w:rFonts w:cs="Arial"/>
          <w:sz w:val="22"/>
          <w:szCs w:val="22"/>
          <w:lang w:val="es-ES_tradnl"/>
        </w:rPr>
        <w:t>Revolutiva</w:t>
      </w:r>
      <w:proofErr w:type="spellEnd"/>
      <w:r w:rsidRPr="00BB303F">
        <w:rPr>
          <w:rFonts w:cs="Arial"/>
          <w:sz w:val="22"/>
          <w:szCs w:val="22"/>
          <w:lang w:val="es-ES_tradnl"/>
        </w:rPr>
        <w:t xml:space="preserve">, sin compromiso de desembolso y sujeta al límite de operaciones activas vigente. </w:t>
      </w:r>
    </w:p>
    <w:p w14:paraId="09BCC6EA" w14:textId="77777777" w:rsidR="0095348E" w:rsidRPr="00BB303F" w:rsidRDefault="0095348E" w:rsidP="0095348E">
      <w:pPr>
        <w:tabs>
          <w:tab w:val="num" w:pos="426"/>
        </w:tabs>
        <w:ind w:left="426" w:hanging="426"/>
        <w:jc w:val="both"/>
        <w:rPr>
          <w:rFonts w:cs="Arial"/>
          <w:sz w:val="22"/>
          <w:szCs w:val="22"/>
          <w:lang w:val="es-ES_tradnl"/>
        </w:rPr>
      </w:pPr>
    </w:p>
    <w:p w14:paraId="2A27AFA3" w14:textId="77777777" w:rsidR="0095348E" w:rsidRPr="00BB303F" w:rsidRDefault="0095348E" w:rsidP="0095348E">
      <w:pPr>
        <w:numPr>
          <w:ilvl w:val="0"/>
          <w:numId w:val="20"/>
        </w:numPr>
        <w:tabs>
          <w:tab w:val="num" w:pos="426"/>
        </w:tabs>
        <w:ind w:left="426" w:hanging="426"/>
        <w:jc w:val="both"/>
        <w:rPr>
          <w:rFonts w:cs="Arial"/>
          <w:sz w:val="22"/>
          <w:szCs w:val="22"/>
          <w:lang w:val="es-ES_tradnl"/>
        </w:rPr>
      </w:pPr>
      <w:r w:rsidRPr="00BB303F">
        <w:rPr>
          <w:rFonts w:cs="Arial"/>
          <w:b/>
          <w:sz w:val="22"/>
          <w:szCs w:val="22"/>
          <w:lang w:val="es-ES_tradnl"/>
        </w:rPr>
        <w:t>Plazo de la línea de crédito:</w:t>
      </w:r>
      <w:r w:rsidRPr="00BB303F">
        <w:rPr>
          <w:rFonts w:cs="Arial"/>
          <w:sz w:val="22"/>
          <w:szCs w:val="22"/>
          <w:lang w:val="es-ES_tradnl"/>
        </w:rPr>
        <w:t xml:space="preserve"> 5 años; el plazo de los subpréstamos que se formalicen al amparo de la línea de crédito</w:t>
      </w:r>
      <w:r>
        <w:rPr>
          <w:rFonts w:cs="Arial"/>
          <w:sz w:val="22"/>
          <w:szCs w:val="22"/>
          <w:lang w:val="es-ES_tradnl"/>
        </w:rPr>
        <w:t>,</w:t>
      </w:r>
      <w:r w:rsidRPr="00BB303F">
        <w:rPr>
          <w:rFonts w:cs="Arial"/>
          <w:sz w:val="22"/>
          <w:szCs w:val="22"/>
          <w:lang w:val="es-ES_tradnl"/>
        </w:rPr>
        <w:t xml:space="preserve"> será como máximo de 3 años y no podrá superar el plazo máximo de la línea de crédito.</w:t>
      </w:r>
    </w:p>
    <w:p w14:paraId="4F89D5A2" w14:textId="65DCF769" w:rsidR="0095348E" w:rsidRDefault="0095348E" w:rsidP="0095348E">
      <w:pPr>
        <w:rPr>
          <w:rFonts w:cs="Arial"/>
          <w:sz w:val="22"/>
          <w:szCs w:val="22"/>
          <w:lang w:val="es-ES_tradnl"/>
        </w:rPr>
      </w:pPr>
    </w:p>
    <w:p w14:paraId="690C6882" w14:textId="77777777" w:rsidR="007C3052" w:rsidRPr="00FD36BF" w:rsidRDefault="007C3052" w:rsidP="0095348E">
      <w:pPr>
        <w:rPr>
          <w:rFonts w:cs="Arial"/>
          <w:sz w:val="22"/>
          <w:szCs w:val="22"/>
          <w:lang w:val="es-CR"/>
        </w:rPr>
      </w:pPr>
    </w:p>
    <w:p w14:paraId="75D58463" w14:textId="61379427" w:rsidR="0095348E" w:rsidRPr="00BB303F" w:rsidRDefault="0095348E" w:rsidP="0095348E">
      <w:pPr>
        <w:jc w:val="both"/>
        <w:rPr>
          <w:rFonts w:cs="Arial"/>
          <w:b/>
          <w:caps/>
          <w:sz w:val="22"/>
          <w:szCs w:val="22"/>
          <w:lang w:val="es-ES_tradnl"/>
        </w:rPr>
      </w:pPr>
      <w:r w:rsidRPr="00BB303F">
        <w:rPr>
          <w:rFonts w:cs="Arial"/>
          <w:b/>
          <w:caps/>
          <w:sz w:val="22"/>
          <w:szCs w:val="22"/>
          <w:lang w:val="es-ES_tradnl"/>
        </w:rPr>
        <w:t>I</w:t>
      </w:r>
      <w:r w:rsidR="0036713B">
        <w:rPr>
          <w:rFonts w:cs="Arial"/>
          <w:b/>
          <w:caps/>
          <w:sz w:val="22"/>
          <w:szCs w:val="22"/>
          <w:lang w:val="es-ES_tradnl"/>
        </w:rPr>
        <w:t>v</w:t>
      </w:r>
      <w:r w:rsidRPr="00BB303F">
        <w:rPr>
          <w:rFonts w:cs="Arial"/>
          <w:b/>
          <w:caps/>
          <w:sz w:val="22"/>
          <w:szCs w:val="22"/>
          <w:lang w:val="es-ES_tradnl"/>
        </w:rPr>
        <w:t>.   Programa de Crédito de Largo Plazo en Dólares</w:t>
      </w:r>
    </w:p>
    <w:p w14:paraId="1B44B052" w14:textId="77777777" w:rsidR="0095348E" w:rsidRPr="00BB303F" w:rsidRDefault="0095348E" w:rsidP="0095348E">
      <w:pPr>
        <w:jc w:val="both"/>
        <w:rPr>
          <w:rFonts w:cs="Arial"/>
          <w:sz w:val="22"/>
          <w:szCs w:val="22"/>
          <w:lang w:val="es-ES_tradnl"/>
        </w:rPr>
      </w:pPr>
    </w:p>
    <w:p w14:paraId="352CF210" w14:textId="77777777" w:rsidR="0095348E" w:rsidRPr="00BB303F" w:rsidRDefault="0095348E" w:rsidP="0095348E">
      <w:pPr>
        <w:jc w:val="both"/>
        <w:rPr>
          <w:rFonts w:cs="Arial"/>
          <w:sz w:val="22"/>
          <w:szCs w:val="22"/>
          <w:lang w:val="es-ES_tradnl"/>
        </w:rPr>
      </w:pPr>
      <w:r w:rsidRPr="00BB303F">
        <w:rPr>
          <w:rFonts w:cs="Arial"/>
          <w:sz w:val="22"/>
          <w:szCs w:val="22"/>
          <w:lang w:val="es-ES_tradnl"/>
        </w:rPr>
        <w:t xml:space="preserve">Las condiciones para el </w:t>
      </w:r>
      <w:r w:rsidRPr="00BB303F">
        <w:rPr>
          <w:rFonts w:cs="Arial"/>
          <w:b/>
          <w:sz w:val="22"/>
          <w:szCs w:val="22"/>
          <w:u w:val="single"/>
          <w:lang w:val="es-ES_tradnl"/>
        </w:rPr>
        <w:t>Programa de Crédito de Largo Plazo en Dólares</w:t>
      </w:r>
      <w:r w:rsidRPr="00BB303F">
        <w:rPr>
          <w:rFonts w:cs="Arial"/>
          <w:sz w:val="22"/>
          <w:szCs w:val="22"/>
          <w:lang w:val="es-ES_tradnl"/>
        </w:rPr>
        <w:t>, son las que se detallan a continuación:</w:t>
      </w:r>
    </w:p>
    <w:p w14:paraId="184F131A" w14:textId="77777777" w:rsidR="0095348E" w:rsidRPr="00BB303F" w:rsidRDefault="0095348E" w:rsidP="0095348E">
      <w:pPr>
        <w:jc w:val="both"/>
        <w:rPr>
          <w:rFonts w:cs="Arial"/>
          <w:sz w:val="22"/>
          <w:szCs w:val="22"/>
          <w:lang w:val="es-ES_tradnl"/>
        </w:rPr>
      </w:pPr>
    </w:p>
    <w:p w14:paraId="2C9C8445" w14:textId="77777777" w:rsidR="0095348E" w:rsidRDefault="0095348E" w:rsidP="0095348E">
      <w:pPr>
        <w:pStyle w:val="Prrafodelista"/>
        <w:numPr>
          <w:ilvl w:val="0"/>
          <w:numId w:val="23"/>
        </w:numPr>
        <w:ind w:left="426" w:hanging="426"/>
        <w:jc w:val="both"/>
        <w:rPr>
          <w:rFonts w:cs="Arial"/>
          <w:sz w:val="22"/>
          <w:szCs w:val="22"/>
          <w:lang w:val="es-ES_tradnl"/>
        </w:rPr>
      </w:pPr>
      <w:r w:rsidRPr="00BB303F">
        <w:rPr>
          <w:rFonts w:cs="Arial"/>
          <w:b/>
          <w:sz w:val="22"/>
          <w:szCs w:val="22"/>
          <w:lang w:val="es-ES_tradnl"/>
        </w:rPr>
        <w:t>Plan de inversión</w:t>
      </w:r>
      <w:r w:rsidRPr="00BB303F">
        <w:rPr>
          <w:rFonts w:cs="Arial"/>
          <w:sz w:val="22"/>
          <w:szCs w:val="22"/>
          <w:lang w:val="es-ES_tradnl"/>
        </w:rPr>
        <w:t>: Formalización de operaciones de crédito bajo las modalidades de compra de vivienda, compra de lote, compra de lote y construcción, construcción de vivienda en lote propio, reparaciones, ampliaciones y mejoras y cancelación de hipotecas originadas en créditos de vivienda.  El monto máximo de cada solución habitacional financiada –incluyendo el terreno y la construcción– será equivalente al de las viviendas que están exentas del pago del impuesto previsto en la Ley del Impuesto Solidario para el Fortalecimiento de Programas de Vivienda y su Reglamento, el cual se ajusta anualmente. En caso de que el crédito sea para compra de lote, el valor del inmueble financiado podrá ser como máximo el 40% del monto indicado.</w:t>
      </w:r>
    </w:p>
    <w:p w14:paraId="0B8B0AE9" w14:textId="77777777" w:rsidR="0095348E" w:rsidRDefault="0095348E" w:rsidP="0095348E">
      <w:pPr>
        <w:pStyle w:val="Prrafodelista"/>
        <w:ind w:left="426"/>
        <w:jc w:val="both"/>
        <w:rPr>
          <w:rFonts w:cs="Arial"/>
          <w:b/>
          <w:sz w:val="22"/>
          <w:szCs w:val="22"/>
          <w:lang w:val="es-ES_tradnl"/>
        </w:rPr>
      </w:pPr>
    </w:p>
    <w:p w14:paraId="702E36D4" w14:textId="77777777" w:rsidR="0095348E" w:rsidRPr="00726902" w:rsidRDefault="0095348E" w:rsidP="0095348E">
      <w:pPr>
        <w:pStyle w:val="Prrafodelista"/>
        <w:ind w:left="426"/>
        <w:jc w:val="both"/>
        <w:rPr>
          <w:rFonts w:cs="Arial"/>
          <w:sz w:val="22"/>
          <w:szCs w:val="22"/>
          <w:lang w:val="es-ES_tradnl"/>
        </w:rPr>
      </w:pPr>
      <w:r w:rsidRPr="00726902">
        <w:rPr>
          <w:rFonts w:cs="Arial"/>
          <w:sz w:val="22"/>
          <w:szCs w:val="22"/>
          <w:lang w:val="es-ES_tradnl"/>
        </w:rPr>
        <w:t>Al menos el 10% de los recursos colocados en créditos para vivienda, deberá ser dirigido a personas jóvenes entre los dieciocho y treinta y cinco años de edad.</w:t>
      </w:r>
    </w:p>
    <w:p w14:paraId="37FA46F9" w14:textId="77777777" w:rsidR="0095348E" w:rsidRPr="00BB303F" w:rsidRDefault="0095348E" w:rsidP="0095348E">
      <w:pPr>
        <w:ind w:left="426" w:hanging="426"/>
        <w:jc w:val="both"/>
        <w:rPr>
          <w:rFonts w:cs="Arial"/>
          <w:sz w:val="22"/>
          <w:szCs w:val="22"/>
          <w:lang w:val="es-ES_tradnl"/>
        </w:rPr>
      </w:pPr>
    </w:p>
    <w:p w14:paraId="17817DED" w14:textId="77777777" w:rsidR="0095348E" w:rsidRPr="00BB303F" w:rsidRDefault="0095348E" w:rsidP="0095348E">
      <w:pPr>
        <w:pStyle w:val="Prrafodelista"/>
        <w:numPr>
          <w:ilvl w:val="0"/>
          <w:numId w:val="23"/>
        </w:numPr>
        <w:ind w:left="426" w:hanging="426"/>
        <w:jc w:val="both"/>
        <w:rPr>
          <w:rFonts w:cs="Arial"/>
          <w:sz w:val="22"/>
          <w:szCs w:val="22"/>
          <w:lang w:val="es-ES_tradnl"/>
        </w:rPr>
      </w:pPr>
      <w:r w:rsidRPr="00BB303F">
        <w:rPr>
          <w:rFonts w:cs="Arial"/>
          <w:b/>
          <w:bCs/>
          <w:sz w:val="22"/>
          <w:szCs w:val="22"/>
          <w:lang w:val="es-ES_tradnl"/>
        </w:rPr>
        <w:t xml:space="preserve">Moneda:  </w:t>
      </w:r>
      <w:r w:rsidRPr="00BB303F">
        <w:rPr>
          <w:rFonts w:cs="Arial"/>
          <w:sz w:val="22"/>
          <w:szCs w:val="22"/>
          <w:lang w:val="es-ES_tradnl"/>
        </w:rPr>
        <w:t>Dólares</w:t>
      </w:r>
    </w:p>
    <w:p w14:paraId="5DC89ACD" w14:textId="77777777" w:rsidR="0095348E" w:rsidRPr="00BB303F" w:rsidRDefault="0095348E" w:rsidP="0095348E">
      <w:pPr>
        <w:ind w:left="426" w:hanging="426"/>
        <w:jc w:val="both"/>
        <w:rPr>
          <w:rFonts w:cs="Arial"/>
          <w:b/>
          <w:bCs/>
          <w:sz w:val="22"/>
          <w:szCs w:val="22"/>
          <w:lang w:val="es-ES_tradnl"/>
        </w:rPr>
      </w:pPr>
    </w:p>
    <w:p w14:paraId="73E7A308" w14:textId="77777777" w:rsidR="0095348E" w:rsidRPr="00BB303F" w:rsidRDefault="0095348E" w:rsidP="0095348E">
      <w:pPr>
        <w:pStyle w:val="Prrafodelista"/>
        <w:numPr>
          <w:ilvl w:val="0"/>
          <w:numId w:val="23"/>
        </w:numPr>
        <w:ind w:left="426" w:hanging="426"/>
        <w:jc w:val="both"/>
        <w:rPr>
          <w:rFonts w:cs="Arial"/>
          <w:sz w:val="22"/>
          <w:szCs w:val="22"/>
          <w:lang w:val="es-ES_tradnl"/>
        </w:rPr>
      </w:pPr>
      <w:r w:rsidRPr="00BB303F">
        <w:rPr>
          <w:rFonts w:cs="Arial"/>
          <w:b/>
          <w:bCs/>
          <w:sz w:val="22"/>
          <w:szCs w:val="22"/>
          <w:lang w:val="es-ES_tradnl"/>
        </w:rPr>
        <w:t xml:space="preserve">Tasa de interés </w:t>
      </w:r>
      <w:r>
        <w:rPr>
          <w:rFonts w:cs="Arial"/>
          <w:b/>
          <w:bCs/>
          <w:sz w:val="22"/>
          <w:szCs w:val="22"/>
          <w:lang w:val="es-ES_tradnl"/>
        </w:rPr>
        <w:t>corriente</w:t>
      </w:r>
      <w:r w:rsidRPr="00BB303F">
        <w:rPr>
          <w:rFonts w:cs="Arial"/>
          <w:b/>
          <w:bCs/>
          <w:sz w:val="22"/>
          <w:szCs w:val="22"/>
          <w:lang w:val="es-ES_tradnl"/>
        </w:rPr>
        <w:t xml:space="preserve">:  </w:t>
      </w:r>
      <w:r w:rsidRPr="00BB303F">
        <w:rPr>
          <w:rFonts w:cs="Arial"/>
          <w:color w:val="000000"/>
          <w:sz w:val="22"/>
          <w:szCs w:val="22"/>
          <w:lang w:val="es-ES_tradnl"/>
        </w:rPr>
        <w:t>Tasa LIBOR a 6 meses más 5.0 puntos porcentuales en caso de Entidades sujetas al requerimiento de Encaje Mínimo Legal, y LIBOR más 5.50 puntos porcentuales para el resto de las Entidades, ajustable mensualmente.</w:t>
      </w:r>
    </w:p>
    <w:p w14:paraId="18664DB7" w14:textId="77777777" w:rsidR="0095348E" w:rsidRPr="00BB303F" w:rsidRDefault="0095348E" w:rsidP="0095348E">
      <w:pPr>
        <w:pStyle w:val="Prrafodelista"/>
        <w:ind w:left="426"/>
        <w:jc w:val="both"/>
        <w:rPr>
          <w:rFonts w:cs="Arial"/>
          <w:sz w:val="22"/>
          <w:szCs w:val="22"/>
          <w:lang w:val="es-ES_tradnl"/>
        </w:rPr>
      </w:pPr>
    </w:p>
    <w:p w14:paraId="27C016DC" w14:textId="77777777" w:rsidR="0095348E" w:rsidRPr="00BB303F" w:rsidRDefault="0095348E" w:rsidP="0095348E">
      <w:pPr>
        <w:pStyle w:val="Prrafodelista"/>
        <w:numPr>
          <w:ilvl w:val="0"/>
          <w:numId w:val="23"/>
        </w:numPr>
        <w:ind w:left="426" w:hanging="426"/>
        <w:jc w:val="both"/>
        <w:rPr>
          <w:rFonts w:cs="Arial"/>
          <w:sz w:val="22"/>
          <w:szCs w:val="22"/>
          <w:lang w:val="es-ES_tradnl"/>
        </w:rPr>
      </w:pPr>
      <w:r w:rsidRPr="00BB303F">
        <w:rPr>
          <w:rFonts w:cs="Arial"/>
          <w:b/>
          <w:bCs/>
          <w:sz w:val="22"/>
          <w:szCs w:val="22"/>
          <w:lang w:val="es-ES_tradnl"/>
        </w:rPr>
        <w:t xml:space="preserve">Tasa de </w:t>
      </w:r>
      <w:r w:rsidRPr="00BB303F">
        <w:rPr>
          <w:rFonts w:cs="Arial"/>
          <w:b/>
          <w:sz w:val="22"/>
          <w:szCs w:val="22"/>
          <w:lang w:val="es-ES_tradnl"/>
        </w:rPr>
        <w:t>interés moratoria:</w:t>
      </w:r>
      <w:r w:rsidRPr="00BB303F">
        <w:rPr>
          <w:rFonts w:cs="Arial"/>
          <w:sz w:val="22"/>
          <w:szCs w:val="22"/>
          <w:lang w:val="es-ES_tradnl"/>
        </w:rPr>
        <w:t xml:space="preserve"> Equivalente a la tasa de interés corriente más dos puntos porcentuales.  En caso de que ese valor exceda al límite del 30% que establece el artículo 498 del Código de Comercio, se ajustará al nivel máximo factible sin que llegue a exceder el límite de referencia.</w:t>
      </w:r>
    </w:p>
    <w:p w14:paraId="0F39C44D" w14:textId="77777777" w:rsidR="0095348E" w:rsidRPr="00BB303F" w:rsidRDefault="0095348E" w:rsidP="0095348E">
      <w:pPr>
        <w:ind w:left="426" w:hanging="426"/>
        <w:jc w:val="both"/>
        <w:rPr>
          <w:rFonts w:cs="Arial"/>
          <w:b/>
          <w:sz w:val="22"/>
          <w:szCs w:val="22"/>
          <w:lang w:val="es-ES_tradnl"/>
        </w:rPr>
      </w:pPr>
    </w:p>
    <w:p w14:paraId="362C714D" w14:textId="77777777" w:rsidR="0095348E" w:rsidRPr="00EC6331" w:rsidRDefault="0095348E" w:rsidP="0095348E">
      <w:pPr>
        <w:pStyle w:val="Prrafodelista"/>
        <w:numPr>
          <w:ilvl w:val="0"/>
          <w:numId w:val="23"/>
        </w:numPr>
        <w:ind w:left="426" w:hanging="426"/>
        <w:jc w:val="both"/>
        <w:rPr>
          <w:rFonts w:cs="Arial"/>
          <w:sz w:val="22"/>
          <w:szCs w:val="22"/>
          <w:lang w:val="es-ES_tradnl"/>
        </w:rPr>
      </w:pPr>
      <w:r w:rsidRPr="00EC6331">
        <w:rPr>
          <w:rFonts w:cs="Arial"/>
          <w:b/>
          <w:sz w:val="22"/>
          <w:szCs w:val="22"/>
          <w:lang w:val="es-ES_tradnl"/>
        </w:rPr>
        <w:t>Comisión de formalización</w:t>
      </w:r>
      <w:r w:rsidRPr="00EC6331">
        <w:rPr>
          <w:rFonts w:cs="Arial"/>
          <w:sz w:val="22"/>
          <w:szCs w:val="22"/>
          <w:lang w:val="es-ES_tradnl"/>
        </w:rPr>
        <w:t>: Uno por ciento (</w:t>
      </w:r>
      <w:r w:rsidRPr="00EC6331">
        <w:rPr>
          <w:rFonts w:cs="Arial"/>
          <w:color w:val="000000"/>
          <w:sz w:val="22"/>
          <w:szCs w:val="22"/>
          <w:lang w:val="es-ES_tradnl"/>
        </w:rPr>
        <w:t>1%) sobre el monto desembolsado.</w:t>
      </w:r>
    </w:p>
    <w:p w14:paraId="62035AB5" w14:textId="77777777" w:rsidR="0095348E" w:rsidRPr="00BB303F" w:rsidRDefault="0095348E" w:rsidP="0095348E">
      <w:pPr>
        <w:pStyle w:val="Prrafodelista"/>
        <w:ind w:left="426"/>
        <w:jc w:val="both"/>
        <w:rPr>
          <w:rFonts w:cs="Arial"/>
          <w:sz w:val="22"/>
          <w:szCs w:val="22"/>
          <w:lang w:val="es-ES_tradnl"/>
        </w:rPr>
      </w:pPr>
    </w:p>
    <w:p w14:paraId="35BBB363" w14:textId="77777777" w:rsidR="0095348E" w:rsidRPr="00BB303F" w:rsidRDefault="0095348E" w:rsidP="0095348E">
      <w:pPr>
        <w:pStyle w:val="Prrafodelista"/>
        <w:numPr>
          <w:ilvl w:val="0"/>
          <w:numId w:val="23"/>
        </w:numPr>
        <w:ind w:left="426" w:hanging="426"/>
        <w:jc w:val="both"/>
        <w:rPr>
          <w:rFonts w:cs="Arial"/>
          <w:sz w:val="22"/>
          <w:szCs w:val="22"/>
          <w:lang w:val="es-ES_tradnl"/>
        </w:rPr>
      </w:pPr>
      <w:r w:rsidRPr="00BB303F">
        <w:rPr>
          <w:rFonts w:cs="Arial"/>
          <w:b/>
          <w:sz w:val="22"/>
          <w:szCs w:val="22"/>
          <w:lang w:val="es-ES_tradnl"/>
        </w:rPr>
        <w:t xml:space="preserve">Comisión por pago anticipado: </w:t>
      </w:r>
      <w:r w:rsidRPr="00BB303F">
        <w:rPr>
          <w:rFonts w:cs="Arial"/>
          <w:sz w:val="22"/>
          <w:szCs w:val="22"/>
          <w:lang w:val="es-ES_tradnl"/>
        </w:rPr>
        <w:t>Tres por ciento (3%) sobre el monto del pago extraordinario durante los primeros cinco años del plazo del financiamiento.</w:t>
      </w:r>
      <w:r w:rsidRPr="00BB303F">
        <w:rPr>
          <w:rFonts w:cs="Arial"/>
          <w:color w:val="000000"/>
          <w:sz w:val="22"/>
          <w:szCs w:val="22"/>
          <w:lang w:val="es-ES_tradnl"/>
        </w:rPr>
        <w:t xml:space="preserve"> Esta condición no será aplicada en aquellos casos en que la entidad autorizada se comprometa contractualmente a no incorporar el cobro de comisión por pago anticipado en las operaciones de crédito formalizadas con los recursos del BANHVI.</w:t>
      </w:r>
    </w:p>
    <w:p w14:paraId="7CDDAA70" w14:textId="77777777" w:rsidR="0095348E" w:rsidRPr="00BB303F" w:rsidRDefault="0095348E" w:rsidP="0095348E">
      <w:pPr>
        <w:ind w:left="426" w:hanging="426"/>
        <w:jc w:val="both"/>
        <w:rPr>
          <w:rFonts w:cs="Arial"/>
          <w:b/>
          <w:bCs/>
          <w:sz w:val="22"/>
          <w:szCs w:val="22"/>
          <w:lang w:val="es-ES_tradnl"/>
        </w:rPr>
      </w:pPr>
    </w:p>
    <w:p w14:paraId="5EE083D8" w14:textId="77777777" w:rsidR="0095348E" w:rsidRPr="00BB303F" w:rsidRDefault="0095348E" w:rsidP="0095348E">
      <w:pPr>
        <w:pStyle w:val="Prrafodelista"/>
        <w:numPr>
          <w:ilvl w:val="0"/>
          <w:numId w:val="23"/>
        </w:numPr>
        <w:ind w:left="426" w:hanging="426"/>
        <w:jc w:val="both"/>
        <w:rPr>
          <w:rFonts w:cs="Arial"/>
          <w:sz w:val="22"/>
          <w:szCs w:val="22"/>
          <w:lang w:val="es-ES_tradnl"/>
        </w:rPr>
      </w:pPr>
      <w:r w:rsidRPr="00BB303F">
        <w:rPr>
          <w:rFonts w:cs="Arial"/>
          <w:b/>
          <w:sz w:val="22"/>
          <w:szCs w:val="22"/>
          <w:lang w:val="es-ES_tradnl"/>
        </w:rPr>
        <w:t>Plazo del financiamiento</w:t>
      </w:r>
      <w:r w:rsidRPr="00BB303F">
        <w:rPr>
          <w:rFonts w:cs="Arial"/>
          <w:sz w:val="22"/>
          <w:szCs w:val="22"/>
          <w:lang w:val="es-ES_tradnl"/>
        </w:rPr>
        <w:t>: Máximo de 8 años.</w:t>
      </w:r>
    </w:p>
    <w:p w14:paraId="662EEABB" w14:textId="77777777" w:rsidR="0095348E" w:rsidRPr="00BB303F" w:rsidRDefault="0095348E" w:rsidP="0095348E">
      <w:pPr>
        <w:ind w:left="426" w:hanging="426"/>
        <w:jc w:val="both"/>
        <w:rPr>
          <w:rFonts w:cs="Arial"/>
          <w:bCs/>
          <w:sz w:val="22"/>
          <w:szCs w:val="22"/>
          <w:lang w:val="es-ES_tradnl"/>
        </w:rPr>
      </w:pPr>
    </w:p>
    <w:p w14:paraId="30EFEC0A" w14:textId="77777777" w:rsidR="0095348E" w:rsidRPr="00BB303F" w:rsidRDefault="0095348E" w:rsidP="0095348E">
      <w:pPr>
        <w:pStyle w:val="Prrafodelista"/>
        <w:numPr>
          <w:ilvl w:val="0"/>
          <w:numId w:val="23"/>
        </w:numPr>
        <w:ind w:left="426" w:hanging="426"/>
        <w:jc w:val="both"/>
        <w:rPr>
          <w:rFonts w:cs="Arial"/>
          <w:bCs/>
          <w:sz w:val="22"/>
          <w:szCs w:val="22"/>
          <w:lang w:val="es-ES_tradnl"/>
        </w:rPr>
      </w:pPr>
      <w:r w:rsidRPr="00BB303F">
        <w:rPr>
          <w:rFonts w:cs="Arial"/>
          <w:b/>
          <w:bCs/>
          <w:sz w:val="22"/>
          <w:szCs w:val="22"/>
          <w:lang w:val="es-ES_tradnl"/>
        </w:rPr>
        <w:t xml:space="preserve">Forma de pago: </w:t>
      </w:r>
      <w:r w:rsidRPr="00BB303F">
        <w:rPr>
          <w:rFonts w:cs="Arial"/>
          <w:bCs/>
          <w:sz w:val="22"/>
          <w:szCs w:val="22"/>
          <w:lang w:val="es-ES_tradnl"/>
        </w:rPr>
        <w:t>Cuotas mensuales niveladas por mes vencido.</w:t>
      </w:r>
    </w:p>
    <w:p w14:paraId="7F3F08E1" w14:textId="77777777" w:rsidR="0095348E" w:rsidRPr="00BB303F" w:rsidRDefault="0095348E" w:rsidP="0095348E">
      <w:pPr>
        <w:ind w:left="426" w:hanging="426"/>
        <w:jc w:val="both"/>
        <w:rPr>
          <w:rFonts w:cs="Arial"/>
          <w:b/>
          <w:sz w:val="22"/>
          <w:szCs w:val="22"/>
          <w:lang w:val="es-ES_tradnl"/>
        </w:rPr>
      </w:pPr>
    </w:p>
    <w:p w14:paraId="3044AA5B" w14:textId="77777777" w:rsidR="0095348E" w:rsidRPr="00BB303F" w:rsidRDefault="0095348E" w:rsidP="0095348E">
      <w:pPr>
        <w:pStyle w:val="Prrafodelista"/>
        <w:numPr>
          <w:ilvl w:val="0"/>
          <w:numId w:val="23"/>
        </w:numPr>
        <w:ind w:left="426" w:hanging="426"/>
        <w:jc w:val="both"/>
        <w:rPr>
          <w:rFonts w:cs="Arial"/>
          <w:bCs/>
          <w:sz w:val="22"/>
          <w:szCs w:val="22"/>
          <w:lang w:val="es-ES_tradnl"/>
        </w:rPr>
      </w:pPr>
      <w:r w:rsidRPr="00BB303F">
        <w:rPr>
          <w:rFonts w:cs="Arial"/>
          <w:b/>
          <w:sz w:val="22"/>
          <w:szCs w:val="22"/>
          <w:lang w:val="es-ES_tradnl"/>
        </w:rPr>
        <w:t>Monto máximo del crédito</w:t>
      </w:r>
      <w:r w:rsidRPr="00BB303F">
        <w:rPr>
          <w:rFonts w:cs="Arial"/>
          <w:sz w:val="22"/>
          <w:szCs w:val="22"/>
          <w:lang w:val="es-ES_tradnl"/>
        </w:rPr>
        <w:t>: El monto máximo de los créditos otorgados</w:t>
      </w:r>
      <w:r>
        <w:rPr>
          <w:rFonts w:cs="Arial"/>
          <w:sz w:val="22"/>
          <w:szCs w:val="22"/>
          <w:lang w:val="es-ES_tradnl"/>
        </w:rPr>
        <w:t>,</w:t>
      </w:r>
      <w:r w:rsidRPr="00BB303F">
        <w:rPr>
          <w:rFonts w:cs="Arial"/>
          <w:sz w:val="22"/>
          <w:szCs w:val="22"/>
          <w:lang w:val="es-ES_tradnl"/>
        </w:rPr>
        <w:t xml:space="preserve"> se establece en función de la capacidad de pago de las Entidades solicitantes y contemplando el límite de operaciones activas</w:t>
      </w:r>
      <w:r>
        <w:rPr>
          <w:rFonts w:cs="Arial"/>
          <w:sz w:val="22"/>
          <w:szCs w:val="22"/>
          <w:lang w:val="es-ES_tradnl"/>
        </w:rPr>
        <w:t>,</w:t>
      </w:r>
      <w:r w:rsidRPr="00BB303F">
        <w:rPr>
          <w:rFonts w:cs="Arial"/>
          <w:sz w:val="22"/>
          <w:szCs w:val="22"/>
          <w:lang w:val="es-ES_tradnl"/>
        </w:rPr>
        <w:t xml:space="preserve"> establecido de conformidad con la Ley Nº 7558 y el oficio SUGEF-2046-20080443 de la Superintendencia General de Entidades Financieras.</w:t>
      </w:r>
    </w:p>
    <w:p w14:paraId="55484065" w14:textId="77777777" w:rsidR="0095348E" w:rsidRPr="00BB303F" w:rsidRDefault="0095348E" w:rsidP="0095348E">
      <w:pPr>
        <w:ind w:left="426" w:hanging="426"/>
        <w:jc w:val="both"/>
        <w:rPr>
          <w:rFonts w:cs="Arial"/>
          <w:b/>
          <w:sz w:val="22"/>
          <w:szCs w:val="22"/>
          <w:lang w:val="es-ES_tradnl"/>
        </w:rPr>
      </w:pPr>
    </w:p>
    <w:p w14:paraId="4FDB4CA4" w14:textId="77777777" w:rsidR="0095348E" w:rsidRPr="00BB303F" w:rsidRDefault="0095348E" w:rsidP="0095348E">
      <w:pPr>
        <w:pStyle w:val="Prrafodelista"/>
        <w:numPr>
          <w:ilvl w:val="0"/>
          <w:numId w:val="23"/>
        </w:numPr>
        <w:ind w:left="426" w:hanging="426"/>
        <w:jc w:val="both"/>
        <w:rPr>
          <w:rFonts w:cs="Arial"/>
          <w:sz w:val="22"/>
          <w:szCs w:val="22"/>
          <w:lang w:val="es-ES_tradnl"/>
        </w:rPr>
      </w:pPr>
      <w:r w:rsidRPr="00BB303F">
        <w:rPr>
          <w:rFonts w:cs="Arial"/>
          <w:b/>
          <w:sz w:val="22"/>
          <w:szCs w:val="22"/>
          <w:lang w:val="es-ES_tradnl"/>
        </w:rPr>
        <w:t xml:space="preserve">Tipo de Garantías: </w:t>
      </w:r>
      <w:r w:rsidRPr="00BB303F">
        <w:rPr>
          <w:rFonts w:cs="Arial"/>
          <w:sz w:val="22"/>
          <w:szCs w:val="22"/>
          <w:lang w:val="es-ES_tradnl"/>
        </w:rPr>
        <w:t>Alternativas incorporadas en el “Reglamento de los Programas de Crédito y Avales del Fondo Nacional para la Vivienda</w:t>
      </w:r>
      <w:r>
        <w:rPr>
          <w:rFonts w:cs="Arial"/>
          <w:sz w:val="22"/>
          <w:szCs w:val="22"/>
          <w:lang w:val="es-ES_tradnl"/>
        </w:rPr>
        <w:t xml:space="preserve"> del Banco Hipotecario de la Vivienda</w:t>
      </w:r>
      <w:r w:rsidRPr="00BB303F">
        <w:rPr>
          <w:rFonts w:cs="Arial"/>
          <w:sz w:val="22"/>
          <w:szCs w:val="22"/>
          <w:lang w:val="es-ES_tradnl"/>
        </w:rPr>
        <w:t>” vigente.</w:t>
      </w:r>
    </w:p>
    <w:p w14:paraId="2B180346" w14:textId="77777777" w:rsidR="0095348E" w:rsidRPr="00BB303F" w:rsidRDefault="0095348E" w:rsidP="0095348E">
      <w:pPr>
        <w:ind w:left="426" w:hanging="426"/>
        <w:jc w:val="both"/>
        <w:rPr>
          <w:rFonts w:cs="Arial"/>
          <w:sz w:val="22"/>
          <w:szCs w:val="22"/>
          <w:lang w:val="es-ES_tradnl"/>
        </w:rPr>
      </w:pPr>
    </w:p>
    <w:p w14:paraId="53426A26" w14:textId="77777777" w:rsidR="0095348E" w:rsidRPr="00BB303F" w:rsidRDefault="0095348E" w:rsidP="0095348E">
      <w:pPr>
        <w:pStyle w:val="Prrafodelista"/>
        <w:numPr>
          <w:ilvl w:val="0"/>
          <w:numId w:val="23"/>
        </w:numPr>
        <w:ind w:left="426" w:hanging="426"/>
        <w:jc w:val="both"/>
        <w:rPr>
          <w:rFonts w:cs="Arial"/>
          <w:bCs/>
          <w:sz w:val="22"/>
          <w:szCs w:val="22"/>
          <w:lang w:val="es-ES_tradnl"/>
        </w:rPr>
      </w:pPr>
      <w:r w:rsidRPr="00BB303F">
        <w:rPr>
          <w:rFonts w:cs="Arial"/>
          <w:b/>
          <w:sz w:val="22"/>
          <w:szCs w:val="22"/>
          <w:lang w:val="es-ES_tradnl"/>
        </w:rPr>
        <w:t>Monto global del programa</w:t>
      </w:r>
      <w:r w:rsidRPr="00BB303F">
        <w:rPr>
          <w:rFonts w:cs="Arial"/>
          <w:sz w:val="22"/>
          <w:szCs w:val="22"/>
          <w:lang w:val="es-ES_tradnl"/>
        </w:rPr>
        <w:t>: $10 millones.</w:t>
      </w:r>
    </w:p>
    <w:p w14:paraId="35EF05DA" w14:textId="77777777" w:rsidR="0095348E" w:rsidRPr="00BB303F" w:rsidRDefault="0095348E" w:rsidP="0095348E">
      <w:pPr>
        <w:ind w:left="426" w:hanging="426"/>
        <w:jc w:val="both"/>
        <w:rPr>
          <w:rFonts w:cs="Arial"/>
          <w:sz w:val="22"/>
          <w:szCs w:val="22"/>
          <w:lang w:val="es-ES_tradnl"/>
        </w:rPr>
      </w:pPr>
    </w:p>
    <w:p w14:paraId="2DC05211" w14:textId="77777777" w:rsidR="0095348E" w:rsidRPr="00BB303F" w:rsidRDefault="0095348E" w:rsidP="0095348E">
      <w:pPr>
        <w:tabs>
          <w:tab w:val="num" w:pos="426"/>
        </w:tabs>
        <w:jc w:val="both"/>
        <w:rPr>
          <w:rFonts w:cs="Arial"/>
          <w:sz w:val="22"/>
          <w:szCs w:val="22"/>
          <w:lang w:val="es-ES_tradnl"/>
        </w:rPr>
      </w:pPr>
      <w:r w:rsidRPr="00BB303F">
        <w:rPr>
          <w:rFonts w:cs="Arial"/>
          <w:sz w:val="22"/>
          <w:szCs w:val="22"/>
          <w:lang w:val="es-ES_tradnl"/>
        </w:rPr>
        <w:t>Adicionalmente, en el caso de financiamiento mediante línea de crédito, se aplicarán las siguientes condiciones:</w:t>
      </w:r>
    </w:p>
    <w:p w14:paraId="46190FCC" w14:textId="77777777" w:rsidR="0095348E" w:rsidRPr="00BB303F" w:rsidRDefault="0095348E" w:rsidP="0095348E">
      <w:pPr>
        <w:ind w:left="426" w:hanging="426"/>
        <w:jc w:val="both"/>
        <w:rPr>
          <w:rFonts w:cs="Arial"/>
          <w:sz w:val="22"/>
          <w:szCs w:val="22"/>
          <w:lang w:val="es-ES_tradnl"/>
        </w:rPr>
      </w:pPr>
    </w:p>
    <w:p w14:paraId="4A7FD2BC" w14:textId="77777777" w:rsidR="0095348E" w:rsidRPr="00BB303F" w:rsidRDefault="0095348E" w:rsidP="0095348E">
      <w:pPr>
        <w:pStyle w:val="Prrafodelista"/>
        <w:numPr>
          <w:ilvl w:val="0"/>
          <w:numId w:val="23"/>
        </w:numPr>
        <w:ind w:left="426" w:hanging="426"/>
        <w:jc w:val="both"/>
        <w:rPr>
          <w:rFonts w:cs="Arial"/>
          <w:sz w:val="22"/>
          <w:szCs w:val="22"/>
          <w:lang w:val="es-ES_tradnl"/>
        </w:rPr>
      </w:pPr>
      <w:r w:rsidRPr="00BB303F">
        <w:rPr>
          <w:rFonts w:cs="Arial"/>
          <w:b/>
          <w:sz w:val="22"/>
          <w:szCs w:val="22"/>
          <w:lang w:val="es-ES_tradnl"/>
        </w:rPr>
        <w:t xml:space="preserve">Tipo de línea de crédito: </w:t>
      </w:r>
      <w:proofErr w:type="spellStart"/>
      <w:r w:rsidRPr="00BB303F">
        <w:rPr>
          <w:rFonts w:cs="Arial"/>
          <w:sz w:val="22"/>
          <w:szCs w:val="22"/>
          <w:lang w:val="es-ES_tradnl"/>
        </w:rPr>
        <w:t>Revolutiva</w:t>
      </w:r>
      <w:proofErr w:type="spellEnd"/>
      <w:r w:rsidRPr="00BB303F">
        <w:rPr>
          <w:rFonts w:cs="Arial"/>
          <w:sz w:val="22"/>
          <w:szCs w:val="22"/>
          <w:lang w:val="es-ES_tradnl"/>
        </w:rPr>
        <w:t>, sin compromiso de desembolso y sujeta al límite de operaciones activas vigente.</w:t>
      </w:r>
    </w:p>
    <w:p w14:paraId="24C45708" w14:textId="77777777" w:rsidR="0095348E" w:rsidRPr="00BB303F" w:rsidRDefault="0095348E" w:rsidP="0095348E">
      <w:pPr>
        <w:ind w:left="426" w:hanging="426"/>
        <w:jc w:val="both"/>
        <w:rPr>
          <w:rFonts w:cs="Arial"/>
          <w:sz w:val="22"/>
          <w:szCs w:val="22"/>
          <w:lang w:val="es-ES_tradnl"/>
        </w:rPr>
      </w:pPr>
    </w:p>
    <w:p w14:paraId="1B4B947E" w14:textId="77777777" w:rsidR="0095348E" w:rsidRPr="00BB303F" w:rsidRDefault="0095348E" w:rsidP="0095348E">
      <w:pPr>
        <w:pStyle w:val="Prrafodelista"/>
        <w:numPr>
          <w:ilvl w:val="0"/>
          <w:numId w:val="23"/>
        </w:numPr>
        <w:ind w:left="426" w:hanging="426"/>
        <w:jc w:val="both"/>
        <w:rPr>
          <w:rFonts w:cs="Arial"/>
          <w:sz w:val="22"/>
          <w:szCs w:val="22"/>
          <w:lang w:val="es-ES_tradnl"/>
        </w:rPr>
      </w:pPr>
      <w:r w:rsidRPr="00BB303F">
        <w:rPr>
          <w:rFonts w:cs="Arial"/>
          <w:b/>
          <w:sz w:val="22"/>
          <w:szCs w:val="22"/>
          <w:lang w:val="es-ES_tradnl"/>
        </w:rPr>
        <w:t>Plazo de la línea de crédito:</w:t>
      </w:r>
      <w:r w:rsidRPr="00BB303F">
        <w:rPr>
          <w:rFonts w:cs="Arial"/>
          <w:sz w:val="22"/>
          <w:szCs w:val="22"/>
          <w:lang w:val="es-ES_tradnl"/>
        </w:rPr>
        <w:t xml:space="preserve"> 10 años; el plazo de los subpréstamos que se formalicen al amparo de la línea de crédito</w:t>
      </w:r>
      <w:r>
        <w:rPr>
          <w:rFonts w:cs="Arial"/>
          <w:sz w:val="22"/>
          <w:szCs w:val="22"/>
          <w:lang w:val="es-ES_tradnl"/>
        </w:rPr>
        <w:t>,</w:t>
      </w:r>
      <w:r w:rsidRPr="00BB303F">
        <w:rPr>
          <w:rFonts w:cs="Arial"/>
          <w:sz w:val="22"/>
          <w:szCs w:val="22"/>
          <w:lang w:val="es-ES_tradnl"/>
        </w:rPr>
        <w:t xml:space="preserve"> será como máximo de 8 años y no podrá superar el plazo máximo de la línea de crédito.</w:t>
      </w:r>
    </w:p>
    <w:p w14:paraId="3D8C5D4C" w14:textId="77777777" w:rsidR="0095348E" w:rsidRPr="00BB303F" w:rsidRDefault="0095348E" w:rsidP="0095348E">
      <w:pPr>
        <w:spacing w:line="360" w:lineRule="auto"/>
        <w:rPr>
          <w:rFonts w:ascii="Calibri" w:hAnsi="Calibri" w:cs="Calibri"/>
          <w:lang w:val="es-ES_tradnl"/>
        </w:rPr>
      </w:pPr>
    </w:p>
    <w:p w14:paraId="4CE3F6F0" w14:textId="77777777" w:rsidR="0095348E" w:rsidRPr="00BB303F" w:rsidRDefault="0095348E" w:rsidP="0095348E">
      <w:pPr>
        <w:tabs>
          <w:tab w:val="num" w:pos="426"/>
        </w:tabs>
        <w:spacing w:line="360" w:lineRule="auto"/>
        <w:jc w:val="both"/>
        <w:rPr>
          <w:rFonts w:cs="Arial"/>
          <w:position w:val="6"/>
          <w:sz w:val="22"/>
          <w:szCs w:val="22"/>
        </w:rPr>
      </w:pPr>
      <w:r w:rsidRPr="00BB303F">
        <w:rPr>
          <w:rFonts w:cs="Arial"/>
          <w:b/>
          <w:position w:val="6"/>
          <w:sz w:val="22"/>
          <w:szCs w:val="22"/>
        </w:rPr>
        <w:t>SEGUNDO:</w:t>
      </w:r>
      <w:r w:rsidRPr="00BB303F">
        <w:rPr>
          <w:rFonts w:cs="Arial"/>
          <w:position w:val="6"/>
          <w:sz w:val="22"/>
          <w:szCs w:val="22"/>
        </w:rPr>
        <w:t xml:space="preserve"> Aprobar el siguiente:</w:t>
      </w:r>
    </w:p>
    <w:p w14:paraId="60853638" w14:textId="77777777" w:rsidR="0095348E" w:rsidRPr="00BB303F" w:rsidRDefault="0095348E" w:rsidP="0095348E">
      <w:pPr>
        <w:jc w:val="center"/>
        <w:rPr>
          <w:rFonts w:cs="Arial"/>
          <w:b/>
          <w:position w:val="6"/>
          <w:sz w:val="22"/>
          <w:szCs w:val="22"/>
        </w:rPr>
      </w:pPr>
    </w:p>
    <w:p w14:paraId="717DE4CC" w14:textId="64B3D73E" w:rsidR="0095348E" w:rsidRPr="00BB303F" w:rsidRDefault="0095348E" w:rsidP="0095348E">
      <w:pPr>
        <w:jc w:val="center"/>
        <w:rPr>
          <w:rFonts w:cs="Arial"/>
          <w:b/>
          <w:position w:val="6"/>
          <w:sz w:val="22"/>
          <w:szCs w:val="22"/>
        </w:rPr>
      </w:pPr>
      <w:r w:rsidRPr="00BB303F">
        <w:rPr>
          <w:rFonts w:cs="Arial"/>
          <w:b/>
          <w:position w:val="6"/>
          <w:sz w:val="22"/>
          <w:szCs w:val="22"/>
        </w:rPr>
        <w:t>PLAN ANUAL DE CAPTACIONES PARA EL AÑO 20</w:t>
      </w:r>
      <w:r w:rsidR="0036713B">
        <w:rPr>
          <w:rFonts w:cs="Arial"/>
          <w:b/>
          <w:position w:val="6"/>
          <w:sz w:val="22"/>
          <w:szCs w:val="22"/>
        </w:rPr>
        <w:t>20</w:t>
      </w:r>
    </w:p>
    <w:p w14:paraId="05BF59E1" w14:textId="77777777" w:rsidR="0095348E" w:rsidRPr="00BB303F" w:rsidRDefault="0095348E" w:rsidP="0095348E">
      <w:pPr>
        <w:jc w:val="both"/>
        <w:rPr>
          <w:rFonts w:cs="Arial"/>
          <w:position w:val="6"/>
          <w:sz w:val="22"/>
          <w:szCs w:val="22"/>
        </w:rPr>
      </w:pPr>
    </w:p>
    <w:p w14:paraId="18E7B248" w14:textId="35A8E177" w:rsidR="0095348E" w:rsidRPr="00BB303F" w:rsidRDefault="0095348E" w:rsidP="0095348E">
      <w:pPr>
        <w:numPr>
          <w:ilvl w:val="0"/>
          <w:numId w:val="22"/>
        </w:numPr>
        <w:tabs>
          <w:tab w:val="clear" w:pos="720"/>
          <w:tab w:val="num" w:pos="426"/>
        </w:tabs>
        <w:ind w:left="426" w:hanging="426"/>
        <w:jc w:val="both"/>
        <w:rPr>
          <w:rFonts w:cs="Arial"/>
          <w:sz w:val="22"/>
          <w:szCs w:val="22"/>
        </w:rPr>
      </w:pPr>
      <w:r w:rsidRPr="00BB303F">
        <w:rPr>
          <w:rFonts w:cs="Arial"/>
          <w:b/>
          <w:sz w:val="22"/>
          <w:szCs w:val="22"/>
        </w:rPr>
        <w:t>Propósito de la captación</w:t>
      </w:r>
      <w:r w:rsidRPr="00BB303F">
        <w:rPr>
          <w:rFonts w:cs="Arial"/>
          <w:sz w:val="22"/>
          <w:szCs w:val="22"/>
        </w:rPr>
        <w:t>: Fondeo de recursos con el objeto de atender las solicitudes de crédito asociadas a los programas de crédito vigentes</w:t>
      </w:r>
      <w:r w:rsidRPr="00BB303F">
        <w:rPr>
          <w:rFonts w:cs="Arial"/>
          <w:bCs/>
          <w:sz w:val="22"/>
          <w:szCs w:val="22"/>
        </w:rPr>
        <w:t xml:space="preserve">, </w:t>
      </w:r>
      <w:r w:rsidRPr="00BB303F">
        <w:rPr>
          <w:rFonts w:cs="Arial"/>
          <w:sz w:val="22"/>
          <w:szCs w:val="22"/>
        </w:rPr>
        <w:t>la cancelación de obligaciones con otras entidades financieras</w:t>
      </w:r>
      <w:r>
        <w:rPr>
          <w:rFonts w:cs="Arial"/>
          <w:sz w:val="22"/>
          <w:szCs w:val="22"/>
        </w:rPr>
        <w:t xml:space="preserve">, asociadas al vencimiento de captaciones y </w:t>
      </w:r>
      <w:r w:rsidRPr="00BB303F">
        <w:rPr>
          <w:rFonts w:cs="Arial"/>
          <w:sz w:val="22"/>
          <w:szCs w:val="22"/>
        </w:rPr>
        <w:t>los requerimientos de recursos</w:t>
      </w:r>
      <w:r>
        <w:rPr>
          <w:rFonts w:cs="Arial"/>
          <w:sz w:val="22"/>
          <w:szCs w:val="22"/>
        </w:rPr>
        <w:t>,</w:t>
      </w:r>
      <w:r w:rsidRPr="00BB303F">
        <w:rPr>
          <w:rFonts w:cs="Arial"/>
          <w:sz w:val="22"/>
          <w:szCs w:val="22"/>
        </w:rPr>
        <w:t xml:space="preserve"> para mantener en condición de normalidad los indicadores de </w:t>
      </w:r>
      <w:r>
        <w:rPr>
          <w:rFonts w:cs="Arial"/>
          <w:sz w:val="22"/>
          <w:szCs w:val="22"/>
        </w:rPr>
        <w:t>calce de plazos desglosados por moneda</w:t>
      </w:r>
      <w:r w:rsidRPr="00BB303F">
        <w:rPr>
          <w:rFonts w:cs="Arial"/>
          <w:sz w:val="22"/>
          <w:szCs w:val="22"/>
        </w:rPr>
        <w:t xml:space="preserve">. </w:t>
      </w:r>
    </w:p>
    <w:p w14:paraId="0BAF27B6" w14:textId="77777777" w:rsidR="0095348E" w:rsidRPr="00BB303F" w:rsidRDefault="0095348E" w:rsidP="0095348E">
      <w:pPr>
        <w:jc w:val="both"/>
        <w:rPr>
          <w:rFonts w:cs="Arial"/>
          <w:sz w:val="22"/>
          <w:szCs w:val="22"/>
        </w:rPr>
      </w:pPr>
    </w:p>
    <w:p w14:paraId="59932365" w14:textId="77777777" w:rsidR="0095348E" w:rsidRPr="00BB303F" w:rsidRDefault="0095348E" w:rsidP="0095348E">
      <w:pPr>
        <w:numPr>
          <w:ilvl w:val="0"/>
          <w:numId w:val="22"/>
        </w:numPr>
        <w:tabs>
          <w:tab w:val="clear" w:pos="720"/>
          <w:tab w:val="num" w:pos="426"/>
        </w:tabs>
        <w:ind w:left="426" w:hanging="426"/>
        <w:jc w:val="both"/>
        <w:rPr>
          <w:rFonts w:cs="Arial"/>
          <w:sz w:val="22"/>
          <w:szCs w:val="22"/>
        </w:rPr>
      </w:pPr>
      <w:r w:rsidRPr="00BB303F">
        <w:rPr>
          <w:rFonts w:cs="Arial"/>
          <w:b/>
          <w:sz w:val="22"/>
          <w:szCs w:val="22"/>
        </w:rPr>
        <w:t>Moneda en que se capta</w:t>
      </w:r>
      <w:r w:rsidRPr="00BB303F">
        <w:rPr>
          <w:rFonts w:cs="Arial"/>
          <w:sz w:val="22"/>
          <w:szCs w:val="22"/>
        </w:rPr>
        <w:t>: Moneda nacional y dólares de los EEUU</w:t>
      </w:r>
      <w:r>
        <w:rPr>
          <w:rFonts w:cs="Arial"/>
          <w:sz w:val="22"/>
          <w:szCs w:val="22"/>
        </w:rPr>
        <w:t>,</w:t>
      </w:r>
      <w:r w:rsidRPr="00BB303F">
        <w:rPr>
          <w:rFonts w:cs="Arial"/>
          <w:sz w:val="22"/>
          <w:szCs w:val="22"/>
        </w:rPr>
        <w:t xml:space="preserve"> en caso de que las condiciones de mercado y la valoración de riesgos asociados señalen su conveniencia.</w:t>
      </w:r>
    </w:p>
    <w:p w14:paraId="7CC1AEF5" w14:textId="77777777" w:rsidR="0095348E" w:rsidRPr="00BB303F" w:rsidRDefault="0095348E" w:rsidP="0095348E">
      <w:pPr>
        <w:jc w:val="both"/>
        <w:rPr>
          <w:rFonts w:cs="Arial"/>
          <w:sz w:val="22"/>
          <w:szCs w:val="22"/>
        </w:rPr>
      </w:pPr>
    </w:p>
    <w:p w14:paraId="2D61E1F8" w14:textId="77777777" w:rsidR="0095348E" w:rsidRPr="00BB303F" w:rsidRDefault="0095348E" w:rsidP="0095348E">
      <w:pPr>
        <w:numPr>
          <w:ilvl w:val="0"/>
          <w:numId w:val="22"/>
        </w:numPr>
        <w:tabs>
          <w:tab w:val="clear" w:pos="720"/>
          <w:tab w:val="num" w:pos="426"/>
        </w:tabs>
        <w:ind w:left="426" w:hanging="426"/>
        <w:jc w:val="both"/>
        <w:rPr>
          <w:rFonts w:cs="Arial"/>
          <w:sz w:val="22"/>
          <w:szCs w:val="22"/>
        </w:rPr>
      </w:pPr>
      <w:r w:rsidRPr="00BB303F">
        <w:rPr>
          <w:rFonts w:cs="Arial"/>
          <w:b/>
          <w:sz w:val="22"/>
          <w:szCs w:val="22"/>
        </w:rPr>
        <w:t>Monto máximo de la captación:</w:t>
      </w:r>
      <w:r w:rsidRPr="00BB303F">
        <w:rPr>
          <w:rFonts w:cs="Arial"/>
          <w:sz w:val="22"/>
          <w:szCs w:val="22"/>
        </w:rPr>
        <w:t xml:space="preserve"> El equivalente a ¢</w:t>
      </w:r>
      <w:r>
        <w:rPr>
          <w:rFonts w:cs="Arial"/>
          <w:sz w:val="22"/>
          <w:szCs w:val="22"/>
        </w:rPr>
        <w:t>5</w:t>
      </w:r>
      <w:r w:rsidRPr="00BB303F">
        <w:rPr>
          <w:rFonts w:cs="Arial"/>
          <w:sz w:val="22"/>
          <w:szCs w:val="22"/>
        </w:rPr>
        <w:t>5.000 millones.</w:t>
      </w:r>
    </w:p>
    <w:p w14:paraId="1F26AF67" w14:textId="77777777" w:rsidR="0095348E" w:rsidRPr="00BB303F" w:rsidRDefault="0095348E" w:rsidP="0095348E">
      <w:pPr>
        <w:ind w:left="360" w:hanging="426"/>
        <w:jc w:val="both"/>
        <w:rPr>
          <w:rFonts w:cs="Arial"/>
          <w:sz w:val="22"/>
          <w:szCs w:val="22"/>
        </w:rPr>
      </w:pPr>
    </w:p>
    <w:p w14:paraId="2A23C0C3" w14:textId="77777777" w:rsidR="0095348E" w:rsidRPr="00BB303F" w:rsidRDefault="0095348E" w:rsidP="0095348E">
      <w:pPr>
        <w:numPr>
          <w:ilvl w:val="0"/>
          <w:numId w:val="22"/>
        </w:numPr>
        <w:tabs>
          <w:tab w:val="clear" w:pos="720"/>
          <w:tab w:val="num" w:pos="426"/>
        </w:tabs>
        <w:ind w:left="426" w:hanging="426"/>
        <w:jc w:val="both"/>
        <w:rPr>
          <w:rFonts w:cs="Arial"/>
          <w:sz w:val="22"/>
          <w:szCs w:val="22"/>
        </w:rPr>
      </w:pPr>
      <w:r w:rsidRPr="00BB303F">
        <w:rPr>
          <w:rFonts w:cs="Arial"/>
          <w:b/>
          <w:sz w:val="22"/>
          <w:szCs w:val="22"/>
        </w:rPr>
        <w:t xml:space="preserve">Instrumentos de captación:  </w:t>
      </w:r>
    </w:p>
    <w:p w14:paraId="38A6B11D" w14:textId="77777777" w:rsidR="0095348E" w:rsidRPr="00BB303F" w:rsidRDefault="0095348E" w:rsidP="0095348E">
      <w:pPr>
        <w:jc w:val="both"/>
        <w:rPr>
          <w:rFonts w:cs="Arial"/>
          <w:sz w:val="22"/>
          <w:szCs w:val="22"/>
        </w:rPr>
      </w:pPr>
    </w:p>
    <w:p w14:paraId="6DE568D1" w14:textId="77777777" w:rsidR="0095348E" w:rsidRPr="00BB303F" w:rsidRDefault="0095348E" w:rsidP="0095348E">
      <w:pPr>
        <w:numPr>
          <w:ilvl w:val="1"/>
          <w:numId w:val="21"/>
        </w:numPr>
        <w:tabs>
          <w:tab w:val="clear" w:pos="1440"/>
          <w:tab w:val="num" w:pos="851"/>
        </w:tabs>
        <w:ind w:left="851" w:hanging="425"/>
        <w:jc w:val="both"/>
        <w:rPr>
          <w:rFonts w:cs="Arial"/>
          <w:sz w:val="22"/>
          <w:szCs w:val="22"/>
        </w:rPr>
      </w:pPr>
      <w:r w:rsidRPr="00BB303F">
        <w:rPr>
          <w:rFonts w:cs="Arial"/>
          <w:sz w:val="22"/>
          <w:szCs w:val="22"/>
        </w:rPr>
        <w:t>Individuales:</w:t>
      </w:r>
    </w:p>
    <w:p w14:paraId="14F31E7A" w14:textId="77777777" w:rsidR="0095348E" w:rsidRPr="00BB303F" w:rsidRDefault="0095348E" w:rsidP="0095348E">
      <w:pPr>
        <w:numPr>
          <w:ilvl w:val="2"/>
          <w:numId w:val="21"/>
        </w:numPr>
        <w:tabs>
          <w:tab w:val="clear" w:pos="2160"/>
          <w:tab w:val="num" w:pos="1134"/>
        </w:tabs>
        <w:ind w:left="1134" w:hanging="141"/>
        <w:jc w:val="both"/>
        <w:rPr>
          <w:rFonts w:cs="Arial"/>
          <w:sz w:val="22"/>
          <w:szCs w:val="22"/>
        </w:rPr>
      </w:pPr>
      <w:r w:rsidRPr="00BB303F">
        <w:rPr>
          <w:rFonts w:cs="Arial"/>
          <w:sz w:val="22"/>
          <w:szCs w:val="22"/>
        </w:rPr>
        <w:t>Papel Comercial emitido mediante ventanilla del BANHVI y a través de la ventanilla electrónica de la Bolsa.</w:t>
      </w:r>
    </w:p>
    <w:p w14:paraId="4DE4EE3C" w14:textId="77777777" w:rsidR="0095348E" w:rsidRPr="00BB303F" w:rsidRDefault="0095348E" w:rsidP="0095348E">
      <w:pPr>
        <w:numPr>
          <w:ilvl w:val="2"/>
          <w:numId w:val="21"/>
        </w:numPr>
        <w:tabs>
          <w:tab w:val="clear" w:pos="2160"/>
          <w:tab w:val="num" w:pos="1134"/>
        </w:tabs>
        <w:ind w:left="1134" w:hanging="141"/>
        <w:jc w:val="both"/>
        <w:rPr>
          <w:rFonts w:cs="Arial"/>
          <w:sz w:val="22"/>
          <w:szCs w:val="22"/>
        </w:rPr>
      </w:pPr>
      <w:r w:rsidRPr="00BB303F">
        <w:rPr>
          <w:rFonts w:cs="Arial"/>
          <w:sz w:val="22"/>
          <w:szCs w:val="22"/>
        </w:rPr>
        <w:t xml:space="preserve">Títulos valores de mediano plazo y largo, emitidos por medio de la ventanilla del BANHVI. </w:t>
      </w:r>
    </w:p>
    <w:p w14:paraId="62944B50" w14:textId="77777777" w:rsidR="0095348E" w:rsidRPr="00BB303F" w:rsidRDefault="0095348E" w:rsidP="0095348E">
      <w:pPr>
        <w:numPr>
          <w:ilvl w:val="1"/>
          <w:numId w:val="21"/>
        </w:numPr>
        <w:tabs>
          <w:tab w:val="clear" w:pos="1440"/>
          <w:tab w:val="num" w:pos="851"/>
        </w:tabs>
        <w:ind w:left="851" w:hanging="425"/>
        <w:jc w:val="both"/>
        <w:rPr>
          <w:rFonts w:cs="Arial"/>
          <w:sz w:val="22"/>
          <w:szCs w:val="22"/>
        </w:rPr>
      </w:pPr>
      <w:r w:rsidRPr="00BB303F">
        <w:rPr>
          <w:rFonts w:cs="Arial"/>
          <w:sz w:val="22"/>
          <w:szCs w:val="22"/>
        </w:rPr>
        <w:t xml:space="preserve">Estandarizados:  </w:t>
      </w:r>
    </w:p>
    <w:p w14:paraId="6E1A1BE5" w14:textId="77777777" w:rsidR="0095348E" w:rsidRPr="00BB303F" w:rsidRDefault="0095348E" w:rsidP="0095348E">
      <w:pPr>
        <w:numPr>
          <w:ilvl w:val="2"/>
          <w:numId w:val="21"/>
        </w:numPr>
        <w:tabs>
          <w:tab w:val="clear" w:pos="2160"/>
          <w:tab w:val="num" w:pos="1134"/>
        </w:tabs>
        <w:ind w:left="1701" w:hanging="708"/>
        <w:jc w:val="both"/>
        <w:rPr>
          <w:rFonts w:cs="Arial"/>
          <w:sz w:val="22"/>
          <w:szCs w:val="22"/>
        </w:rPr>
      </w:pPr>
      <w:r w:rsidRPr="00BB303F">
        <w:rPr>
          <w:rFonts w:cs="Arial"/>
          <w:sz w:val="22"/>
          <w:szCs w:val="22"/>
        </w:rPr>
        <w:t>Programas de papel comercial en colones y dólares.</w:t>
      </w:r>
    </w:p>
    <w:p w14:paraId="7AAD063E" w14:textId="77777777" w:rsidR="0095348E" w:rsidRPr="00BB303F" w:rsidRDefault="0095348E" w:rsidP="0095348E">
      <w:pPr>
        <w:numPr>
          <w:ilvl w:val="2"/>
          <w:numId w:val="21"/>
        </w:numPr>
        <w:tabs>
          <w:tab w:val="clear" w:pos="2160"/>
          <w:tab w:val="num" w:pos="1134"/>
        </w:tabs>
        <w:ind w:left="1701" w:hanging="708"/>
        <w:jc w:val="both"/>
        <w:rPr>
          <w:rFonts w:cs="Arial"/>
          <w:sz w:val="22"/>
          <w:szCs w:val="22"/>
        </w:rPr>
      </w:pPr>
      <w:r w:rsidRPr="00BB303F">
        <w:rPr>
          <w:rFonts w:cs="Arial"/>
          <w:sz w:val="22"/>
          <w:szCs w:val="22"/>
        </w:rPr>
        <w:lastRenderedPageBreak/>
        <w:t>Programa de emisiones de bonos estandarizados en colones.</w:t>
      </w:r>
    </w:p>
    <w:p w14:paraId="5AD561A6" w14:textId="77777777" w:rsidR="0095348E" w:rsidRPr="00BB303F" w:rsidRDefault="0095348E" w:rsidP="0095348E">
      <w:pPr>
        <w:ind w:left="426" w:hanging="426"/>
        <w:jc w:val="both"/>
        <w:rPr>
          <w:rFonts w:cs="Arial"/>
          <w:sz w:val="22"/>
          <w:szCs w:val="22"/>
        </w:rPr>
      </w:pPr>
    </w:p>
    <w:p w14:paraId="470FF126" w14:textId="77777777" w:rsidR="0095348E" w:rsidRPr="00BB303F" w:rsidRDefault="0095348E" w:rsidP="0095348E">
      <w:pPr>
        <w:ind w:left="426"/>
        <w:jc w:val="both"/>
        <w:rPr>
          <w:rFonts w:cs="Arial"/>
          <w:sz w:val="22"/>
          <w:szCs w:val="22"/>
        </w:rPr>
      </w:pPr>
      <w:r w:rsidRPr="00BB303F">
        <w:rPr>
          <w:rFonts w:cs="Arial"/>
          <w:sz w:val="22"/>
          <w:szCs w:val="22"/>
        </w:rPr>
        <w:t>En los casos en los que sea necesaria la utilización del mecanismo de bolsa para ejecutar la captación, deberán atenderse los límites establecidos en los “Lineamientos para la Captación de Recursos Financieros Mediante Emisión de Títulos Valores,” respecto del pago de comisiones bursátiles.</w:t>
      </w:r>
    </w:p>
    <w:p w14:paraId="49A32276" w14:textId="77777777" w:rsidR="0095348E" w:rsidRPr="00BB303F" w:rsidRDefault="0095348E" w:rsidP="0095348E">
      <w:pPr>
        <w:jc w:val="both"/>
        <w:rPr>
          <w:rFonts w:cs="Arial"/>
          <w:sz w:val="22"/>
          <w:szCs w:val="22"/>
        </w:rPr>
      </w:pPr>
    </w:p>
    <w:p w14:paraId="126DD2AD" w14:textId="77777777" w:rsidR="0095348E" w:rsidRPr="00BB303F" w:rsidRDefault="0095348E" w:rsidP="0095348E">
      <w:pPr>
        <w:numPr>
          <w:ilvl w:val="0"/>
          <w:numId w:val="22"/>
        </w:numPr>
        <w:tabs>
          <w:tab w:val="clear" w:pos="720"/>
          <w:tab w:val="num" w:pos="426"/>
        </w:tabs>
        <w:ind w:left="426" w:hanging="426"/>
        <w:jc w:val="both"/>
        <w:rPr>
          <w:rFonts w:cs="Arial"/>
          <w:sz w:val="22"/>
          <w:szCs w:val="22"/>
        </w:rPr>
      </w:pPr>
      <w:r w:rsidRPr="00BB303F">
        <w:rPr>
          <w:rFonts w:cs="Arial"/>
          <w:b/>
          <w:sz w:val="22"/>
          <w:szCs w:val="22"/>
        </w:rPr>
        <w:t xml:space="preserve">Rango de los plazos de la captación: </w:t>
      </w:r>
      <w:r w:rsidRPr="00BB303F">
        <w:rPr>
          <w:rFonts w:cs="Arial"/>
          <w:sz w:val="22"/>
          <w:szCs w:val="22"/>
        </w:rPr>
        <w:t xml:space="preserve">Desde 180 días </w:t>
      </w:r>
      <w:r>
        <w:rPr>
          <w:rFonts w:cs="Arial"/>
          <w:sz w:val="22"/>
          <w:szCs w:val="22"/>
        </w:rPr>
        <w:t>hasta</w:t>
      </w:r>
      <w:r w:rsidRPr="00BB303F">
        <w:rPr>
          <w:rFonts w:cs="Arial"/>
          <w:sz w:val="22"/>
          <w:szCs w:val="22"/>
        </w:rPr>
        <w:t xml:space="preserve"> 10 años, en función de las condiciones de mercado, así como de la conveniencia que señalen los indicadores de rentabilidad y </w:t>
      </w:r>
      <w:r>
        <w:rPr>
          <w:rFonts w:cs="Arial"/>
          <w:sz w:val="22"/>
          <w:szCs w:val="22"/>
        </w:rPr>
        <w:t>liquidez</w:t>
      </w:r>
      <w:r w:rsidRPr="00BB303F">
        <w:rPr>
          <w:rFonts w:cs="Arial"/>
          <w:sz w:val="22"/>
          <w:szCs w:val="22"/>
        </w:rPr>
        <w:t xml:space="preserve"> del BANHVI. </w:t>
      </w:r>
    </w:p>
    <w:p w14:paraId="1A37E71B" w14:textId="77777777" w:rsidR="0095348E" w:rsidRPr="00BB303F" w:rsidRDefault="0095348E" w:rsidP="0095348E">
      <w:pPr>
        <w:jc w:val="both"/>
        <w:rPr>
          <w:rFonts w:cs="Arial"/>
          <w:sz w:val="22"/>
          <w:szCs w:val="22"/>
        </w:rPr>
      </w:pPr>
    </w:p>
    <w:p w14:paraId="6DA9A962" w14:textId="5FB5F010" w:rsidR="0095348E" w:rsidRPr="00BB303F" w:rsidRDefault="0095348E" w:rsidP="0095348E">
      <w:pPr>
        <w:numPr>
          <w:ilvl w:val="0"/>
          <w:numId w:val="22"/>
        </w:numPr>
        <w:tabs>
          <w:tab w:val="clear" w:pos="720"/>
          <w:tab w:val="num" w:pos="426"/>
        </w:tabs>
        <w:ind w:left="426" w:hanging="426"/>
        <w:jc w:val="both"/>
        <w:rPr>
          <w:rFonts w:cs="Arial"/>
          <w:sz w:val="22"/>
          <w:szCs w:val="22"/>
        </w:rPr>
      </w:pPr>
      <w:r w:rsidRPr="00BB303F">
        <w:rPr>
          <w:rFonts w:cs="Arial"/>
          <w:b/>
          <w:sz w:val="22"/>
          <w:szCs w:val="22"/>
        </w:rPr>
        <w:t>Fecha en la que se requieren los recursos:</w:t>
      </w:r>
      <w:r w:rsidRPr="00BB303F">
        <w:rPr>
          <w:rFonts w:cs="Arial"/>
          <w:sz w:val="22"/>
          <w:szCs w:val="22"/>
        </w:rPr>
        <w:t xml:space="preserve"> Período de enero a diciembre de 20</w:t>
      </w:r>
      <w:r w:rsidR="001A6DFB">
        <w:rPr>
          <w:rFonts w:cs="Arial"/>
          <w:sz w:val="22"/>
          <w:szCs w:val="22"/>
        </w:rPr>
        <w:t>20</w:t>
      </w:r>
      <w:r w:rsidRPr="00BB303F">
        <w:rPr>
          <w:rFonts w:cs="Arial"/>
          <w:sz w:val="22"/>
          <w:szCs w:val="22"/>
        </w:rPr>
        <w:t>.</w:t>
      </w:r>
    </w:p>
    <w:p w14:paraId="20D405BF" w14:textId="77777777" w:rsidR="0095348E" w:rsidRPr="00BB303F" w:rsidRDefault="0095348E" w:rsidP="0095348E">
      <w:pPr>
        <w:jc w:val="both"/>
        <w:rPr>
          <w:rFonts w:cs="Arial"/>
          <w:sz w:val="22"/>
          <w:szCs w:val="22"/>
        </w:rPr>
      </w:pPr>
    </w:p>
    <w:p w14:paraId="00ED2EA8" w14:textId="77777777" w:rsidR="0095348E" w:rsidRPr="00BB303F" w:rsidRDefault="0095348E" w:rsidP="0095348E">
      <w:pPr>
        <w:numPr>
          <w:ilvl w:val="0"/>
          <w:numId w:val="22"/>
        </w:numPr>
        <w:tabs>
          <w:tab w:val="clear" w:pos="720"/>
          <w:tab w:val="num" w:pos="426"/>
        </w:tabs>
        <w:ind w:left="426" w:hanging="426"/>
        <w:jc w:val="both"/>
        <w:rPr>
          <w:rFonts w:cs="Arial"/>
          <w:b/>
          <w:sz w:val="22"/>
          <w:szCs w:val="22"/>
        </w:rPr>
      </w:pPr>
      <w:r w:rsidRPr="00BB303F">
        <w:rPr>
          <w:rFonts w:cs="Arial"/>
          <w:b/>
          <w:sz w:val="22"/>
          <w:szCs w:val="22"/>
        </w:rPr>
        <w:t>Tasa de interés:</w:t>
      </w:r>
      <w:r w:rsidRPr="00BB303F">
        <w:rPr>
          <w:rFonts w:cs="Arial"/>
          <w:sz w:val="22"/>
          <w:szCs w:val="22"/>
        </w:rPr>
        <w:t xml:space="preserve"> La tasa de interés de cada emisión de títulos valores</w:t>
      </w:r>
      <w:r>
        <w:rPr>
          <w:rFonts w:cs="Arial"/>
          <w:sz w:val="22"/>
          <w:szCs w:val="22"/>
        </w:rPr>
        <w:t>,</w:t>
      </w:r>
      <w:r w:rsidRPr="00BB303F">
        <w:rPr>
          <w:rFonts w:cs="Arial"/>
          <w:sz w:val="22"/>
          <w:szCs w:val="22"/>
        </w:rPr>
        <w:t xml:space="preserve"> será autorizada por la Subgerencia Financiera o la Dirección FONAVI, atendiendo los límites establecidos en los Lineamientos para la Captación de Recursos Financieros Mediante Emisión de Títulos Valores y según los procedimientos internos vigentes.</w:t>
      </w:r>
    </w:p>
    <w:p w14:paraId="26239456" w14:textId="77777777" w:rsidR="0095348E" w:rsidRDefault="0095348E" w:rsidP="0095348E">
      <w:pPr>
        <w:ind w:left="426"/>
        <w:jc w:val="both"/>
        <w:rPr>
          <w:rFonts w:cs="Arial"/>
          <w:sz w:val="22"/>
          <w:szCs w:val="22"/>
        </w:rPr>
      </w:pPr>
    </w:p>
    <w:p w14:paraId="3DFE6EA7" w14:textId="77777777" w:rsidR="0095348E" w:rsidRPr="00BB303F" w:rsidRDefault="0095348E" w:rsidP="0095348E">
      <w:pPr>
        <w:ind w:left="426"/>
        <w:jc w:val="both"/>
        <w:rPr>
          <w:rFonts w:cs="Arial"/>
          <w:sz w:val="22"/>
          <w:szCs w:val="22"/>
        </w:rPr>
      </w:pPr>
      <w:r w:rsidRPr="00BB303F">
        <w:rPr>
          <w:rFonts w:cs="Arial"/>
          <w:sz w:val="22"/>
          <w:szCs w:val="22"/>
        </w:rPr>
        <w:t>En todo caso, el establecimiento de la tasa de interés de la captación</w:t>
      </w:r>
      <w:r>
        <w:rPr>
          <w:rFonts w:cs="Arial"/>
          <w:sz w:val="22"/>
          <w:szCs w:val="22"/>
        </w:rPr>
        <w:t>,</w:t>
      </w:r>
      <w:r w:rsidRPr="00BB303F">
        <w:rPr>
          <w:rFonts w:cs="Arial"/>
          <w:sz w:val="22"/>
          <w:szCs w:val="22"/>
        </w:rPr>
        <w:t xml:space="preserve"> deberá garantizar la existencia de un margen de intermediación positivo una vez incorporados los costos por concepto de encaje mínimo legal y comisiones bursátiles, si corresponde.</w:t>
      </w:r>
    </w:p>
    <w:p w14:paraId="64E7BF9D" w14:textId="77777777" w:rsidR="0095348E" w:rsidRPr="00BB303F" w:rsidRDefault="0095348E" w:rsidP="0095348E">
      <w:pPr>
        <w:jc w:val="both"/>
        <w:rPr>
          <w:rFonts w:cs="Arial"/>
          <w:sz w:val="22"/>
          <w:szCs w:val="22"/>
        </w:rPr>
      </w:pPr>
    </w:p>
    <w:p w14:paraId="29AEE25F" w14:textId="77777777" w:rsidR="0095348E" w:rsidRPr="00BB303F" w:rsidRDefault="0095348E" w:rsidP="0095348E">
      <w:pPr>
        <w:numPr>
          <w:ilvl w:val="0"/>
          <w:numId w:val="22"/>
        </w:numPr>
        <w:tabs>
          <w:tab w:val="clear" w:pos="720"/>
          <w:tab w:val="num" w:pos="426"/>
        </w:tabs>
        <w:ind w:left="426" w:hanging="426"/>
        <w:jc w:val="both"/>
        <w:rPr>
          <w:rFonts w:cs="Arial"/>
          <w:sz w:val="22"/>
          <w:szCs w:val="22"/>
        </w:rPr>
      </w:pPr>
      <w:r w:rsidRPr="00BB303F">
        <w:rPr>
          <w:rFonts w:cs="Arial"/>
          <w:b/>
          <w:sz w:val="22"/>
          <w:szCs w:val="22"/>
        </w:rPr>
        <w:t xml:space="preserve">Comisiones: </w:t>
      </w:r>
      <w:r w:rsidRPr="00BB303F">
        <w:rPr>
          <w:rFonts w:cs="Arial"/>
          <w:sz w:val="22"/>
          <w:szCs w:val="22"/>
        </w:rPr>
        <w:t>En el caso de que la captación se tramite por medio de</w:t>
      </w:r>
      <w:r>
        <w:rPr>
          <w:rFonts w:cs="Arial"/>
          <w:sz w:val="22"/>
          <w:szCs w:val="22"/>
        </w:rPr>
        <w:t xml:space="preserve">l mecanismo de bolsa, el pago de las comisiones asociadas se realizará de conformidad con lo autorizado por la Gerencia General o la Subgerencia Financiera, para lo cual deberá respetarse el límite </w:t>
      </w:r>
      <w:r w:rsidRPr="00BB303F">
        <w:rPr>
          <w:rFonts w:cs="Arial"/>
          <w:sz w:val="22"/>
          <w:szCs w:val="22"/>
        </w:rPr>
        <w:t>establecido en los Lineamientos para la Captación de Recursos Financieros Mediante Emisión de Títulos Valores</w:t>
      </w:r>
      <w:r>
        <w:rPr>
          <w:rFonts w:cs="Arial"/>
          <w:sz w:val="22"/>
          <w:szCs w:val="22"/>
        </w:rPr>
        <w:t>.</w:t>
      </w:r>
    </w:p>
    <w:p w14:paraId="352F256A" w14:textId="77777777" w:rsidR="0095348E" w:rsidRDefault="0095348E" w:rsidP="0095348E">
      <w:pPr>
        <w:ind w:left="426"/>
        <w:jc w:val="both"/>
        <w:rPr>
          <w:rFonts w:cs="Arial"/>
          <w:sz w:val="22"/>
          <w:szCs w:val="22"/>
        </w:rPr>
      </w:pPr>
    </w:p>
    <w:p w14:paraId="6CBB113F" w14:textId="77777777" w:rsidR="0095348E" w:rsidRDefault="0095348E" w:rsidP="0095348E">
      <w:pPr>
        <w:ind w:left="426"/>
        <w:jc w:val="both"/>
        <w:rPr>
          <w:rFonts w:cs="Arial"/>
          <w:sz w:val="22"/>
          <w:szCs w:val="22"/>
        </w:rPr>
      </w:pPr>
      <w:r w:rsidRPr="00BB303F">
        <w:rPr>
          <w:rFonts w:cs="Arial"/>
          <w:sz w:val="22"/>
          <w:szCs w:val="22"/>
        </w:rPr>
        <w:t>En caso de que deba incurrirse en el pago de comisiones, los valores pertinentes deberán estar contemplados en el cálculo del costo total de los recursos captados, a partir del cual deberá garantizarse un margen de intermediación positivo derivado de la utilización de tales recursos en los fines previstos.</w:t>
      </w:r>
    </w:p>
    <w:p w14:paraId="5F470F30" w14:textId="69CFF0DE"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41E80AD" w14:textId="77777777" w:rsidR="002B71CC" w:rsidRPr="00D14EAF" w:rsidRDefault="002B71CC" w:rsidP="002B71CC">
      <w:pPr>
        <w:spacing w:line="360" w:lineRule="auto"/>
        <w:jc w:val="both"/>
        <w:rPr>
          <w:rFonts w:cs="Arial"/>
          <w:b/>
          <w:sz w:val="22"/>
        </w:rPr>
      </w:pPr>
      <w:r w:rsidRPr="00D14EAF">
        <w:rPr>
          <w:rFonts w:cs="Arial"/>
          <w:b/>
          <w:sz w:val="22"/>
        </w:rPr>
        <w:t>************</w:t>
      </w:r>
    </w:p>
    <w:p w14:paraId="613B3753" w14:textId="2EAD1EAB" w:rsidR="002B71CC" w:rsidRDefault="002B71CC" w:rsidP="002B71CC">
      <w:pPr>
        <w:spacing w:line="360" w:lineRule="auto"/>
        <w:jc w:val="both"/>
        <w:rPr>
          <w:rFonts w:cs="Arial"/>
          <w:sz w:val="22"/>
          <w:szCs w:val="22"/>
        </w:rPr>
      </w:pPr>
    </w:p>
    <w:p w14:paraId="28809019" w14:textId="030BFA37" w:rsidR="00FD625F" w:rsidRPr="00AB2826" w:rsidRDefault="00FD625F" w:rsidP="00FD625F">
      <w:pPr>
        <w:pStyle w:val="Ttulo2"/>
        <w:spacing w:line="360" w:lineRule="auto"/>
        <w:rPr>
          <w:rFonts w:cs="Arial"/>
          <w:szCs w:val="22"/>
        </w:rPr>
      </w:pPr>
      <w:r w:rsidRPr="00AB2826">
        <w:rPr>
          <w:rFonts w:cs="Arial"/>
          <w:szCs w:val="22"/>
        </w:rPr>
        <w:t xml:space="preserve">ACUERDO </w:t>
      </w:r>
      <w:r>
        <w:rPr>
          <w:rFonts w:cs="Arial"/>
          <w:szCs w:val="22"/>
        </w:rPr>
        <w:t>N° 3A</w:t>
      </w:r>
      <w:r w:rsidRPr="00AB2826">
        <w:rPr>
          <w:rFonts w:cs="Arial"/>
          <w:szCs w:val="22"/>
        </w:rPr>
        <w:t>:</w:t>
      </w:r>
    </w:p>
    <w:p w14:paraId="4C7B6E1C" w14:textId="64DB88DD" w:rsidR="00FD625F" w:rsidRDefault="00FD625F" w:rsidP="002B71CC">
      <w:pPr>
        <w:spacing w:line="360" w:lineRule="auto"/>
        <w:jc w:val="both"/>
        <w:rPr>
          <w:rFonts w:cs="Arial"/>
          <w:sz w:val="22"/>
          <w:szCs w:val="22"/>
          <w:lang w:val="es-ES_tradnl"/>
        </w:rPr>
      </w:pPr>
      <w:r>
        <w:rPr>
          <w:rFonts w:cs="Arial"/>
          <w:sz w:val="22"/>
          <w:szCs w:val="22"/>
        </w:rPr>
        <w:t xml:space="preserve">Instruir a la </w:t>
      </w:r>
      <w:r w:rsidRPr="00FD625F">
        <w:rPr>
          <w:rFonts w:cs="Arial"/>
          <w:sz w:val="22"/>
          <w:szCs w:val="22"/>
          <w:lang w:val="es-ES_tradnl"/>
        </w:rPr>
        <w:t>Administración</w:t>
      </w:r>
      <w:r>
        <w:rPr>
          <w:rFonts w:cs="Arial"/>
          <w:sz w:val="22"/>
          <w:szCs w:val="22"/>
          <w:lang w:val="es-ES_tradnl"/>
        </w:rPr>
        <w:t xml:space="preserve">, para que investigue las expectativas </w:t>
      </w:r>
      <w:r w:rsidR="001A51D1">
        <w:rPr>
          <w:rFonts w:cs="Arial"/>
          <w:sz w:val="22"/>
          <w:szCs w:val="22"/>
          <w:lang w:val="es-ES_tradnl"/>
        </w:rPr>
        <w:t xml:space="preserve">que tienen las </w:t>
      </w:r>
      <w:r>
        <w:rPr>
          <w:rFonts w:cs="Arial"/>
          <w:sz w:val="22"/>
          <w:szCs w:val="22"/>
          <w:lang w:val="es-ES_tradnl"/>
        </w:rPr>
        <w:t xml:space="preserve">entidades autorizadas </w:t>
      </w:r>
      <w:r w:rsidR="001A51D1">
        <w:rPr>
          <w:rFonts w:cs="Arial"/>
          <w:sz w:val="22"/>
          <w:szCs w:val="22"/>
          <w:lang w:val="es-ES_tradnl"/>
        </w:rPr>
        <w:t xml:space="preserve">del </w:t>
      </w:r>
      <w:r w:rsidR="001A51D1" w:rsidRPr="001A51D1">
        <w:rPr>
          <w:rFonts w:cs="Arial"/>
          <w:sz w:val="22"/>
          <w:szCs w:val="22"/>
          <w:lang w:val="es-ES_tradnl"/>
        </w:rPr>
        <w:t>Sistema Financiero Nacional para la Vivienda</w:t>
      </w:r>
      <w:r w:rsidR="001A51D1">
        <w:rPr>
          <w:rFonts w:cs="Arial"/>
          <w:sz w:val="22"/>
          <w:szCs w:val="22"/>
          <w:lang w:val="es-ES_tradnl"/>
        </w:rPr>
        <w:t xml:space="preserve">, con respecto al </w:t>
      </w:r>
      <w:r w:rsidRPr="00FD625F">
        <w:rPr>
          <w:rFonts w:cs="Arial"/>
          <w:i/>
          <w:iCs/>
          <w:sz w:val="22"/>
          <w:szCs w:val="22"/>
          <w:lang w:val="es-ES_tradnl"/>
        </w:rPr>
        <w:t>Programa de Crédito de Corto Plazo en Colones</w:t>
      </w:r>
      <w:r w:rsidR="001A51D1">
        <w:rPr>
          <w:rFonts w:cs="Arial"/>
          <w:sz w:val="22"/>
          <w:szCs w:val="22"/>
          <w:lang w:val="es-ES_tradnl"/>
        </w:rPr>
        <w:t>.</w:t>
      </w:r>
    </w:p>
    <w:p w14:paraId="551E73E7" w14:textId="0C515B29" w:rsidR="001A51D1" w:rsidRDefault="001A51D1" w:rsidP="002B71CC">
      <w:pPr>
        <w:spacing w:line="360" w:lineRule="auto"/>
        <w:jc w:val="both"/>
        <w:rPr>
          <w:rFonts w:cs="Arial"/>
          <w:sz w:val="22"/>
          <w:szCs w:val="22"/>
          <w:lang w:val="es-ES_tradnl"/>
        </w:rPr>
      </w:pPr>
    </w:p>
    <w:p w14:paraId="3ACAB92C" w14:textId="0336B3A8" w:rsidR="00FD625F" w:rsidRDefault="001A51D1" w:rsidP="002B71CC">
      <w:pPr>
        <w:spacing w:line="360" w:lineRule="auto"/>
        <w:jc w:val="both"/>
        <w:rPr>
          <w:rFonts w:cs="Arial"/>
          <w:sz w:val="22"/>
          <w:szCs w:val="22"/>
        </w:rPr>
      </w:pPr>
      <w:r>
        <w:rPr>
          <w:rFonts w:cs="Arial"/>
          <w:sz w:val="22"/>
          <w:szCs w:val="22"/>
        </w:rPr>
        <w:t xml:space="preserve">Se otorga a la </w:t>
      </w:r>
      <w:r w:rsidRPr="001A51D1">
        <w:rPr>
          <w:rFonts w:cs="Arial"/>
          <w:sz w:val="22"/>
          <w:szCs w:val="22"/>
          <w:lang w:val="es-ES_tradnl"/>
        </w:rPr>
        <w:t>Administración</w:t>
      </w:r>
      <w:r>
        <w:rPr>
          <w:rFonts w:cs="Arial"/>
          <w:sz w:val="22"/>
          <w:szCs w:val="22"/>
          <w:lang w:val="es-ES_tradnl"/>
        </w:rPr>
        <w:t xml:space="preserve"> un plazo de hasta el próximo 0</w:t>
      </w:r>
      <w:r w:rsidR="00F62B66">
        <w:rPr>
          <w:rFonts w:cs="Arial"/>
          <w:sz w:val="22"/>
          <w:szCs w:val="22"/>
          <w:lang w:val="es-ES_tradnl"/>
        </w:rPr>
        <w:t>9</w:t>
      </w:r>
      <w:r>
        <w:rPr>
          <w:rFonts w:cs="Arial"/>
          <w:sz w:val="22"/>
          <w:szCs w:val="22"/>
          <w:lang w:val="es-ES_tradnl"/>
        </w:rPr>
        <w:t xml:space="preserve"> de marzo, para presentar a esta </w:t>
      </w:r>
      <w:r w:rsidRPr="001A51D1">
        <w:rPr>
          <w:rFonts w:cs="Arial"/>
          <w:sz w:val="22"/>
          <w:szCs w:val="22"/>
          <w:lang w:val="es-ES_tradnl"/>
        </w:rPr>
        <w:t>Junta Directiva</w:t>
      </w:r>
      <w:r>
        <w:rPr>
          <w:rFonts w:cs="Arial"/>
          <w:sz w:val="22"/>
          <w:szCs w:val="22"/>
          <w:lang w:val="es-ES_tradnl"/>
        </w:rPr>
        <w:t xml:space="preserve"> los resultados de dicho estudio y las eventuales recomendaciones.</w:t>
      </w:r>
    </w:p>
    <w:p w14:paraId="19032601" w14:textId="473682EA" w:rsidR="00FD625F" w:rsidRPr="00AB2826" w:rsidRDefault="00FD625F" w:rsidP="00FD625F">
      <w:pPr>
        <w:pStyle w:val="Ttulo2"/>
        <w:spacing w:line="360" w:lineRule="auto"/>
        <w:rPr>
          <w:rFonts w:cs="Arial"/>
          <w:szCs w:val="22"/>
          <w:lang w:val="es-ES_tradnl"/>
        </w:rPr>
      </w:pPr>
      <w:r w:rsidRPr="00AB2826">
        <w:rPr>
          <w:rFonts w:cs="Arial"/>
          <w:szCs w:val="22"/>
        </w:rPr>
        <w:t>Acuerdo Unánime.-</w:t>
      </w:r>
    </w:p>
    <w:p w14:paraId="28D5B7F3" w14:textId="77777777" w:rsidR="00FD625F" w:rsidRPr="00D14EAF" w:rsidRDefault="00FD625F" w:rsidP="00FD625F">
      <w:pPr>
        <w:spacing w:line="360" w:lineRule="auto"/>
        <w:jc w:val="both"/>
        <w:rPr>
          <w:rFonts w:cs="Arial"/>
          <w:b/>
          <w:sz w:val="22"/>
        </w:rPr>
      </w:pPr>
      <w:r w:rsidRPr="00D14EAF">
        <w:rPr>
          <w:rFonts w:cs="Arial"/>
          <w:b/>
          <w:sz w:val="22"/>
        </w:rPr>
        <w:t>************</w:t>
      </w:r>
    </w:p>
    <w:p w14:paraId="20AE113E" w14:textId="77777777" w:rsidR="00FD625F" w:rsidRDefault="00FD625F" w:rsidP="002B71CC">
      <w:pPr>
        <w:spacing w:line="360" w:lineRule="auto"/>
        <w:jc w:val="both"/>
        <w:rPr>
          <w:rFonts w:cs="Arial"/>
          <w:sz w:val="22"/>
          <w:szCs w:val="22"/>
        </w:rPr>
      </w:pPr>
    </w:p>
    <w:p w14:paraId="4F7C317A"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4</w:t>
      </w:r>
      <w:r w:rsidRPr="00AB2826">
        <w:rPr>
          <w:rFonts w:cs="Arial"/>
          <w:szCs w:val="22"/>
        </w:rPr>
        <w:t>:</w:t>
      </w:r>
    </w:p>
    <w:p w14:paraId="6A82E378" w14:textId="294AC56F" w:rsidR="002B71CC" w:rsidRDefault="0097639B" w:rsidP="002B71CC">
      <w:pPr>
        <w:spacing w:line="360" w:lineRule="auto"/>
        <w:jc w:val="both"/>
        <w:rPr>
          <w:rFonts w:cs="Arial"/>
          <w:sz w:val="22"/>
          <w:szCs w:val="22"/>
        </w:rPr>
      </w:pPr>
      <w:r>
        <w:rPr>
          <w:rFonts w:cs="Arial"/>
          <w:sz w:val="22"/>
          <w:szCs w:val="22"/>
        </w:rPr>
        <w:t xml:space="preserve">Conocido el oficio GG-ME-1335-2019 de la </w:t>
      </w:r>
      <w:r w:rsidRPr="0097639B">
        <w:rPr>
          <w:rFonts w:cs="Arial"/>
          <w:sz w:val="22"/>
          <w:szCs w:val="22"/>
          <w:lang w:val="es-ES_tradnl"/>
        </w:rPr>
        <w:t>Gerencia General</w:t>
      </w:r>
      <w:r>
        <w:rPr>
          <w:rFonts w:cs="Arial"/>
          <w:sz w:val="22"/>
          <w:szCs w:val="22"/>
          <w:lang w:val="es-ES_tradnl"/>
        </w:rPr>
        <w:t>, con respecto a</w:t>
      </w:r>
      <w:r w:rsidR="00D772AA">
        <w:rPr>
          <w:rFonts w:cs="Arial"/>
          <w:sz w:val="22"/>
          <w:szCs w:val="22"/>
          <w:lang w:val="es-ES_tradnl"/>
        </w:rPr>
        <w:t xml:space="preserve">l estado de la solicitud de crédito presentada por el Banco Popular, dentro del Programa de Financiamiento para Familias de Ingresos Medios, se instruye a la </w:t>
      </w:r>
      <w:r w:rsidR="00D772AA" w:rsidRPr="00D772AA">
        <w:rPr>
          <w:rFonts w:cs="Arial"/>
          <w:sz w:val="22"/>
          <w:szCs w:val="22"/>
          <w:lang w:val="es-ES_tradnl"/>
        </w:rPr>
        <w:t>Administración</w:t>
      </w:r>
      <w:r w:rsidR="00D772AA">
        <w:rPr>
          <w:rFonts w:cs="Arial"/>
          <w:sz w:val="22"/>
          <w:szCs w:val="22"/>
          <w:lang w:val="es-ES_tradnl"/>
        </w:rPr>
        <w:t xml:space="preserve"> para que</w:t>
      </w:r>
      <w:r w:rsidR="00D65783">
        <w:rPr>
          <w:rFonts w:cs="Arial"/>
          <w:sz w:val="22"/>
          <w:szCs w:val="22"/>
          <w:lang w:val="es-ES_tradnl"/>
        </w:rPr>
        <w:t>, según lo recomendado,</w:t>
      </w:r>
      <w:r w:rsidR="00D772AA">
        <w:rPr>
          <w:rFonts w:cs="Arial"/>
          <w:sz w:val="22"/>
          <w:szCs w:val="22"/>
          <w:lang w:val="es-ES_tradnl"/>
        </w:rPr>
        <w:t xml:space="preserve"> </w:t>
      </w:r>
      <w:r w:rsidR="00D65783">
        <w:rPr>
          <w:rFonts w:cs="Arial"/>
          <w:sz w:val="22"/>
          <w:szCs w:val="22"/>
          <w:lang w:val="es-ES_tradnl"/>
        </w:rPr>
        <w:t xml:space="preserve">continúe </w:t>
      </w:r>
      <w:r w:rsidR="002F39A6">
        <w:rPr>
          <w:rFonts w:cs="Arial"/>
          <w:sz w:val="22"/>
          <w:szCs w:val="22"/>
          <w:lang w:val="es-ES_tradnl"/>
        </w:rPr>
        <w:t>realizando conversaciones</w:t>
      </w:r>
      <w:r w:rsidR="00D65783">
        <w:rPr>
          <w:rFonts w:cs="Arial"/>
          <w:sz w:val="22"/>
          <w:szCs w:val="22"/>
          <w:lang w:val="es-ES_tradnl"/>
        </w:rPr>
        <w:t xml:space="preserve"> con el Banco Popular</w:t>
      </w:r>
      <w:r w:rsidR="002F39A6">
        <w:rPr>
          <w:rFonts w:cs="Arial"/>
          <w:sz w:val="22"/>
          <w:szCs w:val="22"/>
          <w:lang w:val="es-ES_tradnl"/>
        </w:rPr>
        <w:t>, con el propósito de</w:t>
      </w:r>
      <w:r w:rsidR="00D65783">
        <w:rPr>
          <w:rFonts w:cs="Arial"/>
          <w:sz w:val="22"/>
          <w:szCs w:val="22"/>
          <w:lang w:val="es-ES_tradnl"/>
        </w:rPr>
        <w:t xml:space="preserve"> encontrar puntos de </w:t>
      </w:r>
      <w:r w:rsidR="00D65783">
        <w:rPr>
          <w:rFonts w:cs="Arial"/>
          <w:sz w:val="22"/>
          <w:szCs w:val="22"/>
        </w:rPr>
        <w:t>co</w:t>
      </w:r>
      <w:r w:rsidR="009904E5">
        <w:rPr>
          <w:rFonts w:cs="Arial"/>
          <w:sz w:val="22"/>
          <w:szCs w:val="22"/>
        </w:rPr>
        <w:t>nsenso sobre el</w:t>
      </w:r>
      <w:r w:rsidR="0004385A">
        <w:rPr>
          <w:rFonts w:cs="Arial"/>
          <w:sz w:val="22"/>
          <w:szCs w:val="22"/>
        </w:rPr>
        <w:t xml:space="preserve"> tipo y las condiciones de</w:t>
      </w:r>
      <w:r w:rsidR="001B450C">
        <w:rPr>
          <w:rFonts w:cs="Arial"/>
          <w:sz w:val="22"/>
          <w:szCs w:val="22"/>
        </w:rPr>
        <w:t xml:space="preserve"> la garantía a </w:t>
      </w:r>
      <w:r w:rsidR="002F39A6">
        <w:rPr>
          <w:rFonts w:cs="Arial"/>
          <w:sz w:val="22"/>
          <w:szCs w:val="22"/>
        </w:rPr>
        <w:t>otorgar</w:t>
      </w:r>
      <w:r w:rsidR="001B450C">
        <w:rPr>
          <w:rFonts w:cs="Arial"/>
          <w:sz w:val="22"/>
          <w:szCs w:val="22"/>
        </w:rPr>
        <w:t xml:space="preserve"> por los </w:t>
      </w:r>
      <w:r w:rsidR="009904E5">
        <w:rPr>
          <w:rFonts w:cs="Arial"/>
          <w:sz w:val="22"/>
          <w:szCs w:val="22"/>
        </w:rPr>
        <w:t>recursos</w:t>
      </w:r>
      <w:r w:rsidR="001B450C">
        <w:rPr>
          <w:rFonts w:cs="Arial"/>
          <w:sz w:val="22"/>
          <w:szCs w:val="22"/>
        </w:rPr>
        <w:t xml:space="preserve"> gestionados</w:t>
      </w:r>
      <w:r w:rsidR="0004385A">
        <w:rPr>
          <w:rFonts w:cs="Arial"/>
          <w:sz w:val="22"/>
          <w:szCs w:val="22"/>
        </w:rPr>
        <w:t>.</w:t>
      </w:r>
    </w:p>
    <w:p w14:paraId="7B9E2835" w14:textId="7D7964C6" w:rsidR="0004385A" w:rsidRDefault="0004385A" w:rsidP="002B71CC">
      <w:pPr>
        <w:spacing w:line="360" w:lineRule="auto"/>
        <w:jc w:val="both"/>
        <w:rPr>
          <w:rFonts w:cs="Arial"/>
          <w:sz w:val="22"/>
          <w:szCs w:val="22"/>
        </w:rPr>
      </w:pPr>
    </w:p>
    <w:p w14:paraId="3DDE0FC5" w14:textId="4F587998" w:rsidR="002B71CC" w:rsidRDefault="0004385A" w:rsidP="002B71CC">
      <w:pPr>
        <w:spacing w:line="360" w:lineRule="auto"/>
        <w:jc w:val="both"/>
        <w:rPr>
          <w:rFonts w:cs="Arial"/>
          <w:sz w:val="22"/>
          <w:szCs w:val="22"/>
        </w:rPr>
      </w:pPr>
      <w:r>
        <w:rPr>
          <w:rFonts w:cs="Arial"/>
          <w:sz w:val="22"/>
          <w:szCs w:val="22"/>
        </w:rPr>
        <w:t>No obstante lo anterior</w:t>
      </w:r>
      <w:r w:rsidR="00544E74">
        <w:rPr>
          <w:rFonts w:cs="Arial"/>
          <w:sz w:val="22"/>
          <w:szCs w:val="22"/>
        </w:rPr>
        <w:t xml:space="preserve"> y con el fin de aclarar </w:t>
      </w:r>
      <w:r w:rsidR="009904E5">
        <w:rPr>
          <w:rFonts w:cs="Arial"/>
          <w:sz w:val="22"/>
          <w:szCs w:val="22"/>
        </w:rPr>
        <w:t xml:space="preserve">el tema de </w:t>
      </w:r>
      <w:r w:rsidR="00544E74">
        <w:rPr>
          <w:rFonts w:cs="Arial"/>
          <w:sz w:val="22"/>
          <w:szCs w:val="22"/>
        </w:rPr>
        <w:t xml:space="preserve">las garantías que </w:t>
      </w:r>
      <w:r w:rsidR="001A3AF8">
        <w:rPr>
          <w:rFonts w:cs="Arial"/>
          <w:sz w:val="22"/>
          <w:szCs w:val="22"/>
        </w:rPr>
        <w:t xml:space="preserve">deben </w:t>
      </w:r>
      <w:r w:rsidR="00544E74">
        <w:rPr>
          <w:rFonts w:cs="Arial"/>
          <w:sz w:val="22"/>
          <w:szCs w:val="22"/>
        </w:rPr>
        <w:t>respalda</w:t>
      </w:r>
      <w:r w:rsidR="001A3AF8">
        <w:rPr>
          <w:rFonts w:cs="Arial"/>
          <w:sz w:val="22"/>
          <w:szCs w:val="22"/>
        </w:rPr>
        <w:t>r</w:t>
      </w:r>
      <w:r w:rsidR="00544E74">
        <w:rPr>
          <w:rFonts w:cs="Arial"/>
          <w:sz w:val="22"/>
          <w:szCs w:val="22"/>
        </w:rPr>
        <w:t xml:space="preserve"> los créditos otorgados por este Banco</w:t>
      </w:r>
      <w:r w:rsidR="001A3AF8">
        <w:rPr>
          <w:rFonts w:cs="Arial"/>
          <w:sz w:val="22"/>
          <w:szCs w:val="22"/>
        </w:rPr>
        <w:t>,</w:t>
      </w:r>
      <w:r w:rsidR="00544E74">
        <w:rPr>
          <w:rFonts w:cs="Arial"/>
          <w:sz w:val="22"/>
          <w:szCs w:val="22"/>
        </w:rPr>
        <w:t xml:space="preserve"> para programas de vivienda dirigidos a cumplir los fines del Sistema Financiero Nacional para la Vivienda</w:t>
      </w:r>
      <w:r w:rsidR="001A3AF8">
        <w:rPr>
          <w:rFonts w:cs="Arial"/>
          <w:sz w:val="22"/>
          <w:szCs w:val="22"/>
        </w:rPr>
        <w:t xml:space="preserve">, </w:t>
      </w:r>
      <w:r>
        <w:rPr>
          <w:rFonts w:cs="Arial"/>
          <w:sz w:val="22"/>
          <w:szCs w:val="22"/>
        </w:rPr>
        <w:t xml:space="preserve">esta </w:t>
      </w:r>
      <w:r w:rsidRPr="0004385A">
        <w:rPr>
          <w:rFonts w:cs="Arial"/>
          <w:sz w:val="22"/>
          <w:szCs w:val="22"/>
          <w:lang w:val="es-ES_tradnl"/>
        </w:rPr>
        <w:t>Junta Directiva</w:t>
      </w:r>
      <w:r>
        <w:rPr>
          <w:rFonts w:cs="Arial"/>
          <w:sz w:val="22"/>
          <w:szCs w:val="22"/>
          <w:lang w:val="es-ES_tradnl"/>
        </w:rPr>
        <w:t xml:space="preserve"> </w:t>
      </w:r>
      <w:r w:rsidR="001A3AF8">
        <w:rPr>
          <w:rFonts w:cs="Arial"/>
          <w:sz w:val="22"/>
          <w:szCs w:val="22"/>
          <w:lang w:val="es-ES_tradnl"/>
        </w:rPr>
        <w:t>estará gestionando una consulta a la Superintendencia General de Entidades Financieras.</w:t>
      </w:r>
    </w:p>
    <w:p w14:paraId="0B0FD09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8C2B48E" w14:textId="77777777" w:rsidR="002B71CC" w:rsidRPr="00D14EAF" w:rsidRDefault="002B71CC" w:rsidP="002B71CC">
      <w:pPr>
        <w:spacing w:line="360" w:lineRule="auto"/>
        <w:jc w:val="both"/>
        <w:rPr>
          <w:rFonts w:cs="Arial"/>
          <w:b/>
          <w:sz w:val="22"/>
        </w:rPr>
      </w:pPr>
      <w:r w:rsidRPr="00D14EAF">
        <w:rPr>
          <w:rFonts w:cs="Arial"/>
          <w:b/>
          <w:sz w:val="22"/>
        </w:rPr>
        <w:t>************</w:t>
      </w:r>
    </w:p>
    <w:p w14:paraId="666E12D7" w14:textId="77777777" w:rsidR="002B71CC" w:rsidRDefault="002B71CC" w:rsidP="002B71CC">
      <w:pPr>
        <w:spacing w:line="360" w:lineRule="auto"/>
        <w:jc w:val="both"/>
        <w:rPr>
          <w:rFonts w:cs="Arial"/>
          <w:sz w:val="22"/>
          <w:lang w:val="es-ES_tradnl"/>
        </w:rPr>
      </w:pPr>
    </w:p>
    <w:p w14:paraId="27D59C9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7A5E8F96" w14:textId="63612CB1" w:rsidR="002B71CC" w:rsidRDefault="00597264" w:rsidP="002B71CC">
      <w:pPr>
        <w:spacing w:line="360" w:lineRule="auto"/>
        <w:jc w:val="both"/>
        <w:rPr>
          <w:rFonts w:cs="Arial"/>
          <w:sz w:val="22"/>
          <w:szCs w:val="22"/>
        </w:rPr>
      </w:pPr>
      <w:r>
        <w:rPr>
          <w:sz w:val="22"/>
          <w:szCs w:val="22"/>
        </w:rPr>
        <w:t xml:space="preserve">Aprobar el </w:t>
      </w:r>
      <w:r w:rsidRPr="00911E34">
        <w:rPr>
          <w:sz w:val="22"/>
          <w:szCs w:val="22"/>
        </w:rPr>
        <w:t>informe sobre los Estados Financieros Intermedios</w:t>
      </w:r>
      <w:r>
        <w:rPr>
          <w:sz w:val="22"/>
          <w:szCs w:val="22"/>
        </w:rPr>
        <w:t xml:space="preserve"> del Banco, con corte al mes de setiembre de 2019</w:t>
      </w:r>
      <w:r w:rsidRPr="00911E34">
        <w:rPr>
          <w:sz w:val="22"/>
          <w:szCs w:val="22"/>
        </w:rPr>
        <w:t xml:space="preserve">, </w:t>
      </w:r>
      <w:r>
        <w:rPr>
          <w:sz w:val="22"/>
          <w:szCs w:val="22"/>
        </w:rPr>
        <w:t xml:space="preserve">remitido a esta </w:t>
      </w:r>
      <w:r w:rsidRPr="008B40D1">
        <w:rPr>
          <w:rFonts w:cs="Arial"/>
          <w:sz w:val="22"/>
          <w:szCs w:val="22"/>
        </w:rPr>
        <w:t>Junta Directiva</w:t>
      </w:r>
      <w:r>
        <w:rPr>
          <w:rFonts w:cs="Arial"/>
          <w:sz w:val="22"/>
          <w:szCs w:val="22"/>
        </w:rPr>
        <w:t xml:space="preserve"> por parte del Comité de Auditoría, mediante el oficio CABANHVI-25-2019, del 16 de diciembre de 2019, y el cual </w:t>
      </w:r>
      <w:r w:rsidRPr="00911E34">
        <w:rPr>
          <w:sz w:val="22"/>
          <w:szCs w:val="22"/>
        </w:rPr>
        <w:t>se adjunta a la nota</w:t>
      </w:r>
      <w:r w:rsidRPr="004C349B">
        <w:rPr>
          <w:sz w:val="22"/>
          <w:szCs w:val="22"/>
        </w:rPr>
        <w:t xml:space="preserve"> </w:t>
      </w:r>
      <w:r>
        <w:rPr>
          <w:sz w:val="22"/>
          <w:szCs w:val="22"/>
        </w:rPr>
        <w:t>GG-ME-1141-2019 de</w:t>
      </w:r>
      <w:r w:rsidRPr="00911E34">
        <w:rPr>
          <w:color w:val="000000"/>
          <w:sz w:val="22"/>
          <w:szCs w:val="22"/>
        </w:rPr>
        <w:t xml:space="preserve"> </w:t>
      </w:r>
      <w:r>
        <w:rPr>
          <w:color w:val="000000"/>
          <w:sz w:val="22"/>
          <w:szCs w:val="22"/>
        </w:rPr>
        <w:t xml:space="preserve">la </w:t>
      </w:r>
      <w:r w:rsidRPr="00E00710">
        <w:rPr>
          <w:rFonts w:cs="Arial"/>
          <w:color w:val="000000"/>
          <w:sz w:val="22"/>
          <w:szCs w:val="22"/>
          <w:lang w:val="es-CR"/>
        </w:rPr>
        <w:t>Gerencia General</w:t>
      </w:r>
      <w:r>
        <w:rPr>
          <w:sz w:val="22"/>
          <w:szCs w:val="22"/>
        </w:rPr>
        <w:t>.</w:t>
      </w:r>
    </w:p>
    <w:p w14:paraId="18B76634" w14:textId="01CC9DC4"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ED8A458" w14:textId="77777777" w:rsidR="002B71CC" w:rsidRPr="00D14EAF" w:rsidRDefault="002B71CC" w:rsidP="002B71CC">
      <w:pPr>
        <w:spacing w:line="360" w:lineRule="auto"/>
        <w:jc w:val="both"/>
        <w:rPr>
          <w:rFonts w:cs="Arial"/>
          <w:b/>
          <w:sz w:val="22"/>
        </w:rPr>
      </w:pPr>
      <w:r w:rsidRPr="00D14EAF">
        <w:rPr>
          <w:rFonts w:cs="Arial"/>
          <w:b/>
          <w:sz w:val="22"/>
        </w:rPr>
        <w:t>************</w:t>
      </w:r>
    </w:p>
    <w:p w14:paraId="05A285B2" w14:textId="77777777" w:rsidR="002B71CC" w:rsidRDefault="002B71CC" w:rsidP="002B71CC">
      <w:pPr>
        <w:spacing w:line="360" w:lineRule="auto"/>
        <w:jc w:val="both"/>
        <w:rPr>
          <w:rFonts w:cs="Arial"/>
          <w:sz w:val="22"/>
          <w:lang w:val="es-ES_tradnl"/>
        </w:rPr>
      </w:pPr>
    </w:p>
    <w:p w14:paraId="46EFAA5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35A29A41" w14:textId="1BD49DA1" w:rsidR="002B71CC" w:rsidRDefault="008D60D3" w:rsidP="002B71CC">
      <w:pPr>
        <w:spacing w:line="360" w:lineRule="auto"/>
        <w:jc w:val="both"/>
        <w:rPr>
          <w:rFonts w:cs="Arial"/>
          <w:sz w:val="22"/>
          <w:szCs w:val="22"/>
        </w:rPr>
      </w:pPr>
      <w:r>
        <w:rPr>
          <w:rFonts w:cs="Arial"/>
          <w:sz w:val="22"/>
          <w:szCs w:val="22"/>
        </w:rPr>
        <w:t xml:space="preserve">Instruir a la </w:t>
      </w:r>
      <w:r w:rsidRPr="008D60D3">
        <w:rPr>
          <w:rFonts w:cs="Arial"/>
          <w:sz w:val="22"/>
          <w:szCs w:val="22"/>
          <w:lang w:val="es-ES_tradnl"/>
        </w:rPr>
        <w:t>Administración</w:t>
      </w:r>
      <w:r>
        <w:rPr>
          <w:rFonts w:cs="Arial"/>
          <w:sz w:val="22"/>
          <w:szCs w:val="22"/>
          <w:lang w:val="es-ES_tradnl"/>
        </w:rPr>
        <w:t xml:space="preserve">, para que </w:t>
      </w:r>
      <w:r w:rsidR="008D7130">
        <w:rPr>
          <w:rFonts w:cs="Arial"/>
          <w:sz w:val="22"/>
          <w:szCs w:val="22"/>
          <w:lang w:val="es-ES_tradnl"/>
        </w:rPr>
        <w:t xml:space="preserve">con respecto al proyecto Cocales de </w:t>
      </w:r>
      <w:proofErr w:type="spellStart"/>
      <w:r w:rsidR="008D7130">
        <w:rPr>
          <w:rFonts w:cs="Arial"/>
          <w:sz w:val="22"/>
          <w:szCs w:val="22"/>
          <w:lang w:val="es-ES_tradnl"/>
        </w:rPr>
        <w:t>Duacarí</w:t>
      </w:r>
      <w:proofErr w:type="spellEnd"/>
      <w:r w:rsidR="008D7130">
        <w:rPr>
          <w:rFonts w:cs="Arial"/>
          <w:sz w:val="22"/>
          <w:szCs w:val="22"/>
          <w:lang w:val="es-ES_tradnl"/>
        </w:rPr>
        <w:t xml:space="preserve">, </w:t>
      </w:r>
      <w:r w:rsidR="00D50B78" w:rsidRPr="00BB303F">
        <w:rPr>
          <w:rFonts w:cs="Arial"/>
          <w:bCs/>
          <w:sz w:val="22"/>
          <w:szCs w:val="22"/>
        </w:rPr>
        <w:t xml:space="preserve">ubicado en </w:t>
      </w:r>
      <w:r w:rsidR="00D50B78" w:rsidRPr="00BB303F">
        <w:rPr>
          <w:rFonts w:cs="Arial"/>
          <w:sz w:val="22"/>
          <w:szCs w:val="22"/>
        </w:rPr>
        <w:t>el distrito</w:t>
      </w:r>
      <w:r w:rsidR="00D50B78">
        <w:rPr>
          <w:rFonts w:cs="Arial"/>
          <w:sz w:val="22"/>
          <w:szCs w:val="22"/>
        </w:rPr>
        <w:t xml:space="preserve"> </w:t>
      </w:r>
      <w:proofErr w:type="spellStart"/>
      <w:r w:rsidR="00D50B78">
        <w:rPr>
          <w:rFonts w:cs="Arial"/>
          <w:sz w:val="22"/>
          <w:szCs w:val="22"/>
        </w:rPr>
        <w:t>Duacarí</w:t>
      </w:r>
      <w:proofErr w:type="spellEnd"/>
      <w:r w:rsidR="00D50B78" w:rsidRPr="00FC0CF0">
        <w:rPr>
          <w:rFonts w:cs="Arial"/>
          <w:sz w:val="22"/>
          <w:szCs w:val="22"/>
        </w:rPr>
        <w:t xml:space="preserve"> </w:t>
      </w:r>
      <w:r w:rsidR="00D50B78">
        <w:rPr>
          <w:rFonts w:cs="Arial"/>
          <w:sz w:val="22"/>
          <w:szCs w:val="22"/>
        </w:rPr>
        <w:t xml:space="preserve">del </w:t>
      </w:r>
      <w:r w:rsidR="00D50B78" w:rsidRPr="00FC0CF0">
        <w:rPr>
          <w:rFonts w:cs="Arial"/>
          <w:sz w:val="22"/>
          <w:szCs w:val="22"/>
        </w:rPr>
        <w:t xml:space="preserve">cantón de </w:t>
      </w:r>
      <w:r w:rsidR="00D50B78">
        <w:rPr>
          <w:rFonts w:cs="Arial"/>
          <w:sz w:val="22"/>
          <w:szCs w:val="22"/>
        </w:rPr>
        <w:t>Guácimo,</w:t>
      </w:r>
      <w:r w:rsidR="00D50B78">
        <w:rPr>
          <w:rFonts w:cs="Arial"/>
          <w:sz w:val="22"/>
          <w:szCs w:val="22"/>
          <w:lang w:val="es-ES_tradnl"/>
        </w:rPr>
        <w:t xml:space="preserve"> </w:t>
      </w:r>
      <w:r>
        <w:rPr>
          <w:rFonts w:cs="Arial"/>
          <w:sz w:val="22"/>
          <w:szCs w:val="22"/>
          <w:lang w:val="es-ES_tradnl"/>
        </w:rPr>
        <w:t xml:space="preserve">elabore y presente a esta </w:t>
      </w:r>
      <w:r w:rsidRPr="008D60D3">
        <w:rPr>
          <w:rFonts w:cs="Arial"/>
          <w:sz w:val="22"/>
          <w:szCs w:val="22"/>
          <w:lang w:val="es-ES_tradnl"/>
        </w:rPr>
        <w:t>Junta Directiva</w:t>
      </w:r>
      <w:r>
        <w:rPr>
          <w:rFonts w:cs="Arial"/>
          <w:sz w:val="22"/>
          <w:szCs w:val="22"/>
          <w:lang w:val="es-ES_tradnl"/>
        </w:rPr>
        <w:t xml:space="preserve">, un informe sobre </w:t>
      </w:r>
      <w:r w:rsidR="008D7130">
        <w:rPr>
          <w:rFonts w:cs="Arial"/>
          <w:sz w:val="22"/>
          <w:szCs w:val="22"/>
          <w:lang w:val="es-ES_tradnl"/>
        </w:rPr>
        <w:t xml:space="preserve">lo actuado por </w:t>
      </w:r>
      <w:proofErr w:type="spellStart"/>
      <w:r w:rsidR="008D7130">
        <w:rPr>
          <w:rFonts w:cs="Arial"/>
          <w:sz w:val="22"/>
          <w:szCs w:val="22"/>
          <w:lang w:val="es-ES_tradnl"/>
        </w:rPr>
        <w:t>Coocique</w:t>
      </w:r>
      <w:proofErr w:type="spellEnd"/>
      <w:r w:rsidR="008D7130">
        <w:rPr>
          <w:rFonts w:cs="Arial"/>
          <w:sz w:val="22"/>
          <w:szCs w:val="22"/>
          <w:lang w:val="es-ES_tradnl"/>
        </w:rPr>
        <w:t xml:space="preserve"> R.L. y el BANHVI, en relación con los siguientes asuntos:</w:t>
      </w:r>
      <w:r w:rsidR="00CA4913">
        <w:rPr>
          <w:rFonts w:cs="Arial"/>
          <w:sz w:val="22"/>
          <w:szCs w:val="22"/>
          <w:lang w:val="es-ES_tradnl"/>
        </w:rPr>
        <w:t xml:space="preserve"> a) el</w:t>
      </w:r>
      <w:r>
        <w:rPr>
          <w:rFonts w:cs="Arial"/>
          <w:sz w:val="22"/>
          <w:szCs w:val="22"/>
          <w:lang w:val="es-ES_tradnl"/>
        </w:rPr>
        <w:t xml:space="preserve"> proceso de selección y calificación de los beneficiarios</w:t>
      </w:r>
      <w:r w:rsidR="00CA4913">
        <w:rPr>
          <w:rFonts w:cs="Arial"/>
          <w:sz w:val="22"/>
          <w:szCs w:val="22"/>
          <w:lang w:val="es-ES_tradnl"/>
        </w:rPr>
        <w:t>; b)</w:t>
      </w:r>
      <w:r w:rsidR="00231A2F">
        <w:rPr>
          <w:rFonts w:cs="Arial"/>
          <w:sz w:val="22"/>
          <w:szCs w:val="22"/>
          <w:lang w:val="es-ES_tradnl"/>
        </w:rPr>
        <w:t xml:space="preserve"> </w:t>
      </w:r>
      <w:r w:rsidR="00531EE6">
        <w:rPr>
          <w:rFonts w:cs="Arial"/>
          <w:sz w:val="22"/>
          <w:szCs w:val="22"/>
          <w:lang w:val="es-ES_tradnl"/>
        </w:rPr>
        <w:t xml:space="preserve">los estudios que permitieron determinar </w:t>
      </w:r>
      <w:r w:rsidR="008D7130">
        <w:rPr>
          <w:rFonts w:cs="Arial"/>
          <w:sz w:val="22"/>
          <w:szCs w:val="22"/>
          <w:lang w:val="es-ES_tradnl"/>
        </w:rPr>
        <w:t>la necesidad de desarrollar 139 soluciones de vivienda en esa comunidad</w:t>
      </w:r>
      <w:r w:rsidR="00CA4913">
        <w:rPr>
          <w:rFonts w:cs="Arial"/>
          <w:sz w:val="22"/>
          <w:szCs w:val="22"/>
          <w:lang w:val="es-ES_tradnl"/>
        </w:rPr>
        <w:t xml:space="preserve">; c) los </w:t>
      </w:r>
      <w:r w:rsidR="00D50B78">
        <w:rPr>
          <w:rFonts w:cs="Arial"/>
          <w:sz w:val="22"/>
          <w:szCs w:val="22"/>
          <w:lang w:val="es-ES_tradnl"/>
        </w:rPr>
        <w:t>retrasos</w:t>
      </w:r>
      <w:r w:rsidR="00CA4913">
        <w:rPr>
          <w:rFonts w:cs="Arial"/>
          <w:sz w:val="22"/>
          <w:szCs w:val="22"/>
          <w:lang w:val="es-ES_tradnl"/>
        </w:rPr>
        <w:t xml:space="preserve"> que se han dado en </w:t>
      </w:r>
      <w:r w:rsidR="00D50B78">
        <w:rPr>
          <w:rFonts w:cs="Arial"/>
          <w:sz w:val="22"/>
          <w:szCs w:val="22"/>
          <w:lang w:val="es-ES_tradnl"/>
        </w:rPr>
        <w:t>la liquidación del proyecto</w:t>
      </w:r>
      <w:r w:rsidR="00CA4913">
        <w:rPr>
          <w:rFonts w:cs="Arial"/>
          <w:sz w:val="22"/>
          <w:szCs w:val="22"/>
          <w:lang w:val="es-ES_tradnl"/>
        </w:rPr>
        <w:t xml:space="preserve"> y</w:t>
      </w:r>
      <w:r w:rsidR="00D50B78">
        <w:rPr>
          <w:rFonts w:cs="Arial"/>
          <w:sz w:val="22"/>
          <w:szCs w:val="22"/>
          <w:lang w:val="es-ES_tradnl"/>
        </w:rPr>
        <w:t xml:space="preserve">, consecuentemente, en la </w:t>
      </w:r>
      <w:r w:rsidR="00CA4913">
        <w:rPr>
          <w:rFonts w:cs="Arial"/>
          <w:sz w:val="22"/>
          <w:szCs w:val="22"/>
          <w:lang w:val="es-ES_tradnl"/>
        </w:rPr>
        <w:t>entrega de la</w:t>
      </w:r>
      <w:r w:rsidR="00D50B78">
        <w:rPr>
          <w:rFonts w:cs="Arial"/>
          <w:sz w:val="22"/>
          <w:szCs w:val="22"/>
          <w:lang w:val="es-ES_tradnl"/>
        </w:rPr>
        <w:t xml:space="preserve"> totalidad de las </w:t>
      </w:r>
      <w:r w:rsidR="00CA4913">
        <w:rPr>
          <w:rFonts w:cs="Arial"/>
          <w:sz w:val="22"/>
          <w:szCs w:val="22"/>
          <w:lang w:val="es-ES_tradnl"/>
        </w:rPr>
        <w:t>soluciones habitacionales.</w:t>
      </w:r>
      <w:r w:rsidR="007E7760">
        <w:rPr>
          <w:rFonts w:cs="Arial"/>
          <w:sz w:val="22"/>
          <w:szCs w:val="22"/>
          <w:lang w:val="es-ES_tradnl"/>
        </w:rPr>
        <w:t xml:space="preserve">  </w:t>
      </w:r>
      <w:r w:rsidR="003E6F05">
        <w:rPr>
          <w:rFonts w:cs="Arial"/>
          <w:sz w:val="22"/>
          <w:szCs w:val="22"/>
          <w:lang w:val="es-ES_tradnl"/>
        </w:rPr>
        <w:t xml:space="preserve">Lo anterior, </w:t>
      </w:r>
      <w:r w:rsidR="00EE2DEB">
        <w:rPr>
          <w:rFonts w:cs="Arial"/>
          <w:sz w:val="22"/>
          <w:szCs w:val="22"/>
          <w:lang w:val="es-ES_tradnl"/>
        </w:rPr>
        <w:t>complementado con</w:t>
      </w:r>
      <w:r w:rsidR="003E6F05">
        <w:rPr>
          <w:rFonts w:cs="Arial"/>
          <w:sz w:val="22"/>
          <w:szCs w:val="22"/>
          <w:lang w:val="es-ES_tradnl"/>
        </w:rPr>
        <w:t xml:space="preserve"> una descripción del citado proyecto</w:t>
      </w:r>
      <w:r w:rsidR="00861AD1">
        <w:rPr>
          <w:rFonts w:cs="Arial"/>
          <w:sz w:val="22"/>
          <w:szCs w:val="22"/>
          <w:lang w:val="es-ES_tradnl"/>
        </w:rPr>
        <w:t xml:space="preserve"> y copia de los informes que en su oportunidad (diciembre de 2015) se presentaron a la aprobación de la </w:t>
      </w:r>
      <w:r w:rsidR="00861AD1" w:rsidRPr="00861AD1">
        <w:rPr>
          <w:rFonts w:cs="Arial"/>
          <w:sz w:val="22"/>
          <w:szCs w:val="22"/>
          <w:lang w:val="es-ES_tradnl"/>
        </w:rPr>
        <w:t>Junta Directiv</w:t>
      </w:r>
      <w:r w:rsidR="00861AD1">
        <w:rPr>
          <w:rFonts w:cs="Arial"/>
          <w:sz w:val="22"/>
          <w:szCs w:val="22"/>
          <w:lang w:val="es-ES_tradnl"/>
        </w:rPr>
        <w:t>a</w:t>
      </w:r>
      <w:r w:rsidR="003E6F05">
        <w:rPr>
          <w:rFonts w:cs="Arial"/>
          <w:sz w:val="22"/>
          <w:szCs w:val="22"/>
          <w:lang w:val="es-ES_tradnl"/>
        </w:rPr>
        <w:t>.</w:t>
      </w:r>
    </w:p>
    <w:p w14:paraId="3A046EC7"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571AA6DA" w14:textId="77777777" w:rsidR="002B71CC" w:rsidRPr="00D14EAF" w:rsidRDefault="002B71CC" w:rsidP="002B71CC">
      <w:pPr>
        <w:spacing w:line="360" w:lineRule="auto"/>
        <w:jc w:val="both"/>
        <w:rPr>
          <w:rFonts w:cs="Arial"/>
          <w:b/>
          <w:sz w:val="22"/>
        </w:rPr>
      </w:pPr>
      <w:r w:rsidRPr="00D14EAF">
        <w:rPr>
          <w:rFonts w:cs="Arial"/>
          <w:b/>
          <w:sz w:val="22"/>
        </w:rPr>
        <w:t>************</w:t>
      </w:r>
    </w:p>
    <w:p w14:paraId="347FDBE0" w14:textId="079DD72D" w:rsidR="002B71CC" w:rsidRDefault="002B71CC" w:rsidP="002B71CC">
      <w:pPr>
        <w:spacing w:line="360" w:lineRule="auto"/>
        <w:jc w:val="both"/>
        <w:rPr>
          <w:rFonts w:cs="Arial"/>
          <w:sz w:val="22"/>
          <w:szCs w:val="22"/>
        </w:rPr>
      </w:pPr>
    </w:p>
    <w:p w14:paraId="1B6C42B5" w14:textId="2347CFDB" w:rsidR="00531EE6" w:rsidRPr="00AB2826" w:rsidRDefault="00531EE6" w:rsidP="00531EE6">
      <w:pPr>
        <w:pStyle w:val="Ttulo2"/>
        <w:spacing w:line="360" w:lineRule="auto"/>
        <w:rPr>
          <w:rFonts w:cs="Arial"/>
          <w:szCs w:val="22"/>
        </w:rPr>
      </w:pPr>
      <w:r w:rsidRPr="00AB2826">
        <w:rPr>
          <w:rFonts w:cs="Arial"/>
          <w:szCs w:val="22"/>
        </w:rPr>
        <w:t xml:space="preserve">ACUERDO </w:t>
      </w:r>
      <w:r>
        <w:rPr>
          <w:rFonts w:cs="Arial"/>
          <w:szCs w:val="22"/>
        </w:rPr>
        <w:t>N°6A</w:t>
      </w:r>
      <w:r w:rsidRPr="00AB2826">
        <w:rPr>
          <w:rFonts w:cs="Arial"/>
          <w:szCs w:val="22"/>
        </w:rPr>
        <w:t>:</w:t>
      </w:r>
    </w:p>
    <w:p w14:paraId="12FFBB21" w14:textId="51654D38" w:rsidR="00A55680" w:rsidRDefault="00531EE6" w:rsidP="002B71CC">
      <w:pPr>
        <w:spacing w:line="360" w:lineRule="auto"/>
        <w:jc w:val="both"/>
        <w:rPr>
          <w:rFonts w:cs="Arial"/>
          <w:sz w:val="22"/>
          <w:szCs w:val="22"/>
          <w:lang w:val="es-ES_tradnl"/>
        </w:rPr>
      </w:pPr>
      <w:r>
        <w:rPr>
          <w:rFonts w:cs="Arial"/>
          <w:sz w:val="22"/>
          <w:szCs w:val="22"/>
        </w:rPr>
        <w:t xml:space="preserve">Instruir a la </w:t>
      </w:r>
      <w:r w:rsidRPr="00531EE6">
        <w:rPr>
          <w:rFonts w:cs="Arial"/>
          <w:sz w:val="22"/>
          <w:szCs w:val="22"/>
          <w:lang w:val="es-ES_tradnl"/>
        </w:rPr>
        <w:t>Administración</w:t>
      </w:r>
      <w:r>
        <w:rPr>
          <w:rFonts w:cs="Arial"/>
          <w:sz w:val="22"/>
          <w:szCs w:val="22"/>
          <w:lang w:val="es-ES_tradnl"/>
        </w:rPr>
        <w:t xml:space="preserve">, para </w:t>
      </w:r>
      <w:r w:rsidR="00050E85">
        <w:rPr>
          <w:rFonts w:cs="Arial"/>
          <w:sz w:val="22"/>
          <w:szCs w:val="22"/>
          <w:lang w:val="es-ES_tradnl"/>
        </w:rPr>
        <w:t>que,</w:t>
      </w:r>
      <w:r>
        <w:rPr>
          <w:rFonts w:cs="Arial"/>
          <w:sz w:val="22"/>
          <w:szCs w:val="22"/>
          <w:lang w:val="es-ES_tradnl"/>
        </w:rPr>
        <w:t xml:space="preserve"> si </w:t>
      </w:r>
      <w:r w:rsidR="00050E85">
        <w:rPr>
          <w:rFonts w:cs="Arial"/>
          <w:sz w:val="22"/>
          <w:szCs w:val="22"/>
          <w:lang w:val="es-ES_tradnl"/>
        </w:rPr>
        <w:t xml:space="preserve">en el futuro llegan a presentarse solicitudes para sustituir beneficiarios del proyecto Cocales de </w:t>
      </w:r>
      <w:proofErr w:type="spellStart"/>
      <w:r w:rsidR="00050E85">
        <w:rPr>
          <w:rFonts w:cs="Arial"/>
          <w:sz w:val="22"/>
          <w:szCs w:val="22"/>
          <w:lang w:val="es-ES_tradnl"/>
        </w:rPr>
        <w:t>Duacarí</w:t>
      </w:r>
      <w:proofErr w:type="spellEnd"/>
      <w:r w:rsidR="00050E85">
        <w:rPr>
          <w:rFonts w:cs="Arial"/>
          <w:sz w:val="22"/>
          <w:szCs w:val="22"/>
          <w:lang w:val="es-ES_tradnl"/>
        </w:rPr>
        <w:t>, l</w:t>
      </w:r>
      <w:r w:rsidR="00EE2DEB">
        <w:rPr>
          <w:rFonts w:cs="Arial"/>
          <w:sz w:val="22"/>
          <w:szCs w:val="22"/>
          <w:lang w:val="es-ES_tradnl"/>
        </w:rPr>
        <w:t xml:space="preserve">as familias </w:t>
      </w:r>
      <w:r w:rsidR="00A55680">
        <w:rPr>
          <w:rFonts w:cs="Arial"/>
          <w:sz w:val="22"/>
          <w:szCs w:val="22"/>
          <w:lang w:val="es-ES_tradnl"/>
        </w:rPr>
        <w:t>postulad</w:t>
      </w:r>
      <w:r w:rsidR="00EE2DEB">
        <w:rPr>
          <w:rFonts w:cs="Arial"/>
          <w:sz w:val="22"/>
          <w:szCs w:val="22"/>
          <w:lang w:val="es-ES_tradnl"/>
        </w:rPr>
        <w:t>a</w:t>
      </w:r>
      <w:r w:rsidR="00A55680">
        <w:rPr>
          <w:rFonts w:cs="Arial"/>
          <w:sz w:val="22"/>
          <w:szCs w:val="22"/>
          <w:lang w:val="es-ES_tradnl"/>
        </w:rPr>
        <w:t>s sean revisad</w:t>
      </w:r>
      <w:r w:rsidR="00EE2DEB">
        <w:rPr>
          <w:rFonts w:cs="Arial"/>
          <w:sz w:val="22"/>
          <w:szCs w:val="22"/>
          <w:lang w:val="es-ES_tradnl"/>
        </w:rPr>
        <w:t>a</w:t>
      </w:r>
      <w:r w:rsidR="00A55680">
        <w:rPr>
          <w:rFonts w:cs="Arial"/>
          <w:sz w:val="22"/>
          <w:szCs w:val="22"/>
          <w:lang w:val="es-ES_tradnl"/>
        </w:rPr>
        <w:t>s previamente en el SINIRUBE y</w:t>
      </w:r>
      <w:r w:rsidR="003144BB">
        <w:rPr>
          <w:rFonts w:cs="Arial"/>
          <w:sz w:val="22"/>
          <w:szCs w:val="22"/>
          <w:lang w:val="es-ES_tradnl"/>
        </w:rPr>
        <w:t xml:space="preserve">, </w:t>
      </w:r>
      <w:r w:rsidR="009F557D">
        <w:rPr>
          <w:rFonts w:cs="Arial"/>
          <w:sz w:val="22"/>
          <w:szCs w:val="22"/>
          <w:lang w:val="es-ES_tradnl"/>
        </w:rPr>
        <w:t>adicionalmente</w:t>
      </w:r>
      <w:r w:rsidR="003144BB">
        <w:rPr>
          <w:rFonts w:cs="Arial"/>
          <w:sz w:val="22"/>
          <w:szCs w:val="22"/>
          <w:lang w:val="es-ES_tradnl"/>
        </w:rPr>
        <w:t>,</w:t>
      </w:r>
      <w:r w:rsidR="00A55680">
        <w:rPr>
          <w:rFonts w:cs="Arial"/>
          <w:sz w:val="22"/>
          <w:szCs w:val="22"/>
          <w:lang w:val="es-ES_tradnl"/>
        </w:rPr>
        <w:t xml:space="preserve"> los informes </w:t>
      </w:r>
      <w:r w:rsidR="00050E85">
        <w:rPr>
          <w:rFonts w:cs="Arial"/>
          <w:sz w:val="22"/>
          <w:szCs w:val="22"/>
          <w:lang w:val="es-ES_tradnl"/>
        </w:rPr>
        <w:t xml:space="preserve">que se sometan a la aprobación de esta </w:t>
      </w:r>
      <w:r w:rsidR="00050E85" w:rsidRPr="00050E85">
        <w:rPr>
          <w:rFonts w:cs="Arial"/>
          <w:sz w:val="22"/>
          <w:szCs w:val="22"/>
          <w:lang w:val="es-ES_tradnl"/>
        </w:rPr>
        <w:t xml:space="preserve">Junta </w:t>
      </w:r>
      <w:r w:rsidR="009F4B8C" w:rsidRPr="00050E85">
        <w:rPr>
          <w:rFonts w:cs="Arial"/>
          <w:sz w:val="22"/>
          <w:szCs w:val="22"/>
          <w:lang w:val="es-ES_tradnl"/>
        </w:rPr>
        <w:t>Directiva</w:t>
      </w:r>
      <w:r w:rsidR="00FE04ED">
        <w:rPr>
          <w:rFonts w:cs="Arial"/>
          <w:sz w:val="22"/>
          <w:szCs w:val="22"/>
          <w:lang w:val="es-ES_tradnl"/>
        </w:rPr>
        <w:t xml:space="preserve">, </w:t>
      </w:r>
      <w:r w:rsidR="00050E85">
        <w:rPr>
          <w:rFonts w:cs="Arial"/>
          <w:sz w:val="22"/>
          <w:szCs w:val="22"/>
          <w:lang w:val="es-ES_tradnl"/>
        </w:rPr>
        <w:t xml:space="preserve">contengan un detalle sobre la procedencia de </w:t>
      </w:r>
      <w:r w:rsidR="00EE2DEB">
        <w:rPr>
          <w:rFonts w:cs="Arial"/>
          <w:sz w:val="22"/>
          <w:szCs w:val="22"/>
          <w:lang w:val="es-ES_tradnl"/>
        </w:rPr>
        <w:t>los nuevos beneficiarios</w:t>
      </w:r>
      <w:r w:rsidR="00A55680">
        <w:rPr>
          <w:rFonts w:cs="Arial"/>
          <w:sz w:val="22"/>
          <w:szCs w:val="22"/>
          <w:lang w:val="es-ES_tradnl"/>
        </w:rPr>
        <w:t>.</w:t>
      </w:r>
    </w:p>
    <w:p w14:paraId="4C5165BB" w14:textId="3671E360" w:rsidR="00A55680" w:rsidRDefault="00A55680" w:rsidP="002B71CC">
      <w:pPr>
        <w:spacing w:line="360" w:lineRule="auto"/>
        <w:jc w:val="both"/>
        <w:rPr>
          <w:rFonts w:cs="Arial"/>
          <w:sz w:val="22"/>
          <w:szCs w:val="22"/>
          <w:lang w:val="es-ES_tradnl"/>
        </w:rPr>
      </w:pPr>
    </w:p>
    <w:p w14:paraId="2F06C206" w14:textId="6A9AC6FE" w:rsidR="00531EE6" w:rsidRDefault="00FE04ED" w:rsidP="002B71CC">
      <w:pPr>
        <w:spacing w:line="360" w:lineRule="auto"/>
        <w:jc w:val="both"/>
        <w:rPr>
          <w:rFonts w:cs="Arial"/>
          <w:sz w:val="22"/>
          <w:szCs w:val="22"/>
        </w:rPr>
      </w:pPr>
      <w:r>
        <w:rPr>
          <w:rFonts w:cs="Arial"/>
          <w:sz w:val="22"/>
          <w:szCs w:val="22"/>
          <w:lang w:val="es-ES_tradnl"/>
        </w:rPr>
        <w:t xml:space="preserve">Complementariamente, la </w:t>
      </w:r>
      <w:r w:rsidRPr="00FE04ED">
        <w:rPr>
          <w:rFonts w:cs="Arial"/>
          <w:sz w:val="22"/>
          <w:szCs w:val="22"/>
          <w:lang w:val="es-ES_tradnl"/>
        </w:rPr>
        <w:t>Administración</w:t>
      </w:r>
      <w:r>
        <w:rPr>
          <w:rFonts w:cs="Arial"/>
          <w:sz w:val="22"/>
          <w:szCs w:val="22"/>
          <w:lang w:val="es-ES_tradnl"/>
        </w:rPr>
        <w:t xml:space="preserve"> deberá indagar la existencia de otros proyectos de vivienda que </w:t>
      </w:r>
      <w:r w:rsidR="007F59F8">
        <w:rPr>
          <w:rFonts w:cs="Arial"/>
          <w:sz w:val="22"/>
          <w:szCs w:val="22"/>
          <w:lang w:val="es-ES_tradnl"/>
        </w:rPr>
        <w:t xml:space="preserve">presenten situaciones similares a las que se han dado en el proyecto Cocales de </w:t>
      </w:r>
      <w:proofErr w:type="spellStart"/>
      <w:r w:rsidR="007F59F8">
        <w:rPr>
          <w:rFonts w:cs="Arial"/>
          <w:sz w:val="22"/>
          <w:szCs w:val="22"/>
          <w:lang w:val="es-ES_tradnl"/>
        </w:rPr>
        <w:t>Duacarí</w:t>
      </w:r>
      <w:proofErr w:type="spellEnd"/>
      <w:r w:rsidR="00EE2DEB">
        <w:rPr>
          <w:rFonts w:cs="Arial"/>
          <w:sz w:val="22"/>
          <w:szCs w:val="22"/>
          <w:lang w:val="es-ES_tradnl"/>
        </w:rPr>
        <w:t>;</w:t>
      </w:r>
      <w:r w:rsidR="007F59F8">
        <w:rPr>
          <w:rFonts w:cs="Arial"/>
          <w:sz w:val="22"/>
          <w:szCs w:val="22"/>
          <w:lang w:val="es-ES_tradnl"/>
        </w:rPr>
        <w:t xml:space="preserve"> </w:t>
      </w:r>
      <w:r w:rsidR="0093079C">
        <w:rPr>
          <w:rFonts w:cs="Arial"/>
          <w:sz w:val="22"/>
          <w:szCs w:val="22"/>
          <w:lang w:val="es-ES_tradnl"/>
        </w:rPr>
        <w:t xml:space="preserve">particularmente en los que se haya </w:t>
      </w:r>
      <w:r w:rsidR="00EE2DEB">
        <w:rPr>
          <w:rFonts w:cs="Arial"/>
          <w:sz w:val="22"/>
          <w:szCs w:val="22"/>
          <w:lang w:val="es-ES_tradnl"/>
        </w:rPr>
        <w:t>sustituido</w:t>
      </w:r>
      <w:r w:rsidR="0093079C">
        <w:rPr>
          <w:rFonts w:cs="Arial"/>
          <w:sz w:val="22"/>
          <w:szCs w:val="22"/>
          <w:lang w:val="es-ES_tradnl"/>
        </w:rPr>
        <w:t xml:space="preserve"> una porción </w:t>
      </w:r>
      <w:r w:rsidR="00A12C10">
        <w:rPr>
          <w:rFonts w:cs="Arial"/>
          <w:sz w:val="22"/>
          <w:szCs w:val="22"/>
          <w:lang w:val="es-ES_tradnl"/>
        </w:rPr>
        <w:t>considerable</w:t>
      </w:r>
      <w:r w:rsidR="0093079C">
        <w:rPr>
          <w:rFonts w:cs="Arial"/>
          <w:sz w:val="22"/>
          <w:szCs w:val="22"/>
          <w:lang w:val="es-ES_tradnl"/>
        </w:rPr>
        <w:t xml:space="preserve"> de sus beneficiarios originales, con el fin de valorar oportunamente, las medidas de control y las acciones remediales que sean pertinentes.</w:t>
      </w:r>
    </w:p>
    <w:p w14:paraId="3A65A360" w14:textId="5422A8A9" w:rsidR="00531EE6" w:rsidRPr="00AB2826" w:rsidRDefault="00531EE6" w:rsidP="00531EE6">
      <w:pPr>
        <w:pStyle w:val="Ttulo2"/>
        <w:spacing w:line="360" w:lineRule="auto"/>
        <w:rPr>
          <w:rFonts w:cs="Arial"/>
          <w:szCs w:val="22"/>
          <w:lang w:val="es-ES_tradnl"/>
        </w:rPr>
      </w:pPr>
      <w:r w:rsidRPr="00AB2826">
        <w:rPr>
          <w:rFonts w:cs="Arial"/>
          <w:szCs w:val="22"/>
        </w:rPr>
        <w:t>Acuerdo Unánime</w:t>
      </w:r>
      <w:r w:rsidR="004A0DD6">
        <w:rPr>
          <w:rFonts w:cs="Arial"/>
          <w:szCs w:val="22"/>
        </w:rPr>
        <w:t xml:space="preserve"> y Firme</w:t>
      </w:r>
      <w:r w:rsidRPr="00AB2826">
        <w:rPr>
          <w:rFonts w:cs="Arial"/>
          <w:szCs w:val="22"/>
        </w:rPr>
        <w:t>.-</w:t>
      </w:r>
    </w:p>
    <w:p w14:paraId="683978CF" w14:textId="77777777" w:rsidR="00531EE6" w:rsidRPr="00D14EAF" w:rsidRDefault="00531EE6" w:rsidP="00531EE6">
      <w:pPr>
        <w:spacing w:line="360" w:lineRule="auto"/>
        <w:jc w:val="both"/>
        <w:rPr>
          <w:rFonts w:cs="Arial"/>
          <w:b/>
          <w:sz w:val="22"/>
        </w:rPr>
      </w:pPr>
      <w:r w:rsidRPr="00D14EAF">
        <w:rPr>
          <w:rFonts w:cs="Arial"/>
          <w:b/>
          <w:sz w:val="22"/>
        </w:rPr>
        <w:t>************</w:t>
      </w:r>
    </w:p>
    <w:p w14:paraId="203A2D52" w14:textId="72E95C1B" w:rsidR="00531EE6" w:rsidRDefault="00531EE6" w:rsidP="002B71CC">
      <w:pPr>
        <w:spacing w:line="360" w:lineRule="auto"/>
        <w:jc w:val="both"/>
        <w:rPr>
          <w:rFonts w:cs="Arial"/>
          <w:sz w:val="22"/>
          <w:szCs w:val="22"/>
        </w:rPr>
      </w:pPr>
    </w:p>
    <w:p w14:paraId="622AB30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3303865A" w14:textId="4EED8E7B" w:rsidR="002B71CC" w:rsidRDefault="00FE7861" w:rsidP="002B71CC">
      <w:pPr>
        <w:spacing w:line="360" w:lineRule="auto"/>
        <w:jc w:val="both"/>
        <w:rPr>
          <w:rFonts w:cs="Arial"/>
          <w:sz w:val="22"/>
          <w:szCs w:val="22"/>
        </w:rPr>
      </w:pPr>
      <w:r>
        <w:rPr>
          <w:rFonts w:cs="Arial"/>
          <w:sz w:val="22"/>
          <w:szCs w:val="22"/>
        </w:rPr>
        <w:t xml:space="preserve">Otorgar a la </w:t>
      </w:r>
      <w:r w:rsidRPr="00515E24">
        <w:rPr>
          <w:rFonts w:cs="Arial"/>
          <w:sz w:val="22"/>
          <w:szCs w:val="22"/>
        </w:rPr>
        <w:t>Administración</w:t>
      </w:r>
      <w:r>
        <w:rPr>
          <w:rFonts w:cs="Arial"/>
          <w:sz w:val="22"/>
          <w:szCs w:val="22"/>
        </w:rPr>
        <w:t xml:space="preserve">, un plazo máximo de </w:t>
      </w:r>
      <w:r w:rsidR="00F67ACA">
        <w:rPr>
          <w:rFonts w:cs="Arial"/>
          <w:sz w:val="22"/>
          <w:szCs w:val="22"/>
        </w:rPr>
        <w:t>hasta el próximo 06 de febrero</w:t>
      </w:r>
      <w:r>
        <w:rPr>
          <w:rFonts w:cs="Arial"/>
          <w:sz w:val="22"/>
          <w:szCs w:val="22"/>
        </w:rPr>
        <w:t>, para atender lo dispuesto en los acuerdos N° 2 de la sesión 68-2016</w:t>
      </w:r>
      <w:r w:rsidR="00F67ACA">
        <w:rPr>
          <w:rFonts w:cs="Arial"/>
          <w:sz w:val="22"/>
          <w:szCs w:val="22"/>
        </w:rPr>
        <w:t xml:space="preserve"> del 26/09/2016</w:t>
      </w:r>
      <w:r>
        <w:rPr>
          <w:rFonts w:cs="Arial"/>
          <w:sz w:val="22"/>
          <w:szCs w:val="22"/>
        </w:rPr>
        <w:t>,</w:t>
      </w:r>
      <w:r w:rsidRPr="00515E24">
        <w:rPr>
          <w:rFonts w:cs="Arial"/>
          <w:sz w:val="22"/>
          <w:szCs w:val="22"/>
        </w:rPr>
        <w:t xml:space="preserve"> </w:t>
      </w:r>
      <w:r>
        <w:rPr>
          <w:rFonts w:cs="Arial"/>
          <w:sz w:val="22"/>
          <w:szCs w:val="22"/>
        </w:rPr>
        <w:t>N° 10 de la sesión 44-2018</w:t>
      </w:r>
      <w:r w:rsidRPr="00515E24">
        <w:rPr>
          <w:rFonts w:cs="Arial"/>
          <w:sz w:val="22"/>
          <w:szCs w:val="22"/>
        </w:rPr>
        <w:t xml:space="preserve"> </w:t>
      </w:r>
      <w:r w:rsidR="00F67ACA">
        <w:rPr>
          <w:rFonts w:cs="Arial"/>
          <w:sz w:val="22"/>
          <w:szCs w:val="22"/>
        </w:rPr>
        <w:t>del 20/08/2018</w:t>
      </w:r>
      <w:r w:rsidR="00DF0AAA">
        <w:rPr>
          <w:rFonts w:cs="Arial"/>
          <w:sz w:val="22"/>
          <w:szCs w:val="22"/>
        </w:rPr>
        <w:t>,</w:t>
      </w:r>
      <w:r>
        <w:rPr>
          <w:rFonts w:cs="Arial"/>
          <w:sz w:val="22"/>
          <w:szCs w:val="22"/>
        </w:rPr>
        <w:t xml:space="preserve"> N° 7 de la sesión 01-2019</w:t>
      </w:r>
      <w:r w:rsidR="00F67ACA">
        <w:rPr>
          <w:rFonts w:cs="Arial"/>
          <w:sz w:val="22"/>
          <w:szCs w:val="22"/>
        </w:rPr>
        <w:t xml:space="preserve"> del 07/01/2019</w:t>
      </w:r>
      <w:r>
        <w:rPr>
          <w:rFonts w:cs="Arial"/>
          <w:sz w:val="22"/>
          <w:szCs w:val="22"/>
        </w:rPr>
        <w:t xml:space="preserve">, </w:t>
      </w:r>
      <w:r w:rsidR="00F67ACA">
        <w:rPr>
          <w:rFonts w:cs="Arial"/>
          <w:sz w:val="22"/>
          <w:szCs w:val="22"/>
        </w:rPr>
        <w:t>N° 10 de la sesión 65-2019 del 26/08/2019, N° 2 de la sesión 67-2019 del 29/08/2019</w:t>
      </w:r>
      <w:r w:rsidR="00DF0AAA">
        <w:rPr>
          <w:rFonts w:cs="Arial"/>
          <w:sz w:val="22"/>
          <w:szCs w:val="22"/>
        </w:rPr>
        <w:t xml:space="preserve"> y</w:t>
      </w:r>
      <w:r w:rsidR="00F67ACA">
        <w:rPr>
          <w:rFonts w:cs="Arial"/>
          <w:sz w:val="22"/>
          <w:szCs w:val="22"/>
        </w:rPr>
        <w:t xml:space="preserve"> N° 9 de la sesión 68-2019 del 02/09/2019, </w:t>
      </w:r>
      <w:r>
        <w:rPr>
          <w:rFonts w:cs="Arial"/>
          <w:sz w:val="22"/>
          <w:szCs w:val="22"/>
        </w:rPr>
        <w:t xml:space="preserve">referidos a la presentación de una propuesta de </w:t>
      </w:r>
      <w:r w:rsidRPr="00A50C67">
        <w:rPr>
          <w:rFonts w:cs="Arial"/>
          <w:sz w:val="22"/>
          <w:szCs w:val="22"/>
        </w:rPr>
        <w:t xml:space="preserve">mecanismo </w:t>
      </w:r>
      <w:r>
        <w:rPr>
          <w:rFonts w:cs="Arial"/>
          <w:sz w:val="22"/>
          <w:szCs w:val="22"/>
        </w:rPr>
        <w:t>para</w:t>
      </w:r>
      <w:r w:rsidRPr="00A50C67">
        <w:rPr>
          <w:rFonts w:cs="Arial"/>
          <w:sz w:val="22"/>
          <w:szCs w:val="22"/>
        </w:rPr>
        <w:t xml:space="preserve"> establecer topes máximos al monto de las soluciones de vivienda</w:t>
      </w:r>
      <w:r>
        <w:rPr>
          <w:rFonts w:cs="Arial"/>
          <w:sz w:val="22"/>
          <w:szCs w:val="22"/>
        </w:rPr>
        <w:t xml:space="preserve">, a financiar </w:t>
      </w:r>
      <w:r w:rsidRPr="00A50C67">
        <w:rPr>
          <w:rFonts w:cs="Arial"/>
          <w:sz w:val="22"/>
          <w:szCs w:val="22"/>
        </w:rPr>
        <w:t xml:space="preserve">con recursos del artículo 59 de la Ley del Sistema Financiero Nacional para la Vivienda, particularmente buscando la maximización del uso de los terrenos y promoviendo </w:t>
      </w:r>
      <w:r w:rsidR="008A758A">
        <w:rPr>
          <w:rFonts w:cs="Arial"/>
          <w:sz w:val="22"/>
          <w:szCs w:val="22"/>
        </w:rPr>
        <w:t>la inversión</w:t>
      </w:r>
      <w:r w:rsidRPr="00A50C67">
        <w:rPr>
          <w:rFonts w:cs="Arial"/>
          <w:sz w:val="22"/>
          <w:szCs w:val="22"/>
        </w:rPr>
        <w:t xml:space="preserve"> más eficiente de los recursos </w:t>
      </w:r>
      <w:r w:rsidR="0071489A">
        <w:rPr>
          <w:rFonts w:cs="Arial"/>
          <w:sz w:val="22"/>
          <w:szCs w:val="22"/>
        </w:rPr>
        <w:t>del FOSUVI</w:t>
      </w:r>
      <w:r w:rsidRPr="00A50C67">
        <w:rPr>
          <w:rFonts w:cs="Arial"/>
          <w:sz w:val="22"/>
          <w:szCs w:val="22"/>
        </w:rPr>
        <w:t>.</w:t>
      </w:r>
    </w:p>
    <w:p w14:paraId="2945F926" w14:textId="3C6FB8DF"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sidR="00490A81">
        <w:rPr>
          <w:rFonts w:cs="Arial"/>
          <w:szCs w:val="22"/>
        </w:rPr>
        <w:t xml:space="preserve"> y Firme</w:t>
      </w:r>
      <w:r w:rsidRPr="00AB2826">
        <w:rPr>
          <w:rFonts w:cs="Arial"/>
          <w:szCs w:val="22"/>
        </w:rPr>
        <w:t>.-</w:t>
      </w:r>
    </w:p>
    <w:p w14:paraId="7C73E118" w14:textId="77777777" w:rsidR="002B71CC" w:rsidRPr="00D14EAF" w:rsidRDefault="002B71CC" w:rsidP="002B71CC">
      <w:pPr>
        <w:spacing w:line="360" w:lineRule="auto"/>
        <w:jc w:val="both"/>
        <w:rPr>
          <w:rFonts w:cs="Arial"/>
          <w:b/>
          <w:sz w:val="22"/>
        </w:rPr>
      </w:pPr>
      <w:r w:rsidRPr="00D14EAF">
        <w:rPr>
          <w:rFonts w:cs="Arial"/>
          <w:b/>
          <w:sz w:val="22"/>
        </w:rPr>
        <w:t>************</w:t>
      </w:r>
    </w:p>
    <w:p w14:paraId="048F6210" w14:textId="77777777" w:rsidR="002B71CC" w:rsidRDefault="002B71CC" w:rsidP="002B71CC">
      <w:pPr>
        <w:spacing w:line="360" w:lineRule="auto"/>
        <w:jc w:val="both"/>
        <w:rPr>
          <w:rFonts w:cs="Arial"/>
          <w:sz w:val="22"/>
          <w:szCs w:val="22"/>
        </w:rPr>
      </w:pPr>
    </w:p>
    <w:p w14:paraId="3C74215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65947BC4" w14:textId="05AB50E4" w:rsidR="006F4CDB" w:rsidRDefault="00A32674" w:rsidP="002B71CC">
      <w:pPr>
        <w:spacing w:line="360" w:lineRule="auto"/>
        <w:jc w:val="both"/>
        <w:rPr>
          <w:rFonts w:cs="Arial"/>
          <w:sz w:val="22"/>
          <w:szCs w:val="22"/>
          <w:lang w:val="es-ES_tradnl"/>
        </w:rPr>
      </w:pPr>
      <w:r>
        <w:rPr>
          <w:rFonts w:cs="Arial"/>
          <w:sz w:val="22"/>
          <w:szCs w:val="22"/>
        </w:rPr>
        <w:t xml:space="preserve">Instruir a la </w:t>
      </w:r>
      <w:r w:rsidRPr="00A32674">
        <w:rPr>
          <w:rFonts w:cs="Arial"/>
          <w:sz w:val="22"/>
          <w:szCs w:val="22"/>
          <w:lang w:val="es-ES_tradnl"/>
        </w:rPr>
        <w:t>Administración</w:t>
      </w:r>
      <w:r>
        <w:rPr>
          <w:rFonts w:cs="Arial"/>
          <w:sz w:val="22"/>
          <w:szCs w:val="22"/>
          <w:lang w:val="es-ES_tradnl"/>
        </w:rPr>
        <w:t xml:space="preserve">, para que </w:t>
      </w:r>
      <w:r w:rsidR="006F4CDB">
        <w:rPr>
          <w:rFonts w:cs="Arial"/>
          <w:sz w:val="22"/>
          <w:szCs w:val="22"/>
          <w:lang w:val="es-ES_tradnl"/>
        </w:rPr>
        <w:t>estudie la posibilidad y la conveniencia de incluir en el bono ordinario, el pago de los costos correspondientes a la formalización de los subsidios.</w:t>
      </w:r>
    </w:p>
    <w:p w14:paraId="65020B5D" w14:textId="77777777" w:rsidR="006F4CDB" w:rsidRDefault="006F4CDB" w:rsidP="002B71CC">
      <w:pPr>
        <w:spacing w:line="360" w:lineRule="auto"/>
        <w:jc w:val="both"/>
        <w:rPr>
          <w:rFonts w:cs="Arial"/>
          <w:sz w:val="22"/>
          <w:szCs w:val="22"/>
          <w:lang w:val="es-ES_tradnl"/>
        </w:rPr>
      </w:pPr>
    </w:p>
    <w:p w14:paraId="72C60838" w14:textId="484F4A02" w:rsidR="002B71CC" w:rsidRDefault="006F4CDB" w:rsidP="002B71CC">
      <w:pPr>
        <w:spacing w:line="360" w:lineRule="auto"/>
        <w:jc w:val="both"/>
        <w:rPr>
          <w:rFonts w:cs="Arial"/>
          <w:sz w:val="22"/>
          <w:szCs w:val="22"/>
        </w:rPr>
      </w:pPr>
      <w:r>
        <w:rPr>
          <w:rFonts w:cs="Arial"/>
          <w:sz w:val="22"/>
          <w:szCs w:val="22"/>
          <w:lang w:val="es-ES_tradnl"/>
        </w:rPr>
        <w:t xml:space="preserve">Deberán presentarse a esta </w:t>
      </w:r>
      <w:r w:rsidRPr="006F4CDB">
        <w:rPr>
          <w:rFonts w:cs="Arial"/>
          <w:sz w:val="22"/>
          <w:szCs w:val="22"/>
          <w:lang w:val="es-ES_tradnl"/>
        </w:rPr>
        <w:t>Junta Directiva</w:t>
      </w:r>
      <w:r>
        <w:rPr>
          <w:rFonts w:cs="Arial"/>
          <w:sz w:val="22"/>
          <w:szCs w:val="22"/>
          <w:lang w:val="es-ES_tradnl"/>
        </w:rPr>
        <w:t>, los resultados de dicho estudio y las recomendaciones pertinentes.</w:t>
      </w:r>
    </w:p>
    <w:p w14:paraId="32363B77" w14:textId="6AC3740D"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5941D05" w14:textId="77777777" w:rsidR="002B71CC" w:rsidRPr="00D14EAF" w:rsidRDefault="002B71CC" w:rsidP="002B71CC">
      <w:pPr>
        <w:spacing w:line="360" w:lineRule="auto"/>
        <w:jc w:val="both"/>
        <w:rPr>
          <w:rFonts w:cs="Arial"/>
          <w:b/>
          <w:sz w:val="22"/>
        </w:rPr>
      </w:pPr>
      <w:r w:rsidRPr="00D14EAF">
        <w:rPr>
          <w:rFonts w:cs="Arial"/>
          <w:b/>
          <w:sz w:val="22"/>
        </w:rPr>
        <w:t>************</w:t>
      </w:r>
    </w:p>
    <w:p w14:paraId="7E2A2C05" w14:textId="77777777" w:rsidR="002B71CC" w:rsidRDefault="002B71CC" w:rsidP="002B71CC">
      <w:pPr>
        <w:spacing w:line="360" w:lineRule="auto"/>
        <w:jc w:val="both"/>
        <w:rPr>
          <w:rFonts w:cs="Arial"/>
          <w:sz w:val="22"/>
          <w:szCs w:val="22"/>
        </w:rPr>
      </w:pPr>
    </w:p>
    <w:p w14:paraId="7C397F2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17B0691D" w14:textId="27E24308" w:rsidR="002B71CC" w:rsidRDefault="00A32674" w:rsidP="002B71CC">
      <w:pPr>
        <w:spacing w:line="360" w:lineRule="auto"/>
        <w:jc w:val="both"/>
        <w:rPr>
          <w:rFonts w:cs="Arial"/>
          <w:sz w:val="22"/>
          <w:szCs w:val="22"/>
        </w:rPr>
      </w:pPr>
      <w:r>
        <w:rPr>
          <w:rFonts w:cs="Arial"/>
          <w:sz w:val="22"/>
          <w:szCs w:val="22"/>
        </w:rPr>
        <w:t xml:space="preserve">Solicitar </w:t>
      </w:r>
      <w:r w:rsidR="00A77345">
        <w:rPr>
          <w:rFonts w:cs="Arial"/>
          <w:sz w:val="22"/>
          <w:szCs w:val="22"/>
        </w:rPr>
        <w:t xml:space="preserve">a la </w:t>
      </w:r>
      <w:r w:rsidR="00A77345" w:rsidRPr="00A77345">
        <w:rPr>
          <w:rFonts w:cs="Arial"/>
          <w:sz w:val="22"/>
          <w:szCs w:val="22"/>
          <w:lang w:val="es-ES_tradnl"/>
        </w:rPr>
        <w:t>Administración</w:t>
      </w:r>
      <w:r w:rsidR="00A77345">
        <w:rPr>
          <w:rFonts w:cs="Arial"/>
          <w:sz w:val="22"/>
          <w:szCs w:val="22"/>
          <w:lang w:val="es-ES_tradnl"/>
        </w:rPr>
        <w:t xml:space="preserve">, que </w:t>
      </w:r>
      <w:r>
        <w:rPr>
          <w:rFonts w:cs="Arial"/>
          <w:sz w:val="22"/>
          <w:szCs w:val="22"/>
          <w:lang w:val="es-ES_tradnl"/>
        </w:rPr>
        <w:t xml:space="preserve">le </w:t>
      </w:r>
      <w:r w:rsidR="00A77345">
        <w:rPr>
          <w:rFonts w:cs="Arial"/>
          <w:sz w:val="22"/>
          <w:szCs w:val="22"/>
          <w:lang w:val="es-ES_tradnl"/>
        </w:rPr>
        <w:t xml:space="preserve">remita al Gerente General designado, </w:t>
      </w:r>
      <w:r>
        <w:rPr>
          <w:rFonts w:cs="Arial"/>
          <w:sz w:val="22"/>
          <w:szCs w:val="22"/>
          <w:lang w:val="es-ES_tradnl"/>
        </w:rPr>
        <w:t xml:space="preserve">para su estudio, </w:t>
      </w:r>
      <w:r w:rsidR="00A77345">
        <w:rPr>
          <w:rFonts w:cs="Arial"/>
          <w:sz w:val="22"/>
          <w:szCs w:val="22"/>
          <w:lang w:val="es-ES_tradnl"/>
        </w:rPr>
        <w:t xml:space="preserve">los </w:t>
      </w:r>
      <w:r w:rsidR="0076121E">
        <w:rPr>
          <w:rFonts w:cs="Arial"/>
          <w:sz w:val="22"/>
          <w:szCs w:val="22"/>
          <w:lang w:val="es-ES_tradnl"/>
        </w:rPr>
        <w:t xml:space="preserve">informes </w:t>
      </w:r>
      <w:r>
        <w:rPr>
          <w:rFonts w:cs="Arial"/>
          <w:sz w:val="22"/>
          <w:szCs w:val="22"/>
          <w:lang w:val="es-ES_tradnl"/>
        </w:rPr>
        <w:t xml:space="preserve">que en las últimas semanas han sido enviados por </w:t>
      </w:r>
      <w:r w:rsidR="0076121E">
        <w:rPr>
          <w:rFonts w:cs="Arial"/>
          <w:sz w:val="22"/>
          <w:szCs w:val="22"/>
          <w:lang w:val="es-ES_tradnl"/>
        </w:rPr>
        <w:t xml:space="preserve">la </w:t>
      </w:r>
      <w:r w:rsidR="0076121E">
        <w:rPr>
          <w:rFonts w:cs="Arial"/>
          <w:sz w:val="22"/>
          <w:lang w:val="es-ES_tradnl"/>
        </w:rPr>
        <w:t xml:space="preserve">Contraloría General de la República, así como cualquier otro </w:t>
      </w:r>
      <w:r w:rsidR="00A77345">
        <w:rPr>
          <w:rFonts w:cs="Arial"/>
          <w:sz w:val="22"/>
          <w:szCs w:val="22"/>
          <w:lang w:val="es-ES_tradnl"/>
        </w:rPr>
        <w:t>documento relevante</w:t>
      </w:r>
      <w:r>
        <w:rPr>
          <w:rFonts w:cs="Arial"/>
          <w:sz w:val="22"/>
          <w:szCs w:val="22"/>
          <w:lang w:val="es-ES_tradnl"/>
        </w:rPr>
        <w:t>.</w:t>
      </w:r>
    </w:p>
    <w:p w14:paraId="65BD2FE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5E2F3B4" w14:textId="77777777" w:rsidR="002B71CC" w:rsidRPr="00D14EAF" w:rsidRDefault="002B71CC" w:rsidP="002B71CC">
      <w:pPr>
        <w:spacing w:line="360" w:lineRule="auto"/>
        <w:jc w:val="both"/>
        <w:rPr>
          <w:rFonts w:cs="Arial"/>
          <w:b/>
          <w:sz w:val="22"/>
        </w:rPr>
      </w:pPr>
      <w:r w:rsidRPr="00D14EAF">
        <w:rPr>
          <w:rFonts w:cs="Arial"/>
          <w:b/>
          <w:sz w:val="22"/>
        </w:rPr>
        <w:t>************</w:t>
      </w:r>
    </w:p>
    <w:p w14:paraId="7929D59D" w14:textId="77777777" w:rsidR="002B71CC" w:rsidRDefault="002B71CC" w:rsidP="002B71CC">
      <w:pPr>
        <w:spacing w:line="360" w:lineRule="auto"/>
        <w:jc w:val="both"/>
        <w:rPr>
          <w:rFonts w:cs="Arial"/>
          <w:sz w:val="22"/>
          <w:lang w:val="es-ES_tradnl"/>
        </w:rPr>
      </w:pPr>
    </w:p>
    <w:p w14:paraId="54F4E89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11AD7E82" w14:textId="6F070C3F" w:rsidR="00F3250C" w:rsidRDefault="00F3250C" w:rsidP="0068561B">
      <w:pPr>
        <w:spacing w:line="360" w:lineRule="auto"/>
        <w:jc w:val="both"/>
        <w:rPr>
          <w:color w:val="000000"/>
          <w:sz w:val="22"/>
          <w:szCs w:val="22"/>
        </w:rPr>
      </w:pPr>
      <w:r>
        <w:rPr>
          <w:rFonts w:cs="Arial"/>
          <w:sz w:val="22"/>
          <w:szCs w:val="22"/>
        </w:rPr>
        <w:t>Instruir</w:t>
      </w:r>
      <w:r w:rsidR="0068561B" w:rsidRPr="0068561B">
        <w:rPr>
          <w:rFonts w:cs="Arial"/>
          <w:sz w:val="22"/>
          <w:szCs w:val="22"/>
        </w:rPr>
        <w:t xml:space="preserve"> a la Administración, para que de inmediato </w:t>
      </w:r>
      <w:r w:rsidR="004B4411" w:rsidRPr="004B4411">
        <w:rPr>
          <w:rFonts w:cs="Arial"/>
          <w:sz w:val="22"/>
          <w:szCs w:val="22"/>
          <w:lang w:val="es-CR"/>
        </w:rPr>
        <w:t>realice los ajustes y las reclasificaciones correspondientes</w:t>
      </w:r>
      <w:r w:rsidR="0068561B" w:rsidRPr="0068561B">
        <w:rPr>
          <w:rFonts w:cs="Arial"/>
          <w:sz w:val="22"/>
          <w:szCs w:val="22"/>
        </w:rPr>
        <w:t xml:space="preserve">, </w:t>
      </w:r>
      <w:r>
        <w:rPr>
          <w:rFonts w:cs="Arial"/>
          <w:sz w:val="22"/>
          <w:szCs w:val="22"/>
        </w:rPr>
        <w:t xml:space="preserve">según lo indicado en el </w:t>
      </w:r>
      <w:r w:rsidR="0068561B" w:rsidRPr="0068561B">
        <w:rPr>
          <w:rFonts w:cs="Arial"/>
          <w:sz w:val="22"/>
          <w:szCs w:val="22"/>
        </w:rPr>
        <w:t>oficio</w:t>
      </w:r>
      <w:r>
        <w:rPr>
          <w:rFonts w:cs="Arial"/>
          <w:color w:val="000000"/>
          <w:sz w:val="22"/>
          <w:szCs w:val="22"/>
        </w:rPr>
        <w:t xml:space="preserve"> N° 19892 (DFOE-EC-0972) del 16 de diciembre de 2019, mediante el cual, la licenciada Jessica Víquez Alvarado, Gerente del Área de Fiscalización de Servicios Económicos de la </w:t>
      </w:r>
      <w:r w:rsidRPr="00163087">
        <w:rPr>
          <w:rFonts w:cs="Arial"/>
          <w:color w:val="000000"/>
          <w:sz w:val="22"/>
          <w:szCs w:val="22"/>
          <w:lang w:val="es-CR"/>
        </w:rPr>
        <w:t>Contraloría General de la República</w:t>
      </w:r>
      <w:r>
        <w:rPr>
          <w:rFonts w:cs="Arial"/>
          <w:color w:val="000000"/>
          <w:sz w:val="22"/>
          <w:szCs w:val="22"/>
          <w:lang w:val="es-CR"/>
        </w:rPr>
        <w:t>, comunica</w:t>
      </w:r>
      <w:r>
        <w:rPr>
          <w:rFonts w:cs="Arial"/>
          <w:sz w:val="22"/>
          <w:szCs w:val="22"/>
        </w:rPr>
        <w:t xml:space="preserve"> </w:t>
      </w:r>
      <w:r>
        <w:rPr>
          <w:color w:val="000000"/>
          <w:sz w:val="22"/>
          <w:szCs w:val="22"/>
        </w:rPr>
        <w:t>la aprobación parcial del presupuesto inicial del BANHVI para el año 2020.</w:t>
      </w:r>
    </w:p>
    <w:p w14:paraId="1F1BEFE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DCE70DE" w14:textId="77777777" w:rsidR="002B71CC" w:rsidRPr="00D14EAF" w:rsidRDefault="002B71CC" w:rsidP="002B71CC">
      <w:pPr>
        <w:spacing w:line="360" w:lineRule="auto"/>
        <w:jc w:val="both"/>
        <w:rPr>
          <w:rFonts w:cs="Arial"/>
          <w:b/>
          <w:sz w:val="22"/>
        </w:rPr>
      </w:pPr>
      <w:r w:rsidRPr="00D14EAF">
        <w:rPr>
          <w:rFonts w:cs="Arial"/>
          <w:b/>
          <w:sz w:val="22"/>
        </w:rPr>
        <w:t>************</w:t>
      </w:r>
    </w:p>
    <w:p w14:paraId="43CCBE3A" w14:textId="77777777" w:rsidR="002B71CC" w:rsidRDefault="002B71CC" w:rsidP="002B71CC">
      <w:pPr>
        <w:spacing w:line="360" w:lineRule="auto"/>
        <w:jc w:val="both"/>
        <w:rPr>
          <w:rFonts w:cs="Arial"/>
          <w:sz w:val="22"/>
          <w:szCs w:val="22"/>
        </w:rPr>
      </w:pPr>
    </w:p>
    <w:p w14:paraId="4CA833B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391A8541" w14:textId="3807196D" w:rsidR="004B6EB3" w:rsidRDefault="00D34F4B" w:rsidP="00D34F4B">
      <w:pPr>
        <w:spacing w:line="360" w:lineRule="auto"/>
        <w:jc w:val="both"/>
        <w:rPr>
          <w:rFonts w:cs="Arial"/>
          <w:sz w:val="22"/>
          <w:lang w:val="es-CR"/>
        </w:rPr>
      </w:pPr>
      <w:r>
        <w:rPr>
          <w:rFonts w:cs="Arial"/>
          <w:sz w:val="22"/>
          <w:szCs w:val="22"/>
        </w:rPr>
        <w:t xml:space="preserve">Trasladar a la </w:t>
      </w:r>
      <w:r w:rsidRPr="00D34F4B">
        <w:rPr>
          <w:rFonts w:cs="Arial"/>
          <w:sz w:val="22"/>
          <w:szCs w:val="22"/>
          <w:lang w:val="es-ES_tradnl"/>
        </w:rPr>
        <w:t>Administración</w:t>
      </w:r>
      <w:r>
        <w:rPr>
          <w:rFonts w:cs="Arial"/>
          <w:sz w:val="22"/>
          <w:szCs w:val="22"/>
          <w:lang w:val="es-ES_tradnl"/>
        </w:rPr>
        <w:t xml:space="preserve">, para que </w:t>
      </w:r>
      <w:r w:rsidR="0068523C">
        <w:rPr>
          <w:rFonts w:cs="Arial"/>
          <w:sz w:val="22"/>
          <w:szCs w:val="22"/>
          <w:lang w:val="es-ES_tradnl"/>
        </w:rPr>
        <w:t xml:space="preserve">presente a esta </w:t>
      </w:r>
      <w:r w:rsidR="0068523C" w:rsidRPr="0068523C">
        <w:rPr>
          <w:rFonts w:cs="Arial"/>
          <w:sz w:val="22"/>
          <w:szCs w:val="22"/>
          <w:lang w:val="es-ES_tradnl"/>
        </w:rPr>
        <w:t>Junta Directiva</w:t>
      </w:r>
      <w:r w:rsidR="0068523C">
        <w:rPr>
          <w:rFonts w:cs="Arial"/>
          <w:sz w:val="22"/>
          <w:szCs w:val="22"/>
          <w:lang w:val="es-ES_tradnl"/>
        </w:rPr>
        <w:t xml:space="preserve"> el </w:t>
      </w:r>
      <w:r w:rsidR="009F4AFB">
        <w:rPr>
          <w:rFonts w:cs="Arial"/>
          <w:sz w:val="22"/>
          <w:szCs w:val="22"/>
          <w:lang w:val="es-ES_tradnl"/>
        </w:rPr>
        <w:t>análisis</w:t>
      </w:r>
      <w:r w:rsidR="0068523C">
        <w:rPr>
          <w:rFonts w:cs="Arial"/>
          <w:sz w:val="22"/>
          <w:szCs w:val="22"/>
          <w:lang w:val="es-ES_tradnl"/>
        </w:rPr>
        <w:t xml:space="preserve"> correspondiente, el oficio</w:t>
      </w:r>
      <w:r>
        <w:rPr>
          <w:rFonts w:cs="Arial"/>
          <w:sz w:val="22"/>
          <w:lang w:val="es-ES_tradnl"/>
        </w:rPr>
        <w:t xml:space="preserve"> del 19 de noviembre de 2019, mediante el cual, el señor Ruperto Rojas Alvarado, representante de la Sociedad </w:t>
      </w:r>
      <w:proofErr w:type="spellStart"/>
      <w:r>
        <w:rPr>
          <w:rFonts w:cs="Arial"/>
          <w:sz w:val="22"/>
          <w:lang w:val="es-ES_tradnl"/>
        </w:rPr>
        <w:t>Axe</w:t>
      </w:r>
      <w:proofErr w:type="spellEnd"/>
      <w:r>
        <w:rPr>
          <w:rFonts w:cs="Arial"/>
          <w:sz w:val="22"/>
          <w:lang w:val="es-ES_tradnl"/>
        </w:rPr>
        <w:t xml:space="preserve"> Gold S.A. y la Sociedad </w:t>
      </w:r>
      <w:proofErr w:type="spellStart"/>
      <w:r>
        <w:rPr>
          <w:rFonts w:cs="Arial"/>
          <w:sz w:val="22"/>
          <w:lang w:val="es-ES_tradnl"/>
        </w:rPr>
        <w:t>Agroservicios</w:t>
      </w:r>
      <w:proofErr w:type="spellEnd"/>
      <w:r>
        <w:rPr>
          <w:rFonts w:cs="Arial"/>
          <w:sz w:val="22"/>
          <w:lang w:val="es-ES_tradnl"/>
        </w:rPr>
        <w:t xml:space="preserve"> Múltiples S.R.L., informa, en resumen, que dichas empresas estarán </w:t>
      </w:r>
      <w:r w:rsidRPr="0070654E">
        <w:rPr>
          <w:rFonts w:cs="Arial"/>
          <w:sz w:val="22"/>
          <w:lang w:val="es-CR"/>
        </w:rPr>
        <w:t>otorgando créditos puente a familias de bajos recursos en la zona de Pococí</w:t>
      </w:r>
      <w:r>
        <w:rPr>
          <w:rFonts w:cs="Arial"/>
          <w:sz w:val="22"/>
          <w:lang w:val="es-CR"/>
        </w:rPr>
        <w:t xml:space="preserve">, con el fin de financiar la construcción de sus viviendas y que al finalizar el proceso constructivo, se puedan postular a un bono y a un crédito complementario, a través de una entidad autorizada del </w:t>
      </w:r>
      <w:r w:rsidRPr="0070654E">
        <w:rPr>
          <w:rFonts w:cs="Arial"/>
          <w:sz w:val="22"/>
          <w:szCs w:val="22"/>
          <w:lang w:val="es-CR"/>
        </w:rPr>
        <w:t>Sistema Financiero Nacional para la Vivienda</w:t>
      </w:r>
      <w:r>
        <w:rPr>
          <w:rFonts w:cs="Arial"/>
          <w:sz w:val="22"/>
          <w:lang w:val="es-CR"/>
        </w:rPr>
        <w:t>.</w:t>
      </w:r>
    </w:p>
    <w:p w14:paraId="7172DF4D" w14:textId="77777777" w:rsidR="004B6EB3" w:rsidRDefault="004B6EB3" w:rsidP="00D34F4B">
      <w:pPr>
        <w:spacing w:line="360" w:lineRule="auto"/>
        <w:jc w:val="both"/>
        <w:rPr>
          <w:rFonts w:cs="Arial"/>
          <w:sz w:val="22"/>
          <w:lang w:val="es-CR"/>
        </w:rPr>
      </w:pPr>
    </w:p>
    <w:p w14:paraId="64131C34" w14:textId="52BC9DD8" w:rsidR="00D34F4B" w:rsidRDefault="004B6EB3" w:rsidP="00D34F4B">
      <w:pPr>
        <w:spacing w:line="360" w:lineRule="auto"/>
        <w:jc w:val="both"/>
        <w:rPr>
          <w:rFonts w:cs="Arial"/>
          <w:sz w:val="22"/>
          <w:lang w:val="es-ES_tradnl"/>
        </w:rPr>
      </w:pPr>
      <w:r>
        <w:rPr>
          <w:rFonts w:cs="Arial"/>
          <w:sz w:val="22"/>
          <w:lang w:val="es-CR"/>
        </w:rPr>
        <w:t xml:space="preserve">Para rendir el respectivo informe, se otorga a la </w:t>
      </w:r>
      <w:r w:rsidRPr="004B6EB3">
        <w:rPr>
          <w:rFonts w:cs="Arial"/>
          <w:sz w:val="22"/>
          <w:lang w:val="es-ES_tradnl"/>
        </w:rPr>
        <w:t>Administración</w:t>
      </w:r>
      <w:r>
        <w:rPr>
          <w:rFonts w:cs="Arial"/>
          <w:sz w:val="22"/>
          <w:lang w:val="es-ES_tradnl"/>
        </w:rPr>
        <w:t xml:space="preserve"> un plazo de hasta el próximo</w:t>
      </w:r>
      <w:r>
        <w:rPr>
          <w:rFonts w:cs="Arial"/>
          <w:sz w:val="22"/>
          <w:szCs w:val="22"/>
          <w:lang w:val="es-ES_tradnl"/>
        </w:rPr>
        <w:t xml:space="preserve"> 27 de enero.</w:t>
      </w:r>
    </w:p>
    <w:p w14:paraId="1D38F021" w14:textId="3D9016AA"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p>
    <w:p w14:paraId="2C60EF51" w14:textId="77777777" w:rsidR="002B71CC" w:rsidRPr="00D14EAF" w:rsidRDefault="002B71CC" w:rsidP="002B71CC">
      <w:pPr>
        <w:spacing w:line="360" w:lineRule="auto"/>
        <w:jc w:val="both"/>
        <w:rPr>
          <w:rFonts w:cs="Arial"/>
          <w:b/>
          <w:sz w:val="22"/>
        </w:rPr>
      </w:pPr>
      <w:r w:rsidRPr="00D14EAF">
        <w:rPr>
          <w:rFonts w:cs="Arial"/>
          <w:b/>
          <w:sz w:val="22"/>
        </w:rPr>
        <w:t>************</w:t>
      </w:r>
    </w:p>
    <w:p w14:paraId="1DC9BB4A" w14:textId="77777777" w:rsidR="002B71CC" w:rsidRDefault="002B71CC" w:rsidP="002B71CC">
      <w:pPr>
        <w:spacing w:line="360" w:lineRule="auto"/>
        <w:jc w:val="both"/>
        <w:rPr>
          <w:rFonts w:cs="Arial"/>
          <w:sz w:val="22"/>
          <w:szCs w:val="22"/>
        </w:rPr>
      </w:pPr>
    </w:p>
    <w:p w14:paraId="51C374E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5267B427" w14:textId="7CA24453" w:rsidR="002B71CC" w:rsidRDefault="00FB3EFB" w:rsidP="002B71CC">
      <w:pPr>
        <w:spacing w:line="360" w:lineRule="auto"/>
        <w:jc w:val="both"/>
        <w:rPr>
          <w:rFonts w:cs="Arial"/>
          <w:sz w:val="22"/>
          <w:szCs w:val="22"/>
        </w:rPr>
      </w:pPr>
      <w:r>
        <w:rPr>
          <w:rFonts w:cs="Arial"/>
          <w:sz w:val="22"/>
          <w:szCs w:val="22"/>
        </w:rPr>
        <w:t xml:space="preserve">Instruir a la </w:t>
      </w:r>
      <w:r w:rsidRPr="00FB3EFB">
        <w:rPr>
          <w:rFonts w:cs="Arial"/>
          <w:sz w:val="22"/>
          <w:szCs w:val="22"/>
          <w:lang w:val="es-ES_tradnl"/>
        </w:rPr>
        <w:t>Gerencia General</w:t>
      </w:r>
      <w:r>
        <w:rPr>
          <w:rFonts w:cs="Arial"/>
          <w:sz w:val="22"/>
          <w:szCs w:val="22"/>
          <w:lang w:val="es-ES_tradnl"/>
        </w:rPr>
        <w:t xml:space="preserve">, para que </w:t>
      </w:r>
      <w:r w:rsidR="00AC249B">
        <w:rPr>
          <w:rFonts w:cs="Arial"/>
          <w:sz w:val="22"/>
          <w:szCs w:val="22"/>
          <w:lang w:val="es-ES_tradnl"/>
        </w:rPr>
        <w:t xml:space="preserve">incluya en la agenda de una próxima sesión de esta </w:t>
      </w:r>
      <w:r w:rsidR="00AC249B" w:rsidRPr="00AC249B">
        <w:rPr>
          <w:rFonts w:cs="Arial"/>
          <w:sz w:val="22"/>
          <w:szCs w:val="22"/>
          <w:lang w:val="es-ES_tradnl"/>
        </w:rPr>
        <w:t>Junta Directiva</w:t>
      </w:r>
      <w:r w:rsidR="00AC249B">
        <w:rPr>
          <w:rFonts w:cs="Arial"/>
          <w:sz w:val="22"/>
          <w:szCs w:val="22"/>
          <w:lang w:val="es-ES_tradnl"/>
        </w:rPr>
        <w:t>, el análisis d</w:t>
      </w:r>
      <w:r w:rsidR="00AC249B">
        <w:rPr>
          <w:rFonts w:cs="Arial"/>
          <w:sz w:val="22"/>
          <w:szCs w:val="22"/>
        </w:rPr>
        <w:t xml:space="preserve">el informe DFOE-EC-SGP-00002-2019, denominado “Informe sobre la administración y venta de bienes realizables inmuebles del Sector Público”, remitido por la </w:t>
      </w:r>
      <w:r w:rsidR="00AC249B" w:rsidRPr="00D67D95">
        <w:rPr>
          <w:rFonts w:cs="Arial"/>
          <w:sz w:val="22"/>
          <w:szCs w:val="22"/>
        </w:rPr>
        <w:t>Contraloría General de la República</w:t>
      </w:r>
      <w:r w:rsidR="00AC249B">
        <w:rPr>
          <w:rFonts w:cs="Arial"/>
          <w:sz w:val="22"/>
          <w:szCs w:val="22"/>
        </w:rPr>
        <w:t xml:space="preserve"> mediante el oficio N° 20182 (DFOE-EC-0993) del 18 de diciembre de 2019.</w:t>
      </w:r>
    </w:p>
    <w:p w14:paraId="7FA3DC4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C459B94" w14:textId="77777777" w:rsidR="002B71CC" w:rsidRPr="00D14EAF" w:rsidRDefault="002B71CC" w:rsidP="002B71CC">
      <w:pPr>
        <w:spacing w:line="360" w:lineRule="auto"/>
        <w:jc w:val="both"/>
        <w:rPr>
          <w:rFonts w:cs="Arial"/>
          <w:b/>
          <w:sz w:val="22"/>
        </w:rPr>
      </w:pPr>
      <w:r w:rsidRPr="00D14EAF">
        <w:rPr>
          <w:rFonts w:cs="Arial"/>
          <w:b/>
          <w:sz w:val="22"/>
        </w:rPr>
        <w:t>************</w:t>
      </w:r>
    </w:p>
    <w:p w14:paraId="1695779E" w14:textId="77777777" w:rsidR="002B71CC" w:rsidRDefault="002B71CC" w:rsidP="002B71CC">
      <w:pPr>
        <w:spacing w:line="360" w:lineRule="auto"/>
        <w:jc w:val="both"/>
        <w:rPr>
          <w:rFonts w:cs="Arial"/>
          <w:sz w:val="22"/>
          <w:lang w:val="es-ES_tradnl"/>
        </w:rPr>
      </w:pPr>
    </w:p>
    <w:p w14:paraId="7F1AB80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78AC832F" w14:textId="5199F759" w:rsidR="00546B27" w:rsidRDefault="004E3FA3" w:rsidP="002B71CC">
      <w:pPr>
        <w:spacing w:line="360" w:lineRule="auto"/>
        <w:jc w:val="both"/>
        <w:rPr>
          <w:rFonts w:cs="Arial"/>
          <w:sz w:val="22"/>
          <w:szCs w:val="22"/>
          <w:lang w:val="es-ES_tradnl"/>
        </w:rPr>
      </w:pPr>
      <w:r>
        <w:rPr>
          <w:rFonts w:cs="Arial"/>
          <w:sz w:val="22"/>
          <w:szCs w:val="22"/>
        </w:rPr>
        <w:t xml:space="preserve">Agradecer y felicitar a la Mutual Cartago </w:t>
      </w:r>
      <w:r w:rsidRPr="004E3FA3">
        <w:rPr>
          <w:rFonts w:cs="Arial"/>
          <w:sz w:val="22"/>
          <w:szCs w:val="22"/>
          <w:lang w:val="es-ES_tradnl"/>
        </w:rPr>
        <w:t>de Ahorro y Préstamo</w:t>
      </w:r>
      <w:r>
        <w:rPr>
          <w:rFonts w:cs="Arial"/>
          <w:sz w:val="22"/>
          <w:szCs w:val="22"/>
          <w:lang w:val="es-ES_tradnl"/>
        </w:rPr>
        <w:t xml:space="preserve">, por los </w:t>
      </w:r>
      <w:r w:rsidR="00546B27">
        <w:rPr>
          <w:rFonts w:cs="Arial"/>
          <w:sz w:val="22"/>
          <w:szCs w:val="22"/>
          <w:lang w:val="es-ES_tradnl"/>
        </w:rPr>
        <w:t xml:space="preserve">resultados </w:t>
      </w:r>
      <w:r>
        <w:rPr>
          <w:rFonts w:cs="Arial"/>
          <w:sz w:val="22"/>
          <w:szCs w:val="22"/>
          <w:lang w:val="es-ES_tradnl"/>
        </w:rPr>
        <w:t>positivos que</w:t>
      </w:r>
      <w:r w:rsidR="00546B27">
        <w:rPr>
          <w:rFonts w:cs="Arial"/>
          <w:sz w:val="22"/>
          <w:szCs w:val="22"/>
          <w:lang w:val="es-ES_tradnl"/>
        </w:rPr>
        <w:t xml:space="preserve">, como producto del </w:t>
      </w:r>
      <w:r>
        <w:rPr>
          <w:rFonts w:cs="Arial"/>
          <w:sz w:val="22"/>
          <w:szCs w:val="22"/>
          <w:lang w:val="es-ES_tradnl"/>
        </w:rPr>
        <w:t>esfuerzo extraordinario realizado durante el cuarto trimestre de 2019</w:t>
      </w:r>
      <w:r w:rsidR="00546B27">
        <w:rPr>
          <w:rFonts w:cs="Arial"/>
          <w:sz w:val="22"/>
          <w:szCs w:val="22"/>
          <w:lang w:val="es-ES_tradnl"/>
        </w:rPr>
        <w:t xml:space="preserve"> y según lo informado en el </w:t>
      </w:r>
      <w:r w:rsidR="00546B27">
        <w:rPr>
          <w:rFonts w:cs="Arial"/>
          <w:sz w:val="22"/>
          <w:lang w:val="es-ES_tradnl"/>
        </w:rPr>
        <w:t>oficio DVS-1784-2019 del 16 de diciembre de 2019</w:t>
      </w:r>
      <w:r>
        <w:rPr>
          <w:rFonts w:cs="Arial"/>
          <w:sz w:val="22"/>
          <w:szCs w:val="22"/>
          <w:lang w:val="es-ES_tradnl"/>
        </w:rPr>
        <w:t xml:space="preserve">, </w:t>
      </w:r>
      <w:r w:rsidR="00546B27">
        <w:rPr>
          <w:rFonts w:cs="Arial"/>
          <w:sz w:val="22"/>
          <w:szCs w:val="22"/>
          <w:lang w:val="es-ES_tradnl"/>
        </w:rPr>
        <w:t>alcanzó esa entidad en cuanto al trámite de solicitudes de Bono Ordinario.</w:t>
      </w:r>
    </w:p>
    <w:p w14:paraId="4281A8A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33109CF" w14:textId="77777777" w:rsidR="002B71CC" w:rsidRPr="00D14EAF" w:rsidRDefault="002B71CC" w:rsidP="002B71CC">
      <w:pPr>
        <w:spacing w:line="360" w:lineRule="auto"/>
        <w:jc w:val="both"/>
        <w:rPr>
          <w:rFonts w:cs="Arial"/>
          <w:b/>
          <w:sz w:val="22"/>
        </w:rPr>
      </w:pPr>
      <w:r w:rsidRPr="00D14EAF">
        <w:rPr>
          <w:rFonts w:cs="Arial"/>
          <w:b/>
          <w:sz w:val="22"/>
        </w:rPr>
        <w:t>************</w:t>
      </w:r>
    </w:p>
    <w:p w14:paraId="0B520193" w14:textId="77777777" w:rsidR="002B71CC" w:rsidRDefault="002B71CC" w:rsidP="002B71CC">
      <w:pPr>
        <w:spacing w:line="360" w:lineRule="auto"/>
        <w:jc w:val="both"/>
        <w:rPr>
          <w:rFonts w:cs="Arial"/>
          <w:sz w:val="22"/>
          <w:szCs w:val="22"/>
        </w:rPr>
      </w:pPr>
    </w:p>
    <w:p w14:paraId="641320CC" w14:textId="77777777" w:rsidR="002B71CC" w:rsidRDefault="002B71CC" w:rsidP="002B71CC">
      <w:pPr>
        <w:spacing w:line="360" w:lineRule="auto"/>
        <w:jc w:val="both"/>
        <w:rPr>
          <w:rFonts w:cs="Arial"/>
          <w:sz w:val="22"/>
          <w:lang w:val="es-ES_tradnl"/>
        </w:rPr>
      </w:pPr>
    </w:p>
    <w:p w14:paraId="25658FC5" w14:textId="77777777"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8C160" w14:textId="77777777" w:rsidR="00E47893" w:rsidRDefault="00E47893">
      <w:r>
        <w:separator/>
      </w:r>
    </w:p>
  </w:endnote>
  <w:endnote w:type="continuationSeparator" w:id="0">
    <w:p w14:paraId="44A116C6" w14:textId="77777777" w:rsidR="00E47893" w:rsidRDefault="00E4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93482" w14:textId="77777777" w:rsidR="00E47893" w:rsidRDefault="00E47893">
      <w:r>
        <w:separator/>
      </w:r>
    </w:p>
  </w:footnote>
  <w:footnote w:type="continuationSeparator" w:id="0">
    <w:p w14:paraId="3915FE28" w14:textId="77777777" w:rsidR="00E47893" w:rsidRDefault="00E47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D39F7" w14:textId="77777777" w:rsidR="00E47893" w:rsidRDefault="00E47893">
    <w:pPr>
      <w:pStyle w:val="Encabezado"/>
      <w:rPr>
        <w:lang w:val="es-ES"/>
      </w:rPr>
    </w:pPr>
  </w:p>
  <w:p w14:paraId="2D756C0F" w14:textId="77777777" w:rsidR="00E47893" w:rsidRDefault="00E47893">
    <w:pPr>
      <w:pStyle w:val="Encabezado"/>
      <w:rPr>
        <w:rStyle w:val="Nmerodepgina"/>
        <w:sz w:val="18"/>
      </w:rPr>
    </w:pPr>
    <w:r>
      <w:rPr>
        <w:sz w:val="18"/>
        <w:lang w:val="es-ES"/>
      </w:rPr>
      <w:t xml:space="preserve">    Minuta de la sesión Nº 01-2020                   06 de enero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0CBF3F31" w14:textId="77777777" w:rsidR="00E47893" w:rsidRDefault="00E47893">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5332D"/>
    <w:multiLevelType w:val="hybridMultilevel"/>
    <w:tmpl w:val="02DCED32"/>
    <w:lvl w:ilvl="0" w:tplc="0C0A000F">
      <w:start w:val="1"/>
      <w:numFmt w:val="decimal"/>
      <w:lvlText w:val="%1."/>
      <w:lvlJc w:val="left"/>
      <w:pPr>
        <w:tabs>
          <w:tab w:val="num" w:pos="720"/>
        </w:tabs>
        <w:ind w:left="720" w:hanging="360"/>
      </w:pPr>
      <w:rPr>
        <w:rFonts w:hint="default"/>
        <w:b/>
        <w:bCs/>
      </w:rPr>
    </w:lvl>
    <w:lvl w:ilvl="1" w:tplc="2B60822C">
      <w:start w:val="1"/>
      <w:numFmt w:val="lowerLetter"/>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0FAE4250"/>
    <w:multiLevelType w:val="hybridMultilevel"/>
    <w:tmpl w:val="7778C09C"/>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B6B5371"/>
    <w:multiLevelType w:val="hybridMultilevel"/>
    <w:tmpl w:val="99640B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9B617E2"/>
    <w:multiLevelType w:val="hybridMultilevel"/>
    <w:tmpl w:val="50BEEE0A"/>
    <w:lvl w:ilvl="0" w:tplc="A67EA38A">
      <w:start w:val="1"/>
      <w:numFmt w:val="decimal"/>
      <w:lvlText w:val="%1."/>
      <w:lvlJc w:val="left"/>
      <w:pPr>
        <w:tabs>
          <w:tab w:val="num" w:pos="720"/>
        </w:tabs>
        <w:ind w:left="720" w:hanging="360"/>
      </w:pPr>
      <w:rPr>
        <w:b/>
      </w:rPr>
    </w:lvl>
    <w:lvl w:ilvl="1" w:tplc="4F8404BA">
      <w:start w:val="1"/>
      <w:numFmt w:val="lowerLetter"/>
      <w:lvlText w:val="%2)"/>
      <w:lvlJc w:val="left"/>
      <w:pPr>
        <w:tabs>
          <w:tab w:val="num" w:pos="1440"/>
        </w:tabs>
        <w:ind w:left="1440" w:hanging="360"/>
      </w:pPr>
      <w:rPr>
        <w:rFonts w:hint="default"/>
        <w:b w:val="0"/>
        <w:i w:val="0"/>
      </w:rPr>
    </w:lvl>
    <w:lvl w:ilvl="2" w:tplc="0C0A001B">
      <w:start w:val="1"/>
      <w:numFmt w:val="lowerRoman"/>
      <w:lvlText w:val="%3."/>
      <w:lvlJc w:val="right"/>
      <w:pPr>
        <w:tabs>
          <w:tab w:val="num" w:pos="2160"/>
        </w:tabs>
        <w:ind w:left="2160" w:hanging="180"/>
      </w:pPr>
    </w:lvl>
    <w:lvl w:ilvl="3" w:tplc="9886BB0E">
      <w:start w:val="1"/>
      <w:numFmt w:val="bullet"/>
      <w:lvlText w:val="-"/>
      <w:lvlJc w:val="left"/>
      <w:pPr>
        <w:ind w:left="2880" w:hanging="360"/>
      </w:pPr>
      <w:rPr>
        <w:rFonts w:ascii="Arial" w:eastAsia="Times New Roman" w:hAnsi="Arial" w:cs="Arial"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5DF17EC"/>
    <w:multiLevelType w:val="hybridMultilevel"/>
    <w:tmpl w:val="2D661B0A"/>
    <w:lvl w:ilvl="0" w:tplc="A7F62414">
      <w:start w:val="1"/>
      <w:numFmt w:val="lowerLetter"/>
      <w:lvlText w:val="%1."/>
      <w:lvlJc w:val="left"/>
      <w:pPr>
        <w:ind w:left="644" w:hanging="360"/>
      </w:pPr>
      <w:rPr>
        <w:rFonts w:ascii="Arial" w:hAnsi="Arial" w:cs="Arial" w:hint="default"/>
        <w:b w:val="0"/>
        <w:i w:val="0"/>
        <w:sz w:val="22"/>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A4556B1"/>
    <w:multiLevelType w:val="hybridMultilevel"/>
    <w:tmpl w:val="8D9E5960"/>
    <w:lvl w:ilvl="0" w:tplc="2C60BB9C">
      <w:start w:val="1"/>
      <w:numFmt w:val="decimal"/>
      <w:lvlText w:val="%1."/>
      <w:lvlJc w:val="left"/>
      <w:pPr>
        <w:tabs>
          <w:tab w:val="num" w:pos="-720"/>
        </w:tabs>
        <w:ind w:left="-720" w:hanging="360"/>
      </w:pPr>
      <w:rPr>
        <w:rFonts w:hint="default"/>
        <w:b/>
        <w:i w:val="0"/>
        <w:sz w:val="22"/>
        <w:szCs w:val="22"/>
      </w:rPr>
    </w:lvl>
    <w:lvl w:ilvl="1" w:tplc="0C0A000F">
      <w:start w:val="1"/>
      <w:numFmt w:val="decimal"/>
      <w:lvlText w:val="%2."/>
      <w:lvlJc w:val="left"/>
      <w:pPr>
        <w:tabs>
          <w:tab w:val="num" w:pos="120"/>
        </w:tabs>
        <w:ind w:left="120" w:hanging="360"/>
      </w:pPr>
    </w:lvl>
    <w:lvl w:ilvl="2" w:tplc="0C0A001B">
      <w:start w:val="1"/>
      <w:numFmt w:val="lowerRoman"/>
      <w:lvlText w:val="%3."/>
      <w:lvlJc w:val="right"/>
      <w:pPr>
        <w:tabs>
          <w:tab w:val="num" w:pos="840"/>
        </w:tabs>
        <w:ind w:left="840" w:hanging="180"/>
      </w:pPr>
    </w:lvl>
    <w:lvl w:ilvl="3" w:tplc="A28AF0BA">
      <w:start w:val="2"/>
      <w:numFmt w:val="decimal"/>
      <w:lvlText w:val="%4"/>
      <w:lvlJc w:val="left"/>
      <w:pPr>
        <w:tabs>
          <w:tab w:val="num" w:pos="1560"/>
        </w:tabs>
        <w:ind w:left="1560" w:hanging="360"/>
      </w:pPr>
      <w:rPr>
        <w:rFonts w:hint="default"/>
        <w:b/>
      </w:rPr>
    </w:lvl>
    <w:lvl w:ilvl="4" w:tplc="0C0A0019" w:tentative="1">
      <w:start w:val="1"/>
      <w:numFmt w:val="lowerLetter"/>
      <w:lvlText w:val="%5."/>
      <w:lvlJc w:val="left"/>
      <w:pPr>
        <w:tabs>
          <w:tab w:val="num" w:pos="2280"/>
        </w:tabs>
        <w:ind w:left="2280" w:hanging="360"/>
      </w:pPr>
    </w:lvl>
    <w:lvl w:ilvl="5" w:tplc="0C0A001B" w:tentative="1">
      <w:start w:val="1"/>
      <w:numFmt w:val="lowerRoman"/>
      <w:lvlText w:val="%6."/>
      <w:lvlJc w:val="right"/>
      <w:pPr>
        <w:tabs>
          <w:tab w:val="num" w:pos="3000"/>
        </w:tabs>
        <w:ind w:left="3000" w:hanging="180"/>
      </w:pPr>
    </w:lvl>
    <w:lvl w:ilvl="6" w:tplc="0C0A000F" w:tentative="1">
      <w:start w:val="1"/>
      <w:numFmt w:val="decimal"/>
      <w:lvlText w:val="%7."/>
      <w:lvlJc w:val="left"/>
      <w:pPr>
        <w:tabs>
          <w:tab w:val="num" w:pos="3720"/>
        </w:tabs>
        <w:ind w:left="3720" w:hanging="360"/>
      </w:pPr>
    </w:lvl>
    <w:lvl w:ilvl="7" w:tplc="0C0A0019" w:tentative="1">
      <w:start w:val="1"/>
      <w:numFmt w:val="lowerLetter"/>
      <w:lvlText w:val="%8."/>
      <w:lvlJc w:val="left"/>
      <w:pPr>
        <w:tabs>
          <w:tab w:val="num" w:pos="4440"/>
        </w:tabs>
        <w:ind w:left="4440" w:hanging="360"/>
      </w:pPr>
    </w:lvl>
    <w:lvl w:ilvl="8" w:tplc="0C0A001B" w:tentative="1">
      <w:start w:val="1"/>
      <w:numFmt w:val="lowerRoman"/>
      <w:lvlText w:val="%9."/>
      <w:lvlJc w:val="right"/>
      <w:pPr>
        <w:tabs>
          <w:tab w:val="num" w:pos="5160"/>
        </w:tabs>
        <w:ind w:left="5160" w:hanging="180"/>
      </w:pPr>
    </w:lvl>
  </w:abstractNum>
  <w:abstractNum w:abstractNumId="18" w15:restartNumberingAfterBreak="0">
    <w:nsid w:val="64707407"/>
    <w:multiLevelType w:val="hybridMultilevel"/>
    <w:tmpl w:val="D6367532"/>
    <w:lvl w:ilvl="0" w:tplc="9070C3C0">
      <w:start w:val="1"/>
      <w:numFmt w:val="decimal"/>
      <w:lvlText w:val="%1."/>
      <w:lvlJc w:val="left"/>
      <w:pPr>
        <w:tabs>
          <w:tab w:val="num" w:pos="720"/>
        </w:tabs>
        <w:ind w:left="720" w:hanging="360"/>
      </w:pPr>
      <w:rPr>
        <w:b/>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6E94034A"/>
    <w:multiLevelType w:val="hybridMultilevel"/>
    <w:tmpl w:val="401CDD76"/>
    <w:lvl w:ilvl="0" w:tplc="44DC0788">
      <w:start w:val="1"/>
      <w:numFmt w:val="decimal"/>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6044A10"/>
    <w:multiLevelType w:val="hybridMultilevel"/>
    <w:tmpl w:val="4852D8DE"/>
    <w:lvl w:ilvl="0" w:tplc="778827C0">
      <w:start w:val="1"/>
      <w:numFmt w:val="decimal"/>
      <w:lvlText w:val="%1."/>
      <w:lvlJc w:val="left"/>
      <w:pPr>
        <w:tabs>
          <w:tab w:val="num" w:pos="-720"/>
        </w:tabs>
        <w:ind w:left="-720" w:hanging="360"/>
      </w:pPr>
      <w:rPr>
        <w:rFonts w:ascii="Arial" w:hAnsi="Arial" w:cs="Arial" w:hint="default"/>
        <w:b/>
        <w:i w:val="0"/>
        <w:sz w:val="22"/>
        <w:szCs w:val="22"/>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9700EE3"/>
    <w:multiLevelType w:val="hybridMultilevel"/>
    <w:tmpl w:val="E5766DD6"/>
    <w:lvl w:ilvl="0" w:tplc="140A0013">
      <w:start w:val="1"/>
      <w:numFmt w:val="upperRoman"/>
      <w:lvlText w:val="%1."/>
      <w:lvlJc w:val="right"/>
      <w:pPr>
        <w:tabs>
          <w:tab w:val="num" w:pos="360"/>
        </w:tabs>
        <w:ind w:left="360" w:hanging="360"/>
      </w:pPr>
      <w:rPr>
        <w:rFonts w:hint="default"/>
        <w:sz w:val="22"/>
        <w:szCs w:val="2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2"/>
  </w:num>
  <w:num w:numId="3">
    <w:abstractNumId w:val="12"/>
  </w:num>
  <w:num w:numId="4">
    <w:abstractNumId w:val="1"/>
  </w:num>
  <w:num w:numId="5">
    <w:abstractNumId w:val="0"/>
  </w:num>
  <w:num w:numId="6">
    <w:abstractNumId w:val="15"/>
  </w:num>
  <w:num w:numId="7">
    <w:abstractNumId w:val="24"/>
  </w:num>
  <w:num w:numId="8">
    <w:abstractNumId w:val="10"/>
  </w:num>
  <w:num w:numId="9">
    <w:abstractNumId w:val="8"/>
  </w:num>
  <w:num w:numId="10">
    <w:abstractNumId w:val="5"/>
  </w:num>
  <w:num w:numId="11">
    <w:abstractNumId w:val="6"/>
  </w:num>
  <w:num w:numId="12">
    <w:abstractNumId w:val="25"/>
  </w:num>
  <w:num w:numId="13">
    <w:abstractNumId w:val="21"/>
  </w:num>
  <w:num w:numId="14">
    <w:abstractNumId w:val="19"/>
  </w:num>
  <w:num w:numId="15">
    <w:abstractNumId w:val="11"/>
  </w:num>
  <w:num w:numId="16">
    <w:abstractNumId w:val="16"/>
  </w:num>
  <w:num w:numId="17">
    <w:abstractNumId w:val="7"/>
  </w:num>
  <w:num w:numId="18">
    <w:abstractNumId w:val="4"/>
  </w:num>
  <w:num w:numId="19">
    <w:abstractNumId w:val="17"/>
  </w:num>
  <w:num w:numId="20">
    <w:abstractNumId w:val="22"/>
  </w:num>
  <w:num w:numId="21">
    <w:abstractNumId w:val="13"/>
  </w:num>
  <w:num w:numId="22">
    <w:abstractNumId w:val="18"/>
  </w:num>
  <w:num w:numId="23">
    <w:abstractNumId w:val="20"/>
  </w:num>
  <w:num w:numId="24">
    <w:abstractNumId w:val="23"/>
  </w:num>
  <w:num w:numId="25">
    <w:abstractNumId w:val="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iWraJQEzxZBeCA+3b8IXrgqnnLtoF7DN/hQM+x/9Ht3+KDQfblT15M+cBu1xgl1BJhUSTUDMIif9/iV5kvufcw==" w:salt="+75h6k0oO/8//GGdc4n6+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FC"/>
    <w:rsid w:val="0000085A"/>
    <w:rsid w:val="0001101D"/>
    <w:rsid w:val="00011DC1"/>
    <w:rsid w:val="0001401F"/>
    <w:rsid w:val="0001721A"/>
    <w:rsid w:val="0002568D"/>
    <w:rsid w:val="00025995"/>
    <w:rsid w:val="00026DCA"/>
    <w:rsid w:val="00027E78"/>
    <w:rsid w:val="000312FA"/>
    <w:rsid w:val="0003318B"/>
    <w:rsid w:val="00036A8B"/>
    <w:rsid w:val="0004385A"/>
    <w:rsid w:val="00050E85"/>
    <w:rsid w:val="00053A32"/>
    <w:rsid w:val="000547A2"/>
    <w:rsid w:val="00067B32"/>
    <w:rsid w:val="00072736"/>
    <w:rsid w:val="00076A47"/>
    <w:rsid w:val="00081BB0"/>
    <w:rsid w:val="00085DF1"/>
    <w:rsid w:val="0008779C"/>
    <w:rsid w:val="0009389D"/>
    <w:rsid w:val="000A2824"/>
    <w:rsid w:val="000A6259"/>
    <w:rsid w:val="000B0F7B"/>
    <w:rsid w:val="000B1E76"/>
    <w:rsid w:val="000C4E35"/>
    <w:rsid w:val="000C5661"/>
    <w:rsid w:val="000D3F59"/>
    <w:rsid w:val="000E25C5"/>
    <w:rsid w:val="000E391E"/>
    <w:rsid w:val="000F1AFC"/>
    <w:rsid w:val="000F1E42"/>
    <w:rsid w:val="000F4796"/>
    <w:rsid w:val="000F5F31"/>
    <w:rsid w:val="0010187D"/>
    <w:rsid w:val="00105CCE"/>
    <w:rsid w:val="0011401E"/>
    <w:rsid w:val="001147C3"/>
    <w:rsid w:val="00117738"/>
    <w:rsid w:val="00117E78"/>
    <w:rsid w:val="001227FE"/>
    <w:rsid w:val="00122E9E"/>
    <w:rsid w:val="00124B6A"/>
    <w:rsid w:val="00154E36"/>
    <w:rsid w:val="001619A9"/>
    <w:rsid w:val="00172800"/>
    <w:rsid w:val="00183234"/>
    <w:rsid w:val="0018634C"/>
    <w:rsid w:val="00187032"/>
    <w:rsid w:val="001901E0"/>
    <w:rsid w:val="0019050A"/>
    <w:rsid w:val="001909BE"/>
    <w:rsid w:val="00193578"/>
    <w:rsid w:val="00193B2D"/>
    <w:rsid w:val="00196DD0"/>
    <w:rsid w:val="001A3AF8"/>
    <w:rsid w:val="001A51D1"/>
    <w:rsid w:val="001A6DFB"/>
    <w:rsid w:val="001A6E22"/>
    <w:rsid w:val="001B450C"/>
    <w:rsid w:val="001B6D7C"/>
    <w:rsid w:val="001B703A"/>
    <w:rsid w:val="001C0239"/>
    <w:rsid w:val="001C1135"/>
    <w:rsid w:val="001C3F1B"/>
    <w:rsid w:val="001D5AE2"/>
    <w:rsid w:val="001D7E23"/>
    <w:rsid w:val="001E1530"/>
    <w:rsid w:val="001F277B"/>
    <w:rsid w:val="001F7D2C"/>
    <w:rsid w:val="002026DC"/>
    <w:rsid w:val="00204086"/>
    <w:rsid w:val="002061F5"/>
    <w:rsid w:val="00210B7F"/>
    <w:rsid w:val="00213FA6"/>
    <w:rsid w:val="00214849"/>
    <w:rsid w:val="002163C7"/>
    <w:rsid w:val="00231A2F"/>
    <w:rsid w:val="0023408D"/>
    <w:rsid w:val="00236CA9"/>
    <w:rsid w:val="00237191"/>
    <w:rsid w:val="00240946"/>
    <w:rsid w:val="00242035"/>
    <w:rsid w:val="00243275"/>
    <w:rsid w:val="00243461"/>
    <w:rsid w:val="00253CA2"/>
    <w:rsid w:val="00253D8D"/>
    <w:rsid w:val="00260325"/>
    <w:rsid w:val="00261C88"/>
    <w:rsid w:val="0027064D"/>
    <w:rsid w:val="00270B9C"/>
    <w:rsid w:val="00270F04"/>
    <w:rsid w:val="002712B7"/>
    <w:rsid w:val="00273438"/>
    <w:rsid w:val="002736F3"/>
    <w:rsid w:val="00273AB5"/>
    <w:rsid w:val="002751C8"/>
    <w:rsid w:val="0027744B"/>
    <w:rsid w:val="00277DD3"/>
    <w:rsid w:val="0028007E"/>
    <w:rsid w:val="00282007"/>
    <w:rsid w:val="00282C93"/>
    <w:rsid w:val="0028301A"/>
    <w:rsid w:val="0028757E"/>
    <w:rsid w:val="002939B4"/>
    <w:rsid w:val="002A1B22"/>
    <w:rsid w:val="002A51F3"/>
    <w:rsid w:val="002A5D10"/>
    <w:rsid w:val="002A6A4B"/>
    <w:rsid w:val="002A6FCA"/>
    <w:rsid w:val="002B71CC"/>
    <w:rsid w:val="002C29BB"/>
    <w:rsid w:val="002C31E0"/>
    <w:rsid w:val="002D0146"/>
    <w:rsid w:val="002D158A"/>
    <w:rsid w:val="002E13D8"/>
    <w:rsid w:val="002E1BAC"/>
    <w:rsid w:val="002E2218"/>
    <w:rsid w:val="002F39A6"/>
    <w:rsid w:val="002F3D41"/>
    <w:rsid w:val="003004E7"/>
    <w:rsid w:val="0030131C"/>
    <w:rsid w:val="003065D7"/>
    <w:rsid w:val="003113E0"/>
    <w:rsid w:val="003144BB"/>
    <w:rsid w:val="003156CD"/>
    <w:rsid w:val="003163A7"/>
    <w:rsid w:val="00317B31"/>
    <w:rsid w:val="00320F35"/>
    <w:rsid w:val="00320F9C"/>
    <w:rsid w:val="003255CB"/>
    <w:rsid w:val="003315C1"/>
    <w:rsid w:val="00335993"/>
    <w:rsid w:val="0033671C"/>
    <w:rsid w:val="00343CAA"/>
    <w:rsid w:val="00345E78"/>
    <w:rsid w:val="00346C2F"/>
    <w:rsid w:val="003473D2"/>
    <w:rsid w:val="00352AFB"/>
    <w:rsid w:val="00353979"/>
    <w:rsid w:val="0036713B"/>
    <w:rsid w:val="00367B23"/>
    <w:rsid w:val="00373725"/>
    <w:rsid w:val="00373B50"/>
    <w:rsid w:val="00374710"/>
    <w:rsid w:val="003803AB"/>
    <w:rsid w:val="00380645"/>
    <w:rsid w:val="00380857"/>
    <w:rsid w:val="00381D89"/>
    <w:rsid w:val="003853CD"/>
    <w:rsid w:val="00386AA9"/>
    <w:rsid w:val="003969B7"/>
    <w:rsid w:val="003A4E5A"/>
    <w:rsid w:val="003A5204"/>
    <w:rsid w:val="003A70CE"/>
    <w:rsid w:val="003B0676"/>
    <w:rsid w:val="003B1738"/>
    <w:rsid w:val="003B20EA"/>
    <w:rsid w:val="003C6FEB"/>
    <w:rsid w:val="003E6F05"/>
    <w:rsid w:val="003E7585"/>
    <w:rsid w:val="00407CC4"/>
    <w:rsid w:val="00421BEA"/>
    <w:rsid w:val="0042352A"/>
    <w:rsid w:val="00430B71"/>
    <w:rsid w:val="00431CF2"/>
    <w:rsid w:val="00432126"/>
    <w:rsid w:val="0043584B"/>
    <w:rsid w:val="00445673"/>
    <w:rsid w:val="00446DA8"/>
    <w:rsid w:val="004475AD"/>
    <w:rsid w:val="004528B4"/>
    <w:rsid w:val="004755F8"/>
    <w:rsid w:val="0047593B"/>
    <w:rsid w:val="0047647A"/>
    <w:rsid w:val="004775D5"/>
    <w:rsid w:val="0048086A"/>
    <w:rsid w:val="0048746C"/>
    <w:rsid w:val="00490A81"/>
    <w:rsid w:val="004930AA"/>
    <w:rsid w:val="00495431"/>
    <w:rsid w:val="00496B93"/>
    <w:rsid w:val="00497711"/>
    <w:rsid w:val="004A0DD6"/>
    <w:rsid w:val="004A390B"/>
    <w:rsid w:val="004B373F"/>
    <w:rsid w:val="004B43D5"/>
    <w:rsid w:val="004B4411"/>
    <w:rsid w:val="004B68C4"/>
    <w:rsid w:val="004B6EB3"/>
    <w:rsid w:val="004B7456"/>
    <w:rsid w:val="004C2E88"/>
    <w:rsid w:val="004C5B22"/>
    <w:rsid w:val="004C724E"/>
    <w:rsid w:val="004E10F9"/>
    <w:rsid w:val="004E1777"/>
    <w:rsid w:val="004E3FA3"/>
    <w:rsid w:val="004E5D21"/>
    <w:rsid w:val="004F5635"/>
    <w:rsid w:val="005011AD"/>
    <w:rsid w:val="00501437"/>
    <w:rsid w:val="00506ACE"/>
    <w:rsid w:val="00513B4F"/>
    <w:rsid w:val="00531B93"/>
    <w:rsid w:val="00531EE6"/>
    <w:rsid w:val="0053376B"/>
    <w:rsid w:val="00544E74"/>
    <w:rsid w:val="005459D0"/>
    <w:rsid w:val="00546B27"/>
    <w:rsid w:val="005504E6"/>
    <w:rsid w:val="0057519A"/>
    <w:rsid w:val="00577551"/>
    <w:rsid w:val="00585347"/>
    <w:rsid w:val="00591E19"/>
    <w:rsid w:val="00595395"/>
    <w:rsid w:val="0059625B"/>
    <w:rsid w:val="00596AB4"/>
    <w:rsid w:val="00597264"/>
    <w:rsid w:val="005A32C2"/>
    <w:rsid w:val="005B45E6"/>
    <w:rsid w:val="005B67A2"/>
    <w:rsid w:val="005C0052"/>
    <w:rsid w:val="005C18D2"/>
    <w:rsid w:val="005C4AC3"/>
    <w:rsid w:val="005C6147"/>
    <w:rsid w:val="005E7559"/>
    <w:rsid w:val="005E76A6"/>
    <w:rsid w:val="005F2F3D"/>
    <w:rsid w:val="006134E8"/>
    <w:rsid w:val="00615FBF"/>
    <w:rsid w:val="00622437"/>
    <w:rsid w:val="00623D36"/>
    <w:rsid w:val="00631F57"/>
    <w:rsid w:val="006321F4"/>
    <w:rsid w:val="00646C5C"/>
    <w:rsid w:val="00646C60"/>
    <w:rsid w:val="0066494B"/>
    <w:rsid w:val="0066756A"/>
    <w:rsid w:val="00681878"/>
    <w:rsid w:val="00683504"/>
    <w:rsid w:val="0068523C"/>
    <w:rsid w:val="0068561B"/>
    <w:rsid w:val="006A474B"/>
    <w:rsid w:val="006A779D"/>
    <w:rsid w:val="006A77F2"/>
    <w:rsid w:val="006B7846"/>
    <w:rsid w:val="006C0086"/>
    <w:rsid w:val="006C1542"/>
    <w:rsid w:val="006C1D3B"/>
    <w:rsid w:val="006C1F07"/>
    <w:rsid w:val="006C2FCB"/>
    <w:rsid w:val="006C3266"/>
    <w:rsid w:val="006C370D"/>
    <w:rsid w:val="006C772C"/>
    <w:rsid w:val="006D5482"/>
    <w:rsid w:val="006E31FB"/>
    <w:rsid w:val="006E3558"/>
    <w:rsid w:val="006E3EB4"/>
    <w:rsid w:val="006E750C"/>
    <w:rsid w:val="006E7C0F"/>
    <w:rsid w:val="006F4CDB"/>
    <w:rsid w:val="006F7DB3"/>
    <w:rsid w:val="0070186F"/>
    <w:rsid w:val="007062BD"/>
    <w:rsid w:val="0070654E"/>
    <w:rsid w:val="00711198"/>
    <w:rsid w:val="00711E6C"/>
    <w:rsid w:val="00713093"/>
    <w:rsid w:val="0071489A"/>
    <w:rsid w:val="00723211"/>
    <w:rsid w:val="00723F00"/>
    <w:rsid w:val="00735384"/>
    <w:rsid w:val="00735F5C"/>
    <w:rsid w:val="00737234"/>
    <w:rsid w:val="00750D34"/>
    <w:rsid w:val="00751002"/>
    <w:rsid w:val="007605D2"/>
    <w:rsid w:val="0076121E"/>
    <w:rsid w:val="00765327"/>
    <w:rsid w:val="00767301"/>
    <w:rsid w:val="00773D9C"/>
    <w:rsid w:val="007744B3"/>
    <w:rsid w:val="007749FC"/>
    <w:rsid w:val="00777DFD"/>
    <w:rsid w:val="00780AB2"/>
    <w:rsid w:val="00786CAA"/>
    <w:rsid w:val="00791A55"/>
    <w:rsid w:val="007965C4"/>
    <w:rsid w:val="00797660"/>
    <w:rsid w:val="007B2EB9"/>
    <w:rsid w:val="007B4921"/>
    <w:rsid w:val="007B5EDF"/>
    <w:rsid w:val="007C2929"/>
    <w:rsid w:val="007C3052"/>
    <w:rsid w:val="007C3229"/>
    <w:rsid w:val="007D6EF8"/>
    <w:rsid w:val="007E026D"/>
    <w:rsid w:val="007E0E8A"/>
    <w:rsid w:val="007E31DD"/>
    <w:rsid w:val="007E7760"/>
    <w:rsid w:val="007F59F8"/>
    <w:rsid w:val="007F614F"/>
    <w:rsid w:val="007F66D6"/>
    <w:rsid w:val="008006FA"/>
    <w:rsid w:val="00805CA3"/>
    <w:rsid w:val="00806EC5"/>
    <w:rsid w:val="00810A12"/>
    <w:rsid w:val="008110AA"/>
    <w:rsid w:val="00811427"/>
    <w:rsid w:val="00825856"/>
    <w:rsid w:val="008311D7"/>
    <w:rsid w:val="008343A2"/>
    <w:rsid w:val="00834957"/>
    <w:rsid w:val="00834A2F"/>
    <w:rsid w:val="00846281"/>
    <w:rsid w:val="00851373"/>
    <w:rsid w:val="00854DE9"/>
    <w:rsid w:val="0085587B"/>
    <w:rsid w:val="00855CBB"/>
    <w:rsid w:val="00861680"/>
    <w:rsid w:val="00861AD1"/>
    <w:rsid w:val="00870163"/>
    <w:rsid w:val="0087675F"/>
    <w:rsid w:val="0088663D"/>
    <w:rsid w:val="008907FD"/>
    <w:rsid w:val="00895A5D"/>
    <w:rsid w:val="00896BC6"/>
    <w:rsid w:val="008A758A"/>
    <w:rsid w:val="008B6233"/>
    <w:rsid w:val="008D35D8"/>
    <w:rsid w:val="008D60D3"/>
    <w:rsid w:val="008D6E0F"/>
    <w:rsid w:val="008D7130"/>
    <w:rsid w:val="008F2BB5"/>
    <w:rsid w:val="008F38A8"/>
    <w:rsid w:val="008F6C96"/>
    <w:rsid w:val="00911F06"/>
    <w:rsid w:val="009152D7"/>
    <w:rsid w:val="00926E2B"/>
    <w:rsid w:val="0093079C"/>
    <w:rsid w:val="00933CF7"/>
    <w:rsid w:val="00940420"/>
    <w:rsid w:val="0094129D"/>
    <w:rsid w:val="009467FD"/>
    <w:rsid w:val="009533BE"/>
    <w:rsid w:val="0095348E"/>
    <w:rsid w:val="009610BD"/>
    <w:rsid w:val="00961954"/>
    <w:rsid w:val="00965557"/>
    <w:rsid w:val="00965CCE"/>
    <w:rsid w:val="009669CF"/>
    <w:rsid w:val="009675DA"/>
    <w:rsid w:val="00973D70"/>
    <w:rsid w:val="0097639B"/>
    <w:rsid w:val="00986348"/>
    <w:rsid w:val="00987C13"/>
    <w:rsid w:val="009904E5"/>
    <w:rsid w:val="009C11C0"/>
    <w:rsid w:val="009D03FE"/>
    <w:rsid w:val="009D70A8"/>
    <w:rsid w:val="009D78B0"/>
    <w:rsid w:val="009E103E"/>
    <w:rsid w:val="009E1B07"/>
    <w:rsid w:val="009F2788"/>
    <w:rsid w:val="009F4AFB"/>
    <w:rsid w:val="009F4B8C"/>
    <w:rsid w:val="009F557D"/>
    <w:rsid w:val="009F62A9"/>
    <w:rsid w:val="00A12C10"/>
    <w:rsid w:val="00A13A77"/>
    <w:rsid w:val="00A25CE7"/>
    <w:rsid w:val="00A3046D"/>
    <w:rsid w:val="00A3146D"/>
    <w:rsid w:val="00A32674"/>
    <w:rsid w:val="00A330FA"/>
    <w:rsid w:val="00A50140"/>
    <w:rsid w:val="00A505CC"/>
    <w:rsid w:val="00A536DE"/>
    <w:rsid w:val="00A55680"/>
    <w:rsid w:val="00A56264"/>
    <w:rsid w:val="00A57DA1"/>
    <w:rsid w:val="00A57ECD"/>
    <w:rsid w:val="00A70A82"/>
    <w:rsid w:val="00A71323"/>
    <w:rsid w:val="00A73DC5"/>
    <w:rsid w:val="00A75445"/>
    <w:rsid w:val="00A77345"/>
    <w:rsid w:val="00A775DD"/>
    <w:rsid w:val="00A837EB"/>
    <w:rsid w:val="00AA4E2A"/>
    <w:rsid w:val="00AB15C1"/>
    <w:rsid w:val="00AB1E41"/>
    <w:rsid w:val="00AB2826"/>
    <w:rsid w:val="00AB4B39"/>
    <w:rsid w:val="00AB6349"/>
    <w:rsid w:val="00AC249B"/>
    <w:rsid w:val="00AC3689"/>
    <w:rsid w:val="00AD05F7"/>
    <w:rsid w:val="00AD4F06"/>
    <w:rsid w:val="00AE1814"/>
    <w:rsid w:val="00AE518D"/>
    <w:rsid w:val="00AE7AB3"/>
    <w:rsid w:val="00AF4C49"/>
    <w:rsid w:val="00B00832"/>
    <w:rsid w:val="00B019A0"/>
    <w:rsid w:val="00B17436"/>
    <w:rsid w:val="00B17886"/>
    <w:rsid w:val="00B2152C"/>
    <w:rsid w:val="00B25633"/>
    <w:rsid w:val="00B34414"/>
    <w:rsid w:val="00B3640B"/>
    <w:rsid w:val="00B36CE6"/>
    <w:rsid w:val="00B47C89"/>
    <w:rsid w:val="00B51A3F"/>
    <w:rsid w:val="00B5583C"/>
    <w:rsid w:val="00B56F87"/>
    <w:rsid w:val="00B64449"/>
    <w:rsid w:val="00B66D8C"/>
    <w:rsid w:val="00B85EDB"/>
    <w:rsid w:val="00B86152"/>
    <w:rsid w:val="00B95694"/>
    <w:rsid w:val="00B962DE"/>
    <w:rsid w:val="00BA3517"/>
    <w:rsid w:val="00BA3C35"/>
    <w:rsid w:val="00BA58F6"/>
    <w:rsid w:val="00BA7805"/>
    <w:rsid w:val="00BB034D"/>
    <w:rsid w:val="00BB217A"/>
    <w:rsid w:val="00BC1E08"/>
    <w:rsid w:val="00BC6D61"/>
    <w:rsid w:val="00BD11AC"/>
    <w:rsid w:val="00BE0F52"/>
    <w:rsid w:val="00BE452A"/>
    <w:rsid w:val="00BF0C80"/>
    <w:rsid w:val="00BF124E"/>
    <w:rsid w:val="00BF68DB"/>
    <w:rsid w:val="00BF7A7B"/>
    <w:rsid w:val="00C0084E"/>
    <w:rsid w:val="00C01425"/>
    <w:rsid w:val="00C12152"/>
    <w:rsid w:val="00C2582E"/>
    <w:rsid w:val="00C25B38"/>
    <w:rsid w:val="00C26C4B"/>
    <w:rsid w:val="00C308C3"/>
    <w:rsid w:val="00C36F84"/>
    <w:rsid w:val="00C42332"/>
    <w:rsid w:val="00C4730D"/>
    <w:rsid w:val="00C50AAF"/>
    <w:rsid w:val="00C676D8"/>
    <w:rsid w:val="00C73D9B"/>
    <w:rsid w:val="00C80B39"/>
    <w:rsid w:val="00C849D7"/>
    <w:rsid w:val="00C858B0"/>
    <w:rsid w:val="00C87CC2"/>
    <w:rsid w:val="00C94958"/>
    <w:rsid w:val="00CA1013"/>
    <w:rsid w:val="00CA3661"/>
    <w:rsid w:val="00CA42F6"/>
    <w:rsid w:val="00CA4913"/>
    <w:rsid w:val="00CC0A79"/>
    <w:rsid w:val="00CC60FC"/>
    <w:rsid w:val="00CC7940"/>
    <w:rsid w:val="00CD7A02"/>
    <w:rsid w:val="00CE72E9"/>
    <w:rsid w:val="00CF0E50"/>
    <w:rsid w:val="00CF4BE9"/>
    <w:rsid w:val="00D034AB"/>
    <w:rsid w:val="00D13B6B"/>
    <w:rsid w:val="00D17321"/>
    <w:rsid w:val="00D22B80"/>
    <w:rsid w:val="00D330C4"/>
    <w:rsid w:val="00D34EB6"/>
    <w:rsid w:val="00D34F4B"/>
    <w:rsid w:val="00D35784"/>
    <w:rsid w:val="00D37592"/>
    <w:rsid w:val="00D42E5B"/>
    <w:rsid w:val="00D509A7"/>
    <w:rsid w:val="00D50B78"/>
    <w:rsid w:val="00D54758"/>
    <w:rsid w:val="00D54FFD"/>
    <w:rsid w:val="00D60482"/>
    <w:rsid w:val="00D61B31"/>
    <w:rsid w:val="00D61F89"/>
    <w:rsid w:val="00D65783"/>
    <w:rsid w:val="00D659AB"/>
    <w:rsid w:val="00D72C3B"/>
    <w:rsid w:val="00D772AA"/>
    <w:rsid w:val="00D84DE9"/>
    <w:rsid w:val="00D84E23"/>
    <w:rsid w:val="00D906AE"/>
    <w:rsid w:val="00DA156E"/>
    <w:rsid w:val="00DA4C56"/>
    <w:rsid w:val="00DB38FB"/>
    <w:rsid w:val="00DB603E"/>
    <w:rsid w:val="00DB7575"/>
    <w:rsid w:val="00DC32CD"/>
    <w:rsid w:val="00DC7086"/>
    <w:rsid w:val="00DC76F4"/>
    <w:rsid w:val="00DD1E85"/>
    <w:rsid w:val="00DD3BA2"/>
    <w:rsid w:val="00DD74B4"/>
    <w:rsid w:val="00DD7DA8"/>
    <w:rsid w:val="00DD7FFB"/>
    <w:rsid w:val="00DE0BBA"/>
    <w:rsid w:val="00DE7715"/>
    <w:rsid w:val="00DF0AAA"/>
    <w:rsid w:val="00DF500F"/>
    <w:rsid w:val="00E0071B"/>
    <w:rsid w:val="00E113D3"/>
    <w:rsid w:val="00E13810"/>
    <w:rsid w:val="00E2143B"/>
    <w:rsid w:val="00E26977"/>
    <w:rsid w:val="00E300E5"/>
    <w:rsid w:val="00E30F95"/>
    <w:rsid w:val="00E31F79"/>
    <w:rsid w:val="00E34284"/>
    <w:rsid w:val="00E44316"/>
    <w:rsid w:val="00E465A9"/>
    <w:rsid w:val="00E47893"/>
    <w:rsid w:val="00E6222D"/>
    <w:rsid w:val="00E63068"/>
    <w:rsid w:val="00E63BC8"/>
    <w:rsid w:val="00E646C7"/>
    <w:rsid w:val="00E6628A"/>
    <w:rsid w:val="00E76C46"/>
    <w:rsid w:val="00E8788A"/>
    <w:rsid w:val="00E97960"/>
    <w:rsid w:val="00E979D2"/>
    <w:rsid w:val="00EA3CEF"/>
    <w:rsid w:val="00EA53B9"/>
    <w:rsid w:val="00EB52A7"/>
    <w:rsid w:val="00EC02B6"/>
    <w:rsid w:val="00EC2693"/>
    <w:rsid w:val="00EC6324"/>
    <w:rsid w:val="00EC7E01"/>
    <w:rsid w:val="00ED1941"/>
    <w:rsid w:val="00EE139E"/>
    <w:rsid w:val="00EE228C"/>
    <w:rsid w:val="00EE2DEB"/>
    <w:rsid w:val="00EE4383"/>
    <w:rsid w:val="00EE491C"/>
    <w:rsid w:val="00EF4850"/>
    <w:rsid w:val="00F00FF1"/>
    <w:rsid w:val="00F126FB"/>
    <w:rsid w:val="00F1305E"/>
    <w:rsid w:val="00F14DA5"/>
    <w:rsid w:val="00F16E81"/>
    <w:rsid w:val="00F24107"/>
    <w:rsid w:val="00F263FE"/>
    <w:rsid w:val="00F30531"/>
    <w:rsid w:val="00F31891"/>
    <w:rsid w:val="00F3250C"/>
    <w:rsid w:val="00F343EA"/>
    <w:rsid w:val="00F357CB"/>
    <w:rsid w:val="00F42278"/>
    <w:rsid w:val="00F5107D"/>
    <w:rsid w:val="00F541D9"/>
    <w:rsid w:val="00F571F7"/>
    <w:rsid w:val="00F62B66"/>
    <w:rsid w:val="00F67ACA"/>
    <w:rsid w:val="00F71547"/>
    <w:rsid w:val="00F83C00"/>
    <w:rsid w:val="00F9130B"/>
    <w:rsid w:val="00F9262F"/>
    <w:rsid w:val="00F937A0"/>
    <w:rsid w:val="00F97718"/>
    <w:rsid w:val="00FA0BA6"/>
    <w:rsid w:val="00FA1809"/>
    <w:rsid w:val="00FA2104"/>
    <w:rsid w:val="00FA3DD8"/>
    <w:rsid w:val="00FA4CCB"/>
    <w:rsid w:val="00FA76CF"/>
    <w:rsid w:val="00FB3EFB"/>
    <w:rsid w:val="00FB75A0"/>
    <w:rsid w:val="00FC257F"/>
    <w:rsid w:val="00FC793E"/>
    <w:rsid w:val="00FD36BF"/>
    <w:rsid w:val="00FD625F"/>
    <w:rsid w:val="00FE04ED"/>
    <w:rsid w:val="00FE1A42"/>
    <w:rsid w:val="00FE310F"/>
    <w:rsid w:val="00FE4822"/>
    <w:rsid w:val="00FE57D3"/>
    <w:rsid w:val="00FE7861"/>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248DD"/>
  <w15:docId w15:val="{71A1EBDC-BD08-477D-A74A-897EE353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Textonotapie">
    <w:name w:val="footnote text"/>
    <w:basedOn w:val="Normal"/>
    <w:link w:val="TextonotapieCar"/>
    <w:semiHidden/>
    <w:rsid w:val="00C2582E"/>
    <w:rPr>
      <w:sz w:val="20"/>
      <w:szCs w:val="20"/>
      <w:lang w:val="es-ES_tradnl"/>
    </w:rPr>
  </w:style>
  <w:style w:type="character" w:customStyle="1" w:styleId="TextonotapieCar">
    <w:name w:val="Texto nota pie Car"/>
    <w:basedOn w:val="Fuentedeprrafopredeter"/>
    <w:link w:val="Textonotapie"/>
    <w:semiHidden/>
    <w:rsid w:val="00C2582E"/>
    <w:rPr>
      <w:rFonts w:ascii="Arial" w:hAnsi="Arial"/>
      <w:lang w:val="es-ES_tradnl" w:eastAsia="es-ES"/>
    </w:rPr>
  </w:style>
  <w:style w:type="character" w:styleId="Refdenotaalpie">
    <w:name w:val="footnote reference"/>
    <w:semiHidden/>
    <w:rsid w:val="00C258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0F994-30D7-47C6-8777-EDD75CCE3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Template>
  <TotalTime>2165</TotalTime>
  <Pages>27</Pages>
  <Words>8713</Words>
  <Characters>46308</Characters>
  <Application>Microsoft Office Word</Application>
  <DocSecurity>8</DocSecurity>
  <Lines>385</Lines>
  <Paragraphs>109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376</cp:revision>
  <cp:lastPrinted>2011-09-07T16:03:00Z</cp:lastPrinted>
  <dcterms:created xsi:type="dcterms:W3CDTF">2020-01-07T13:47:00Z</dcterms:created>
  <dcterms:modified xsi:type="dcterms:W3CDTF">2020-01-17T16:02:00Z</dcterms:modified>
</cp:coreProperties>
</file>