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D0339" w14:textId="77777777" w:rsidR="00C27EF8" w:rsidRDefault="00C27EF8" w:rsidP="00C27EF8">
      <w:pPr>
        <w:pStyle w:val="Ttulo"/>
        <w:ind w:right="51"/>
        <w:rPr>
          <w:rFonts w:cs="Arial"/>
        </w:rPr>
      </w:pPr>
      <w:r>
        <w:rPr>
          <w:rFonts w:cs="Arial"/>
        </w:rPr>
        <w:t>BANCO HIPOTECARIO DE LA VIVIENDA</w:t>
      </w:r>
    </w:p>
    <w:p w14:paraId="24C14F6A"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71067B5" w14:textId="77777777" w:rsidR="00C27EF8" w:rsidRDefault="00C27EF8" w:rsidP="00C27EF8">
      <w:pPr>
        <w:spacing w:line="360" w:lineRule="auto"/>
        <w:ind w:right="51"/>
        <w:jc w:val="center"/>
        <w:rPr>
          <w:rFonts w:cs="Arial"/>
          <w:b/>
          <w:sz w:val="22"/>
          <w:u w:val="single"/>
        </w:rPr>
      </w:pPr>
    </w:p>
    <w:p w14:paraId="3B674832" w14:textId="3163C12F"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33022A">
        <w:rPr>
          <w:rFonts w:cs="Arial"/>
          <w:b/>
          <w:sz w:val="22"/>
          <w:u w:val="single"/>
        </w:rPr>
        <w:t>EXTRA</w:t>
      </w:r>
      <w:r>
        <w:rPr>
          <w:rFonts w:cs="Arial"/>
          <w:b/>
          <w:sz w:val="22"/>
          <w:u w:val="single"/>
        </w:rPr>
        <w:t xml:space="preserve">ORDINARIA N° </w:t>
      </w:r>
      <w:r w:rsidR="0033022A">
        <w:rPr>
          <w:rFonts w:cs="Arial"/>
          <w:b/>
          <w:sz w:val="22"/>
          <w:u w:val="single"/>
        </w:rPr>
        <w:t>87</w:t>
      </w:r>
      <w:r>
        <w:rPr>
          <w:rFonts w:cs="Arial"/>
          <w:b/>
          <w:sz w:val="22"/>
          <w:u w:val="single"/>
        </w:rPr>
        <w:t>-2019</w:t>
      </w:r>
    </w:p>
    <w:p w14:paraId="04497DE9" w14:textId="1437DEF0" w:rsidR="00C27EF8" w:rsidRDefault="00C27EF8" w:rsidP="00C27EF8">
      <w:pPr>
        <w:spacing w:line="360" w:lineRule="auto"/>
        <w:ind w:right="51"/>
        <w:jc w:val="center"/>
        <w:rPr>
          <w:rFonts w:cs="Arial"/>
          <w:b/>
          <w:sz w:val="22"/>
          <w:u w:val="single"/>
        </w:rPr>
      </w:pPr>
      <w:r>
        <w:rPr>
          <w:rFonts w:cs="Arial"/>
          <w:b/>
          <w:sz w:val="22"/>
          <w:u w:val="single"/>
        </w:rPr>
        <w:t xml:space="preserve">DEL </w:t>
      </w:r>
      <w:r w:rsidR="0033022A">
        <w:rPr>
          <w:rFonts w:cs="Arial"/>
          <w:b/>
          <w:sz w:val="22"/>
          <w:u w:val="single"/>
        </w:rPr>
        <w:t>07</w:t>
      </w:r>
      <w:r>
        <w:rPr>
          <w:rFonts w:cs="Arial"/>
          <w:b/>
          <w:sz w:val="22"/>
          <w:u w:val="single"/>
        </w:rPr>
        <w:t xml:space="preserve"> DE </w:t>
      </w:r>
      <w:r w:rsidR="0033022A">
        <w:rPr>
          <w:rFonts w:cs="Arial"/>
          <w:b/>
          <w:sz w:val="22"/>
          <w:u w:val="single"/>
        </w:rPr>
        <w:t>NOVIEMBRE</w:t>
      </w:r>
      <w:r>
        <w:rPr>
          <w:rFonts w:cs="Arial"/>
          <w:b/>
          <w:sz w:val="22"/>
          <w:u w:val="single"/>
        </w:rPr>
        <w:t xml:space="preserve"> DE 2019</w:t>
      </w:r>
    </w:p>
    <w:p w14:paraId="126FFBA9"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6D1635B8" w14:textId="77777777" w:rsidR="00C27EF8" w:rsidRDefault="00C27EF8" w:rsidP="00C27EF8">
      <w:pPr>
        <w:spacing w:line="360" w:lineRule="auto"/>
        <w:ind w:right="51"/>
        <w:jc w:val="center"/>
        <w:rPr>
          <w:rFonts w:cs="Arial"/>
          <w:b/>
          <w:sz w:val="22"/>
          <w:u w:val="single"/>
        </w:rPr>
      </w:pPr>
    </w:p>
    <w:p w14:paraId="0817BDF2" w14:textId="61E596E2"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 xml:space="preserve">diecisiete horas en la sede del BANHVI, con la asistencia de los siguientes Directores: </w:t>
      </w:r>
      <w:r w:rsidR="00F10DED">
        <w:rPr>
          <w:rFonts w:cs="Arial"/>
          <w:sz w:val="22"/>
        </w:rPr>
        <w:t xml:space="preserve">Marian Pérez Gutiérrez, quien preside; </w:t>
      </w:r>
      <w:r>
        <w:rPr>
          <w:rFonts w:cs="Arial"/>
          <w:sz w:val="22"/>
        </w:rPr>
        <w:t>Guillermo Alvarado Herrera, Kenneth Pérez Venegas y Eloísa Ulibarri Pernús.</w:t>
      </w:r>
      <w:r w:rsidR="00A43F5D" w:rsidRPr="00A43F5D">
        <w:rPr>
          <w:rFonts w:cs="Arial"/>
          <w:sz w:val="22"/>
        </w:rPr>
        <w:t xml:space="preserve"> </w:t>
      </w:r>
      <w:r w:rsidR="00A43F5D">
        <w:rPr>
          <w:rFonts w:cs="Arial"/>
          <w:sz w:val="22"/>
        </w:rPr>
        <w:t>El Director Jorge Carranza González, se incorpora a la sesión a partir del minuto</w:t>
      </w:r>
      <w:r w:rsidR="00E40B7F">
        <w:rPr>
          <w:rFonts w:cs="Arial"/>
          <w:sz w:val="22"/>
        </w:rPr>
        <w:t xml:space="preserve"> 18:30.</w:t>
      </w:r>
    </w:p>
    <w:p w14:paraId="11DEA82F" w14:textId="77777777" w:rsidR="00C27EF8" w:rsidRDefault="00C27EF8" w:rsidP="00C27EF8">
      <w:pPr>
        <w:spacing w:line="360" w:lineRule="auto"/>
        <w:jc w:val="both"/>
        <w:rPr>
          <w:rFonts w:cs="Arial"/>
          <w:sz w:val="22"/>
        </w:rPr>
      </w:pPr>
    </w:p>
    <w:p w14:paraId="25E6E08D" w14:textId="45E399A2" w:rsidR="00C27EF8" w:rsidRDefault="00C27EF8" w:rsidP="00C27EF8">
      <w:pPr>
        <w:spacing w:line="360" w:lineRule="auto"/>
        <w:jc w:val="both"/>
        <w:rPr>
          <w:rFonts w:cs="Arial"/>
          <w:sz w:val="22"/>
        </w:rPr>
      </w:pPr>
      <w:r>
        <w:rPr>
          <w:rFonts w:cs="Arial"/>
          <w:sz w:val="22"/>
        </w:rPr>
        <w:t xml:space="preserve">Asisten también los siguientes funcionarios: </w:t>
      </w:r>
      <w:r w:rsidR="00F10DED">
        <w:rPr>
          <w:rFonts w:cs="Arial"/>
          <w:sz w:val="22"/>
        </w:rPr>
        <w:t xml:space="preserve">Mauricio González Zumbado, funcionario de la </w:t>
      </w:r>
      <w:r w:rsidR="00F10DED" w:rsidRPr="00F10DED">
        <w:rPr>
          <w:rFonts w:cs="Arial"/>
          <w:sz w:val="22"/>
          <w:szCs w:val="22"/>
          <w:lang w:val="es-CR"/>
        </w:rPr>
        <w:t>Auditoría Interna</w:t>
      </w:r>
      <w:r>
        <w:rPr>
          <w:rFonts w:cs="Arial"/>
          <w:sz w:val="22"/>
        </w:rPr>
        <w:t>; y David López Pacheco, Secretario de Junta Directiva.</w:t>
      </w:r>
      <w:r w:rsidR="00F10DED" w:rsidRPr="00F10DED">
        <w:rPr>
          <w:rFonts w:cs="Arial"/>
          <w:sz w:val="22"/>
        </w:rPr>
        <w:t xml:space="preserve"> </w:t>
      </w:r>
      <w:r w:rsidR="00F10DED">
        <w:rPr>
          <w:rFonts w:cs="Arial"/>
          <w:sz w:val="22"/>
        </w:rPr>
        <w:t>Los funcionarios Carlos Castro Miranda, Gerente General a.i.,</w:t>
      </w:r>
      <w:r w:rsidR="00F10DED" w:rsidRPr="00F10DED">
        <w:rPr>
          <w:rFonts w:cs="Arial"/>
          <w:sz w:val="22"/>
        </w:rPr>
        <w:t xml:space="preserve"> </w:t>
      </w:r>
      <w:r w:rsidR="00F10DED">
        <w:rPr>
          <w:rFonts w:cs="Arial"/>
          <w:sz w:val="22"/>
        </w:rPr>
        <w:t xml:space="preserve">y Ericka Masís Calderón, representante de la </w:t>
      </w:r>
      <w:r w:rsidR="00F10DED" w:rsidRPr="00F10DED">
        <w:rPr>
          <w:rFonts w:cs="Arial"/>
          <w:sz w:val="22"/>
          <w:lang w:val="es-ES_tradnl"/>
        </w:rPr>
        <w:t>Asesoría Legal</w:t>
      </w:r>
      <w:r w:rsidR="00F10DED">
        <w:rPr>
          <w:rFonts w:cs="Arial"/>
          <w:sz w:val="22"/>
          <w:lang w:val="es-ES_tradnl"/>
        </w:rPr>
        <w:t>, se incorporan a la sesión a partir de los minutos 03:00 y 18:30 respectivamente.</w:t>
      </w:r>
    </w:p>
    <w:p w14:paraId="25415405" w14:textId="77777777" w:rsidR="00C27EF8" w:rsidRDefault="00C27EF8" w:rsidP="00C27EF8">
      <w:pPr>
        <w:spacing w:line="360" w:lineRule="auto"/>
        <w:jc w:val="both"/>
        <w:rPr>
          <w:rFonts w:cs="Arial"/>
          <w:sz w:val="22"/>
        </w:rPr>
      </w:pPr>
    </w:p>
    <w:p w14:paraId="564112A4" w14:textId="41C8606A" w:rsidR="00C27EF8" w:rsidRDefault="00C27EF8" w:rsidP="00C27EF8">
      <w:pPr>
        <w:spacing w:line="360" w:lineRule="auto"/>
        <w:jc w:val="both"/>
        <w:rPr>
          <w:rFonts w:cs="Arial"/>
          <w:sz w:val="22"/>
        </w:rPr>
      </w:pPr>
      <w:r>
        <w:rPr>
          <w:rFonts w:cs="Arial"/>
          <w:sz w:val="22"/>
        </w:rPr>
        <w:t>Ausente</w:t>
      </w:r>
      <w:r w:rsidR="00917196">
        <w:rPr>
          <w:rFonts w:cs="Arial"/>
          <w:sz w:val="22"/>
        </w:rPr>
        <w:t>s</w:t>
      </w:r>
      <w:r>
        <w:rPr>
          <w:rFonts w:cs="Arial"/>
          <w:sz w:val="22"/>
        </w:rPr>
        <w:t xml:space="preserve"> con justificación:</w:t>
      </w:r>
      <w:r w:rsidR="00917196" w:rsidRPr="00917196">
        <w:rPr>
          <w:rFonts w:cs="Arial"/>
          <w:sz w:val="22"/>
        </w:rPr>
        <w:t xml:space="preserve"> </w:t>
      </w:r>
      <w:r w:rsidR="00917196">
        <w:rPr>
          <w:rFonts w:cs="Arial"/>
          <w:sz w:val="22"/>
        </w:rPr>
        <w:t xml:space="preserve">Irene Campos Gómez, Presidenta; Dania Chavarría Núñez, Vicepresidenta; </w:t>
      </w:r>
      <w:r w:rsidR="00F10DED">
        <w:rPr>
          <w:rFonts w:cs="Arial"/>
          <w:sz w:val="22"/>
        </w:rPr>
        <w:t xml:space="preserve">y Gustavo Flores Oviedo, </w:t>
      </w:r>
      <w:r w:rsidR="00F10DED">
        <w:rPr>
          <w:rFonts w:cs="Arial"/>
          <w:sz w:val="22"/>
          <w:szCs w:val="22"/>
        </w:rPr>
        <w:t>Auditor Interno.</w:t>
      </w:r>
    </w:p>
    <w:p w14:paraId="1974FAB7" w14:textId="77777777" w:rsidR="00C27EF8" w:rsidRPr="00D14EAF" w:rsidRDefault="00C27EF8" w:rsidP="00C27EF8">
      <w:pPr>
        <w:spacing w:line="360" w:lineRule="auto"/>
        <w:jc w:val="both"/>
        <w:rPr>
          <w:rFonts w:cs="Arial"/>
          <w:b/>
          <w:sz w:val="22"/>
        </w:rPr>
      </w:pPr>
      <w:r w:rsidRPr="00D14EAF">
        <w:rPr>
          <w:rFonts w:cs="Arial"/>
          <w:b/>
          <w:sz w:val="22"/>
        </w:rPr>
        <w:t>************</w:t>
      </w:r>
    </w:p>
    <w:p w14:paraId="37C30FDA" w14:textId="77777777" w:rsidR="00C27EF8" w:rsidRDefault="00C27EF8" w:rsidP="00C27EF8">
      <w:pPr>
        <w:spacing w:line="360" w:lineRule="auto"/>
        <w:jc w:val="both"/>
        <w:rPr>
          <w:rFonts w:cs="Arial"/>
          <w:sz w:val="22"/>
        </w:rPr>
      </w:pPr>
    </w:p>
    <w:p w14:paraId="51440213" w14:textId="77777777" w:rsidR="00C27EF8" w:rsidRDefault="00C27EF8" w:rsidP="00C27EF8">
      <w:pPr>
        <w:pStyle w:val="Ttulo4"/>
        <w:spacing w:line="360" w:lineRule="auto"/>
        <w:jc w:val="both"/>
        <w:rPr>
          <w:rFonts w:cs="Arial"/>
        </w:rPr>
      </w:pPr>
      <w:r>
        <w:rPr>
          <w:rFonts w:cs="Arial"/>
        </w:rPr>
        <w:t>Asuntos conocidos en la presente sesión</w:t>
      </w:r>
    </w:p>
    <w:p w14:paraId="3910719D" w14:textId="77777777" w:rsidR="00C27EF8" w:rsidRDefault="00C27EF8" w:rsidP="00C27EF8">
      <w:pPr>
        <w:spacing w:line="360" w:lineRule="auto"/>
        <w:jc w:val="both"/>
        <w:rPr>
          <w:rFonts w:cs="Arial"/>
          <w:b/>
          <w:sz w:val="22"/>
        </w:rPr>
      </w:pPr>
    </w:p>
    <w:p w14:paraId="46E35E4A"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1BA516F3" w14:textId="77777777" w:rsidR="00717000" w:rsidRPr="004A2F41" w:rsidRDefault="00717000" w:rsidP="004A2F41">
      <w:pPr>
        <w:pStyle w:val="Prrafodelista"/>
        <w:numPr>
          <w:ilvl w:val="0"/>
          <w:numId w:val="21"/>
        </w:numPr>
        <w:spacing w:line="360" w:lineRule="auto"/>
        <w:ind w:left="426" w:hanging="426"/>
        <w:jc w:val="both"/>
        <w:rPr>
          <w:rFonts w:cs="Arial"/>
          <w:sz w:val="22"/>
          <w:lang w:val="es-ES_tradnl"/>
        </w:rPr>
      </w:pPr>
      <w:r w:rsidRPr="004A2F41">
        <w:rPr>
          <w:rFonts w:cs="Arial"/>
          <w:sz w:val="22"/>
          <w:lang w:val="es-ES_tradnl"/>
        </w:rPr>
        <w:t>Solicitud de cambio de partida presupuestaria de tres casos de emergencia.</w:t>
      </w:r>
    </w:p>
    <w:p w14:paraId="276E287E" w14:textId="77777777" w:rsidR="00717000" w:rsidRPr="004A2F41" w:rsidRDefault="00717000" w:rsidP="004A2F41">
      <w:pPr>
        <w:pStyle w:val="Prrafodelista"/>
        <w:numPr>
          <w:ilvl w:val="0"/>
          <w:numId w:val="21"/>
        </w:numPr>
        <w:spacing w:line="360" w:lineRule="auto"/>
        <w:ind w:left="426" w:hanging="426"/>
        <w:jc w:val="both"/>
        <w:rPr>
          <w:rFonts w:cs="Arial"/>
          <w:sz w:val="22"/>
          <w:lang w:val="es-ES_tradnl"/>
        </w:rPr>
      </w:pPr>
      <w:r w:rsidRPr="004A2F41">
        <w:rPr>
          <w:rFonts w:cs="Arial"/>
          <w:sz w:val="22"/>
          <w:lang w:val="es-ES_tradnl"/>
        </w:rPr>
        <w:t xml:space="preserve">Análisis de situación de casos de Bono ordinario con servidumbres inscritas y no inscritas. </w:t>
      </w:r>
    </w:p>
    <w:p w14:paraId="481436CD" w14:textId="77777777" w:rsidR="00717000" w:rsidRPr="004A2F41" w:rsidRDefault="00717000" w:rsidP="004A2F41">
      <w:pPr>
        <w:pStyle w:val="Prrafodelista"/>
        <w:numPr>
          <w:ilvl w:val="0"/>
          <w:numId w:val="21"/>
        </w:numPr>
        <w:spacing w:line="360" w:lineRule="auto"/>
        <w:ind w:left="426" w:hanging="426"/>
        <w:jc w:val="both"/>
        <w:rPr>
          <w:rFonts w:cs="Arial"/>
          <w:sz w:val="22"/>
          <w:lang w:val="es-ES_tradnl"/>
        </w:rPr>
      </w:pPr>
      <w:r w:rsidRPr="004A2F41">
        <w:rPr>
          <w:rFonts w:cs="Arial"/>
          <w:sz w:val="22"/>
          <w:lang w:val="es-ES_tradnl"/>
        </w:rPr>
        <w:t>Presentación de informe bisemanal sobre el avance en la ejecución de las actividades de los proyectos del Sistema de Apoyo a la Gestión Financiera, Rediseño del Sistema de Vivienda y Expediente Electrónico-Fase II</w:t>
      </w:r>
      <w:r w:rsidR="00DF5A0F" w:rsidRPr="004A2F41">
        <w:rPr>
          <w:rFonts w:cs="Arial"/>
          <w:sz w:val="22"/>
          <w:lang w:val="es-ES_tradnl"/>
        </w:rPr>
        <w:t>.</w:t>
      </w:r>
    </w:p>
    <w:p w14:paraId="4A8725D2" w14:textId="77777777" w:rsidR="00717000" w:rsidRPr="004A2F41" w:rsidRDefault="00717000" w:rsidP="004A2F41">
      <w:pPr>
        <w:pStyle w:val="Prrafodelista"/>
        <w:numPr>
          <w:ilvl w:val="0"/>
          <w:numId w:val="21"/>
        </w:numPr>
        <w:spacing w:line="360" w:lineRule="auto"/>
        <w:ind w:left="426" w:hanging="426"/>
        <w:jc w:val="both"/>
        <w:rPr>
          <w:rFonts w:cs="Arial"/>
          <w:sz w:val="22"/>
          <w:lang w:val="es-ES_tradnl"/>
        </w:rPr>
      </w:pPr>
      <w:r w:rsidRPr="004A2F41">
        <w:rPr>
          <w:rFonts w:cs="Arial"/>
          <w:sz w:val="22"/>
          <w:lang w:val="es-ES_tradnl"/>
        </w:rPr>
        <w:t>Informes de Ejecución del Plan Estratégico de Tecnología de Información con corte abril y agosto 2019.</w:t>
      </w:r>
    </w:p>
    <w:p w14:paraId="3DC2D0D7" w14:textId="77777777" w:rsidR="00717000" w:rsidRPr="004A2F41" w:rsidRDefault="00717000" w:rsidP="004A2F41">
      <w:pPr>
        <w:pStyle w:val="Prrafodelista"/>
        <w:numPr>
          <w:ilvl w:val="0"/>
          <w:numId w:val="21"/>
        </w:numPr>
        <w:spacing w:line="360" w:lineRule="auto"/>
        <w:ind w:left="426" w:hanging="426"/>
        <w:jc w:val="both"/>
        <w:rPr>
          <w:rFonts w:cs="Arial"/>
          <w:sz w:val="22"/>
          <w:lang w:val="es-ES_tradnl"/>
        </w:rPr>
      </w:pPr>
      <w:r w:rsidRPr="004A2F41">
        <w:rPr>
          <w:rFonts w:cs="Arial"/>
          <w:sz w:val="22"/>
        </w:rPr>
        <w:t>Informe sobre la gestión del FONAVI, al 30 de setiembre de 2019.</w:t>
      </w:r>
    </w:p>
    <w:p w14:paraId="75D2A2FE" w14:textId="77777777" w:rsidR="00AE4D1A" w:rsidRPr="004A2F41" w:rsidRDefault="00717000" w:rsidP="004A2F41">
      <w:pPr>
        <w:pStyle w:val="Prrafodelista"/>
        <w:numPr>
          <w:ilvl w:val="0"/>
          <w:numId w:val="21"/>
        </w:numPr>
        <w:spacing w:line="360" w:lineRule="auto"/>
        <w:ind w:left="426" w:hanging="426"/>
        <w:jc w:val="both"/>
        <w:rPr>
          <w:rFonts w:cs="Arial"/>
          <w:sz w:val="22"/>
        </w:rPr>
      </w:pPr>
      <w:r w:rsidRPr="004A2F41">
        <w:rPr>
          <w:rFonts w:cs="Arial"/>
          <w:sz w:val="22"/>
        </w:rPr>
        <w:lastRenderedPageBreak/>
        <w:t>Informe sobre la situación financiera de las entidades autorizadas, al 30 de setiembre de 2019.</w:t>
      </w:r>
    </w:p>
    <w:p w14:paraId="2CC3D0C7" w14:textId="77777777" w:rsidR="00C27EF8" w:rsidRPr="00D14EAF" w:rsidRDefault="00C27EF8" w:rsidP="00C27EF8">
      <w:pPr>
        <w:spacing w:line="360" w:lineRule="auto"/>
        <w:jc w:val="both"/>
        <w:rPr>
          <w:rFonts w:cs="Arial"/>
          <w:b/>
          <w:sz w:val="22"/>
        </w:rPr>
      </w:pPr>
      <w:r w:rsidRPr="00D14EAF">
        <w:rPr>
          <w:rFonts w:cs="Arial"/>
          <w:b/>
          <w:sz w:val="22"/>
        </w:rPr>
        <w:t>************</w:t>
      </w:r>
    </w:p>
    <w:p w14:paraId="6F2D2859" w14:textId="77777777" w:rsidR="00C27EF8" w:rsidRPr="00AB2826" w:rsidRDefault="00C27EF8" w:rsidP="00C27EF8">
      <w:pPr>
        <w:spacing w:line="360" w:lineRule="auto"/>
        <w:jc w:val="both"/>
        <w:rPr>
          <w:rFonts w:cs="Arial"/>
          <w:b/>
          <w:sz w:val="22"/>
          <w:szCs w:val="22"/>
          <w:u w:val="single"/>
          <w:lang w:val="es-ES_tradnl"/>
        </w:rPr>
      </w:pPr>
    </w:p>
    <w:p w14:paraId="3271D82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6854A1" w:rsidRPr="00717000">
        <w:rPr>
          <w:rFonts w:cs="Arial"/>
          <w:b/>
          <w:bCs/>
          <w:sz w:val="22"/>
          <w:u w:val="single"/>
          <w:lang w:val="es-ES_tradnl"/>
        </w:rPr>
        <w:t>Solicitud de cambio de partida presupuestaria de tres casos de emergencia</w:t>
      </w:r>
    </w:p>
    <w:p w14:paraId="547EAA95" w14:textId="77777777" w:rsidR="00C27EF8" w:rsidRDefault="00C27EF8" w:rsidP="00C27EF8">
      <w:pPr>
        <w:spacing w:line="360" w:lineRule="auto"/>
        <w:jc w:val="both"/>
        <w:rPr>
          <w:rFonts w:cs="Arial"/>
          <w:sz w:val="22"/>
          <w:szCs w:val="22"/>
        </w:rPr>
      </w:pPr>
    </w:p>
    <w:p w14:paraId="1A63027A" w14:textId="44F8D719" w:rsidR="006378FD" w:rsidRDefault="006378FD" w:rsidP="006378FD">
      <w:pPr>
        <w:spacing w:line="360" w:lineRule="auto"/>
        <w:jc w:val="both"/>
        <w:rPr>
          <w:rFonts w:cs="Arial"/>
          <w:bCs/>
          <w:sz w:val="22"/>
        </w:rPr>
      </w:pPr>
      <w:r w:rsidRPr="0039311E">
        <w:rPr>
          <w:rFonts w:cs="Arial"/>
          <w:sz w:val="22"/>
          <w:u w:val="single"/>
          <w:lang w:val="es-ES_tradnl"/>
        </w:rPr>
        <w:t xml:space="preserve">Minuto </w:t>
      </w:r>
      <w:r w:rsidR="00BB6DEA">
        <w:rPr>
          <w:rFonts w:cs="Arial"/>
          <w:sz w:val="22"/>
          <w:u w:val="single"/>
          <w:lang w:val="es-ES_tradnl"/>
        </w:rPr>
        <w:t>01</w:t>
      </w:r>
      <w:r>
        <w:rPr>
          <w:rFonts w:cs="Arial"/>
          <w:sz w:val="22"/>
          <w:u w:val="single"/>
          <w:lang w:val="es-ES_tradnl"/>
        </w:rPr>
        <w:t>:</w:t>
      </w:r>
      <w:r w:rsidR="00BB6DEA">
        <w:rPr>
          <w:rFonts w:cs="Arial"/>
          <w:sz w:val="22"/>
          <w:u w:val="single"/>
          <w:lang w:val="es-ES_tradnl"/>
        </w:rPr>
        <w:t>18</w:t>
      </w:r>
      <w:r>
        <w:rPr>
          <w:rFonts w:cs="Arial"/>
          <w:sz w:val="22"/>
          <w:lang w:val="es-ES_tradnl"/>
        </w:rPr>
        <w:t xml:space="preserve"> Se conoce el oficio</w:t>
      </w:r>
      <w:r>
        <w:rPr>
          <w:rFonts w:cs="Arial"/>
          <w:bCs/>
          <w:sz w:val="22"/>
        </w:rPr>
        <w:t xml:space="preserve"> </w:t>
      </w:r>
      <w:r w:rsidR="00BB6DEA">
        <w:rPr>
          <w:rFonts w:cs="Arial"/>
          <w:bCs/>
          <w:sz w:val="22"/>
        </w:rPr>
        <w:t xml:space="preserve">GG-ME-1161-2019 del 06 de noviembre de 2019, mediante el cual, la Gerencia General remite y avala el informe </w:t>
      </w:r>
      <w:r w:rsidR="00BB6DEA">
        <w:rPr>
          <w:rFonts w:cs="Arial"/>
          <w:sz w:val="22"/>
          <w:szCs w:val="22"/>
        </w:rPr>
        <w:t>DF</w:t>
      </w:r>
      <w:r w:rsidR="00BB6DEA" w:rsidRPr="00B35EAF">
        <w:rPr>
          <w:rFonts w:cs="Arial"/>
          <w:sz w:val="22"/>
          <w:szCs w:val="22"/>
        </w:rPr>
        <w:t>-OF-</w:t>
      </w:r>
      <w:r w:rsidR="00BB6DEA">
        <w:rPr>
          <w:rFonts w:cs="Arial"/>
          <w:sz w:val="22"/>
          <w:szCs w:val="22"/>
        </w:rPr>
        <w:t>1304</w:t>
      </w:r>
      <w:r w:rsidR="00BB6DEA" w:rsidRPr="00B35EAF">
        <w:rPr>
          <w:rFonts w:cs="Arial"/>
          <w:sz w:val="22"/>
          <w:szCs w:val="22"/>
        </w:rPr>
        <w:t>-201</w:t>
      </w:r>
      <w:r w:rsidR="00BB6DEA">
        <w:rPr>
          <w:rFonts w:cs="Arial"/>
          <w:sz w:val="22"/>
          <w:szCs w:val="22"/>
        </w:rPr>
        <w:t xml:space="preserve">9 de la </w:t>
      </w:r>
      <w:r w:rsidR="00BB6DEA" w:rsidRPr="00B35EAF">
        <w:rPr>
          <w:rFonts w:cs="Arial"/>
          <w:sz w:val="22"/>
          <w:szCs w:val="22"/>
        </w:rPr>
        <w:t>Dirección FOSUVI</w:t>
      </w:r>
      <w:r w:rsidR="00BB6DEA">
        <w:rPr>
          <w:rFonts w:cs="Arial"/>
          <w:bCs/>
          <w:sz w:val="22"/>
        </w:rPr>
        <w:t xml:space="preserve">, que contiene una solicitud para financiar con el Fondo Nacional de Emergencias y al amparo del </w:t>
      </w:r>
      <w:r w:rsidR="00BB6DEA" w:rsidRPr="0080398E">
        <w:rPr>
          <w:color w:val="000000"/>
          <w:sz w:val="22"/>
          <w:szCs w:val="22"/>
        </w:rPr>
        <w:t>Convenio de Traspaso de Recursos de la Comisión Nacional de Prevención de Riesgos y Atención de Emergencias</w:t>
      </w:r>
      <w:r w:rsidR="00BB6DEA">
        <w:rPr>
          <w:color w:val="000000"/>
          <w:sz w:val="22"/>
          <w:szCs w:val="22"/>
        </w:rPr>
        <w:t xml:space="preserve">, </w:t>
      </w:r>
      <w:r w:rsidR="00BB6DEA">
        <w:rPr>
          <w:rFonts w:cs="Arial"/>
          <w:bCs/>
          <w:sz w:val="22"/>
        </w:rPr>
        <w:t>tres operaciones de Bono individuales para familias damnificadas por la emergencia del huracán Otto, con afectaciones en sus viviendas y cuyos subsidios fueron originalmente aprobados con fondos del Fondo de Subsidios para la Vivienda.</w:t>
      </w:r>
      <w:r>
        <w:rPr>
          <w:rFonts w:cs="Arial"/>
          <w:bCs/>
          <w:sz w:val="22"/>
        </w:rPr>
        <w:t xml:space="preserve">  Dichos documentos se anexan al expediente del acta.</w:t>
      </w:r>
    </w:p>
    <w:p w14:paraId="6362CED2" w14:textId="77777777" w:rsidR="006378FD" w:rsidRDefault="006378FD" w:rsidP="006378FD">
      <w:pPr>
        <w:spacing w:line="360" w:lineRule="auto"/>
        <w:jc w:val="both"/>
        <w:rPr>
          <w:rFonts w:cs="Arial"/>
          <w:sz w:val="22"/>
          <w:szCs w:val="22"/>
        </w:rPr>
      </w:pPr>
    </w:p>
    <w:p w14:paraId="19D6CC50" w14:textId="672446F1" w:rsidR="006378FD" w:rsidRDefault="006378FD" w:rsidP="006378FD">
      <w:pPr>
        <w:spacing w:line="360" w:lineRule="auto"/>
        <w:jc w:val="both"/>
        <w:rPr>
          <w:rFonts w:cs="Arial"/>
          <w:sz w:val="22"/>
          <w:szCs w:val="22"/>
        </w:rPr>
      </w:pPr>
      <w:r w:rsidRPr="00A21797">
        <w:rPr>
          <w:rFonts w:cs="Arial"/>
          <w:bCs/>
          <w:sz w:val="22"/>
          <w:szCs w:val="22"/>
          <w:u w:val="single"/>
        </w:rPr>
        <w:t xml:space="preserve">Minuto </w:t>
      </w:r>
      <w:r w:rsidR="00BB6DEA">
        <w:rPr>
          <w:rFonts w:cs="Arial"/>
          <w:bCs/>
          <w:sz w:val="22"/>
          <w:szCs w:val="22"/>
          <w:u w:val="single"/>
        </w:rPr>
        <w:t>03</w:t>
      </w:r>
      <w:r w:rsidRPr="00A21797">
        <w:rPr>
          <w:rFonts w:cs="Arial"/>
          <w:bCs/>
          <w:sz w:val="22"/>
          <w:szCs w:val="22"/>
          <w:u w:val="single"/>
        </w:rPr>
        <w:t>:</w:t>
      </w:r>
      <w:r w:rsidR="00BB6DEA">
        <w:rPr>
          <w:rFonts w:cs="Arial"/>
          <w:bCs/>
          <w:sz w:val="22"/>
          <w:szCs w:val="22"/>
          <w:u w:val="single"/>
        </w:rPr>
        <w:t>30</w:t>
      </w:r>
      <w:r>
        <w:rPr>
          <w:rFonts w:cs="Arial"/>
          <w:bCs/>
          <w:sz w:val="22"/>
          <w:szCs w:val="22"/>
        </w:rPr>
        <w:t xml:space="preserve"> </w:t>
      </w:r>
      <w:r w:rsidR="00BB6DEA">
        <w:rPr>
          <w:rFonts w:cs="Arial"/>
          <w:bCs/>
          <w:sz w:val="22"/>
          <w:szCs w:val="22"/>
        </w:rPr>
        <w:t xml:space="preserve">Conocida la propuesta de la Dirección FOSUVI y no </w:t>
      </w:r>
      <w:r>
        <w:rPr>
          <w:rFonts w:cs="Arial"/>
          <w:bCs/>
          <w:sz w:val="22"/>
          <w:szCs w:val="22"/>
        </w:rPr>
        <w:t xml:space="preserve">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BB6DEA">
        <w:rPr>
          <w:rFonts w:cs="Arial"/>
          <w:b/>
          <w:sz w:val="22"/>
          <w:szCs w:val="22"/>
        </w:rPr>
        <w:t>1</w:t>
      </w:r>
      <w:r>
        <w:rPr>
          <w:rFonts w:cs="Arial"/>
          <w:b/>
          <w:sz w:val="22"/>
          <w:szCs w:val="22"/>
        </w:rPr>
        <w:t xml:space="preserve"> </w:t>
      </w:r>
      <w:r>
        <w:rPr>
          <w:rFonts w:cs="Arial"/>
          <w:sz w:val="22"/>
          <w:szCs w:val="22"/>
        </w:rPr>
        <w:t>que se anexa a esta minuta.</w:t>
      </w:r>
    </w:p>
    <w:p w14:paraId="6068CB7D" w14:textId="77777777" w:rsidR="00C27EF8" w:rsidRPr="00D14EAF" w:rsidRDefault="00C27EF8" w:rsidP="00C27EF8">
      <w:pPr>
        <w:spacing w:line="360" w:lineRule="auto"/>
        <w:jc w:val="both"/>
        <w:rPr>
          <w:rFonts w:cs="Arial"/>
          <w:b/>
          <w:sz w:val="22"/>
        </w:rPr>
      </w:pPr>
      <w:r w:rsidRPr="00D14EAF">
        <w:rPr>
          <w:rFonts w:cs="Arial"/>
          <w:b/>
          <w:sz w:val="22"/>
        </w:rPr>
        <w:t>************</w:t>
      </w:r>
    </w:p>
    <w:p w14:paraId="2F535D9E" w14:textId="77777777" w:rsidR="00C27EF8" w:rsidRDefault="00C27EF8" w:rsidP="00C27EF8">
      <w:pPr>
        <w:spacing w:line="360" w:lineRule="auto"/>
        <w:jc w:val="both"/>
        <w:rPr>
          <w:rFonts w:cs="Arial"/>
          <w:b/>
          <w:sz w:val="22"/>
          <w:szCs w:val="22"/>
          <w:u w:val="single"/>
          <w:lang w:val="es-ES_tradnl"/>
        </w:rPr>
      </w:pPr>
    </w:p>
    <w:p w14:paraId="2C3B3CC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6854A1" w:rsidRPr="00717000">
        <w:rPr>
          <w:rFonts w:cs="Arial"/>
          <w:b/>
          <w:bCs/>
          <w:sz w:val="22"/>
          <w:u w:val="single"/>
          <w:lang w:val="es-ES_tradnl"/>
        </w:rPr>
        <w:t>Análisis de situación de casos de Bono ordinario con servidumbres inscritas y no inscritas</w:t>
      </w:r>
    </w:p>
    <w:p w14:paraId="7796A774" w14:textId="77777777" w:rsidR="00C27EF8" w:rsidRDefault="00C27EF8" w:rsidP="00C27EF8">
      <w:pPr>
        <w:spacing w:line="360" w:lineRule="auto"/>
        <w:jc w:val="both"/>
        <w:rPr>
          <w:rFonts w:cs="Arial"/>
          <w:sz w:val="22"/>
          <w:szCs w:val="22"/>
        </w:rPr>
      </w:pPr>
    </w:p>
    <w:p w14:paraId="06220AB4" w14:textId="317EE149" w:rsidR="00E40B7F" w:rsidRDefault="00AE4D1A" w:rsidP="00E40B7F">
      <w:pPr>
        <w:spacing w:line="360" w:lineRule="auto"/>
        <w:jc w:val="both"/>
        <w:rPr>
          <w:rFonts w:cs="Arial"/>
          <w:sz w:val="22"/>
          <w:szCs w:val="22"/>
          <w:lang w:val="es-CR"/>
        </w:rPr>
      </w:pPr>
      <w:r w:rsidRPr="0039311E">
        <w:rPr>
          <w:rFonts w:cs="Arial"/>
          <w:sz w:val="22"/>
          <w:u w:val="single"/>
          <w:lang w:val="es-ES_tradnl"/>
        </w:rPr>
        <w:t xml:space="preserve">Minuto </w:t>
      </w:r>
      <w:r w:rsidR="00BB6DEA">
        <w:rPr>
          <w:rFonts w:cs="Arial"/>
          <w:sz w:val="22"/>
          <w:u w:val="single"/>
          <w:lang w:val="es-ES_tradnl"/>
        </w:rPr>
        <w:t>03</w:t>
      </w:r>
      <w:r w:rsidRPr="0039311E">
        <w:rPr>
          <w:rFonts w:cs="Arial"/>
          <w:sz w:val="22"/>
          <w:u w:val="single"/>
          <w:lang w:val="es-ES_tradnl"/>
        </w:rPr>
        <w:t>:</w:t>
      </w:r>
      <w:r w:rsidR="00BB6DEA">
        <w:rPr>
          <w:rFonts w:cs="Arial"/>
          <w:sz w:val="22"/>
          <w:u w:val="single"/>
          <w:lang w:val="es-ES_tradnl"/>
        </w:rPr>
        <w:t>50</w:t>
      </w:r>
      <w:r>
        <w:rPr>
          <w:rFonts w:cs="Arial"/>
          <w:sz w:val="22"/>
          <w:lang w:val="es-ES_tradnl"/>
        </w:rPr>
        <w:t xml:space="preserve"> </w:t>
      </w:r>
      <w:r w:rsidR="00E40B7F">
        <w:rPr>
          <w:rFonts w:cs="Arial"/>
          <w:sz w:val="22"/>
          <w:lang w:val="es-ES_tradnl"/>
        </w:rPr>
        <w:t xml:space="preserve">De conformidad con lo resuelto en la sesión 84-2019, del pasado 28 de octubre, se procede a analizar el tema relacionado con el </w:t>
      </w:r>
      <w:r w:rsidR="00E40B7F">
        <w:rPr>
          <w:rFonts w:cs="Arial"/>
          <w:sz w:val="22"/>
          <w:szCs w:val="22"/>
          <w:lang w:val="es-CR"/>
        </w:rPr>
        <w:t>trámite de bonos con s</w:t>
      </w:r>
      <w:r w:rsidR="00E40B7F" w:rsidRPr="00DB3026">
        <w:rPr>
          <w:rFonts w:cs="Arial"/>
          <w:sz w:val="22"/>
          <w:szCs w:val="22"/>
          <w:lang w:val="es-CR"/>
        </w:rPr>
        <w:t>ervidumbres inscritas con menos de 6 metros de ancho</w:t>
      </w:r>
      <w:r w:rsidR="00E40B7F">
        <w:rPr>
          <w:rFonts w:cs="Arial"/>
          <w:sz w:val="22"/>
          <w:szCs w:val="22"/>
          <w:lang w:val="es-CR"/>
        </w:rPr>
        <w:t xml:space="preserve">, con servidumbres </w:t>
      </w:r>
      <w:r w:rsidR="00E40B7F" w:rsidRPr="00DB3026">
        <w:rPr>
          <w:rFonts w:cs="Arial"/>
          <w:sz w:val="22"/>
          <w:szCs w:val="22"/>
          <w:lang w:val="es-CR"/>
        </w:rPr>
        <w:t>inscritas con más de 6 viviendas</w:t>
      </w:r>
      <w:r w:rsidR="00E40B7F">
        <w:rPr>
          <w:rFonts w:cs="Arial"/>
          <w:sz w:val="22"/>
          <w:szCs w:val="22"/>
          <w:lang w:val="es-CR"/>
        </w:rPr>
        <w:t xml:space="preserve"> y con </w:t>
      </w:r>
      <w:r w:rsidR="00E40B7F" w:rsidRPr="00DB3026">
        <w:rPr>
          <w:rFonts w:cs="Arial"/>
          <w:sz w:val="22"/>
          <w:szCs w:val="22"/>
          <w:lang w:val="es-CR"/>
        </w:rPr>
        <w:t>servidumbres no inscritas</w:t>
      </w:r>
      <w:r w:rsidR="00E40B7F">
        <w:rPr>
          <w:rFonts w:cs="Arial"/>
          <w:sz w:val="22"/>
          <w:szCs w:val="22"/>
          <w:lang w:val="es-CR"/>
        </w:rPr>
        <w:t>.</w:t>
      </w:r>
    </w:p>
    <w:p w14:paraId="69A30A32" w14:textId="5F0C8F2C" w:rsidR="00AE4D1A" w:rsidRDefault="00AE4D1A" w:rsidP="00AE4D1A">
      <w:pPr>
        <w:spacing w:line="360" w:lineRule="auto"/>
        <w:jc w:val="both"/>
        <w:rPr>
          <w:rFonts w:cs="Arial"/>
          <w:sz w:val="22"/>
          <w:lang w:val="es-ES_tradnl"/>
        </w:rPr>
      </w:pPr>
    </w:p>
    <w:p w14:paraId="7FDD7647" w14:textId="21FD8278" w:rsidR="00E40B7F" w:rsidRDefault="00E40B7F" w:rsidP="00AE4D1A">
      <w:pPr>
        <w:spacing w:line="360" w:lineRule="auto"/>
        <w:jc w:val="both"/>
        <w:rPr>
          <w:rFonts w:cs="Arial"/>
          <w:sz w:val="22"/>
          <w:lang w:val="es-ES_tradnl"/>
        </w:rPr>
      </w:pPr>
      <w:r>
        <w:rPr>
          <w:rFonts w:cs="Arial"/>
          <w:sz w:val="22"/>
          <w:lang w:val="es-ES_tradnl"/>
        </w:rPr>
        <w:t xml:space="preserve">Para estos efectos se incorporan a la sesión la licenciada Camacho Murillo, Directora del FOSUVI, así como el licenciado Rodolfo Mora Villalobos , jefe de la </w:t>
      </w:r>
      <w:r w:rsidRPr="00E40B7F">
        <w:rPr>
          <w:rFonts w:cs="Arial"/>
          <w:sz w:val="22"/>
          <w:lang w:val="es-ES_tradnl"/>
        </w:rPr>
        <w:t>Asesoría Legal</w:t>
      </w:r>
      <w:r>
        <w:rPr>
          <w:rFonts w:cs="Arial"/>
          <w:sz w:val="22"/>
          <w:lang w:val="es-ES_tradnl"/>
        </w:rPr>
        <w:t xml:space="preserve">, quien procede a exponer su criterio sobre el tema, </w:t>
      </w:r>
      <w:r w:rsidR="00133456">
        <w:rPr>
          <w:rFonts w:cs="Arial"/>
          <w:sz w:val="22"/>
          <w:lang w:val="es-ES_tradnl"/>
        </w:rPr>
        <w:t xml:space="preserve">complementado con el Dictamen C-248-2018 </w:t>
      </w:r>
      <w:r w:rsidR="00133456">
        <w:rPr>
          <w:rFonts w:cs="Arial"/>
          <w:sz w:val="22"/>
          <w:lang w:val="es-ES_tradnl"/>
        </w:rPr>
        <w:lastRenderedPageBreak/>
        <w:t>de la Procuraduría General de la República</w:t>
      </w:r>
      <w:r w:rsidR="00B23280">
        <w:rPr>
          <w:rFonts w:cs="Arial"/>
          <w:sz w:val="22"/>
          <w:lang w:val="es-ES_tradnl"/>
        </w:rPr>
        <w:t xml:space="preserve">, </w:t>
      </w:r>
      <w:r w:rsidR="00343F2E">
        <w:rPr>
          <w:rFonts w:cs="Arial"/>
          <w:sz w:val="22"/>
          <w:lang w:val="es-ES_tradnl"/>
        </w:rPr>
        <w:t xml:space="preserve">de fecha 24 de setiembre de 2018, </w:t>
      </w:r>
      <w:r w:rsidR="00B23280">
        <w:rPr>
          <w:rFonts w:cs="Arial"/>
          <w:sz w:val="22"/>
          <w:lang w:val="es-ES_tradnl"/>
        </w:rPr>
        <w:t xml:space="preserve">del cual entrega </w:t>
      </w:r>
      <w:r w:rsidR="00343F2E">
        <w:rPr>
          <w:rFonts w:cs="Arial"/>
          <w:sz w:val="22"/>
          <w:lang w:val="es-ES_tradnl"/>
        </w:rPr>
        <w:t xml:space="preserve">una </w:t>
      </w:r>
      <w:r w:rsidR="00B23280">
        <w:rPr>
          <w:rFonts w:cs="Arial"/>
          <w:sz w:val="22"/>
          <w:lang w:val="es-ES_tradnl"/>
        </w:rPr>
        <w:t>copia para el análisis posterior de los señores Directores.</w:t>
      </w:r>
    </w:p>
    <w:p w14:paraId="5F7FC83C" w14:textId="44318D20" w:rsidR="00E40B7F" w:rsidRDefault="00E40B7F" w:rsidP="00AE4D1A">
      <w:pPr>
        <w:spacing w:line="360" w:lineRule="auto"/>
        <w:jc w:val="both"/>
        <w:rPr>
          <w:rFonts w:cs="Arial"/>
          <w:sz w:val="22"/>
          <w:lang w:val="es-ES_tradnl"/>
        </w:rPr>
      </w:pPr>
    </w:p>
    <w:p w14:paraId="555F9054" w14:textId="05F2C700" w:rsidR="00BD4FD1" w:rsidRDefault="00AE4D1A" w:rsidP="00BD4FD1">
      <w:pPr>
        <w:spacing w:line="360" w:lineRule="auto"/>
        <w:jc w:val="both"/>
        <w:rPr>
          <w:sz w:val="22"/>
          <w:szCs w:val="22"/>
        </w:rPr>
      </w:pPr>
      <w:r w:rsidRPr="00A25DB7">
        <w:rPr>
          <w:rFonts w:cs="Arial"/>
          <w:sz w:val="22"/>
          <w:u w:val="single"/>
          <w:lang w:val="es-ES_tradnl"/>
        </w:rPr>
        <w:t xml:space="preserve">Minuto </w:t>
      </w:r>
      <w:r w:rsidR="00A56BAA">
        <w:rPr>
          <w:rFonts w:cs="Arial"/>
          <w:sz w:val="22"/>
          <w:u w:val="single"/>
          <w:lang w:val="es-ES_tradnl"/>
        </w:rPr>
        <w:t>18:50</w:t>
      </w:r>
      <w:r>
        <w:rPr>
          <w:rFonts w:cs="Arial"/>
          <w:sz w:val="22"/>
          <w:lang w:val="es-ES_tradnl"/>
        </w:rPr>
        <w:t xml:space="preserve"> </w:t>
      </w:r>
      <w:r w:rsidR="00E41A66">
        <w:rPr>
          <w:rFonts w:cs="Arial"/>
          <w:sz w:val="22"/>
          <w:lang w:val="es-ES_tradnl"/>
        </w:rPr>
        <w:t xml:space="preserve">Los señores Directores proceden a discutir </w:t>
      </w:r>
      <w:r w:rsidR="00A64C44">
        <w:rPr>
          <w:rFonts w:cs="Arial"/>
          <w:sz w:val="22"/>
          <w:lang w:val="es-ES_tradnl"/>
        </w:rPr>
        <w:t xml:space="preserve">con el licenciado Mora Villalobos </w:t>
      </w:r>
      <w:r w:rsidR="00E41A66">
        <w:rPr>
          <w:rFonts w:cs="Arial"/>
          <w:sz w:val="22"/>
          <w:lang w:val="es-ES_tradnl"/>
        </w:rPr>
        <w:t xml:space="preserve">el criterio expuesto, </w:t>
      </w:r>
      <w:r w:rsidR="00A64C44">
        <w:rPr>
          <w:rFonts w:cs="Arial"/>
          <w:sz w:val="22"/>
          <w:lang w:val="es-ES_tradnl"/>
        </w:rPr>
        <w:t xml:space="preserve">comentándose además, por parte del Director </w:t>
      </w:r>
      <w:r w:rsidR="00A64C44" w:rsidRPr="00A64C44">
        <w:rPr>
          <w:rFonts w:cs="Arial"/>
          <w:sz w:val="22"/>
          <w:lang w:val="es-ES_tradnl"/>
        </w:rPr>
        <w:t>Alvarado Herrera</w:t>
      </w:r>
      <w:r w:rsidR="00A64C44">
        <w:rPr>
          <w:rFonts w:cs="Arial"/>
          <w:sz w:val="22"/>
          <w:lang w:val="es-ES_tradnl"/>
        </w:rPr>
        <w:t xml:space="preserve">, lo resuelto en el pasado por parte de la </w:t>
      </w:r>
      <w:r w:rsidR="00A64C44" w:rsidRPr="00A64C44">
        <w:rPr>
          <w:rFonts w:cs="Arial"/>
          <w:sz w:val="22"/>
          <w:szCs w:val="22"/>
          <w:lang w:val="es-CR"/>
        </w:rPr>
        <w:t>Junta Directiva</w:t>
      </w:r>
      <w:r w:rsidR="00A64C44">
        <w:rPr>
          <w:rFonts w:cs="Arial"/>
          <w:sz w:val="22"/>
          <w:szCs w:val="22"/>
          <w:lang w:val="es-CR"/>
        </w:rPr>
        <w:t xml:space="preserve"> sobre el tema de las servidumbres y sobre lo cual destaca lo dispuesto en el acuerdo N° 3 de la sesión 11-2017, del 09 de febrero de 2017, según el cual, se acordó</w:t>
      </w:r>
      <w:r w:rsidR="00BD4FD1" w:rsidRPr="008178C0">
        <w:rPr>
          <w:sz w:val="22"/>
          <w:szCs w:val="22"/>
        </w:rPr>
        <w:t xml:space="preserve"> respetar el artículo 3 de la Ley 8220, que prohíbe a la Administración Pública cuestionar o revisar los permisos o las autorizaciones firmes emitidos por otras entidades u órganos, salvo lo relativo al régimen de nulidades; en el entendido de que esa norma debe armonizarse con las obligaciones del BANHVI al amparo de las leyes y reglamentos que rigen el otorgamiento del subsidio habitacional.</w:t>
      </w:r>
    </w:p>
    <w:p w14:paraId="4DC8F9E8" w14:textId="322807E2" w:rsidR="00BD4FD1" w:rsidRDefault="00BD4FD1" w:rsidP="00BD4FD1">
      <w:pPr>
        <w:spacing w:line="360" w:lineRule="auto"/>
        <w:jc w:val="both"/>
        <w:rPr>
          <w:sz w:val="22"/>
          <w:szCs w:val="22"/>
        </w:rPr>
      </w:pPr>
    </w:p>
    <w:p w14:paraId="07900E7B" w14:textId="3406605E" w:rsidR="00A7718E" w:rsidRDefault="00A7718E" w:rsidP="00A7718E">
      <w:pPr>
        <w:spacing w:line="360" w:lineRule="auto"/>
        <w:jc w:val="both"/>
        <w:rPr>
          <w:rFonts w:cs="Arial"/>
          <w:sz w:val="22"/>
          <w:szCs w:val="22"/>
          <w:lang w:val="es-CR"/>
        </w:rPr>
      </w:pPr>
      <w:r>
        <w:rPr>
          <w:rFonts w:cs="Arial"/>
          <w:sz w:val="22"/>
          <w:u w:val="single"/>
          <w:lang w:val="es-ES_tradnl"/>
        </w:rPr>
        <w:t xml:space="preserve">Minuto </w:t>
      </w:r>
      <w:r w:rsidR="00CF2C54">
        <w:rPr>
          <w:rFonts w:cs="Arial"/>
          <w:sz w:val="22"/>
          <w:u w:val="single"/>
          <w:lang w:val="es-ES_tradnl"/>
        </w:rPr>
        <w:t>62</w:t>
      </w:r>
      <w:r w:rsidRPr="0039311E">
        <w:rPr>
          <w:rFonts w:cs="Arial"/>
          <w:sz w:val="22"/>
          <w:u w:val="single"/>
          <w:lang w:val="es-ES_tradnl"/>
        </w:rPr>
        <w:t>:</w:t>
      </w:r>
      <w:r w:rsidR="00CF2C54">
        <w:rPr>
          <w:rFonts w:cs="Arial"/>
          <w:sz w:val="22"/>
          <w:u w:val="single"/>
          <w:lang w:val="es-ES_tradnl"/>
        </w:rPr>
        <w:t>50</w:t>
      </w:r>
      <w:r>
        <w:rPr>
          <w:rFonts w:cs="Arial"/>
          <w:sz w:val="22"/>
          <w:lang w:val="es-ES_tradnl"/>
        </w:rPr>
        <w:t xml:space="preserve"> </w:t>
      </w:r>
      <w:r w:rsidR="00645D21">
        <w:rPr>
          <w:rFonts w:cs="Arial"/>
          <w:sz w:val="22"/>
          <w:lang w:val="es-ES_tradnl"/>
        </w:rPr>
        <w:t xml:space="preserve">De conformidad con el análisis efectuado en torno al tema, la </w:t>
      </w:r>
      <w:r w:rsidR="00645D21" w:rsidRPr="00645D21">
        <w:rPr>
          <w:rFonts w:cs="Arial"/>
          <w:sz w:val="22"/>
          <w:szCs w:val="22"/>
          <w:lang w:val="es-CR"/>
        </w:rPr>
        <w:t>Junta Directiva</w:t>
      </w:r>
      <w:r w:rsidR="00645D21">
        <w:rPr>
          <w:rFonts w:cs="Arial"/>
          <w:sz w:val="22"/>
          <w:szCs w:val="22"/>
          <w:lang w:val="es-CR"/>
        </w:rPr>
        <w:t xml:space="preserve"> resuelve dar por recibido el referido dictamen de la Procuraduría General de la República y </w:t>
      </w:r>
      <w:r w:rsidR="00DD2C9D">
        <w:rPr>
          <w:rFonts w:cs="Arial"/>
          <w:sz w:val="22"/>
          <w:szCs w:val="22"/>
          <w:lang w:val="es-CR"/>
        </w:rPr>
        <w:t>abocarse a su estudio para retomar el tema en una próxima sesión</w:t>
      </w:r>
      <w:r w:rsidR="00D726DC">
        <w:rPr>
          <w:rFonts w:cs="Arial"/>
          <w:sz w:val="22"/>
          <w:szCs w:val="22"/>
          <w:lang w:val="es-CR"/>
        </w:rPr>
        <w:t xml:space="preserve">. </w:t>
      </w:r>
      <w:r w:rsidR="00383C65">
        <w:rPr>
          <w:rFonts w:cs="Arial"/>
          <w:sz w:val="22"/>
          <w:szCs w:val="22"/>
          <w:lang w:val="es-CR"/>
        </w:rPr>
        <w:t xml:space="preserve">Y mientras no se tome una decisión contraria, se estima oportuno reiterar a la </w:t>
      </w:r>
      <w:r w:rsidR="00D31BAA" w:rsidRPr="00D31BAA">
        <w:rPr>
          <w:rFonts w:cs="Arial"/>
          <w:sz w:val="22"/>
          <w:szCs w:val="22"/>
          <w:lang w:val="es-CR"/>
        </w:rPr>
        <w:t>Administración</w:t>
      </w:r>
      <w:r w:rsidR="005623EC">
        <w:rPr>
          <w:rFonts w:cs="Arial"/>
          <w:sz w:val="22"/>
          <w:szCs w:val="22"/>
          <w:lang w:val="es-CR"/>
        </w:rPr>
        <w:t xml:space="preserve"> </w:t>
      </w:r>
      <w:r w:rsidR="002F2B92">
        <w:rPr>
          <w:rFonts w:cs="Arial"/>
          <w:sz w:val="22"/>
          <w:szCs w:val="22"/>
          <w:lang w:val="es-CR"/>
        </w:rPr>
        <w:t xml:space="preserve">la obligación de cumplir lo dispuesto en el </w:t>
      </w:r>
      <w:r w:rsidR="00645D21">
        <w:rPr>
          <w:rFonts w:cs="Arial"/>
          <w:sz w:val="22"/>
          <w:szCs w:val="22"/>
          <w:lang w:val="es-CR"/>
        </w:rPr>
        <w:t>acuerdo N° 3 de la sesión 11-2017</w:t>
      </w:r>
      <w:r w:rsidR="002F2B92">
        <w:rPr>
          <w:rFonts w:cs="Arial"/>
          <w:sz w:val="22"/>
          <w:szCs w:val="22"/>
          <w:lang w:val="es-CR"/>
        </w:rPr>
        <w:t>.</w:t>
      </w:r>
      <w:r w:rsidR="004708A8">
        <w:rPr>
          <w:rFonts w:cs="Arial"/>
          <w:sz w:val="22"/>
          <w:szCs w:val="22"/>
          <w:lang w:val="es-CR"/>
        </w:rPr>
        <w:t xml:space="preserve">  Lo anterior, según se consigna en el </w:t>
      </w:r>
      <w:r w:rsidR="004708A8" w:rsidRPr="004708A8">
        <w:rPr>
          <w:rFonts w:cs="Arial"/>
          <w:b/>
          <w:bCs/>
          <w:sz w:val="22"/>
          <w:szCs w:val="22"/>
          <w:lang w:val="es-CR"/>
        </w:rPr>
        <w:t>Acuerdo N° 2</w:t>
      </w:r>
      <w:r w:rsidR="004708A8">
        <w:rPr>
          <w:rFonts w:cs="Arial"/>
          <w:sz w:val="22"/>
          <w:szCs w:val="22"/>
          <w:lang w:val="es-CR"/>
        </w:rPr>
        <w:t xml:space="preserve"> que se anexa a esta minuta.</w:t>
      </w:r>
      <w:r w:rsidR="00D95DF4">
        <w:rPr>
          <w:rFonts w:cs="Arial"/>
          <w:sz w:val="22"/>
          <w:szCs w:val="22"/>
          <w:lang w:val="es-CR"/>
        </w:rPr>
        <w:t xml:space="preserve">  Acto seguido, se retira de la sesión el licenciado Mora Villalobos.</w:t>
      </w:r>
    </w:p>
    <w:p w14:paraId="43F3AEF4" w14:textId="086E9F2C" w:rsidR="00C27EF8" w:rsidRPr="00CF2C54" w:rsidRDefault="00C27EF8" w:rsidP="00CF2C54">
      <w:pPr>
        <w:spacing w:line="360" w:lineRule="auto"/>
        <w:jc w:val="both"/>
        <w:rPr>
          <w:rFonts w:cs="Arial"/>
          <w:sz w:val="22"/>
          <w:lang w:val="es-ES_tradnl"/>
        </w:rPr>
      </w:pPr>
      <w:r w:rsidRPr="00D14EAF">
        <w:rPr>
          <w:rFonts w:cs="Arial"/>
          <w:b/>
          <w:sz w:val="22"/>
        </w:rPr>
        <w:t>************</w:t>
      </w:r>
    </w:p>
    <w:p w14:paraId="768BABF1" w14:textId="77777777" w:rsidR="00C27EF8" w:rsidRDefault="00C27EF8" w:rsidP="00C27EF8">
      <w:pPr>
        <w:spacing w:line="360" w:lineRule="auto"/>
        <w:jc w:val="both"/>
        <w:rPr>
          <w:rFonts w:cs="Arial"/>
          <w:b/>
          <w:bCs/>
          <w:sz w:val="22"/>
          <w:szCs w:val="22"/>
          <w:u w:val="single"/>
          <w:lang w:val="es-ES_tradnl"/>
        </w:rPr>
      </w:pPr>
    </w:p>
    <w:p w14:paraId="67502C9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6854A1" w:rsidRPr="00717000">
        <w:rPr>
          <w:rFonts w:cs="Arial"/>
          <w:b/>
          <w:bCs/>
          <w:sz w:val="22"/>
          <w:u w:val="single"/>
          <w:lang w:val="es-ES_tradnl"/>
        </w:rPr>
        <w:t>Presentación de informe bisemanal sobre el avance en la ejecución de las actividades de los proyectos del Sistema de Apoyo a la Gestión Financiera, Rediseño del Sistema de Vivienda y Expediente Electrónico-Fase II</w:t>
      </w:r>
    </w:p>
    <w:p w14:paraId="09CAA5CC" w14:textId="77777777" w:rsidR="00C27EF8" w:rsidRDefault="00C27EF8" w:rsidP="00C27EF8">
      <w:pPr>
        <w:spacing w:line="360" w:lineRule="auto"/>
        <w:jc w:val="both"/>
        <w:rPr>
          <w:rFonts w:cs="Arial"/>
          <w:sz w:val="22"/>
          <w:szCs w:val="22"/>
        </w:rPr>
      </w:pPr>
    </w:p>
    <w:p w14:paraId="092ECBD8" w14:textId="46F2BA3C" w:rsidR="004708A8" w:rsidRDefault="004708A8" w:rsidP="004708A8">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6</w:t>
      </w:r>
      <w:r w:rsidR="00282C19">
        <w:rPr>
          <w:rFonts w:cs="Arial"/>
          <w:sz w:val="22"/>
          <w:u w:val="single"/>
          <w:lang w:val="es-ES_tradnl"/>
        </w:rPr>
        <w:t>7</w:t>
      </w:r>
      <w:r w:rsidRPr="0039311E">
        <w:rPr>
          <w:rFonts w:cs="Arial"/>
          <w:sz w:val="22"/>
          <w:u w:val="single"/>
          <w:lang w:val="es-ES_tradnl"/>
        </w:rPr>
        <w:t>:</w:t>
      </w:r>
      <w:r w:rsidR="00282C19">
        <w:rPr>
          <w:rFonts w:cs="Arial"/>
          <w:sz w:val="22"/>
          <w:u w:val="single"/>
          <w:lang w:val="es-ES_tradnl"/>
        </w:rPr>
        <w:t>40</w:t>
      </w:r>
      <w:r>
        <w:rPr>
          <w:rFonts w:cs="Arial"/>
          <w:sz w:val="22"/>
          <w:lang w:val="es-ES_tradnl"/>
        </w:rPr>
        <w:t xml:space="preserve"> Según lo dispuesto en el acuerdo N° 1 de la sesión 26-2019, del pasado 01 de abril, se procede a conocer el informe, con corte </w:t>
      </w:r>
      <w:proofErr w:type="gramStart"/>
      <w:r>
        <w:rPr>
          <w:rFonts w:cs="Arial"/>
          <w:sz w:val="22"/>
          <w:lang w:val="es-ES_tradnl"/>
        </w:rPr>
        <w:t>al día de hoy</w:t>
      </w:r>
      <w:proofErr w:type="gramEnd"/>
      <w:r>
        <w:rPr>
          <w:rFonts w:cs="Arial"/>
          <w:sz w:val="22"/>
          <w:lang w:val="es-ES_tradnl"/>
        </w:rPr>
        <w:t xml:space="preserve">,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w:t>
      </w:r>
    </w:p>
    <w:p w14:paraId="634EC34E" w14:textId="77777777" w:rsidR="004708A8" w:rsidRDefault="004708A8" w:rsidP="004708A8">
      <w:pPr>
        <w:spacing w:line="360" w:lineRule="auto"/>
        <w:jc w:val="both"/>
        <w:rPr>
          <w:rFonts w:cs="Arial"/>
          <w:sz w:val="22"/>
          <w:szCs w:val="22"/>
          <w:lang w:val="es-ES_tradnl"/>
        </w:rPr>
      </w:pPr>
    </w:p>
    <w:p w14:paraId="5FA77D1F" w14:textId="228F879D" w:rsidR="004708A8" w:rsidRDefault="004708A8" w:rsidP="004708A8">
      <w:pPr>
        <w:spacing w:line="360" w:lineRule="auto"/>
        <w:jc w:val="both"/>
        <w:rPr>
          <w:rFonts w:cs="Arial"/>
          <w:sz w:val="22"/>
          <w:szCs w:val="22"/>
          <w:lang w:val="es-ES_tradnl"/>
        </w:rPr>
      </w:pPr>
      <w:r>
        <w:rPr>
          <w:rFonts w:cs="Arial"/>
          <w:sz w:val="22"/>
          <w:szCs w:val="22"/>
          <w:lang w:val="es-ES_tradnl"/>
        </w:rPr>
        <w:t xml:space="preserve">Para estos efectos, se incorporan a la sesión los funcionarios </w:t>
      </w:r>
      <w:r w:rsidR="00D95DF4">
        <w:rPr>
          <w:rFonts w:cs="Arial"/>
          <w:sz w:val="22"/>
          <w:szCs w:val="22"/>
          <w:lang w:val="es-ES_tradnl"/>
        </w:rPr>
        <w:t>Marco Tulio Méndez Contreras, jefe del Departamento de Tecnologías de Información</w:t>
      </w:r>
      <w:r w:rsidR="00282C19">
        <w:rPr>
          <w:rFonts w:cs="Arial"/>
          <w:sz w:val="22"/>
          <w:szCs w:val="22"/>
          <w:lang w:val="es-ES_tradnl"/>
        </w:rPr>
        <w:t xml:space="preserve">; y </w:t>
      </w:r>
      <w:r w:rsidR="00D95DF4">
        <w:rPr>
          <w:rFonts w:cs="Arial"/>
          <w:sz w:val="22"/>
          <w:szCs w:val="22"/>
          <w:lang w:val="es-ES_tradnl"/>
        </w:rPr>
        <w:t xml:space="preserve">Rocío Brenes Monge, </w:t>
      </w:r>
      <w:r w:rsidR="00282C19">
        <w:rPr>
          <w:rFonts w:cs="Arial"/>
          <w:sz w:val="22"/>
          <w:szCs w:val="22"/>
          <w:lang w:val="es-ES_tradnl"/>
        </w:rPr>
        <w:lastRenderedPageBreak/>
        <w:t>administradora de proyectos de Tecnología de Información, quien</w:t>
      </w:r>
      <w:r>
        <w:rPr>
          <w:rFonts w:cs="Arial"/>
          <w:sz w:val="22"/>
          <w:lang w:val="es-ES_tradnl"/>
        </w:rPr>
        <w:t xml:space="preserve"> </w:t>
      </w:r>
      <w:r>
        <w:rPr>
          <w:rFonts w:cs="Arial"/>
          <w:sz w:val="22"/>
          <w:szCs w:val="22"/>
          <w:lang w:val="es-ES_tradnl"/>
        </w:rPr>
        <w:t>expone el referido avance en el cronograma de trabajo para los tres citados proyectos, atendiendo las consultas y observaciones que al respecto van planteando los señores Directores, particularmente sobre el cumplimiento efectivo de los cronogramas previstos y los factos claves de éxito.</w:t>
      </w:r>
    </w:p>
    <w:p w14:paraId="3777FCC8" w14:textId="77777777" w:rsidR="004708A8" w:rsidRDefault="004708A8" w:rsidP="004708A8">
      <w:pPr>
        <w:spacing w:line="360" w:lineRule="auto"/>
        <w:jc w:val="both"/>
        <w:rPr>
          <w:rFonts w:cs="Arial"/>
          <w:sz w:val="22"/>
          <w:szCs w:val="22"/>
          <w:lang w:val="es-ES_tradnl"/>
        </w:rPr>
      </w:pPr>
    </w:p>
    <w:p w14:paraId="372A41AE" w14:textId="23747410" w:rsidR="00282C19" w:rsidRDefault="004708A8" w:rsidP="004708A8">
      <w:pPr>
        <w:spacing w:line="360" w:lineRule="auto"/>
        <w:jc w:val="both"/>
        <w:rPr>
          <w:rFonts w:cs="Arial"/>
          <w:sz w:val="22"/>
          <w:szCs w:val="22"/>
          <w:lang w:val="es-ES_tradnl"/>
        </w:rPr>
      </w:pPr>
      <w:r>
        <w:rPr>
          <w:rFonts w:cs="Arial"/>
          <w:sz w:val="22"/>
          <w:u w:val="single"/>
          <w:lang w:val="es-ES_tradnl"/>
        </w:rPr>
        <w:t xml:space="preserve">Minuto </w:t>
      </w:r>
      <w:r w:rsidR="00794256">
        <w:rPr>
          <w:rFonts w:cs="Arial"/>
          <w:sz w:val="22"/>
          <w:u w:val="single"/>
          <w:lang w:val="es-ES_tradnl"/>
        </w:rPr>
        <w:t>112</w:t>
      </w:r>
      <w:r w:rsidRPr="0039311E">
        <w:rPr>
          <w:rFonts w:cs="Arial"/>
          <w:sz w:val="22"/>
          <w:u w:val="single"/>
          <w:lang w:val="es-ES_tradnl"/>
        </w:rPr>
        <w:t>:</w:t>
      </w:r>
      <w:r>
        <w:rPr>
          <w:rFonts w:cs="Arial"/>
          <w:sz w:val="22"/>
          <w:u w:val="single"/>
          <w:lang w:val="es-ES_tradnl"/>
        </w:rPr>
        <w:t>35</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sidR="00794256">
        <w:rPr>
          <w:rFonts w:cs="Arial"/>
          <w:sz w:val="22"/>
          <w:lang w:val="es-ES_tradnl"/>
        </w:rPr>
        <w:t xml:space="preserve"> y, de conformidad con el análisis realizado</w:t>
      </w:r>
      <w:r w:rsidR="00282C19">
        <w:rPr>
          <w:rFonts w:cs="Arial"/>
          <w:sz w:val="22"/>
          <w:lang w:val="es-ES_tradnl"/>
        </w:rPr>
        <w:t>,</w:t>
      </w:r>
      <w:r w:rsidR="00794256">
        <w:rPr>
          <w:rFonts w:cs="Arial"/>
          <w:sz w:val="22"/>
          <w:lang w:val="es-ES_tradnl"/>
        </w:rPr>
        <w:t xml:space="preserve"> se concuerda en </w:t>
      </w:r>
      <w:r w:rsidR="00282C19">
        <w:rPr>
          <w:rFonts w:cs="Arial"/>
          <w:sz w:val="22"/>
          <w:lang w:val="es-ES_tradnl"/>
        </w:rPr>
        <w:t xml:space="preserve">la conveniencia de girar instrucciones a la </w:t>
      </w:r>
      <w:r w:rsidR="00282C19" w:rsidRPr="00282C19">
        <w:rPr>
          <w:rFonts w:cs="Arial"/>
          <w:sz w:val="22"/>
          <w:szCs w:val="22"/>
          <w:lang w:val="es-CR"/>
        </w:rPr>
        <w:t>Gerencia General</w:t>
      </w:r>
      <w:r w:rsidR="00282C19">
        <w:rPr>
          <w:rFonts w:cs="Arial"/>
          <w:sz w:val="22"/>
          <w:szCs w:val="22"/>
          <w:lang w:val="es-CR"/>
        </w:rPr>
        <w:t xml:space="preserve">, para que, </w:t>
      </w:r>
      <w:r w:rsidR="00794256">
        <w:rPr>
          <w:rFonts w:cs="Arial"/>
          <w:sz w:val="22"/>
          <w:szCs w:val="22"/>
          <w:lang w:val="es-CR"/>
        </w:rPr>
        <w:t>con carácter de urgencia</w:t>
      </w:r>
      <w:r w:rsidR="00282C19">
        <w:rPr>
          <w:rFonts w:cs="Arial"/>
          <w:sz w:val="22"/>
          <w:szCs w:val="22"/>
          <w:lang w:val="es-CR"/>
        </w:rPr>
        <w:t xml:space="preserve">, valore y resuelva las recomendaciones del equipo de trabajo que está </w:t>
      </w:r>
      <w:r w:rsidR="00794256">
        <w:rPr>
          <w:rFonts w:cs="Arial"/>
          <w:sz w:val="22"/>
          <w:szCs w:val="22"/>
          <w:lang w:val="es-CR"/>
        </w:rPr>
        <w:t xml:space="preserve">desarrollando las </w:t>
      </w:r>
      <w:r w:rsidR="00282C19" w:rsidRPr="007B3653">
        <w:rPr>
          <w:rFonts w:cs="Arial"/>
          <w:sz w:val="22"/>
          <w:szCs w:val="22"/>
          <w:lang w:val="es-ES_tradnl"/>
        </w:rPr>
        <w:t>actividades de los proyectos del Sistema de Apoyo a la Gestión Financiera</w:t>
      </w:r>
      <w:r w:rsidR="00282C19">
        <w:rPr>
          <w:rFonts w:cs="Arial"/>
          <w:sz w:val="22"/>
          <w:szCs w:val="22"/>
          <w:lang w:val="es-ES_tradnl"/>
        </w:rPr>
        <w:t xml:space="preserve"> y Capital Humano</w:t>
      </w:r>
      <w:r w:rsidR="00282C19" w:rsidRPr="007B3653">
        <w:rPr>
          <w:rFonts w:cs="Arial"/>
          <w:sz w:val="22"/>
          <w:szCs w:val="22"/>
          <w:lang w:val="es-ES_tradnl"/>
        </w:rPr>
        <w:t>, Rediseño del Sistema de Vivienda y Expediente Electrónico</w:t>
      </w:r>
      <w:r w:rsidR="00282C19">
        <w:rPr>
          <w:rFonts w:cs="Arial"/>
          <w:sz w:val="22"/>
          <w:szCs w:val="22"/>
          <w:lang w:val="es-ES_tradnl"/>
        </w:rPr>
        <w:t xml:space="preserve"> – fase II.  Lo anterior, según se consigna en el </w:t>
      </w:r>
      <w:r w:rsidR="00282C19" w:rsidRPr="00282C19">
        <w:rPr>
          <w:rFonts w:cs="Arial"/>
          <w:b/>
          <w:bCs/>
          <w:sz w:val="22"/>
          <w:szCs w:val="22"/>
          <w:lang w:val="es-ES_tradnl"/>
        </w:rPr>
        <w:t>Acuerdo N° 3</w:t>
      </w:r>
      <w:r w:rsidR="00282C19">
        <w:rPr>
          <w:rFonts w:cs="Arial"/>
          <w:sz w:val="22"/>
          <w:szCs w:val="22"/>
          <w:lang w:val="es-ES_tradnl"/>
        </w:rPr>
        <w:t xml:space="preserve"> que se anexa a esta minuta.  </w:t>
      </w:r>
      <w:r>
        <w:rPr>
          <w:rFonts w:cs="Arial"/>
          <w:sz w:val="22"/>
          <w:szCs w:val="22"/>
          <w:lang w:val="es-ES_tradnl"/>
        </w:rPr>
        <w:t>Acto seguido, se retiran de la sesión l</w:t>
      </w:r>
      <w:r w:rsidR="00282C19">
        <w:rPr>
          <w:rFonts w:cs="Arial"/>
          <w:sz w:val="22"/>
          <w:szCs w:val="22"/>
          <w:lang w:val="es-ES_tradnl"/>
        </w:rPr>
        <w:t>a</w:t>
      </w:r>
      <w:r>
        <w:rPr>
          <w:rFonts w:cs="Arial"/>
          <w:sz w:val="22"/>
          <w:szCs w:val="22"/>
          <w:lang w:val="es-ES_tradnl"/>
        </w:rPr>
        <w:t>s funcionari</w:t>
      </w:r>
      <w:r w:rsidR="00282C19">
        <w:rPr>
          <w:rFonts w:cs="Arial"/>
          <w:sz w:val="22"/>
          <w:szCs w:val="22"/>
          <w:lang w:val="es-ES_tradnl"/>
        </w:rPr>
        <w:t>a</w:t>
      </w:r>
      <w:r>
        <w:rPr>
          <w:rFonts w:cs="Arial"/>
          <w:sz w:val="22"/>
          <w:szCs w:val="22"/>
          <w:lang w:val="es-ES_tradnl"/>
        </w:rPr>
        <w:t xml:space="preserve">s </w:t>
      </w:r>
      <w:r w:rsidR="00282C19">
        <w:rPr>
          <w:rFonts w:cs="Arial"/>
          <w:sz w:val="22"/>
          <w:szCs w:val="22"/>
          <w:lang w:val="es-ES_tradnl"/>
        </w:rPr>
        <w:t>Camacho Murillo y Brenes Monge.</w:t>
      </w:r>
    </w:p>
    <w:p w14:paraId="4151F606" w14:textId="77777777" w:rsidR="00C27EF8" w:rsidRPr="00D14EAF" w:rsidRDefault="00C27EF8" w:rsidP="00C27EF8">
      <w:pPr>
        <w:spacing w:line="360" w:lineRule="auto"/>
        <w:jc w:val="both"/>
        <w:rPr>
          <w:rFonts w:cs="Arial"/>
          <w:b/>
          <w:sz w:val="22"/>
        </w:rPr>
      </w:pPr>
      <w:r w:rsidRPr="00D14EAF">
        <w:rPr>
          <w:rFonts w:cs="Arial"/>
          <w:b/>
          <w:sz w:val="22"/>
        </w:rPr>
        <w:t>************</w:t>
      </w:r>
    </w:p>
    <w:p w14:paraId="00581C26" w14:textId="77777777" w:rsidR="00C27EF8" w:rsidRDefault="00C27EF8" w:rsidP="00C27EF8">
      <w:pPr>
        <w:spacing w:line="360" w:lineRule="auto"/>
        <w:jc w:val="both"/>
        <w:rPr>
          <w:rFonts w:cs="Arial"/>
          <w:b/>
          <w:bCs/>
          <w:sz w:val="22"/>
          <w:szCs w:val="22"/>
          <w:u w:val="single"/>
          <w:lang w:val="es-ES_tradnl"/>
        </w:rPr>
      </w:pPr>
    </w:p>
    <w:p w14:paraId="4F3C9AB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6854A1" w:rsidRPr="00717000">
        <w:rPr>
          <w:rFonts w:cs="Arial"/>
          <w:b/>
          <w:bCs/>
          <w:sz w:val="22"/>
          <w:u w:val="single"/>
          <w:lang w:val="es-ES_tradnl"/>
        </w:rPr>
        <w:t>Informes de Ejecución del Plan Estratégico de Tecnología de Información con corte abril y agosto 2019</w:t>
      </w:r>
    </w:p>
    <w:p w14:paraId="63087888" w14:textId="77777777" w:rsidR="00C27EF8" w:rsidRDefault="00C27EF8" w:rsidP="00C27EF8">
      <w:pPr>
        <w:spacing w:line="360" w:lineRule="auto"/>
        <w:jc w:val="both"/>
        <w:rPr>
          <w:rFonts w:cs="Arial"/>
          <w:sz w:val="22"/>
          <w:szCs w:val="22"/>
        </w:rPr>
      </w:pPr>
    </w:p>
    <w:p w14:paraId="3D916EFB" w14:textId="4E3397D9" w:rsidR="00794256" w:rsidRDefault="00794256" w:rsidP="0079425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113</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conocen los oficios CTIBANHVI-0007-2019 del 28 de junio de 2019, y CTIBANHVI-0011-2019 del 25 de octubre de 2019, por medio de los cuales, </w:t>
      </w:r>
      <w:r>
        <w:rPr>
          <w:rFonts w:cs="Arial"/>
          <w:sz w:val="22"/>
          <w:szCs w:val="22"/>
        </w:rPr>
        <w:t xml:space="preserve">atendiendo lo establecido en el </w:t>
      </w:r>
      <w:r w:rsidRPr="00E47DFE">
        <w:rPr>
          <w:rFonts w:cs="Arial"/>
          <w:sz w:val="22"/>
          <w:szCs w:val="22"/>
        </w:rPr>
        <w:t xml:space="preserve">Sistema </w:t>
      </w:r>
      <w:r>
        <w:rPr>
          <w:rFonts w:cs="Arial"/>
          <w:sz w:val="22"/>
          <w:szCs w:val="22"/>
        </w:rPr>
        <w:t>de Información Gerencial, el Comité de Tecnología de Información remite los informes sobre la ejecución del Plan Estratégico de Tecnología de Información (PETI) 2016-2019, con corte a los meses de abril y agosto de 2019, según fue conocido por dicho Comité en su</w:t>
      </w:r>
      <w:r w:rsidR="00330768">
        <w:rPr>
          <w:rFonts w:cs="Arial"/>
          <w:sz w:val="22"/>
          <w:szCs w:val="22"/>
        </w:rPr>
        <w:t>s</w:t>
      </w:r>
      <w:r>
        <w:rPr>
          <w:rFonts w:cs="Arial"/>
          <w:sz w:val="22"/>
          <w:szCs w:val="22"/>
        </w:rPr>
        <w:t xml:space="preserve"> sesi</w:t>
      </w:r>
      <w:r w:rsidR="00330768">
        <w:rPr>
          <w:rFonts w:cs="Arial"/>
          <w:sz w:val="22"/>
          <w:szCs w:val="22"/>
        </w:rPr>
        <w:t>ones N° 006-2019 y N° 010-2019 respectivamente.</w:t>
      </w:r>
      <w:r>
        <w:rPr>
          <w:rFonts w:cs="Arial"/>
          <w:sz w:val="22"/>
          <w:szCs w:val="22"/>
        </w:rPr>
        <w:t xml:space="preserve">  Dichos documentos se adjuntan al expediente del acta.</w:t>
      </w:r>
      <w:r>
        <w:rPr>
          <w:rFonts w:cs="Arial"/>
          <w:sz w:val="22"/>
          <w:lang w:val="es-ES_tradnl"/>
        </w:rPr>
        <w:t xml:space="preserve"> </w:t>
      </w:r>
    </w:p>
    <w:p w14:paraId="0F5B654F" w14:textId="77777777" w:rsidR="00794256" w:rsidRDefault="00794256" w:rsidP="00794256">
      <w:pPr>
        <w:spacing w:line="360" w:lineRule="auto"/>
        <w:jc w:val="both"/>
        <w:rPr>
          <w:rFonts w:cs="Arial"/>
          <w:sz w:val="22"/>
          <w:szCs w:val="22"/>
        </w:rPr>
      </w:pPr>
    </w:p>
    <w:p w14:paraId="404A3E2C" w14:textId="06EDD17F" w:rsidR="00794256" w:rsidRDefault="00794256" w:rsidP="00794256">
      <w:pPr>
        <w:spacing w:line="360" w:lineRule="auto"/>
        <w:jc w:val="both"/>
        <w:rPr>
          <w:rFonts w:cs="Arial"/>
          <w:sz w:val="22"/>
          <w:lang w:val="es-ES_tradnl"/>
        </w:rPr>
      </w:pPr>
      <w:r>
        <w:rPr>
          <w:rFonts w:cs="Arial"/>
          <w:sz w:val="22"/>
          <w:lang w:val="es-ES_tradnl"/>
        </w:rPr>
        <w:t xml:space="preserve">El licenciado Méndez Contreras expone el contenido del </w:t>
      </w:r>
      <w:r w:rsidR="00330768">
        <w:rPr>
          <w:rFonts w:cs="Arial"/>
          <w:sz w:val="22"/>
          <w:lang w:val="es-ES_tradnl"/>
        </w:rPr>
        <w:t xml:space="preserve">más reciente de los </w:t>
      </w:r>
      <w:r>
        <w:rPr>
          <w:rFonts w:cs="Arial"/>
          <w:sz w:val="22"/>
          <w:lang w:val="es-ES_tradnl"/>
        </w:rPr>
        <w:t>citado</w:t>
      </w:r>
      <w:r w:rsidR="00330768">
        <w:rPr>
          <w:rFonts w:cs="Arial"/>
          <w:sz w:val="22"/>
          <w:lang w:val="es-ES_tradnl"/>
        </w:rPr>
        <w:t>s</w:t>
      </w:r>
      <w:r>
        <w:rPr>
          <w:rFonts w:cs="Arial"/>
          <w:sz w:val="22"/>
          <w:lang w:val="es-ES_tradnl"/>
        </w:rPr>
        <w:t xml:space="preserve"> informe</w:t>
      </w:r>
      <w:r w:rsidR="00330768">
        <w:rPr>
          <w:rFonts w:cs="Arial"/>
          <w:sz w:val="22"/>
          <w:lang w:val="es-ES_tradnl"/>
        </w:rPr>
        <w:t>s</w:t>
      </w:r>
      <w:r>
        <w:rPr>
          <w:rFonts w:cs="Arial"/>
          <w:sz w:val="22"/>
          <w:lang w:val="es-ES_tradnl"/>
        </w:rPr>
        <w:t xml:space="preserve">, </w:t>
      </w:r>
      <w:r>
        <w:rPr>
          <w:rFonts w:cs="Arial"/>
          <w:sz w:val="22"/>
          <w:szCs w:val="22"/>
        </w:rPr>
        <w:t xml:space="preserve">presentando varios </w:t>
      </w:r>
      <w:r w:rsidRPr="00F2280E">
        <w:rPr>
          <w:rFonts w:cs="Arial"/>
          <w:sz w:val="22"/>
          <w:szCs w:val="22"/>
        </w:rPr>
        <w:t xml:space="preserve">cuadros con datos </w:t>
      </w:r>
      <w:r>
        <w:rPr>
          <w:rFonts w:cs="Arial"/>
          <w:sz w:val="22"/>
          <w:szCs w:val="22"/>
        </w:rPr>
        <w:t xml:space="preserve">que contienen </w:t>
      </w:r>
      <w:r w:rsidRPr="00F2280E">
        <w:rPr>
          <w:rFonts w:cs="Arial"/>
          <w:sz w:val="22"/>
          <w:szCs w:val="22"/>
        </w:rPr>
        <w:t xml:space="preserve">el detalle de cada uno de los proyectos </w:t>
      </w:r>
      <w:r>
        <w:rPr>
          <w:rFonts w:cs="Arial"/>
          <w:sz w:val="22"/>
          <w:szCs w:val="22"/>
        </w:rPr>
        <w:t xml:space="preserve">que componen la </w:t>
      </w:r>
      <w:r w:rsidRPr="00F2280E">
        <w:rPr>
          <w:rFonts w:cs="Arial"/>
          <w:i/>
          <w:sz w:val="22"/>
          <w:szCs w:val="22"/>
        </w:rPr>
        <w:t>cartera de proyectos</w:t>
      </w:r>
      <w:r>
        <w:rPr>
          <w:rFonts w:cs="Arial"/>
          <w:sz w:val="22"/>
          <w:szCs w:val="22"/>
        </w:rPr>
        <w:t xml:space="preserve"> de T.I., atendiendo las consultas y observaciones que al respecto van planteando los señores Directores.</w:t>
      </w:r>
    </w:p>
    <w:p w14:paraId="7B3FF9D8" w14:textId="77777777" w:rsidR="00794256" w:rsidRDefault="00794256" w:rsidP="00794256">
      <w:pPr>
        <w:spacing w:line="360" w:lineRule="auto"/>
        <w:jc w:val="both"/>
        <w:rPr>
          <w:rFonts w:cs="Arial"/>
          <w:sz w:val="22"/>
          <w:lang w:val="es-ES_tradnl"/>
        </w:rPr>
      </w:pPr>
    </w:p>
    <w:p w14:paraId="38024011" w14:textId="05E7E3D6" w:rsidR="00794256" w:rsidRDefault="00794256" w:rsidP="00794256">
      <w:pPr>
        <w:spacing w:line="360" w:lineRule="auto"/>
        <w:jc w:val="both"/>
        <w:rPr>
          <w:rFonts w:cs="Arial"/>
          <w:sz w:val="22"/>
          <w:lang w:val="es-ES_tradnl"/>
        </w:rPr>
      </w:pPr>
      <w:r w:rsidRPr="00A25DB7">
        <w:rPr>
          <w:rFonts w:cs="Arial"/>
          <w:sz w:val="22"/>
          <w:u w:val="single"/>
          <w:lang w:val="es-ES_tradnl"/>
        </w:rPr>
        <w:t xml:space="preserve">Minuto </w:t>
      </w:r>
      <w:r w:rsidR="00330768">
        <w:rPr>
          <w:rFonts w:cs="Arial"/>
          <w:sz w:val="22"/>
          <w:u w:val="single"/>
          <w:lang w:val="es-ES_tradnl"/>
        </w:rPr>
        <w:t>124</w:t>
      </w:r>
      <w:r w:rsidRPr="00A25DB7">
        <w:rPr>
          <w:rFonts w:cs="Arial"/>
          <w:sz w:val="22"/>
          <w:u w:val="single"/>
          <w:lang w:val="es-ES_tradnl"/>
        </w:rPr>
        <w:t>:</w:t>
      </w:r>
      <w:r w:rsidR="006F703A">
        <w:rPr>
          <w:rFonts w:cs="Arial"/>
          <w:sz w:val="22"/>
          <w:u w:val="single"/>
          <w:lang w:val="es-ES_tradnl"/>
        </w:rPr>
        <w:t>15</w:t>
      </w:r>
      <w:r>
        <w:rPr>
          <w:rFonts w:cs="Arial"/>
          <w:sz w:val="22"/>
          <w:lang w:val="es-ES_tradnl"/>
        </w:rPr>
        <w:t xml:space="preserve"> La </w:t>
      </w:r>
      <w:r w:rsidRPr="00AA31C9">
        <w:rPr>
          <w:rFonts w:cs="Arial"/>
          <w:sz w:val="22"/>
          <w:szCs w:val="22"/>
          <w:lang w:val="es-ES_tradnl"/>
        </w:rPr>
        <w:t xml:space="preserve">Junta Directiva </w:t>
      </w:r>
      <w:r>
        <w:rPr>
          <w:rFonts w:cs="Arial"/>
          <w:sz w:val="22"/>
          <w:szCs w:val="22"/>
          <w:lang w:val="es-ES_tradnl"/>
        </w:rPr>
        <w:t>da por conocido</w:t>
      </w:r>
      <w:r w:rsidR="00330768">
        <w:rPr>
          <w:rFonts w:cs="Arial"/>
          <w:sz w:val="22"/>
          <w:szCs w:val="22"/>
          <w:lang w:val="es-ES_tradnl"/>
        </w:rPr>
        <w:t>s los</w:t>
      </w:r>
      <w:r>
        <w:rPr>
          <w:rFonts w:cs="Arial"/>
          <w:sz w:val="22"/>
          <w:szCs w:val="22"/>
          <w:lang w:val="es-ES_tradnl"/>
        </w:rPr>
        <w:t xml:space="preserve"> referido</w:t>
      </w:r>
      <w:r w:rsidR="00330768">
        <w:rPr>
          <w:rFonts w:cs="Arial"/>
          <w:sz w:val="22"/>
          <w:szCs w:val="22"/>
          <w:lang w:val="es-ES_tradnl"/>
        </w:rPr>
        <w:t>s</w:t>
      </w:r>
      <w:r>
        <w:rPr>
          <w:rFonts w:cs="Arial"/>
          <w:sz w:val="22"/>
          <w:szCs w:val="22"/>
          <w:lang w:val="es-ES_tradnl"/>
        </w:rPr>
        <w:t xml:space="preserve"> informe</w:t>
      </w:r>
      <w:r w:rsidR="00330768">
        <w:rPr>
          <w:rFonts w:cs="Arial"/>
          <w:sz w:val="22"/>
          <w:szCs w:val="22"/>
          <w:lang w:val="es-ES_tradnl"/>
        </w:rPr>
        <w:t>s</w:t>
      </w:r>
      <w:r>
        <w:rPr>
          <w:rFonts w:cs="Arial"/>
          <w:sz w:val="22"/>
          <w:szCs w:val="22"/>
          <w:lang w:val="es-ES_tradnl"/>
        </w:rPr>
        <w:t xml:space="preserve"> del Comité de Tecnología de Información.  Acto seguido, se retira de la sesión el </w:t>
      </w:r>
      <w:r>
        <w:rPr>
          <w:rFonts w:cs="Arial"/>
          <w:sz w:val="22"/>
          <w:lang w:val="es-ES_tradnl"/>
        </w:rPr>
        <w:t>licenciado Méndez Contreras.</w:t>
      </w:r>
    </w:p>
    <w:p w14:paraId="099D3158" w14:textId="77777777" w:rsidR="00C27EF8" w:rsidRPr="00D14EAF" w:rsidRDefault="00C27EF8" w:rsidP="00C27EF8">
      <w:pPr>
        <w:spacing w:line="360" w:lineRule="auto"/>
        <w:jc w:val="both"/>
        <w:rPr>
          <w:rFonts w:cs="Arial"/>
          <w:b/>
          <w:sz w:val="22"/>
        </w:rPr>
      </w:pPr>
      <w:r w:rsidRPr="00D14EAF">
        <w:rPr>
          <w:rFonts w:cs="Arial"/>
          <w:b/>
          <w:sz w:val="22"/>
        </w:rPr>
        <w:lastRenderedPageBreak/>
        <w:t>************</w:t>
      </w:r>
    </w:p>
    <w:p w14:paraId="6E7AA43B" w14:textId="77777777" w:rsidR="00C27EF8" w:rsidRDefault="00C27EF8" w:rsidP="00C27EF8">
      <w:pPr>
        <w:spacing w:line="360" w:lineRule="auto"/>
        <w:jc w:val="both"/>
        <w:rPr>
          <w:rFonts w:cs="Arial"/>
          <w:b/>
          <w:sz w:val="22"/>
          <w:szCs w:val="22"/>
          <w:u w:val="single"/>
          <w:lang w:val="es-ES_tradnl"/>
        </w:rPr>
      </w:pPr>
    </w:p>
    <w:p w14:paraId="71FB4C2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6854A1" w:rsidRPr="00717000">
        <w:rPr>
          <w:rFonts w:cs="Arial"/>
          <w:b/>
          <w:bCs/>
          <w:sz w:val="22"/>
          <w:u w:val="single"/>
        </w:rPr>
        <w:t>Informe sobre la gestión del FONAVI, al 30 de setiembre de 2019</w:t>
      </w:r>
    </w:p>
    <w:p w14:paraId="50A5D447" w14:textId="77777777" w:rsidR="00C27EF8" w:rsidRDefault="00C27EF8" w:rsidP="00C27EF8">
      <w:pPr>
        <w:spacing w:line="360" w:lineRule="auto"/>
        <w:jc w:val="both"/>
        <w:rPr>
          <w:rFonts w:cs="Arial"/>
          <w:sz w:val="22"/>
          <w:szCs w:val="22"/>
        </w:rPr>
      </w:pPr>
    </w:p>
    <w:p w14:paraId="30FFFEA8" w14:textId="1FBC52CC" w:rsidR="008B004D" w:rsidRDefault="008B004D" w:rsidP="008B004D">
      <w:pPr>
        <w:spacing w:line="360" w:lineRule="auto"/>
        <w:jc w:val="both"/>
        <w:rPr>
          <w:rFonts w:cs="Arial"/>
          <w:sz w:val="22"/>
          <w:lang w:val="es-ES_tradnl"/>
        </w:rPr>
      </w:pPr>
      <w:r w:rsidRPr="0039311E">
        <w:rPr>
          <w:rFonts w:cs="Arial"/>
          <w:sz w:val="22"/>
          <w:u w:val="single"/>
          <w:lang w:val="es-ES_tradnl"/>
        </w:rPr>
        <w:t xml:space="preserve">Minuto </w:t>
      </w:r>
      <w:r w:rsidR="00ED214D">
        <w:rPr>
          <w:rFonts w:cs="Arial"/>
          <w:sz w:val="22"/>
          <w:u w:val="single"/>
          <w:lang w:val="es-ES_tradnl"/>
        </w:rPr>
        <w:t>12</w:t>
      </w:r>
      <w:r w:rsidR="006F703A">
        <w:rPr>
          <w:rFonts w:cs="Arial"/>
          <w:sz w:val="22"/>
          <w:u w:val="single"/>
          <w:lang w:val="es-ES_tradnl"/>
        </w:rPr>
        <w:t>4</w:t>
      </w:r>
      <w:r w:rsidR="00ED214D">
        <w:rPr>
          <w:rFonts w:cs="Arial"/>
          <w:sz w:val="22"/>
          <w:u w:val="single"/>
          <w:lang w:val="es-ES_tradnl"/>
        </w:rPr>
        <w:t>:</w:t>
      </w:r>
      <w:r w:rsidR="006F703A">
        <w:rPr>
          <w:rFonts w:cs="Arial"/>
          <w:sz w:val="22"/>
          <w:u w:val="single"/>
          <w:lang w:val="es-ES_tradnl"/>
        </w:rPr>
        <w:t>4</w:t>
      </w:r>
      <w:r>
        <w:rPr>
          <w:rFonts w:cs="Arial"/>
          <w:sz w:val="22"/>
          <w:u w:val="single"/>
          <w:lang w:val="es-ES_tradnl"/>
        </w:rPr>
        <w:t>0</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sidR="006F703A">
        <w:rPr>
          <w:rFonts w:cs="Arial"/>
          <w:color w:val="000000"/>
          <w:sz w:val="22"/>
          <w:szCs w:val="22"/>
        </w:rPr>
        <w:t>1128</w:t>
      </w:r>
      <w:r w:rsidRPr="002C7B29">
        <w:rPr>
          <w:rFonts w:cs="Arial"/>
          <w:color w:val="000000"/>
          <w:sz w:val="22"/>
          <w:szCs w:val="22"/>
        </w:rPr>
        <w:t>-201</w:t>
      </w:r>
      <w:r>
        <w:rPr>
          <w:rFonts w:cs="Arial"/>
          <w:color w:val="000000"/>
          <w:sz w:val="22"/>
          <w:szCs w:val="22"/>
        </w:rPr>
        <w:t xml:space="preserve">9 del </w:t>
      </w:r>
      <w:r w:rsidR="006F703A">
        <w:rPr>
          <w:rFonts w:cs="Arial"/>
          <w:color w:val="000000"/>
          <w:sz w:val="22"/>
          <w:szCs w:val="22"/>
        </w:rPr>
        <w:t>28</w:t>
      </w:r>
      <w:r>
        <w:rPr>
          <w:rFonts w:cs="Arial"/>
          <w:color w:val="000000"/>
          <w:sz w:val="22"/>
          <w:szCs w:val="22"/>
        </w:rPr>
        <w:t xml:space="preserve"> de </w:t>
      </w:r>
      <w:r w:rsidR="006F703A">
        <w:rPr>
          <w:rFonts w:cs="Arial"/>
          <w:color w:val="000000"/>
          <w:sz w:val="22"/>
          <w:szCs w:val="22"/>
        </w:rPr>
        <w:t>octubre</w:t>
      </w:r>
      <w:r>
        <w:rPr>
          <w:rFonts w:cs="Arial"/>
          <w:color w:val="000000"/>
          <w:sz w:val="22"/>
          <w:szCs w:val="22"/>
        </w:rPr>
        <w:t xml:space="preserve"> de 2019,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DFNV-IN22-</w:t>
      </w:r>
      <w:r>
        <w:rPr>
          <w:rFonts w:cs="Arial"/>
          <w:color w:val="000000"/>
          <w:sz w:val="22"/>
          <w:szCs w:val="22"/>
        </w:rPr>
        <w:t>0</w:t>
      </w:r>
      <w:r w:rsidR="006F703A">
        <w:rPr>
          <w:rFonts w:cs="Arial"/>
          <w:color w:val="000000"/>
          <w:sz w:val="22"/>
          <w:szCs w:val="22"/>
        </w:rPr>
        <w:t>410</w:t>
      </w:r>
      <w:r w:rsidRPr="002C7B29">
        <w:rPr>
          <w:rFonts w:cs="Arial"/>
          <w:color w:val="000000"/>
          <w:sz w:val="22"/>
          <w:szCs w:val="22"/>
        </w:rPr>
        <w:t>-201</w:t>
      </w:r>
      <w:r>
        <w:rPr>
          <w:rFonts w:cs="Arial"/>
          <w:color w:val="000000"/>
          <w:sz w:val="22"/>
          <w:szCs w:val="22"/>
        </w:rPr>
        <w:t>9</w:t>
      </w:r>
      <w:r w:rsidRPr="002C7B29">
        <w:rPr>
          <w:rFonts w:cs="Arial"/>
          <w:color w:val="000000"/>
          <w:sz w:val="22"/>
          <w:szCs w:val="22"/>
        </w:rPr>
        <w:t xml:space="preserve"> </w:t>
      </w:r>
      <w:r>
        <w:rPr>
          <w:rFonts w:cs="Arial"/>
          <w:color w:val="000000"/>
          <w:sz w:val="22"/>
          <w:szCs w:val="22"/>
        </w:rPr>
        <w:t xml:space="preserve">de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con corte al 30 de </w:t>
      </w:r>
      <w:r w:rsidR="006F703A">
        <w:rPr>
          <w:rFonts w:cs="Arial"/>
          <w:color w:val="000000"/>
          <w:sz w:val="22"/>
          <w:szCs w:val="22"/>
        </w:rPr>
        <w:t>setiembre</w:t>
      </w:r>
      <w:r>
        <w:rPr>
          <w:rFonts w:cs="Arial"/>
          <w:color w:val="000000"/>
          <w:sz w:val="22"/>
          <w:szCs w:val="22"/>
        </w:rPr>
        <w:t xml:space="preserve"> de</w:t>
      </w:r>
      <w:r w:rsidRPr="002C7B29">
        <w:rPr>
          <w:rFonts w:cs="Arial"/>
          <w:color w:val="000000"/>
          <w:sz w:val="22"/>
          <w:szCs w:val="22"/>
        </w:rPr>
        <w:t xml:space="preserve"> 201</w:t>
      </w:r>
      <w:r>
        <w:rPr>
          <w:rFonts w:cs="Arial"/>
          <w:color w:val="000000"/>
          <w:sz w:val="22"/>
          <w:szCs w:val="22"/>
        </w:rPr>
        <w:t>9</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14:paraId="67D933FE" w14:textId="77777777" w:rsidR="008B004D" w:rsidRDefault="008B004D" w:rsidP="008B004D">
      <w:pPr>
        <w:spacing w:line="360" w:lineRule="auto"/>
        <w:jc w:val="both"/>
        <w:rPr>
          <w:rFonts w:cs="Arial"/>
          <w:sz w:val="22"/>
          <w:szCs w:val="22"/>
        </w:rPr>
      </w:pPr>
    </w:p>
    <w:p w14:paraId="12AC839F" w14:textId="1B73001B" w:rsidR="008B004D" w:rsidRDefault="006F703A" w:rsidP="008B004D">
      <w:pPr>
        <w:spacing w:line="360" w:lineRule="auto"/>
        <w:jc w:val="both"/>
        <w:rPr>
          <w:rFonts w:cs="Arial"/>
          <w:sz w:val="22"/>
          <w:lang w:val="es-ES_tradnl"/>
        </w:rPr>
      </w:pPr>
      <w:r>
        <w:rPr>
          <w:rFonts w:cs="Arial"/>
          <w:sz w:val="22"/>
          <w:szCs w:val="22"/>
        </w:rPr>
        <w:t>Para exponer el contenido del citado informe, se incorpora a la sesión la</w:t>
      </w:r>
      <w:r w:rsidR="008B004D">
        <w:rPr>
          <w:rFonts w:cs="Arial"/>
          <w:sz w:val="22"/>
          <w:szCs w:val="22"/>
        </w:rPr>
        <w:t xml:space="preserve"> licenciada </w:t>
      </w:r>
      <w:r>
        <w:rPr>
          <w:rFonts w:cs="Arial"/>
          <w:sz w:val="22"/>
          <w:szCs w:val="22"/>
        </w:rPr>
        <w:t xml:space="preserve">Tricia </w:t>
      </w:r>
      <w:r w:rsidR="008B004D">
        <w:rPr>
          <w:rFonts w:cs="Arial"/>
          <w:sz w:val="22"/>
          <w:szCs w:val="22"/>
        </w:rPr>
        <w:t>Hernández Brenes</w:t>
      </w:r>
      <w:r>
        <w:rPr>
          <w:rFonts w:cs="Arial"/>
          <w:sz w:val="22"/>
          <w:szCs w:val="22"/>
        </w:rPr>
        <w:t>, Directora del FONAVI, quien se refiere a</w:t>
      </w:r>
      <w:r w:rsidR="008B004D">
        <w:rPr>
          <w:rFonts w:cs="Arial"/>
          <w:color w:val="000000"/>
          <w:sz w:val="22"/>
          <w:szCs w:val="22"/>
        </w:rPr>
        <w:t xml:space="preserve"> los</w:t>
      </w:r>
      <w:r w:rsidR="008B004D" w:rsidRPr="002C7B29">
        <w:rPr>
          <w:rFonts w:cs="Arial"/>
          <w:color w:val="000000"/>
          <w:sz w:val="22"/>
          <w:szCs w:val="22"/>
        </w:rPr>
        <w:t xml:space="preserve"> principales movimientos</w:t>
      </w:r>
      <w:r w:rsidR="008B004D">
        <w:rPr>
          <w:rFonts w:cs="Arial"/>
          <w:color w:val="000000"/>
          <w:sz w:val="22"/>
          <w:szCs w:val="22"/>
        </w:rPr>
        <w:t>,</w:t>
      </w:r>
      <w:r w:rsidR="008B004D" w:rsidRPr="002C7B29">
        <w:rPr>
          <w:rFonts w:cs="Arial"/>
          <w:color w:val="000000"/>
          <w:sz w:val="22"/>
          <w:szCs w:val="22"/>
        </w:rPr>
        <w:t xml:space="preserve"> en </w:t>
      </w:r>
      <w:r w:rsidR="008B004D">
        <w:rPr>
          <w:rFonts w:cs="Arial"/>
          <w:color w:val="000000"/>
          <w:sz w:val="22"/>
          <w:szCs w:val="22"/>
        </w:rPr>
        <w:t>cuanto a la cartera de</w:t>
      </w:r>
      <w:r w:rsidR="008B004D" w:rsidRPr="002C7B29">
        <w:rPr>
          <w:rFonts w:cs="Arial"/>
          <w:color w:val="000000"/>
          <w:sz w:val="22"/>
          <w:szCs w:val="22"/>
        </w:rPr>
        <w:t xml:space="preserve"> crédito y </w:t>
      </w:r>
      <w:r w:rsidR="008B004D">
        <w:rPr>
          <w:rFonts w:cs="Arial"/>
          <w:color w:val="000000"/>
          <w:sz w:val="22"/>
          <w:szCs w:val="22"/>
        </w:rPr>
        <w:t xml:space="preserve">en materia de </w:t>
      </w:r>
      <w:r w:rsidR="008B004D" w:rsidRPr="002C7B29">
        <w:rPr>
          <w:rFonts w:cs="Arial"/>
          <w:color w:val="000000"/>
          <w:sz w:val="22"/>
          <w:szCs w:val="22"/>
        </w:rPr>
        <w:t>captaciones</w:t>
      </w:r>
      <w:r w:rsidR="008B004D">
        <w:rPr>
          <w:rFonts w:cs="Arial"/>
          <w:color w:val="000000"/>
          <w:sz w:val="22"/>
          <w:szCs w:val="22"/>
        </w:rPr>
        <w:t>;</w:t>
      </w:r>
      <w:r w:rsidR="008B004D" w:rsidRPr="002C7B29">
        <w:rPr>
          <w:rFonts w:cs="Arial"/>
          <w:color w:val="000000"/>
          <w:sz w:val="22"/>
          <w:szCs w:val="22"/>
        </w:rPr>
        <w:t xml:space="preserve"> </w:t>
      </w:r>
      <w:r w:rsidR="008B004D">
        <w:rPr>
          <w:rFonts w:cs="Arial"/>
          <w:color w:val="000000"/>
          <w:sz w:val="22"/>
          <w:szCs w:val="22"/>
        </w:rPr>
        <w:t xml:space="preserve">luego de lo cual, expone </w:t>
      </w:r>
      <w:r w:rsidR="008B004D" w:rsidRPr="002C7B29">
        <w:rPr>
          <w:rFonts w:cs="Arial"/>
          <w:color w:val="000000"/>
          <w:sz w:val="22"/>
          <w:szCs w:val="22"/>
        </w:rPr>
        <w:t xml:space="preserve">los resultados de la intermediación financiera y la situación de Fondo de Garantías, al cierre del pasado mes de </w:t>
      </w:r>
      <w:r>
        <w:rPr>
          <w:rFonts w:cs="Arial"/>
          <w:color w:val="000000"/>
          <w:sz w:val="22"/>
          <w:szCs w:val="22"/>
        </w:rPr>
        <w:t>setiembre</w:t>
      </w:r>
      <w:r w:rsidR="008B004D">
        <w:rPr>
          <w:rFonts w:cs="Arial"/>
          <w:color w:val="000000"/>
          <w:sz w:val="22"/>
          <w:szCs w:val="22"/>
        </w:rPr>
        <w:t>, al tiempo que atiende las consultas y observaciones que al respecto van planteando los señores Directores.</w:t>
      </w:r>
    </w:p>
    <w:p w14:paraId="7F423743" w14:textId="77777777" w:rsidR="008B004D" w:rsidRDefault="008B004D" w:rsidP="008B004D">
      <w:pPr>
        <w:spacing w:line="360" w:lineRule="auto"/>
        <w:jc w:val="both"/>
        <w:rPr>
          <w:rFonts w:cs="Arial"/>
          <w:sz w:val="22"/>
          <w:lang w:val="es-ES_tradnl"/>
        </w:rPr>
      </w:pPr>
    </w:p>
    <w:p w14:paraId="2A4EF0A4" w14:textId="4CDABCB8" w:rsidR="008B004D" w:rsidRDefault="008B004D" w:rsidP="008B004D">
      <w:pPr>
        <w:spacing w:line="360" w:lineRule="auto"/>
        <w:jc w:val="both"/>
        <w:rPr>
          <w:rFonts w:cs="Arial"/>
          <w:sz w:val="22"/>
          <w:lang w:val="es-ES_tradnl"/>
        </w:rPr>
      </w:pPr>
      <w:r w:rsidRPr="00A25DB7">
        <w:rPr>
          <w:rFonts w:cs="Arial"/>
          <w:sz w:val="22"/>
          <w:u w:val="single"/>
          <w:lang w:val="es-ES_tradnl"/>
        </w:rPr>
        <w:t xml:space="preserve">Minuto </w:t>
      </w:r>
      <w:r w:rsidR="00ED214D">
        <w:rPr>
          <w:rFonts w:cs="Arial"/>
          <w:sz w:val="22"/>
          <w:u w:val="single"/>
          <w:lang w:val="es-ES_tradnl"/>
        </w:rPr>
        <w:t>142</w:t>
      </w:r>
      <w:r>
        <w:rPr>
          <w:rFonts w:cs="Arial"/>
          <w:sz w:val="22"/>
          <w:u w:val="single"/>
          <w:lang w:val="es-ES_tradnl"/>
        </w:rPr>
        <w:t>:</w:t>
      </w:r>
      <w:r w:rsidR="00884ECB">
        <w:rPr>
          <w:rFonts w:cs="Arial"/>
          <w:sz w:val="22"/>
          <w:u w:val="single"/>
          <w:lang w:val="es-ES_tradnl"/>
        </w:rPr>
        <w:t>2</w:t>
      </w:r>
      <w:r>
        <w:rPr>
          <w:rFonts w:cs="Arial"/>
          <w:sz w:val="22"/>
          <w:u w:val="single"/>
          <w:lang w:val="es-ES_tradnl"/>
        </w:rPr>
        <w:t>0</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informe de la Dirección FONAVI, solicitándole a la </w:t>
      </w:r>
      <w:r w:rsidRPr="00B72A6F">
        <w:rPr>
          <w:rFonts w:cs="Arial"/>
          <w:color w:val="000000"/>
          <w:sz w:val="22"/>
          <w:szCs w:val="22"/>
        </w:rPr>
        <w:t>Administración</w:t>
      </w:r>
      <w:r>
        <w:rPr>
          <w:rFonts w:cs="Arial"/>
          <w:color w:val="000000"/>
          <w:sz w:val="22"/>
          <w:szCs w:val="22"/>
        </w:rPr>
        <w:t xml:space="preserve">, </w:t>
      </w:r>
      <w:r>
        <w:rPr>
          <w:rFonts w:cs="Arial"/>
          <w:sz w:val="22"/>
        </w:rPr>
        <w:t>darle un adecuado seguimiento a este tema e informar a este Órgano Colegiado sobre cualquier situación que al respecto sea pertinente.</w:t>
      </w:r>
    </w:p>
    <w:p w14:paraId="51DCC650" w14:textId="77777777" w:rsidR="00C27EF8" w:rsidRPr="00D14EAF" w:rsidRDefault="00C27EF8" w:rsidP="00C27EF8">
      <w:pPr>
        <w:spacing w:line="360" w:lineRule="auto"/>
        <w:jc w:val="both"/>
        <w:rPr>
          <w:rFonts w:cs="Arial"/>
          <w:b/>
          <w:sz w:val="22"/>
        </w:rPr>
      </w:pPr>
      <w:r w:rsidRPr="00D14EAF">
        <w:rPr>
          <w:rFonts w:cs="Arial"/>
          <w:b/>
          <w:sz w:val="22"/>
        </w:rPr>
        <w:t>************</w:t>
      </w:r>
    </w:p>
    <w:p w14:paraId="1DB0D563" w14:textId="77777777" w:rsidR="00C27EF8" w:rsidRDefault="00C27EF8" w:rsidP="00C27EF8">
      <w:pPr>
        <w:spacing w:line="360" w:lineRule="auto"/>
        <w:jc w:val="both"/>
        <w:rPr>
          <w:rFonts w:cs="Arial"/>
          <w:b/>
          <w:bCs/>
          <w:sz w:val="22"/>
          <w:szCs w:val="22"/>
          <w:u w:val="single"/>
          <w:lang w:val="es-ES_tradnl"/>
        </w:rPr>
      </w:pPr>
    </w:p>
    <w:p w14:paraId="23F7072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6854A1" w:rsidRPr="00717000">
        <w:rPr>
          <w:rFonts w:cs="Arial"/>
          <w:b/>
          <w:bCs/>
          <w:sz w:val="22"/>
          <w:u w:val="single"/>
        </w:rPr>
        <w:t>Informe sobre la situación financiera de las entidades autorizadas, al 30 de setiembre de 2019</w:t>
      </w:r>
    </w:p>
    <w:p w14:paraId="56D9B131" w14:textId="77777777" w:rsidR="00C27EF8" w:rsidRDefault="00C27EF8" w:rsidP="00C27EF8">
      <w:pPr>
        <w:spacing w:line="360" w:lineRule="auto"/>
        <w:jc w:val="both"/>
        <w:rPr>
          <w:rFonts w:cs="Arial"/>
          <w:sz w:val="22"/>
          <w:szCs w:val="22"/>
        </w:rPr>
      </w:pPr>
    </w:p>
    <w:p w14:paraId="25902E9E" w14:textId="2C7A806F" w:rsidR="008B004D" w:rsidRDefault="008B004D" w:rsidP="008B004D">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w:t>
      </w:r>
      <w:r w:rsidR="00ED214D">
        <w:rPr>
          <w:rFonts w:cs="Arial"/>
          <w:sz w:val="22"/>
          <w:u w:val="single"/>
          <w:lang w:val="es-ES_tradnl"/>
        </w:rPr>
        <w:t>42</w:t>
      </w:r>
      <w:r w:rsidRPr="0039311E">
        <w:rPr>
          <w:rFonts w:cs="Arial"/>
          <w:sz w:val="22"/>
          <w:u w:val="single"/>
          <w:lang w:val="es-ES_tradnl"/>
        </w:rPr>
        <w:t>:</w:t>
      </w:r>
      <w:r w:rsidR="00ED214D">
        <w:rPr>
          <w:rFonts w:cs="Arial"/>
          <w:sz w:val="22"/>
          <w:u w:val="single"/>
          <w:lang w:val="es-ES_tradnl"/>
        </w:rPr>
        <w:t>4</w:t>
      </w:r>
      <w:r w:rsidR="00884ECB">
        <w:rPr>
          <w:rFonts w:cs="Arial"/>
          <w:sz w:val="22"/>
          <w:u w:val="single"/>
          <w:lang w:val="es-ES_tradnl"/>
        </w:rPr>
        <w:t>5</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sidR="00884ECB">
        <w:rPr>
          <w:rFonts w:cs="Arial"/>
          <w:color w:val="000000"/>
          <w:sz w:val="22"/>
          <w:szCs w:val="22"/>
        </w:rPr>
        <w:t>1142</w:t>
      </w:r>
      <w:r w:rsidRPr="001803B0">
        <w:rPr>
          <w:rFonts w:cs="Arial"/>
          <w:color w:val="000000"/>
          <w:sz w:val="22"/>
          <w:szCs w:val="22"/>
        </w:rPr>
        <w:t>-20</w:t>
      </w:r>
      <w:r>
        <w:rPr>
          <w:rFonts w:cs="Arial"/>
          <w:color w:val="000000"/>
          <w:sz w:val="22"/>
          <w:szCs w:val="22"/>
        </w:rPr>
        <w:t>19</w:t>
      </w:r>
      <w:r w:rsidRPr="001803B0">
        <w:rPr>
          <w:rFonts w:cs="Arial"/>
          <w:color w:val="000000"/>
          <w:sz w:val="22"/>
          <w:szCs w:val="22"/>
        </w:rPr>
        <w:t xml:space="preserve"> del </w:t>
      </w:r>
      <w:r w:rsidR="00884ECB">
        <w:rPr>
          <w:rFonts w:cs="Arial"/>
          <w:color w:val="000000"/>
          <w:sz w:val="22"/>
          <w:szCs w:val="22"/>
        </w:rPr>
        <w:t>31</w:t>
      </w:r>
      <w:r>
        <w:rPr>
          <w:rFonts w:cs="Arial"/>
          <w:color w:val="000000"/>
          <w:sz w:val="22"/>
          <w:szCs w:val="22"/>
        </w:rPr>
        <w:t xml:space="preserve"> de </w:t>
      </w:r>
      <w:r w:rsidR="00884ECB">
        <w:rPr>
          <w:rFonts w:cs="Arial"/>
          <w:color w:val="000000"/>
          <w:sz w:val="22"/>
          <w:szCs w:val="22"/>
        </w:rPr>
        <w:t>octubre</w:t>
      </w:r>
      <w:r>
        <w:rPr>
          <w:rFonts w:cs="Arial"/>
          <w:color w:val="000000"/>
          <w:sz w:val="22"/>
          <w:szCs w:val="22"/>
        </w:rPr>
        <w:t xml:space="preserve"> de 2019,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Pr>
          <w:rFonts w:cs="Arial"/>
          <w:color w:val="000000"/>
          <w:sz w:val="22"/>
          <w:szCs w:val="22"/>
        </w:rPr>
        <w:t>DFNV-IN65-0</w:t>
      </w:r>
      <w:r w:rsidR="00884ECB">
        <w:rPr>
          <w:rFonts w:cs="Arial"/>
          <w:color w:val="000000"/>
          <w:sz w:val="22"/>
          <w:szCs w:val="22"/>
        </w:rPr>
        <w:t>440</w:t>
      </w:r>
      <w:r>
        <w:rPr>
          <w:rFonts w:cs="Arial"/>
          <w:color w:val="000000"/>
          <w:sz w:val="22"/>
          <w:szCs w:val="22"/>
        </w:rPr>
        <w:t xml:space="preserve">-2019 de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Pr>
          <w:rFonts w:cs="Arial"/>
          <w:color w:val="000000"/>
          <w:sz w:val="22"/>
          <w:szCs w:val="22"/>
        </w:rPr>
        <w:t xml:space="preserve">30 de </w:t>
      </w:r>
      <w:r w:rsidR="00884ECB">
        <w:rPr>
          <w:rFonts w:cs="Arial"/>
          <w:color w:val="000000"/>
          <w:sz w:val="22"/>
          <w:szCs w:val="22"/>
        </w:rPr>
        <w:t>setiembre</w:t>
      </w:r>
      <w:r>
        <w:rPr>
          <w:rFonts w:cs="Arial"/>
          <w:color w:val="000000"/>
          <w:sz w:val="22"/>
          <w:szCs w:val="22"/>
        </w:rPr>
        <w:t xml:space="preserve"> </w:t>
      </w:r>
      <w:r w:rsidRPr="001803B0">
        <w:rPr>
          <w:rFonts w:cs="Arial"/>
          <w:color w:val="000000"/>
          <w:sz w:val="22"/>
          <w:szCs w:val="22"/>
        </w:rPr>
        <w:t>de 20</w:t>
      </w:r>
      <w:r>
        <w:rPr>
          <w:rFonts w:cs="Arial"/>
          <w:color w:val="000000"/>
          <w:sz w:val="22"/>
          <w:szCs w:val="22"/>
        </w:rPr>
        <w:t>19</w:t>
      </w:r>
      <w:r w:rsidRPr="001803B0">
        <w:rPr>
          <w:rFonts w:cs="Arial"/>
          <w:color w:val="000000"/>
          <w:sz w:val="22"/>
          <w:szCs w:val="22"/>
        </w:rPr>
        <w:t>.</w:t>
      </w:r>
      <w:r>
        <w:rPr>
          <w:rFonts w:cs="Arial"/>
          <w:color w:val="000000"/>
          <w:sz w:val="22"/>
          <w:szCs w:val="22"/>
        </w:rPr>
        <w:t xml:space="preserve">  Dichos documentos se adjuntan al expediente del acta.</w:t>
      </w:r>
    </w:p>
    <w:p w14:paraId="27593A64" w14:textId="77777777" w:rsidR="008B004D" w:rsidRDefault="008B004D" w:rsidP="008B004D">
      <w:pPr>
        <w:tabs>
          <w:tab w:val="left" w:pos="26236"/>
        </w:tabs>
        <w:autoSpaceDE w:val="0"/>
        <w:autoSpaceDN w:val="0"/>
        <w:adjustRightInd w:val="0"/>
        <w:spacing w:line="360" w:lineRule="auto"/>
        <w:jc w:val="both"/>
        <w:rPr>
          <w:rFonts w:cs="Arial"/>
          <w:color w:val="000000"/>
          <w:sz w:val="22"/>
          <w:szCs w:val="22"/>
        </w:rPr>
      </w:pPr>
    </w:p>
    <w:p w14:paraId="2521E3C0" w14:textId="7B3AEC7D" w:rsidR="008B004D" w:rsidRDefault="00884ECB" w:rsidP="008B004D">
      <w:pPr>
        <w:tabs>
          <w:tab w:val="left" w:pos="26236"/>
        </w:tabs>
        <w:autoSpaceDE w:val="0"/>
        <w:autoSpaceDN w:val="0"/>
        <w:adjustRightInd w:val="0"/>
        <w:spacing w:line="360" w:lineRule="auto"/>
        <w:jc w:val="both"/>
        <w:rPr>
          <w:rFonts w:cs="Arial"/>
          <w:sz w:val="22"/>
          <w:lang w:val="es-CR"/>
        </w:rPr>
      </w:pPr>
      <w:r>
        <w:rPr>
          <w:rFonts w:cs="Arial"/>
          <w:sz w:val="22"/>
          <w:szCs w:val="22"/>
        </w:rPr>
        <w:t xml:space="preserve">La licenciada Hernández Brenes </w:t>
      </w:r>
      <w:r w:rsidR="008B004D" w:rsidRPr="00264749">
        <w:rPr>
          <w:rFonts w:cs="Arial"/>
          <w:sz w:val="22"/>
          <w:szCs w:val="22"/>
        </w:rPr>
        <w:t>expone los alcances del referido informe</w:t>
      </w:r>
      <w:r>
        <w:rPr>
          <w:rFonts w:cs="Arial"/>
          <w:sz w:val="22"/>
          <w:szCs w:val="22"/>
        </w:rPr>
        <w:t>, presentando y atendiendo</w:t>
      </w:r>
      <w:r w:rsidR="008B004D">
        <w:rPr>
          <w:rFonts w:cs="Arial"/>
          <w:color w:val="000000"/>
          <w:sz w:val="22"/>
          <w:szCs w:val="22"/>
        </w:rPr>
        <w:t xml:space="preserve"> varias consultas de los señores Directores, sobre los</w:t>
      </w:r>
      <w:r w:rsidR="008B004D">
        <w:rPr>
          <w:rFonts w:cs="Arial"/>
          <w:sz w:val="22"/>
        </w:rPr>
        <w:t xml:space="preserve"> aspectos relacionados con </w:t>
      </w:r>
      <w:r w:rsidR="008B004D">
        <w:rPr>
          <w:rFonts w:cs="Arial"/>
          <w:sz w:val="22"/>
        </w:rPr>
        <w:lastRenderedPageBreak/>
        <w:t>las entidades deudoras y no deudoras del Banco, y sobre lo cual menciona las principales cuentas de balance, resultados e indicadores financieros de las entidades autorizadas, concluyendo que</w:t>
      </w:r>
      <w:r w:rsidR="00F742A1">
        <w:rPr>
          <w:rFonts w:cs="Arial"/>
          <w:sz w:val="22"/>
        </w:rPr>
        <w:t>,</w:t>
      </w:r>
      <w:r w:rsidR="008B004D">
        <w:rPr>
          <w:rFonts w:cs="Arial"/>
          <w:sz w:val="22"/>
        </w:rPr>
        <w:t xml:space="preserve"> en términos generales</w:t>
      </w:r>
      <w:r w:rsidR="00F742A1">
        <w:rPr>
          <w:rFonts w:cs="Arial"/>
          <w:sz w:val="22"/>
        </w:rPr>
        <w:t>,</w:t>
      </w:r>
      <w:r w:rsidR="008B004D">
        <w:rPr>
          <w:rFonts w:cs="Arial"/>
          <w:sz w:val="22"/>
        </w:rPr>
        <w:t xml:space="preserve"> se muestra un comportamiento estable y satisfactorio al cierre del mes de </w:t>
      </w:r>
      <w:r>
        <w:rPr>
          <w:rFonts w:cs="Arial"/>
          <w:sz w:val="22"/>
        </w:rPr>
        <w:t>setiembre</w:t>
      </w:r>
      <w:r w:rsidR="008B004D">
        <w:rPr>
          <w:rFonts w:cs="Arial"/>
          <w:sz w:val="22"/>
        </w:rPr>
        <w:t>, muy similar al mostrado por los sectores correspondientes</w:t>
      </w:r>
      <w:r w:rsidR="008B004D">
        <w:rPr>
          <w:rFonts w:cs="Arial"/>
          <w:sz w:val="22"/>
          <w:lang w:val="es-CR"/>
        </w:rPr>
        <w:t>.</w:t>
      </w:r>
    </w:p>
    <w:p w14:paraId="202AF2ED" w14:textId="77777777" w:rsidR="008B004D" w:rsidRDefault="008B004D" w:rsidP="008B004D">
      <w:pPr>
        <w:tabs>
          <w:tab w:val="left" w:pos="26236"/>
        </w:tabs>
        <w:autoSpaceDE w:val="0"/>
        <w:autoSpaceDN w:val="0"/>
        <w:adjustRightInd w:val="0"/>
        <w:spacing w:line="360" w:lineRule="auto"/>
        <w:jc w:val="both"/>
        <w:rPr>
          <w:rFonts w:cs="Arial"/>
          <w:sz w:val="22"/>
          <w:lang w:val="es-CR"/>
        </w:rPr>
      </w:pPr>
    </w:p>
    <w:p w14:paraId="2AB62E17" w14:textId="77777777" w:rsidR="008B004D" w:rsidRPr="00AB2826" w:rsidRDefault="008B004D" w:rsidP="008B004D">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117</w:t>
      </w:r>
      <w:r w:rsidRPr="0039311E">
        <w:rPr>
          <w:rFonts w:cs="Arial"/>
          <w:sz w:val="22"/>
          <w:u w:val="single"/>
          <w:lang w:val="es-ES_tradnl"/>
        </w:rPr>
        <w:t>:</w:t>
      </w:r>
      <w:r>
        <w:rPr>
          <w:rFonts w:cs="Arial"/>
          <w:sz w:val="22"/>
          <w:u w:val="single"/>
          <w:lang w:val="es-ES_tradnl"/>
        </w:rPr>
        <w:t>50</w:t>
      </w:r>
      <w:r>
        <w:rPr>
          <w:rFonts w:cs="Arial"/>
          <w:color w:val="000000"/>
          <w:sz w:val="22"/>
          <w:szCs w:val="22"/>
        </w:rPr>
        <w:t xml:space="preserve"> </w:t>
      </w:r>
      <w:r>
        <w:rPr>
          <w:rFonts w:cs="Arial"/>
          <w:sz w:val="22"/>
          <w:lang w:val="es-CR"/>
        </w:rPr>
        <w:t xml:space="preserve">La </w:t>
      </w:r>
      <w:r>
        <w:rPr>
          <w:rFonts w:cs="Arial"/>
          <w:color w:val="000000"/>
          <w:sz w:val="22"/>
          <w:szCs w:val="22"/>
        </w:rPr>
        <w:t xml:space="preserve">Junta Directiva da por conocida la información suministrada, solicitándole a la </w:t>
      </w:r>
      <w:r w:rsidRPr="006E7ECA">
        <w:rPr>
          <w:rFonts w:cs="Arial"/>
          <w:color w:val="000000"/>
          <w:sz w:val="22"/>
          <w:szCs w:val="22"/>
        </w:rPr>
        <w:t>Administración</w:t>
      </w:r>
      <w:r>
        <w:rPr>
          <w:rFonts w:cs="Arial"/>
          <w:color w:val="000000"/>
          <w:sz w:val="22"/>
          <w:szCs w:val="22"/>
        </w:rPr>
        <w:t>, darle un adecuado seguimiento a este tema.  Acto seguido, se retira de la sesión la licenciada Hernández Brenes.</w:t>
      </w:r>
    </w:p>
    <w:p w14:paraId="57BA12D7" w14:textId="77777777" w:rsidR="00C27EF8" w:rsidRPr="00D14EAF" w:rsidRDefault="00C27EF8" w:rsidP="00C27EF8">
      <w:pPr>
        <w:spacing w:line="360" w:lineRule="auto"/>
        <w:jc w:val="both"/>
        <w:rPr>
          <w:rFonts w:cs="Arial"/>
          <w:b/>
          <w:sz w:val="22"/>
        </w:rPr>
      </w:pPr>
      <w:r w:rsidRPr="00D14EAF">
        <w:rPr>
          <w:rFonts w:cs="Arial"/>
          <w:b/>
          <w:sz w:val="22"/>
        </w:rPr>
        <w:t>************</w:t>
      </w:r>
    </w:p>
    <w:p w14:paraId="18719FB2" w14:textId="77777777" w:rsidR="00C27EF8" w:rsidRDefault="00C27EF8" w:rsidP="00C27EF8">
      <w:pPr>
        <w:spacing w:line="360" w:lineRule="auto"/>
        <w:jc w:val="both"/>
        <w:rPr>
          <w:rFonts w:cs="Arial"/>
          <w:b/>
          <w:bCs/>
          <w:sz w:val="22"/>
          <w:szCs w:val="22"/>
          <w:u w:val="single"/>
          <w:lang w:val="es-ES_tradnl"/>
        </w:rPr>
      </w:pPr>
    </w:p>
    <w:p w14:paraId="5A081E1E" w14:textId="77777777" w:rsidR="00C27EF8" w:rsidRDefault="00C27EF8" w:rsidP="00C27EF8">
      <w:pPr>
        <w:spacing w:line="360" w:lineRule="auto"/>
        <w:jc w:val="both"/>
        <w:rPr>
          <w:rFonts w:cs="Arial"/>
          <w:sz w:val="22"/>
          <w:szCs w:val="22"/>
        </w:rPr>
      </w:pPr>
    </w:p>
    <w:p w14:paraId="0478566B" w14:textId="5CC2B0AC" w:rsidR="00C27EF8" w:rsidRPr="00AB2826" w:rsidRDefault="00C27EF8" w:rsidP="00C27EF8">
      <w:pPr>
        <w:pStyle w:val="Textoindependiente"/>
        <w:ind w:right="0"/>
        <w:rPr>
          <w:rFonts w:cs="Arial"/>
          <w:szCs w:val="22"/>
        </w:rPr>
      </w:pPr>
      <w:r w:rsidRPr="008B004D">
        <w:rPr>
          <w:rFonts w:cs="Arial"/>
          <w:szCs w:val="22"/>
          <w:u w:val="single"/>
        </w:rPr>
        <w:t xml:space="preserve">Minuto </w:t>
      </w:r>
      <w:r w:rsidR="008B004D" w:rsidRPr="008B004D">
        <w:rPr>
          <w:rFonts w:cs="Arial"/>
          <w:szCs w:val="22"/>
          <w:u w:val="single"/>
        </w:rPr>
        <w:t>160</w:t>
      </w:r>
      <w:r w:rsidRPr="008B004D">
        <w:rPr>
          <w:rFonts w:cs="Arial"/>
          <w:szCs w:val="22"/>
          <w:u w:val="single"/>
        </w:rPr>
        <w:t>:</w:t>
      </w:r>
      <w:r w:rsidR="008B004D" w:rsidRPr="008B004D">
        <w:rPr>
          <w:rFonts w:cs="Arial"/>
          <w:szCs w:val="22"/>
          <w:u w:val="single"/>
        </w:rPr>
        <w:t>30</w:t>
      </w:r>
      <w:r>
        <w:rPr>
          <w:rFonts w:cs="Arial"/>
          <w:szCs w:val="22"/>
        </w:rPr>
        <w:t xml:space="preserve"> </w:t>
      </w:r>
      <w:r w:rsidRPr="00AB2826">
        <w:rPr>
          <w:rFonts w:cs="Arial"/>
          <w:szCs w:val="22"/>
        </w:rPr>
        <w:t xml:space="preserve">Siendo las </w:t>
      </w:r>
      <w:r w:rsidR="008B004D">
        <w:rPr>
          <w:rFonts w:cs="Arial"/>
          <w:szCs w:val="22"/>
        </w:rPr>
        <w:t>diecisiete</w:t>
      </w:r>
      <w:r>
        <w:rPr>
          <w:rFonts w:cs="Arial"/>
          <w:szCs w:val="22"/>
        </w:rPr>
        <w:t xml:space="preserve"> </w:t>
      </w:r>
      <w:r w:rsidRPr="00AB2826">
        <w:rPr>
          <w:rFonts w:cs="Arial"/>
          <w:szCs w:val="22"/>
        </w:rPr>
        <w:t>horas</w:t>
      </w:r>
      <w:r>
        <w:rPr>
          <w:rFonts w:cs="Arial"/>
          <w:szCs w:val="22"/>
        </w:rPr>
        <w:t xml:space="preserve"> con </w:t>
      </w:r>
      <w:r w:rsidR="008B004D">
        <w:rPr>
          <w:rFonts w:cs="Arial"/>
          <w:szCs w:val="22"/>
        </w:rPr>
        <w:t>cincuenta</w:t>
      </w:r>
      <w:r>
        <w:rPr>
          <w:rFonts w:cs="Arial"/>
          <w:szCs w:val="22"/>
        </w:rPr>
        <w:t xml:space="preserve"> minutos</w:t>
      </w:r>
      <w:r w:rsidRPr="00AB2826">
        <w:rPr>
          <w:rFonts w:cs="Arial"/>
          <w:szCs w:val="22"/>
        </w:rPr>
        <w:t>, se levanta la sesión.</w:t>
      </w:r>
    </w:p>
    <w:p w14:paraId="17980178" w14:textId="77777777" w:rsidR="00C27EF8" w:rsidRPr="00D14EAF" w:rsidRDefault="00C27EF8" w:rsidP="00C27EF8">
      <w:pPr>
        <w:spacing w:line="360" w:lineRule="auto"/>
        <w:jc w:val="both"/>
        <w:rPr>
          <w:rFonts w:cs="Arial"/>
          <w:b/>
          <w:sz w:val="22"/>
        </w:rPr>
      </w:pPr>
      <w:r w:rsidRPr="00D14EAF">
        <w:rPr>
          <w:rFonts w:cs="Arial"/>
          <w:b/>
          <w:sz w:val="22"/>
        </w:rPr>
        <w:t>************</w:t>
      </w:r>
    </w:p>
    <w:p w14:paraId="3D7D0DB8" w14:textId="77777777" w:rsidR="00C27EF8" w:rsidRDefault="00C27EF8" w:rsidP="00C27EF8">
      <w:pPr>
        <w:rPr>
          <w:rFonts w:cs="Arial"/>
          <w:sz w:val="22"/>
          <w:szCs w:val="22"/>
        </w:rPr>
      </w:pPr>
    </w:p>
    <w:p w14:paraId="01841D5F" w14:textId="77777777" w:rsidR="00C27EF8" w:rsidRDefault="00C27EF8" w:rsidP="00C27EF8">
      <w:pPr>
        <w:rPr>
          <w:rFonts w:cs="Arial"/>
          <w:sz w:val="22"/>
          <w:szCs w:val="22"/>
        </w:rPr>
      </w:pPr>
    </w:p>
    <w:p w14:paraId="44676A9A" w14:textId="77777777" w:rsidR="00C27EF8" w:rsidRDefault="00C27EF8" w:rsidP="00C27EF8">
      <w:pPr>
        <w:rPr>
          <w:rFonts w:cs="Arial"/>
          <w:sz w:val="22"/>
          <w:szCs w:val="22"/>
        </w:rPr>
      </w:pPr>
      <w:r>
        <w:rPr>
          <w:rFonts w:cs="Arial"/>
          <w:sz w:val="22"/>
          <w:szCs w:val="22"/>
        </w:rPr>
        <w:br w:type="page"/>
      </w:r>
    </w:p>
    <w:p w14:paraId="4E716C6A" w14:textId="77777777" w:rsidR="00C27EF8" w:rsidRDefault="00C27EF8" w:rsidP="00C27EF8">
      <w:pPr>
        <w:spacing w:line="360" w:lineRule="auto"/>
        <w:jc w:val="both"/>
        <w:rPr>
          <w:rFonts w:cs="Arial"/>
          <w:sz w:val="22"/>
          <w:szCs w:val="22"/>
        </w:rPr>
      </w:pPr>
    </w:p>
    <w:p w14:paraId="7058F4F9" w14:textId="77777777" w:rsidR="00C27EF8" w:rsidRDefault="00C27EF8" w:rsidP="00C27EF8">
      <w:pPr>
        <w:spacing w:line="360" w:lineRule="auto"/>
        <w:jc w:val="both"/>
        <w:rPr>
          <w:rFonts w:cs="Arial"/>
          <w:sz w:val="22"/>
          <w:szCs w:val="22"/>
        </w:rPr>
      </w:pPr>
    </w:p>
    <w:p w14:paraId="1FBAE5D3" w14:textId="77777777" w:rsidR="00C27EF8" w:rsidRDefault="00C27EF8" w:rsidP="00C27EF8">
      <w:pPr>
        <w:pStyle w:val="Ttulo"/>
        <w:ind w:right="51"/>
        <w:rPr>
          <w:rFonts w:cs="Arial"/>
        </w:rPr>
      </w:pPr>
      <w:r>
        <w:rPr>
          <w:rFonts w:cs="Arial"/>
        </w:rPr>
        <w:t>BANCO HIPOTECARIO DE LA VIVIENDA</w:t>
      </w:r>
    </w:p>
    <w:p w14:paraId="600FA2BF"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2E36415" w14:textId="77777777" w:rsidR="00C27EF8" w:rsidRDefault="00C27EF8" w:rsidP="00C27EF8">
      <w:pPr>
        <w:spacing w:line="360" w:lineRule="auto"/>
        <w:ind w:right="51"/>
        <w:jc w:val="center"/>
        <w:rPr>
          <w:rFonts w:cs="Arial"/>
          <w:b/>
          <w:sz w:val="22"/>
          <w:u w:val="single"/>
        </w:rPr>
      </w:pPr>
    </w:p>
    <w:p w14:paraId="78836CA4"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6854A1">
        <w:rPr>
          <w:rFonts w:cs="Arial"/>
          <w:b/>
          <w:sz w:val="22"/>
          <w:u w:val="single"/>
        </w:rPr>
        <w:t>EXTRA</w:t>
      </w:r>
      <w:r>
        <w:rPr>
          <w:rFonts w:cs="Arial"/>
          <w:b/>
          <w:sz w:val="22"/>
          <w:u w:val="single"/>
        </w:rPr>
        <w:t xml:space="preserve">ORDINARIA N° </w:t>
      </w:r>
      <w:r w:rsidR="006854A1">
        <w:rPr>
          <w:rFonts w:cs="Arial"/>
          <w:b/>
          <w:sz w:val="22"/>
          <w:u w:val="single"/>
        </w:rPr>
        <w:t>87</w:t>
      </w:r>
      <w:r>
        <w:rPr>
          <w:rFonts w:cs="Arial"/>
          <w:b/>
          <w:sz w:val="22"/>
          <w:u w:val="single"/>
        </w:rPr>
        <w:t>-2019</w:t>
      </w:r>
    </w:p>
    <w:p w14:paraId="64EBC8CF"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6854A1">
        <w:rPr>
          <w:rFonts w:cs="Arial"/>
          <w:b/>
          <w:sz w:val="22"/>
          <w:u w:val="single"/>
        </w:rPr>
        <w:t>07</w:t>
      </w:r>
      <w:r>
        <w:rPr>
          <w:rFonts w:cs="Arial"/>
          <w:b/>
          <w:sz w:val="22"/>
          <w:u w:val="single"/>
        </w:rPr>
        <w:t xml:space="preserve"> DE </w:t>
      </w:r>
      <w:r w:rsidR="006854A1">
        <w:rPr>
          <w:rFonts w:cs="Arial"/>
          <w:b/>
          <w:sz w:val="22"/>
          <w:u w:val="single"/>
        </w:rPr>
        <w:t>NOVIEMBRE</w:t>
      </w:r>
      <w:r>
        <w:rPr>
          <w:rFonts w:cs="Arial"/>
          <w:b/>
          <w:sz w:val="22"/>
          <w:u w:val="single"/>
        </w:rPr>
        <w:t xml:space="preserve"> DE 2019</w:t>
      </w:r>
    </w:p>
    <w:p w14:paraId="4483A981" w14:textId="77777777" w:rsidR="00C27EF8" w:rsidRDefault="00C27EF8" w:rsidP="00C27EF8">
      <w:pPr>
        <w:spacing w:line="360" w:lineRule="auto"/>
        <w:jc w:val="both"/>
        <w:rPr>
          <w:rFonts w:cs="Arial"/>
          <w:sz w:val="22"/>
          <w:szCs w:val="22"/>
        </w:rPr>
      </w:pPr>
    </w:p>
    <w:p w14:paraId="0A0AA0D2" w14:textId="77777777" w:rsidR="00C27EF8" w:rsidRDefault="00C27EF8" w:rsidP="00C27EF8">
      <w:pPr>
        <w:spacing w:line="360" w:lineRule="auto"/>
        <w:jc w:val="both"/>
        <w:rPr>
          <w:rFonts w:cs="Arial"/>
          <w:sz w:val="22"/>
          <w:szCs w:val="22"/>
        </w:rPr>
      </w:pPr>
    </w:p>
    <w:p w14:paraId="54C83B6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09CCC12" w14:textId="77777777" w:rsidR="00D96EE2" w:rsidRDefault="00D96EE2" w:rsidP="00D96EE2">
      <w:pPr>
        <w:spacing w:line="360" w:lineRule="auto"/>
        <w:jc w:val="both"/>
        <w:rPr>
          <w:rFonts w:cs="Arial"/>
          <w:b/>
          <w:bCs/>
          <w:sz w:val="22"/>
          <w:szCs w:val="22"/>
        </w:rPr>
      </w:pPr>
      <w:r>
        <w:rPr>
          <w:rFonts w:cs="Arial"/>
          <w:b/>
          <w:bCs/>
          <w:sz w:val="22"/>
          <w:szCs w:val="22"/>
        </w:rPr>
        <w:t>Considerando:</w:t>
      </w:r>
    </w:p>
    <w:p w14:paraId="3A4D919A" w14:textId="444408E6" w:rsidR="00D96EE2" w:rsidRDefault="00D96EE2" w:rsidP="00D96EE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GG-ME-1161-2019 del 06 de noviembre de 2019, la Gerencia General remite y avala el informe </w:t>
      </w:r>
      <w:r>
        <w:rPr>
          <w:rFonts w:cs="Arial"/>
          <w:sz w:val="22"/>
          <w:szCs w:val="22"/>
        </w:rPr>
        <w:t>DF</w:t>
      </w:r>
      <w:r w:rsidRPr="00B35EAF">
        <w:rPr>
          <w:rFonts w:cs="Arial"/>
          <w:sz w:val="22"/>
          <w:szCs w:val="22"/>
        </w:rPr>
        <w:t>-OF-</w:t>
      </w:r>
      <w:r>
        <w:rPr>
          <w:rFonts w:cs="Arial"/>
          <w:sz w:val="22"/>
          <w:szCs w:val="22"/>
        </w:rPr>
        <w:t>1304</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una solicitud para financiar</w:t>
      </w:r>
      <w:r w:rsidR="006B1990">
        <w:rPr>
          <w:rFonts w:cs="Arial"/>
          <w:bCs/>
          <w:sz w:val="22"/>
        </w:rPr>
        <w:t xml:space="preserve"> con el Fondo Nacional de Emergencias y </w:t>
      </w:r>
      <w:r>
        <w:rPr>
          <w:rFonts w:cs="Arial"/>
          <w:bCs/>
          <w:sz w:val="22"/>
        </w:rPr>
        <w:t xml:space="preserve">al amparo del </w:t>
      </w:r>
      <w:r w:rsidRPr="0080398E">
        <w:rPr>
          <w:color w:val="000000"/>
          <w:sz w:val="22"/>
          <w:szCs w:val="22"/>
        </w:rPr>
        <w:t>Convenio de Traspaso de Recursos de la Comisión Nacional de Prevención de Riesgos y Atención de Emergencias</w:t>
      </w:r>
      <w:r>
        <w:rPr>
          <w:color w:val="000000"/>
          <w:sz w:val="22"/>
          <w:szCs w:val="22"/>
        </w:rPr>
        <w:t xml:space="preserve">, </w:t>
      </w:r>
      <w:r>
        <w:rPr>
          <w:rFonts w:cs="Arial"/>
          <w:bCs/>
          <w:sz w:val="22"/>
        </w:rPr>
        <w:t xml:space="preserve">tres operaciones de Bono individuales para familias damnificadas por la emergencia del huracán Otto, con afectaciones en sus viviendas y cuyos subsidios </w:t>
      </w:r>
      <w:r w:rsidR="006B1990">
        <w:rPr>
          <w:rFonts w:cs="Arial"/>
          <w:bCs/>
          <w:sz w:val="22"/>
        </w:rPr>
        <w:t xml:space="preserve">fueron originalmente aprobados con fondos del Fondo de Subsidios para la </w:t>
      </w:r>
      <w:r w:rsidR="00F32F63">
        <w:rPr>
          <w:rFonts w:cs="Arial"/>
          <w:bCs/>
          <w:sz w:val="22"/>
        </w:rPr>
        <w:t>Vivienda</w:t>
      </w:r>
      <w:r>
        <w:rPr>
          <w:rFonts w:cs="Arial"/>
          <w:bCs/>
          <w:sz w:val="22"/>
        </w:rPr>
        <w:t>.</w:t>
      </w:r>
    </w:p>
    <w:p w14:paraId="4CD78A3A" w14:textId="77777777" w:rsidR="00D96EE2" w:rsidRDefault="00D96EE2" w:rsidP="00D96EE2">
      <w:pPr>
        <w:spacing w:line="360" w:lineRule="auto"/>
        <w:jc w:val="both"/>
        <w:rPr>
          <w:rFonts w:cs="Arial"/>
          <w:bCs/>
          <w:sz w:val="22"/>
        </w:rPr>
      </w:pPr>
    </w:p>
    <w:p w14:paraId="03DE9F47" w14:textId="77777777" w:rsidR="00D96EE2" w:rsidRDefault="006B1990" w:rsidP="00D96EE2">
      <w:pPr>
        <w:spacing w:line="360" w:lineRule="auto"/>
        <w:jc w:val="both"/>
        <w:rPr>
          <w:rFonts w:cs="Arial"/>
          <w:bCs/>
          <w:sz w:val="22"/>
          <w:szCs w:val="22"/>
          <w:lang w:val="es-ES_tradnl"/>
        </w:rPr>
      </w:pPr>
      <w:r>
        <w:rPr>
          <w:rFonts w:cs="Arial"/>
          <w:b/>
          <w:bCs/>
          <w:sz w:val="22"/>
          <w:szCs w:val="22"/>
        </w:rPr>
        <w:t>Segundo</w:t>
      </w:r>
      <w:r w:rsidR="00D96EE2">
        <w:rPr>
          <w:rFonts w:cs="Arial"/>
          <w:b/>
          <w:bCs/>
          <w:sz w:val="22"/>
          <w:szCs w:val="22"/>
          <w:lang w:val="es-ES_tradnl"/>
        </w:rPr>
        <w:t>:</w:t>
      </w:r>
      <w:r w:rsidR="00D96EE2">
        <w:rPr>
          <w:rFonts w:cs="Arial"/>
          <w:bCs/>
          <w:sz w:val="22"/>
          <w:szCs w:val="22"/>
          <w:lang w:val="es-ES_tradnl"/>
        </w:rPr>
        <w:t xml:space="preserve"> Que conocida la información suministrada por </w:t>
      </w:r>
      <w:r w:rsidR="00D96EE2">
        <w:rPr>
          <w:rFonts w:cs="Arial"/>
          <w:bCs/>
          <w:sz w:val="22"/>
          <w:szCs w:val="22"/>
        </w:rPr>
        <w:t>la Dirección FOSUVI</w:t>
      </w:r>
      <w:r w:rsidR="00D96EE2">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00D96EE2">
        <w:rPr>
          <w:rFonts w:cs="Arial"/>
          <w:sz w:val="22"/>
          <w:szCs w:val="22"/>
        </w:rPr>
        <w:t>DF</w:t>
      </w:r>
      <w:r w:rsidR="00D96EE2" w:rsidRPr="00B35EAF">
        <w:rPr>
          <w:rFonts w:cs="Arial"/>
          <w:sz w:val="22"/>
          <w:szCs w:val="22"/>
        </w:rPr>
        <w:t>-OF-</w:t>
      </w:r>
      <w:r>
        <w:rPr>
          <w:rFonts w:cs="Arial"/>
          <w:sz w:val="22"/>
          <w:szCs w:val="22"/>
        </w:rPr>
        <w:t>1304</w:t>
      </w:r>
      <w:r w:rsidR="00D96EE2" w:rsidRPr="00B35EAF">
        <w:rPr>
          <w:rFonts w:cs="Arial"/>
          <w:sz w:val="22"/>
          <w:szCs w:val="22"/>
        </w:rPr>
        <w:t>-201</w:t>
      </w:r>
      <w:r w:rsidR="00D96EE2">
        <w:rPr>
          <w:rFonts w:cs="Arial"/>
          <w:sz w:val="22"/>
          <w:szCs w:val="22"/>
        </w:rPr>
        <w:t>9</w:t>
      </w:r>
      <w:r w:rsidR="00D96EE2">
        <w:rPr>
          <w:rFonts w:cs="Arial"/>
          <w:bCs/>
          <w:sz w:val="22"/>
          <w:szCs w:val="22"/>
        </w:rPr>
        <w:t>.</w:t>
      </w:r>
    </w:p>
    <w:p w14:paraId="0E910FDB" w14:textId="77777777" w:rsidR="00D96EE2" w:rsidRPr="00F80BE0" w:rsidRDefault="00D96EE2" w:rsidP="00D96EE2">
      <w:pPr>
        <w:spacing w:line="360" w:lineRule="auto"/>
        <w:jc w:val="both"/>
        <w:rPr>
          <w:rFonts w:cs="Arial"/>
          <w:bCs/>
          <w:sz w:val="16"/>
          <w:szCs w:val="16"/>
          <w:lang w:val="es-ES_tradnl"/>
        </w:rPr>
      </w:pPr>
    </w:p>
    <w:p w14:paraId="6E1A0CB6" w14:textId="77777777" w:rsidR="00D96EE2" w:rsidRDefault="00D96EE2" w:rsidP="00D96EE2">
      <w:pPr>
        <w:spacing w:line="360" w:lineRule="auto"/>
        <w:jc w:val="both"/>
        <w:rPr>
          <w:rFonts w:cs="Arial"/>
          <w:b/>
          <w:bCs/>
          <w:sz w:val="22"/>
          <w:szCs w:val="22"/>
        </w:rPr>
      </w:pPr>
      <w:r>
        <w:rPr>
          <w:rFonts w:cs="Arial"/>
          <w:b/>
          <w:bCs/>
          <w:sz w:val="22"/>
          <w:szCs w:val="22"/>
        </w:rPr>
        <w:t>Por tanto, se acuerda:</w:t>
      </w:r>
    </w:p>
    <w:p w14:paraId="78669F3F" w14:textId="77777777" w:rsidR="00B73640" w:rsidRDefault="00D96EE2" w:rsidP="00D96EE2">
      <w:pPr>
        <w:spacing w:line="360" w:lineRule="auto"/>
        <w:jc w:val="both"/>
        <w:rPr>
          <w:rFonts w:cs="Arial"/>
          <w:sz w:val="22"/>
          <w:szCs w:val="22"/>
          <w:lang w:val="es-CR"/>
        </w:rPr>
      </w:pPr>
      <w:r w:rsidRPr="00163449">
        <w:rPr>
          <w:rFonts w:cs="Arial"/>
          <w:b/>
          <w:bCs/>
          <w:color w:val="000000"/>
          <w:sz w:val="22"/>
          <w:szCs w:val="22"/>
        </w:rPr>
        <w:t>1)</w:t>
      </w:r>
      <w:r w:rsidRPr="00163449">
        <w:rPr>
          <w:rFonts w:cs="Arial"/>
          <w:color w:val="000000"/>
          <w:sz w:val="22"/>
          <w:szCs w:val="22"/>
        </w:rPr>
        <w:t xml:space="preserve"> Autorizar, al amparo del </w:t>
      </w:r>
      <w:r w:rsidRPr="00842C7B">
        <w:rPr>
          <w:rFonts w:cs="Arial"/>
          <w:color w:val="000000"/>
          <w:sz w:val="22"/>
          <w:szCs w:val="22"/>
        </w:rPr>
        <w:t>“</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163449">
        <w:rPr>
          <w:rFonts w:cs="Arial"/>
          <w:color w:val="000000"/>
          <w:sz w:val="22"/>
          <w:szCs w:val="22"/>
        </w:rPr>
        <w:t xml:space="preserve"> </w:t>
      </w:r>
      <w:r w:rsidR="00B73640">
        <w:rPr>
          <w:rFonts w:cs="Arial"/>
          <w:color w:val="000000"/>
          <w:sz w:val="22"/>
          <w:szCs w:val="22"/>
        </w:rPr>
        <w:t xml:space="preserve">el trámite de tres operaciones de </w:t>
      </w:r>
      <w:r w:rsidR="00B73640" w:rsidRPr="00B73640">
        <w:rPr>
          <w:rFonts w:cs="Arial"/>
          <w:color w:val="000000"/>
          <w:sz w:val="22"/>
          <w:szCs w:val="22"/>
          <w:lang w:val="es-ES_tradnl"/>
        </w:rPr>
        <w:t xml:space="preserve">Bono Familiar de Vivienda </w:t>
      </w:r>
      <w:r w:rsidR="00B73640" w:rsidRPr="000939E0">
        <w:rPr>
          <w:rFonts w:cs="Arial"/>
          <w:sz w:val="22"/>
          <w:szCs w:val="22"/>
          <w:lang w:val="es-CR"/>
        </w:rPr>
        <w:t>y la posterior liberación de recursos por parte de la Junta Directiva de la C</w:t>
      </w:r>
      <w:r w:rsidR="00B73640">
        <w:rPr>
          <w:rFonts w:cs="Arial"/>
          <w:sz w:val="22"/>
          <w:szCs w:val="22"/>
          <w:lang w:val="es-CR"/>
        </w:rPr>
        <w:t>omisión Nacional de Prevención de Riesgos y Atención de Emergencias (CNE), por un monto total de ¢36.600.629,90 (treinta y seis millones novecientos mil seiscientos veintinueve colones con 90/100)</w:t>
      </w:r>
      <w:r w:rsidR="00DC734A">
        <w:rPr>
          <w:rFonts w:cs="Arial"/>
          <w:sz w:val="22"/>
          <w:szCs w:val="22"/>
          <w:lang w:val="es-CR"/>
        </w:rPr>
        <w:t>;</w:t>
      </w:r>
      <w:r w:rsidR="00B73640">
        <w:rPr>
          <w:rFonts w:cs="Arial"/>
          <w:sz w:val="22"/>
          <w:szCs w:val="22"/>
          <w:lang w:val="es-CR"/>
        </w:rPr>
        <w:t xml:space="preserve"> recursos que se destinarán a la atención de tres familias damnificadas del huracán Otto, en los mismos términos </w:t>
      </w:r>
      <w:r w:rsidR="00DC734A">
        <w:rPr>
          <w:rFonts w:cs="Arial"/>
          <w:sz w:val="22"/>
          <w:szCs w:val="22"/>
          <w:lang w:val="es-CR"/>
        </w:rPr>
        <w:t>que fueron aprobados originalmente y según el siguiente detalle:</w:t>
      </w:r>
    </w:p>
    <w:p w14:paraId="13F81AEB" w14:textId="77777777" w:rsidR="00DC734A" w:rsidRDefault="00DC734A" w:rsidP="00D96EE2">
      <w:pPr>
        <w:spacing w:line="360" w:lineRule="auto"/>
        <w:jc w:val="both"/>
        <w:rPr>
          <w:rFonts w:cs="Arial"/>
          <w:color w:val="000000"/>
          <w:sz w:val="22"/>
          <w:szCs w:val="22"/>
          <w:lang w:val="es-ES_tradnl"/>
        </w:rPr>
      </w:pPr>
    </w:p>
    <w:tbl>
      <w:tblPr>
        <w:tblW w:w="8729" w:type="dxa"/>
        <w:tblInd w:w="55" w:type="dxa"/>
        <w:tblLayout w:type="fixed"/>
        <w:tblCellMar>
          <w:left w:w="70" w:type="dxa"/>
          <w:right w:w="70" w:type="dxa"/>
        </w:tblCellMar>
        <w:tblLook w:val="04A0" w:firstRow="1" w:lastRow="0" w:firstColumn="1" w:lastColumn="0" w:noHBand="0" w:noVBand="1"/>
      </w:tblPr>
      <w:tblGrid>
        <w:gridCol w:w="649"/>
        <w:gridCol w:w="709"/>
        <w:gridCol w:w="1701"/>
        <w:gridCol w:w="709"/>
        <w:gridCol w:w="1275"/>
        <w:gridCol w:w="709"/>
        <w:gridCol w:w="284"/>
        <w:gridCol w:w="1417"/>
        <w:gridCol w:w="1276"/>
      </w:tblGrid>
      <w:tr w:rsidR="00DC734A" w:rsidRPr="00655308" w14:paraId="425AF1F7" w14:textId="77777777" w:rsidTr="00306A4C">
        <w:trPr>
          <w:trHeight w:val="454"/>
        </w:trPr>
        <w:tc>
          <w:tcPr>
            <w:tcW w:w="6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2D538F" w14:textId="77777777" w:rsidR="00DC734A" w:rsidRDefault="00DC734A" w:rsidP="00244621">
            <w:pPr>
              <w:rPr>
                <w:rFonts w:ascii="Arial Narrow" w:hAnsi="Arial Narrow" w:cs="Arial"/>
                <w:sz w:val="16"/>
                <w:szCs w:val="16"/>
                <w:lang w:val="es-CR" w:eastAsia="es-CR"/>
              </w:rPr>
            </w:pPr>
            <w:r>
              <w:rPr>
                <w:rFonts w:ascii="Arial Narrow" w:hAnsi="Arial Narrow" w:cs="Arial"/>
                <w:sz w:val="16"/>
                <w:szCs w:val="16"/>
                <w:lang w:val="es-CR" w:eastAsia="es-CR"/>
              </w:rPr>
              <w:t># Boleta</w:t>
            </w:r>
          </w:p>
        </w:tc>
        <w:tc>
          <w:tcPr>
            <w:tcW w:w="7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EB528A" w14:textId="77777777" w:rsidR="00DC734A" w:rsidRDefault="00DC734A"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Cédula</w:t>
            </w:r>
          </w:p>
        </w:tc>
        <w:tc>
          <w:tcPr>
            <w:tcW w:w="1701"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3FCA5DD0" w14:textId="77777777" w:rsidR="00DC734A" w:rsidRDefault="00DC734A"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Nombre</w:t>
            </w:r>
          </w:p>
        </w:tc>
        <w:tc>
          <w:tcPr>
            <w:tcW w:w="709"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517DBAB2" w14:textId="77777777" w:rsidR="00DC734A" w:rsidRDefault="00DC734A"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N° de caso</w:t>
            </w:r>
          </w:p>
        </w:tc>
        <w:tc>
          <w:tcPr>
            <w:tcW w:w="127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70191A" w14:textId="77777777" w:rsidR="00DC734A" w:rsidRDefault="00DC734A"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N° Acta/Acuerdo</w:t>
            </w:r>
          </w:p>
        </w:tc>
        <w:tc>
          <w:tcPr>
            <w:tcW w:w="99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A7FDD80" w14:textId="77777777" w:rsidR="00DC734A" w:rsidRDefault="00DC734A" w:rsidP="002446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Modalidad</w:t>
            </w:r>
          </w:p>
        </w:tc>
        <w:tc>
          <w:tcPr>
            <w:tcW w:w="141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46615649" w14:textId="77777777" w:rsidR="00DC734A" w:rsidRDefault="00DC734A" w:rsidP="002446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Entidad Autorizada</w:t>
            </w:r>
          </w:p>
        </w:tc>
        <w:tc>
          <w:tcPr>
            <w:tcW w:w="1276"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1F37FFBE" w14:textId="77777777" w:rsidR="00DC734A" w:rsidRDefault="00DC734A" w:rsidP="002446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Monto del Bono (¢)</w:t>
            </w:r>
          </w:p>
        </w:tc>
      </w:tr>
      <w:tr w:rsidR="00DC734A" w:rsidRPr="00655308" w14:paraId="7FB5B157" w14:textId="77777777" w:rsidTr="007E643A">
        <w:trPr>
          <w:trHeight w:val="454"/>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14:paraId="360177AF" w14:textId="77777777" w:rsidR="00DC734A" w:rsidRDefault="00DC734A" w:rsidP="00DC734A">
            <w:pPr>
              <w:jc w:val="center"/>
              <w:rPr>
                <w:rFonts w:ascii="Arial Narrow" w:hAnsi="Arial Narrow" w:cs="Arial"/>
                <w:sz w:val="16"/>
                <w:szCs w:val="16"/>
                <w:lang w:val="es-CR" w:eastAsia="es-CR"/>
              </w:rPr>
            </w:pPr>
            <w:r>
              <w:rPr>
                <w:rFonts w:ascii="Arial Narrow" w:hAnsi="Arial Narrow" w:cs="Arial"/>
                <w:sz w:val="16"/>
                <w:szCs w:val="16"/>
                <w:lang w:val="es-CR" w:eastAsia="es-CR"/>
              </w:rPr>
              <w:t>00021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1593E14" w14:textId="77777777" w:rsidR="00DC734A" w:rsidRDefault="00DC734A"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5-0160-0690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7AF6660" w14:textId="77777777" w:rsidR="00DC734A" w:rsidRDefault="00DC734A" w:rsidP="00DC734A">
            <w:pPr>
              <w:rPr>
                <w:rFonts w:ascii="Arial Narrow" w:hAnsi="Arial Narrow" w:cs="Arial"/>
                <w:sz w:val="16"/>
                <w:szCs w:val="16"/>
                <w:lang w:val="es-CR" w:eastAsia="es-CR"/>
              </w:rPr>
            </w:pPr>
            <w:r>
              <w:rPr>
                <w:rFonts w:ascii="Arial Narrow" w:hAnsi="Arial Narrow" w:cs="Arial"/>
                <w:sz w:val="16"/>
                <w:szCs w:val="16"/>
                <w:lang w:val="es-CR" w:eastAsia="es-CR"/>
              </w:rPr>
              <w:t>Rafael Ángel Humberto Ocampo Rojas</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EF733EF" w14:textId="77777777" w:rsidR="00DC734A" w:rsidRDefault="00DC734A"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10065-12087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904778" w14:textId="77777777" w:rsidR="00DC734A" w:rsidRDefault="007E643A"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Acta 14653</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1292F2" w14:textId="77777777" w:rsidR="00DC734A" w:rsidRDefault="007E643A" w:rsidP="002446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Regular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9C2B46" w14:textId="77777777" w:rsidR="00DC734A" w:rsidRDefault="007E643A" w:rsidP="00244621">
            <w:pPr>
              <w:ind w:left="-70"/>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Coopenae</w:t>
            </w:r>
            <w:proofErr w:type="spellEnd"/>
            <w:r>
              <w:rPr>
                <w:rFonts w:ascii="Arial Narrow" w:hAnsi="Arial Narrow" w:cs="Arial"/>
                <w:sz w:val="16"/>
                <w:szCs w:val="16"/>
                <w:lang w:val="es-CR" w:eastAsia="es-CR"/>
              </w:rPr>
              <w:t xml:space="preserve"> R.L.</w:t>
            </w:r>
          </w:p>
        </w:tc>
        <w:tc>
          <w:tcPr>
            <w:tcW w:w="1276" w:type="dxa"/>
            <w:tcBorders>
              <w:top w:val="single" w:sz="4" w:space="0" w:color="auto"/>
              <w:left w:val="nil"/>
              <w:bottom w:val="single" w:sz="4" w:space="0" w:color="auto"/>
              <w:right w:val="single" w:sz="4" w:space="0" w:color="auto"/>
            </w:tcBorders>
            <w:vAlign w:val="center"/>
          </w:tcPr>
          <w:p w14:paraId="0F3502B6" w14:textId="77777777" w:rsidR="00DC734A" w:rsidRDefault="007E643A" w:rsidP="007E643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7.099.000,00</w:t>
            </w:r>
          </w:p>
        </w:tc>
      </w:tr>
      <w:tr w:rsidR="00DC734A" w:rsidRPr="00655308" w14:paraId="75540FC9" w14:textId="77777777" w:rsidTr="00306A4C">
        <w:trPr>
          <w:trHeight w:val="454"/>
        </w:trPr>
        <w:tc>
          <w:tcPr>
            <w:tcW w:w="6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6163C4" w14:textId="77777777" w:rsidR="00DC734A" w:rsidRDefault="00812607" w:rsidP="00DC734A">
            <w:pPr>
              <w:jc w:val="center"/>
              <w:rPr>
                <w:rFonts w:ascii="Arial Narrow" w:hAnsi="Arial Narrow" w:cs="Arial"/>
                <w:sz w:val="16"/>
                <w:szCs w:val="16"/>
                <w:lang w:val="es-CR" w:eastAsia="es-CR"/>
              </w:rPr>
            </w:pPr>
            <w:r>
              <w:rPr>
                <w:rFonts w:ascii="Arial Narrow" w:hAnsi="Arial Narrow" w:cs="Arial"/>
                <w:sz w:val="16"/>
                <w:szCs w:val="16"/>
                <w:lang w:val="es-CR" w:eastAsia="es-CR"/>
              </w:rPr>
              <w:t>000195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3D5E7F" w14:textId="77777777" w:rsidR="00DC734A" w:rsidRDefault="00812607"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6-0061-0726</w:t>
            </w:r>
          </w:p>
        </w:tc>
        <w:tc>
          <w:tcPr>
            <w:tcW w:w="170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C5F1790" w14:textId="77777777" w:rsidR="00DC734A" w:rsidRDefault="00402BEC" w:rsidP="00DC734A">
            <w:pPr>
              <w:rPr>
                <w:rFonts w:ascii="Arial Narrow" w:hAnsi="Arial Narrow" w:cs="Arial"/>
                <w:sz w:val="16"/>
                <w:szCs w:val="16"/>
                <w:lang w:val="es-CR" w:eastAsia="es-CR"/>
              </w:rPr>
            </w:pPr>
            <w:r>
              <w:rPr>
                <w:rFonts w:ascii="Arial Narrow" w:hAnsi="Arial Narrow" w:cs="Arial"/>
                <w:sz w:val="16"/>
                <w:szCs w:val="16"/>
                <w:lang w:val="es-CR" w:eastAsia="es-CR"/>
              </w:rPr>
              <w:t>Domingo Alfredo Villarreal Villarreal</w:t>
            </w:r>
          </w:p>
        </w:tc>
        <w:tc>
          <w:tcPr>
            <w:tcW w:w="709"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717B898" w14:textId="77777777" w:rsidR="00DC734A" w:rsidRDefault="00402BEC"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10309-71093</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116B6C" w14:textId="77777777" w:rsidR="00DC734A" w:rsidRDefault="00402BEC"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Acuerdo N° 4, Sesión 48-2019</w:t>
            </w:r>
          </w:p>
        </w:tc>
        <w:tc>
          <w:tcPr>
            <w:tcW w:w="99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52DDA8" w14:textId="77777777" w:rsidR="00DC734A" w:rsidRDefault="007E643A" w:rsidP="002446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Art. 59</w:t>
            </w:r>
          </w:p>
        </w:tc>
        <w:tc>
          <w:tcPr>
            <w:tcW w:w="1417"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50E648D" w14:textId="77777777" w:rsidR="00DC734A" w:rsidRDefault="007E643A" w:rsidP="002446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Grupo Mutual Alajuela - La Vivienda</w:t>
            </w:r>
          </w:p>
        </w:tc>
        <w:tc>
          <w:tcPr>
            <w:tcW w:w="127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4344BFD" w14:textId="77777777" w:rsidR="00DC734A" w:rsidRDefault="00F92B2F" w:rsidP="007E643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20.612.915,00</w:t>
            </w:r>
          </w:p>
        </w:tc>
      </w:tr>
      <w:tr w:rsidR="00DC734A" w:rsidRPr="00655308" w14:paraId="2ADFFF51" w14:textId="77777777" w:rsidTr="00306A4C">
        <w:trPr>
          <w:trHeight w:val="454"/>
        </w:trPr>
        <w:tc>
          <w:tcPr>
            <w:tcW w:w="649" w:type="dxa"/>
            <w:tcBorders>
              <w:top w:val="single" w:sz="4" w:space="0" w:color="auto"/>
              <w:left w:val="single" w:sz="4" w:space="0" w:color="auto"/>
              <w:bottom w:val="single" w:sz="4" w:space="0" w:color="auto"/>
              <w:right w:val="single" w:sz="4" w:space="0" w:color="auto"/>
            </w:tcBorders>
            <w:shd w:val="clear" w:color="000000" w:fill="FFFFFF"/>
            <w:vAlign w:val="center"/>
          </w:tcPr>
          <w:p w14:paraId="34EE7AEC" w14:textId="77777777" w:rsidR="00DC734A" w:rsidRDefault="00812607" w:rsidP="00DC734A">
            <w:pPr>
              <w:jc w:val="center"/>
              <w:rPr>
                <w:rFonts w:ascii="Arial Narrow" w:hAnsi="Arial Narrow" w:cs="Arial"/>
                <w:sz w:val="16"/>
                <w:szCs w:val="16"/>
                <w:lang w:val="es-CR" w:eastAsia="es-CR"/>
              </w:rPr>
            </w:pPr>
            <w:r>
              <w:rPr>
                <w:rFonts w:ascii="Arial Narrow" w:hAnsi="Arial Narrow" w:cs="Arial"/>
                <w:sz w:val="16"/>
                <w:szCs w:val="16"/>
                <w:lang w:val="es-CR" w:eastAsia="es-CR"/>
              </w:rPr>
              <w:t>000572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BEE6E9A" w14:textId="77777777" w:rsidR="00DC734A" w:rsidRDefault="00E86CA5"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155823-</w:t>
            </w:r>
            <w:r w:rsidR="00402BEC">
              <w:rPr>
                <w:rFonts w:ascii="Arial Narrow" w:hAnsi="Arial Narrow" w:cs="Arial"/>
                <w:sz w:val="16"/>
                <w:szCs w:val="16"/>
                <w:lang w:val="es-CR" w:eastAsia="es-CR"/>
              </w:rPr>
              <w:t>491000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515CCA2" w14:textId="38A9BC02" w:rsidR="00DC734A" w:rsidRDefault="00402BEC" w:rsidP="00DC734A">
            <w:pPr>
              <w:rPr>
                <w:rFonts w:ascii="Arial Narrow" w:hAnsi="Arial Narrow" w:cs="Arial"/>
                <w:sz w:val="16"/>
                <w:szCs w:val="16"/>
                <w:lang w:val="es-CR" w:eastAsia="es-CR"/>
              </w:rPr>
            </w:pPr>
            <w:r>
              <w:rPr>
                <w:rFonts w:ascii="Arial Narrow" w:hAnsi="Arial Narrow" w:cs="Arial"/>
                <w:sz w:val="16"/>
                <w:szCs w:val="16"/>
                <w:lang w:val="es-CR" w:eastAsia="es-CR"/>
              </w:rPr>
              <w:t xml:space="preserve">María Magdalena </w:t>
            </w:r>
            <w:r w:rsidR="00155D9B">
              <w:rPr>
                <w:rFonts w:ascii="Arial Narrow" w:hAnsi="Arial Narrow" w:cs="Arial"/>
                <w:sz w:val="16"/>
                <w:szCs w:val="16"/>
                <w:lang w:val="es-CR" w:eastAsia="es-CR"/>
              </w:rPr>
              <w:t>Bermúdez</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0582FA7" w14:textId="77777777" w:rsidR="00DC734A" w:rsidRDefault="00402BEC"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10001-54105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28FA7B" w14:textId="77777777" w:rsidR="00DC734A" w:rsidRDefault="00402BEC" w:rsidP="00244621">
            <w:pPr>
              <w:jc w:val="center"/>
              <w:rPr>
                <w:rFonts w:ascii="Arial Narrow" w:hAnsi="Arial Narrow" w:cs="Arial"/>
                <w:sz w:val="16"/>
                <w:szCs w:val="16"/>
                <w:lang w:val="es-CR" w:eastAsia="es-CR"/>
              </w:rPr>
            </w:pPr>
            <w:r>
              <w:rPr>
                <w:rFonts w:ascii="Arial Narrow" w:hAnsi="Arial Narrow" w:cs="Arial"/>
                <w:sz w:val="16"/>
                <w:szCs w:val="16"/>
                <w:lang w:val="es-CR" w:eastAsia="es-CR"/>
              </w:rPr>
              <w:t>Acta 14830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1DE7DE" w14:textId="77777777" w:rsidR="00DC734A" w:rsidRDefault="007E643A" w:rsidP="0024462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Regular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552FC8" w14:textId="77777777" w:rsidR="00DC734A" w:rsidRDefault="00402BEC" w:rsidP="00244621">
            <w:pPr>
              <w:ind w:left="-70"/>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Coopecaja</w:t>
            </w:r>
            <w:proofErr w:type="spellEnd"/>
            <w:r>
              <w:rPr>
                <w:rFonts w:ascii="Arial Narrow" w:hAnsi="Arial Narrow" w:cs="Arial"/>
                <w:sz w:val="16"/>
                <w:szCs w:val="16"/>
                <w:lang w:val="es-CR" w:eastAsia="es-CR"/>
              </w:rPr>
              <w:t xml:space="preserve"> R.L.</w:t>
            </w:r>
          </w:p>
        </w:tc>
        <w:tc>
          <w:tcPr>
            <w:tcW w:w="1276" w:type="dxa"/>
            <w:tcBorders>
              <w:top w:val="single" w:sz="4" w:space="0" w:color="auto"/>
              <w:left w:val="nil"/>
              <w:bottom w:val="single" w:sz="4" w:space="0" w:color="auto"/>
              <w:right w:val="single" w:sz="4" w:space="0" w:color="auto"/>
            </w:tcBorders>
            <w:vAlign w:val="center"/>
          </w:tcPr>
          <w:p w14:paraId="5E16C713" w14:textId="77777777" w:rsidR="00DC734A" w:rsidRDefault="00812607" w:rsidP="007E643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7E643A" w:rsidRPr="00655308" w14:paraId="56086B04" w14:textId="77777777" w:rsidTr="00306A4C">
        <w:trPr>
          <w:trHeight w:val="340"/>
        </w:trPr>
        <w:tc>
          <w:tcPr>
            <w:tcW w:w="649" w:type="dxa"/>
            <w:tcBorders>
              <w:top w:val="single" w:sz="4" w:space="0" w:color="auto"/>
              <w:left w:val="single" w:sz="4" w:space="0" w:color="auto"/>
              <w:bottom w:val="single" w:sz="4" w:space="0" w:color="auto"/>
            </w:tcBorders>
            <w:shd w:val="clear" w:color="auto" w:fill="D9E2F3" w:themeFill="accent1" w:themeFillTint="33"/>
            <w:vAlign w:val="center"/>
          </w:tcPr>
          <w:p w14:paraId="6E5290FA" w14:textId="77777777" w:rsidR="007E643A" w:rsidRDefault="007E643A" w:rsidP="00DC734A">
            <w:pPr>
              <w:jc w:val="center"/>
              <w:rPr>
                <w:rFonts w:ascii="Arial Narrow" w:hAnsi="Arial Narrow" w:cs="Arial"/>
                <w:sz w:val="16"/>
                <w:szCs w:val="16"/>
                <w:lang w:val="es-CR" w:eastAsia="es-CR"/>
              </w:rPr>
            </w:pPr>
          </w:p>
        </w:tc>
        <w:tc>
          <w:tcPr>
            <w:tcW w:w="709" w:type="dxa"/>
            <w:tcBorders>
              <w:top w:val="single" w:sz="4" w:space="0" w:color="auto"/>
              <w:bottom w:val="single" w:sz="4" w:space="0" w:color="auto"/>
            </w:tcBorders>
            <w:shd w:val="clear" w:color="auto" w:fill="D9E2F3" w:themeFill="accent1" w:themeFillTint="33"/>
            <w:vAlign w:val="center"/>
          </w:tcPr>
          <w:p w14:paraId="7090BCC1" w14:textId="77777777" w:rsidR="007E643A" w:rsidRDefault="007E643A" w:rsidP="00244621">
            <w:pPr>
              <w:jc w:val="center"/>
              <w:rPr>
                <w:rFonts w:ascii="Arial Narrow" w:hAnsi="Arial Narrow" w:cs="Arial"/>
                <w:sz w:val="16"/>
                <w:szCs w:val="16"/>
                <w:lang w:val="es-CR" w:eastAsia="es-CR"/>
              </w:rPr>
            </w:pPr>
          </w:p>
        </w:tc>
        <w:tc>
          <w:tcPr>
            <w:tcW w:w="1701" w:type="dxa"/>
            <w:tcBorders>
              <w:top w:val="single" w:sz="4" w:space="0" w:color="auto"/>
              <w:bottom w:val="single" w:sz="4" w:space="0" w:color="auto"/>
            </w:tcBorders>
            <w:shd w:val="clear" w:color="auto" w:fill="D9E2F3" w:themeFill="accent1" w:themeFillTint="33"/>
            <w:vAlign w:val="center"/>
          </w:tcPr>
          <w:p w14:paraId="7BA634B7" w14:textId="77777777" w:rsidR="007E643A" w:rsidRDefault="007E643A" w:rsidP="00DC734A">
            <w:pPr>
              <w:rPr>
                <w:rFonts w:ascii="Arial Narrow" w:hAnsi="Arial Narrow" w:cs="Arial"/>
                <w:sz w:val="16"/>
                <w:szCs w:val="16"/>
                <w:lang w:val="es-CR" w:eastAsia="es-CR"/>
              </w:rPr>
            </w:pPr>
          </w:p>
        </w:tc>
        <w:tc>
          <w:tcPr>
            <w:tcW w:w="709" w:type="dxa"/>
            <w:tcBorders>
              <w:top w:val="single" w:sz="4" w:space="0" w:color="auto"/>
              <w:bottom w:val="single" w:sz="4" w:space="0" w:color="auto"/>
            </w:tcBorders>
            <w:shd w:val="clear" w:color="auto" w:fill="D9E2F3" w:themeFill="accent1" w:themeFillTint="33"/>
            <w:vAlign w:val="center"/>
          </w:tcPr>
          <w:p w14:paraId="32415362" w14:textId="77777777" w:rsidR="007E643A" w:rsidRDefault="007E643A" w:rsidP="00244621">
            <w:pPr>
              <w:jc w:val="center"/>
              <w:rPr>
                <w:rFonts w:ascii="Arial Narrow" w:hAnsi="Arial Narrow" w:cs="Arial"/>
                <w:sz w:val="16"/>
                <w:szCs w:val="16"/>
                <w:lang w:val="es-CR" w:eastAsia="es-CR"/>
              </w:rPr>
            </w:pPr>
          </w:p>
        </w:tc>
        <w:tc>
          <w:tcPr>
            <w:tcW w:w="1275" w:type="dxa"/>
            <w:tcBorders>
              <w:top w:val="single" w:sz="4" w:space="0" w:color="auto"/>
              <w:bottom w:val="single" w:sz="4" w:space="0" w:color="auto"/>
            </w:tcBorders>
            <w:shd w:val="clear" w:color="auto" w:fill="D9E2F3" w:themeFill="accent1" w:themeFillTint="33"/>
            <w:vAlign w:val="center"/>
          </w:tcPr>
          <w:p w14:paraId="0F2896AB" w14:textId="77777777" w:rsidR="007E643A" w:rsidRDefault="007E643A" w:rsidP="00244621">
            <w:pPr>
              <w:jc w:val="center"/>
              <w:rPr>
                <w:rFonts w:ascii="Arial Narrow" w:hAnsi="Arial Narrow" w:cs="Arial"/>
                <w:sz w:val="16"/>
                <w:szCs w:val="16"/>
                <w:lang w:val="es-CR" w:eastAsia="es-CR"/>
              </w:rPr>
            </w:pPr>
          </w:p>
        </w:tc>
        <w:tc>
          <w:tcPr>
            <w:tcW w:w="993"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2328DD36" w14:textId="77777777" w:rsidR="007E643A" w:rsidRDefault="007E643A" w:rsidP="00244621">
            <w:pPr>
              <w:ind w:left="-70"/>
              <w:jc w:val="center"/>
              <w:rPr>
                <w:rFonts w:ascii="Arial Narrow" w:hAnsi="Arial Narrow" w:cs="Arial"/>
                <w:sz w:val="16"/>
                <w:szCs w:val="16"/>
                <w:lang w:val="es-CR" w:eastAsia="es-CR"/>
              </w:rPr>
            </w:pPr>
          </w:p>
        </w:tc>
        <w:tc>
          <w:tcPr>
            <w:tcW w:w="1417"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1BB3835" w14:textId="77777777" w:rsidR="007E643A" w:rsidRPr="00306A4C" w:rsidRDefault="00402BEC" w:rsidP="00244621">
            <w:pPr>
              <w:ind w:left="-70"/>
              <w:jc w:val="center"/>
              <w:rPr>
                <w:rFonts w:ascii="Arial Narrow" w:hAnsi="Arial Narrow" w:cs="Arial"/>
                <w:b/>
                <w:bCs/>
                <w:sz w:val="16"/>
                <w:szCs w:val="16"/>
                <w:lang w:val="es-CR" w:eastAsia="es-CR"/>
              </w:rPr>
            </w:pPr>
            <w:r w:rsidRPr="00306A4C">
              <w:rPr>
                <w:rFonts w:ascii="Arial Narrow" w:hAnsi="Arial Narrow" w:cs="Arial"/>
                <w:b/>
                <w:bCs/>
                <w:sz w:val="16"/>
                <w:szCs w:val="16"/>
                <w:lang w:val="es-CR" w:eastAsia="es-CR"/>
              </w:rPr>
              <w:t>Subtotal</w:t>
            </w:r>
          </w:p>
        </w:tc>
        <w:tc>
          <w:tcPr>
            <w:tcW w:w="127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668300E" w14:textId="77777777" w:rsidR="007E643A" w:rsidRPr="00306A4C" w:rsidRDefault="00812607" w:rsidP="007E643A">
            <w:pPr>
              <w:ind w:left="-70"/>
              <w:jc w:val="right"/>
              <w:rPr>
                <w:rFonts w:ascii="Arial Narrow" w:hAnsi="Arial Narrow" w:cs="Arial"/>
                <w:b/>
                <w:bCs/>
                <w:sz w:val="16"/>
                <w:szCs w:val="16"/>
                <w:lang w:val="es-CR" w:eastAsia="es-CR"/>
              </w:rPr>
            </w:pPr>
            <w:r w:rsidRPr="00306A4C">
              <w:rPr>
                <w:rFonts w:ascii="Arial Narrow" w:hAnsi="Arial Narrow" w:cs="Arial"/>
                <w:b/>
                <w:bCs/>
                <w:sz w:val="16"/>
                <w:szCs w:val="16"/>
                <w:lang w:val="es-CR" w:eastAsia="es-CR"/>
              </w:rPr>
              <w:t>34.811.915,00</w:t>
            </w:r>
          </w:p>
        </w:tc>
      </w:tr>
      <w:tr w:rsidR="00DC734A" w:rsidRPr="00655308" w14:paraId="029C9DBF" w14:textId="77777777" w:rsidTr="00306A4C">
        <w:trPr>
          <w:trHeight w:val="340"/>
        </w:trPr>
        <w:tc>
          <w:tcPr>
            <w:tcW w:w="649" w:type="dxa"/>
            <w:tcBorders>
              <w:top w:val="single" w:sz="4" w:space="0" w:color="auto"/>
              <w:left w:val="single" w:sz="4" w:space="0" w:color="auto"/>
              <w:bottom w:val="single" w:sz="4" w:space="0" w:color="auto"/>
            </w:tcBorders>
            <w:shd w:val="clear" w:color="000000" w:fill="FFFFFF"/>
            <w:vAlign w:val="center"/>
          </w:tcPr>
          <w:p w14:paraId="1BFE61CE" w14:textId="77777777" w:rsidR="00DC734A" w:rsidRDefault="00DC734A" w:rsidP="00DC734A">
            <w:pPr>
              <w:jc w:val="center"/>
              <w:rPr>
                <w:rFonts w:ascii="Arial Narrow" w:hAnsi="Arial Narrow" w:cs="Arial"/>
                <w:sz w:val="16"/>
                <w:szCs w:val="16"/>
                <w:lang w:val="es-CR" w:eastAsia="es-CR"/>
              </w:rPr>
            </w:pPr>
          </w:p>
        </w:tc>
        <w:tc>
          <w:tcPr>
            <w:tcW w:w="709" w:type="dxa"/>
            <w:tcBorders>
              <w:top w:val="single" w:sz="4" w:space="0" w:color="auto"/>
              <w:bottom w:val="single" w:sz="4" w:space="0" w:color="auto"/>
            </w:tcBorders>
            <w:shd w:val="clear" w:color="000000" w:fill="FFFFFF"/>
            <w:vAlign w:val="center"/>
          </w:tcPr>
          <w:p w14:paraId="08FADE27" w14:textId="77777777" w:rsidR="00DC734A" w:rsidRDefault="00DC734A" w:rsidP="00244621">
            <w:pPr>
              <w:jc w:val="center"/>
              <w:rPr>
                <w:rFonts w:ascii="Arial Narrow" w:hAnsi="Arial Narrow" w:cs="Arial"/>
                <w:sz w:val="16"/>
                <w:szCs w:val="16"/>
                <w:lang w:val="es-CR" w:eastAsia="es-CR"/>
              </w:rPr>
            </w:pPr>
          </w:p>
        </w:tc>
        <w:tc>
          <w:tcPr>
            <w:tcW w:w="1701" w:type="dxa"/>
            <w:tcBorders>
              <w:top w:val="single" w:sz="4" w:space="0" w:color="auto"/>
              <w:bottom w:val="single" w:sz="4" w:space="0" w:color="auto"/>
            </w:tcBorders>
            <w:shd w:val="clear" w:color="000000" w:fill="FFFFFF"/>
            <w:vAlign w:val="center"/>
          </w:tcPr>
          <w:p w14:paraId="1B292821" w14:textId="77777777" w:rsidR="00DC734A" w:rsidRDefault="00DC734A" w:rsidP="00DC734A">
            <w:pPr>
              <w:rPr>
                <w:rFonts w:ascii="Arial Narrow" w:hAnsi="Arial Narrow" w:cs="Arial"/>
                <w:sz w:val="16"/>
                <w:szCs w:val="16"/>
                <w:lang w:val="es-CR" w:eastAsia="es-CR"/>
              </w:rPr>
            </w:pPr>
          </w:p>
        </w:tc>
        <w:tc>
          <w:tcPr>
            <w:tcW w:w="709" w:type="dxa"/>
            <w:tcBorders>
              <w:top w:val="single" w:sz="4" w:space="0" w:color="auto"/>
              <w:bottom w:val="single" w:sz="4" w:space="0" w:color="auto"/>
            </w:tcBorders>
            <w:shd w:val="clear" w:color="000000" w:fill="FFFFFF"/>
            <w:vAlign w:val="center"/>
          </w:tcPr>
          <w:p w14:paraId="14F5490A" w14:textId="77777777" w:rsidR="00DC734A" w:rsidRDefault="00DC734A" w:rsidP="00244621">
            <w:pPr>
              <w:jc w:val="center"/>
              <w:rPr>
                <w:rFonts w:ascii="Arial Narrow" w:hAnsi="Arial Narrow" w:cs="Arial"/>
                <w:sz w:val="16"/>
                <w:szCs w:val="16"/>
                <w:lang w:val="es-CR" w:eastAsia="es-CR"/>
              </w:rPr>
            </w:pPr>
          </w:p>
        </w:tc>
        <w:tc>
          <w:tcPr>
            <w:tcW w:w="1275" w:type="dxa"/>
            <w:tcBorders>
              <w:top w:val="single" w:sz="4" w:space="0" w:color="auto"/>
              <w:bottom w:val="single" w:sz="4" w:space="0" w:color="auto"/>
            </w:tcBorders>
            <w:shd w:val="clear" w:color="000000" w:fill="FFFFFF"/>
            <w:vAlign w:val="center"/>
          </w:tcPr>
          <w:p w14:paraId="20FFD050" w14:textId="77777777" w:rsidR="00DC734A" w:rsidRDefault="00DC734A" w:rsidP="00244621">
            <w:pPr>
              <w:jc w:val="center"/>
              <w:rPr>
                <w:rFonts w:ascii="Arial Narrow" w:hAnsi="Arial Narrow" w:cs="Arial"/>
                <w:sz w:val="16"/>
                <w:szCs w:val="16"/>
                <w:lang w:val="es-CR" w:eastAsia="es-CR"/>
              </w:rPr>
            </w:pPr>
          </w:p>
        </w:tc>
        <w:tc>
          <w:tcPr>
            <w:tcW w:w="709" w:type="dxa"/>
            <w:tcBorders>
              <w:top w:val="single" w:sz="4" w:space="0" w:color="auto"/>
              <w:bottom w:val="single" w:sz="4" w:space="0" w:color="auto"/>
              <w:right w:val="single" w:sz="4" w:space="0" w:color="auto"/>
            </w:tcBorders>
            <w:shd w:val="clear" w:color="000000" w:fill="FFFFFF"/>
            <w:vAlign w:val="center"/>
          </w:tcPr>
          <w:p w14:paraId="10E75213" w14:textId="77777777" w:rsidR="00DC734A" w:rsidRDefault="00DC734A" w:rsidP="00244621">
            <w:pPr>
              <w:ind w:left="-70"/>
              <w:jc w:val="center"/>
              <w:rPr>
                <w:rFonts w:ascii="Arial Narrow" w:hAnsi="Arial Narrow" w:cs="Arial"/>
                <w:sz w:val="16"/>
                <w:szCs w:val="16"/>
                <w:lang w:val="es-CR" w:eastAsia="es-CR"/>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544618C" w14:textId="77777777" w:rsidR="00DC734A" w:rsidRPr="00306A4C" w:rsidRDefault="00402BEC" w:rsidP="00244621">
            <w:pPr>
              <w:ind w:left="-70"/>
              <w:jc w:val="center"/>
              <w:rPr>
                <w:rFonts w:ascii="Arial Narrow" w:hAnsi="Arial Narrow" w:cs="Arial"/>
                <w:b/>
                <w:bCs/>
                <w:sz w:val="16"/>
                <w:szCs w:val="16"/>
                <w:lang w:val="es-CR" w:eastAsia="es-CR"/>
              </w:rPr>
            </w:pPr>
            <w:r w:rsidRPr="00306A4C">
              <w:rPr>
                <w:rFonts w:ascii="Arial Narrow" w:hAnsi="Arial Narrow" w:cs="Arial"/>
                <w:b/>
                <w:bCs/>
                <w:sz w:val="16"/>
                <w:szCs w:val="16"/>
                <w:lang w:val="es-CR" w:eastAsia="es-CR"/>
              </w:rPr>
              <w:t>Comisión BANHVI 6%</w:t>
            </w:r>
          </w:p>
        </w:tc>
        <w:tc>
          <w:tcPr>
            <w:tcW w:w="1276" w:type="dxa"/>
            <w:tcBorders>
              <w:top w:val="single" w:sz="4" w:space="0" w:color="auto"/>
              <w:left w:val="nil"/>
              <w:bottom w:val="single" w:sz="4" w:space="0" w:color="auto"/>
              <w:right w:val="single" w:sz="4" w:space="0" w:color="auto"/>
            </w:tcBorders>
            <w:vAlign w:val="center"/>
          </w:tcPr>
          <w:p w14:paraId="7B5EE5A3" w14:textId="77777777" w:rsidR="00DC734A" w:rsidRPr="00306A4C" w:rsidRDefault="00812607" w:rsidP="007E643A">
            <w:pPr>
              <w:ind w:left="-70"/>
              <w:jc w:val="right"/>
              <w:rPr>
                <w:rFonts w:ascii="Arial Narrow" w:hAnsi="Arial Narrow" w:cs="Arial"/>
                <w:b/>
                <w:bCs/>
                <w:sz w:val="16"/>
                <w:szCs w:val="16"/>
                <w:lang w:val="es-CR" w:eastAsia="es-CR"/>
              </w:rPr>
            </w:pPr>
            <w:r w:rsidRPr="00306A4C">
              <w:rPr>
                <w:rFonts w:ascii="Arial Narrow" w:hAnsi="Arial Narrow" w:cs="Arial"/>
                <w:b/>
                <w:bCs/>
                <w:sz w:val="16"/>
                <w:szCs w:val="16"/>
                <w:lang w:val="es-CR" w:eastAsia="es-CR"/>
              </w:rPr>
              <w:t>2.088.714,90</w:t>
            </w:r>
          </w:p>
        </w:tc>
      </w:tr>
      <w:tr w:rsidR="00812607" w:rsidRPr="00655308" w14:paraId="6C6241A8" w14:textId="77777777" w:rsidTr="00306A4C">
        <w:trPr>
          <w:trHeight w:val="340"/>
        </w:trPr>
        <w:tc>
          <w:tcPr>
            <w:tcW w:w="649" w:type="dxa"/>
            <w:tcBorders>
              <w:top w:val="single" w:sz="4" w:space="0" w:color="auto"/>
              <w:left w:val="single" w:sz="4" w:space="0" w:color="auto"/>
              <w:bottom w:val="single" w:sz="4" w:space="0" w:color="auto"/>
            </w:tcBorders>
            <w:shd w:val="clear" w:color="auto" w:fill="D9E2F3" w:themeFill="accent1" w:themeFillTint="33"/>
            <w:vAlign w:val="center"/>
          </w:tcPr>
          <w:p w14:paraId="4D5C61DB" w14:textId="77777777" w:rsidR="00812607" w:rsidRDefault="00812607" w:rsidP="00DC734A">
            <w:pPr>
              <w:jc w:val="center"/>
              <w:rPr>
                <w:rFonts w:ascii="Arial Narrow" w:hAnsi="Arial Narrow" w:cs="Arial"/>
                <w:sz w:val="16"/>
                <w:szCs w:val="16"/>
                <w:lang w:val="es-CR" w:eastAsia="es-CR"/>
              </w:rPr>
            </w:pPr>
          </w:p>
        </w:tc>
        <w:tc>
          <w:tcPr>
            <w:tcW w:w="709" w:type="dxa"/>
            <w:tcBorders>
              <w:top w:val="single" w:sz="4" w:space="0" w:color="auto"/>
              <w:bottom w:val="single" w:sz="4" w:space="0" w:color="auto"/>
            </w:tcBorders>
            <w:shd w:val="clear" w:color="auto" w:fill="D9E2F3" w:themeFill="accent1" w:themeFillTint="33"/>
            <w:vAlign w:val="center"/>
          </w:tcPr>
          <w:p w14:paraId="6C22F49C" w14:textId="77777777" w:rsidR="00812607" w:rsidRDefault="00812607" w:rsidP="00244621">
            <w:pPr>
              <w:jc w:val="center"/>
              <w:rPr>
                <w:rFonts w:ascii="Arial Narrow" w:hAnsi="Arial Narrow" w:cs="Arial"/>
                <w:sz w:val="16"/>
                <w:szCs w:val="16"/>
                <w:lang w:val="es-CR" w:eastAsia="es-CR"/>
              </w:rPr>
            </w:pPr>
          </w:p>
        </w:tc>
        <w:tc>
          <w:tcPr>
            <w:tcW w:w="1701" w:type="dxa"/>
            <w:tcBorders>
              <w:top w:val="single" w:sz="4" w:space="0" w:color="auto"/>
              <w:bottom w:val="single" w:sz="4" w:space="0" w:color="auto"/>
            </w:tcBorders>
            <w:shd w:val="clear" w:color="auto" w:fill="D9E2F3" w:themeFill="accent1" w:themeFillTint="33"/>
            <w:vAlign w:val="center"/>
          </w:tcPr>
          <w:p w14:paraId="140F04A7" w14:textId="77777777" w:rsidR="00812607" w:rsidRDefault="00812607" w:rsidP="00DC734A">
            <w:pPr>
              <w:rPr>
                <w:rFonts w:ascii="Arial Narrow" w:hAnsi="Arial Narrow" w:cs="Arial"/>
                <w:sz w:val="16"/>
                <w:szCs w:val="16"/>
                <w:lang w:val="es-CR" w:eastAsia="es-CR"/>
              </w:rPr>
            </w:pPr>
          </w:p>
        </w:tc>
        <w:tc>
          <w:tcPr>
            <w:tcW w:w="709" w:type="dxa"/>
            <w:tcBorders>
              <w:top w:val="single" w:sz="4" w:space="0" w:color="auto"/>
              <w:bottom w:val="single" w:sz="4" w:space="0" w:color="auto"/>
            </w:tcBorders>
            <w:shd w:val="clear" w:color="auto" w:fill="D9E2F3" w:themeFill="accent1" w:themeFillTint="33"/>
            <w:vAlign w:val="center"/>
          </w:tcPr>
          <w:p w14:paraId="1F323770" w14:textId="77777777" w:rsidR="00812607" w:rsidRDefault="00812607" w:rsidP="00244621">
            <w:pPr>
              <w:jc w:val="center"/>
              <w:rPr>
                <w:rFonts w:ascii="Arial Narrow" w:hAnsi="Arial Narrow" w:cs="Arial"/>
                <w:sz w:val="16"/>
                <w:szCs w:val="16"/>
                <w:lang w:val="es-CR" w:eastAsia="es-CR"/>
              </w:rPr>
            </w:pPr>
          </w:p>
        </w:tc>
        <w:tc>
          <w:tcPr>
            <w:tcW w:w="1275" w:type="dxa"/>
            <w:tcBorders>
              <w:top w:val="single" w:sz="4" w:space="0" w:color="auto"/>
              <w:bottom w:val="single" w:sz="4" w:space="0" w:color="auto"/>
            </w:tcBorders>
            <w:shd w:val="clear" w:color="auto" w:fill="D9E2F3" w:themeFill="accent1" w:themeFillTint="33"/>
            <w:vAlign w:val="center"/>
          </w:tcPr>
          <w:p w14:paraId="64858313" w14:textId="77777777" w:rsidR="00812607" w:rsidRDefault="00812607" w:rsidP="00244621">
            <w:pPr>
              <w:jc w:val="center"/>
              <w:rPr>
                <w:rFonts w:ascii="Arial Narrow" w:hAnsi="Arial Narrow" w:cs="Arial"/>
                <w:sz w:val="16"/>
                <w:szCs w:val="16"/>
                <w:lang w:val="es-CR" w:eastAsia="es-CR"/>
              </w:rPr>
            </w:pPr>
          </w:p>
        </w:tc>
        <w:tc>
          <w:tcPr>
            <w:tcW w:w="993"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7102635D" w14:textId="77777777" w:rsidR="00812607" w:rsidRDefault="00812607" w:rsidP="00244621">
            <w:pPr>
              <w:ind w:left="-70"/>
              <w:jc w:val="center"/>
              <w:rPr>
                <w:rFonts w:ascii="Arial Narrow" w:hAnsi="Arial Narrow" w:cs="Arial"/>
                <w:sz w:val="16"/>
                <w:szCs w:val="16"/>
                <w:lang w:val="es-CR" w:eastAsia="es-CR"/>
              </w:rPr>
            </w:pPr>
          </w:p>
        </w:tc>
        <w:tc>
          <w:tcPr>
            <w:tcW w:w="1417"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3AAE378" w14:textId="77777777" w:rsidR="00812607" w:rsidRPr="00306A4C" w:rsidRDefault="00402BEC" w:rsidP="00244621">
            <w:pPr>
              <w:ind w:left="-70"/>
              <w:jc w:val="center"/>
              <w:rPr>
                <w:rFonts w:ascii="Arial Narrow" w:hAnsi="Arial Narrow" w:cs="Arial"/>
                <w:b/>
                <w:bCs/>
                <w:sz w:val="16"/>
                <w:szCs w:val="16"/>
                <w:lang w:val="es-CR" w:eastAsia="es-CR"/>
              </w:rPr>
            </w:pPr>
            <w:r w:rsidRPr="00306A4C">
              <w:rPr>
                <w:rFonts w:ascii="Arial Narrow" w:hAnsi="Arial Narrow" w:cs="Arial"/>
                <w:b/>
                <w:bCs/>
                <w:sz w:val="16"/>
                <w:szCs w:val="16"/>
                <w:lang w:val="es-CR" w:eastAsia="es-CR"/>
              </w:rPr>
              <w:t>TOTAL</w:t>
            </w:r>
          </w:p>
        </w:tc>
        <w:tc>
          <w:tcPr>
            <w:tcW w:w="1276"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DE52FA9" w14:textId="77777777" w:rsidR="00812607" w:rsidRPr="00306A4C" w:rsidRDefault="00812607" w:rsidP="007E643A">
            <w:pPr>
              <w:ind w:left="-70"/>
              <w:jc w:val="right"/>
              <w:rPr>
                <w:rFonts w:ascii="Arial Narrow" w:hAnsi="Arial Narrow" w:cs="Arial"/>
                <w:b/>
                <w:bCs/>
                <w:sz w:val="16"/>
                <w:szCs w:val="16"/>
                <w:lang w:val="es-CR" w:eastAsia="es-CR"/>
              </w:rPr>
            </w:pPr>
            <w:r w:rsidRPr="00306A4C">
              <w:rPr>
                <w:rFonts w:ascii="Arial Narrow" w:hAnsi="Arial Narrow" w:cs="Arial"/>
                <w:b/>
                <w:bCs/>
                <w:sz w:val="16"/>
                <w:szCs w:val="16"/>
                <w:lang w:val="es-CR" w:eastAsia="es-CR"/>
              </w:rPr>
              <w:t>36.900.629,90</w:t>
            </w:r>
          </w:p>
        </w:tc>
      </w:tr>
    </w:tbl>
    <w:p w14:paraId="107DAD04" w14:textId="77777777" w:rsidR="00DC734A" w:rsidRDefault="00DC734A" w:rsidP="00D96EE2">
      <w:pPr>
        <w:spacing w:line="360" w:lineRule="auto"/>
        <w:jc w:val="both"/>
        <w:rPr>
          <w:rFonts w:cs="Arial"/>
          <w:color w:val="000000"/>
          <w:sz w:val="22"/>
          <w:szCs w:val="22"/>
          <w:lang w:val="es-ES_tradnl"/>
        </w:rPr>
      </w:pPr>
    </w:p>
    <w:p w14:paraId="2328C3FB" w14:textId="0ECE975C" w:rsidR="00A42593" w:rsidRPr="00842C7B" w:rsidRDefault="00FC5DDE" w:rsidP="00A42593">
      <w:pPr>
        <w:spacing w:line="360" w:lineRule="auto"/>
        <w:jc w:val="both"/>
        <w:rPr>
          <w:rFonts w:cs="Arial"/>
          <w:color w:val="000000"/>
          <w:sz w:val="22"/>
          <w:szCs w:val="22"/>
        </w:rPr>
      </w:pPr>
      <w:r>
        <w:rPr>
          <w:rFonts w:cs="Arial"/>
          <w:b/>
          <w:color w:val="000000"/>
          <w:sz w:val="22"/>
          <w:szCs w:val="22"/>
        </w:rPr>
        <w:t>2</w:t>
      </w:r>
      <w:r w:rsidR="00A42593" w:rsidRPr="0080398E">
        <w:rPr>
          <w:rFonts w:cs="Arial"/>
          <w:b/>
          <w:color w:val="000000"/>
          <w:sz w:val="22"/>
          <w:szCs w:val="22"/>
        </w:rPr>
        <w:t>)</w:t>
      </w:r>
      <w:r w:rsidR="00A42593">
        <w:rPr>
          <w:rFonts w:cs="Arial"/>
          <w:color w:val="000000"/>
          <w:sz w:val="22"/>
          <w:szCs w:val="22"/>
        </w:rPr>
        <w:t xml:space="preserve"> De conformidad </w:t>
      </w:r>
      <w:r w:rsidR="00A42593" w:rsidRPr="00842C7B">
        <w:rPr>
          <w:rFonts w:cs="Arial"/>
          <w:color w:val="000000"/>
          <w:sz w:val="22"/>
          <w:szCs w:val="22"/>
        </w:rPr>
        <w:t xml:space="preserve">con lo establecido en el </w:t>
      </w:r>
      <w:r w:rsidR="00A42593" w:rsidRPr="00842C7B">
        <w:rPr>
          <w:rFonts w:cs="Arial"/>
          <w:i/>
          <w:iCs/>
          <w:color w:val="000000"/>
          <w:sz w:val="22"/>
          <w:szCs w:val="22"/>
          <w:lang w:val="es-CR"/>
        </w:rPr>
        <w:t>"Convenio de traspaso de recursos de la Comisión Nacional de Prevención de Riesgos y Atención de Emergencias al Banco Hipotecario de la Vivienda",</w:t>
      </w:r>
      <w:r w:rsidR="00A42593" w:rsidRPr="00842C7B">
        <w:rPr>
          <w:rFonts w:cs="Arial"/>
          <w:color w:val="000000"/>
          <w:sz w:val="22"/>
          <w:szCs w:val="22"/>
        </w:rPr>
        <w:t xml:space="preserve"> se solicita a la Junta Directiva de la </w:t>
      </w:r>
      <w:r w:rsidR="00A42593" w:rsidRPr="00842C7B">
        <w:rPr>
          <w:rFonts w:cs="Arial"/>
          <w:iCs/>
          <w:color w:val="000000"/>
          <w:sz w:val="22"/>
          <w:szCs w:val="22"/>
          <w:lang w:val="es-CR"/>
        </w:rPr>
        <w:t>Comisión Nacional de Prevención de Riesgos y Atención de Emergencias</w:t>
      </w:r>
      <w:r w:rsidR="00A42593" w:rsidRPr="00842C7B">
        <w:rPr>
          <w:rFonts w:cs="Arial"/>
          <w:color w:val="000000"/>
          <w:sz w:val="22"/>
          <w:szCs w:val="22"/>
        </w:rPr>
        <w:t>, la liberación de los recursos correspondientes</w:t>
      </w:r>
      <w:r w:rsidR="00A42593" w:rsidRPr="00842C7B">
        <w:rPr>
          <w:rFonts w:cs="Arial"/>
          <w:color w:val="000000"/>
          <w:sz w:val="22"/>
          <w:szCs w:val="22"/>
          <w:lang w:val="es-CR"/>
        </w:rPr>
        <w:t>.</w:t>
      </w:r>
    </w:p>
    <w:p w14:paraId="6DF32868" w14:textId="77777777" w:rsidR="00A42593" w:rsidRDefault="00A42593" w:rsidP="00D96EE2">
      <w:pPr>
        <w:spacing w:line="360" w:lineRule="auto"/>
        <w:jc w:val="both"/>
        <w:rPr>
          <w:rFonts w:cs="Arial"/>
          <w:color w:val="000000"/>
          <w:sz w:val="22"/>
          <w:szCs w:val="22"/>
          <w:lang w:val="es-ES_tradnl"/>
        </w:rPr>
      </w:pPr>
    </w:p>
    <w:p w14:paraId="60DD9878" w14:textId="1FAD4FA9" w:rsidR="00A42593" w:rsidRDefault="00FC5DDE" w:rsidP="00A42593">
      <w:pPr>
        <w:spacing w:line="360" w:lineRule="auto"/>
        <w:jc w:val="both"/>
        <w:rPr>
          <w:rFonts w:cs="Arial"/>
          <w:color w:val="000000"/>
          <w:sz w:val="22"/>
          <w:szCs w:val="22"/>
          <w:lang w:val="es-ES_tradnl"/>
        </w:rPr>
      </w:pPr>
      <w:r w:rsidRPr="00FC5DDE">
        <w:rPr>
          <w:rFonts w:cs="Arial"/>
          <w:b/>
          <w:bCs/>
          <w:color w:val="000000"/>
          <w:sz w:val="22"/>
          <w:szCs w:val="22"/>
          <w:lang w:val="es-ES_tradnl"/>
        </w:rPr>
        <w:t>3</w:t>
      </w:r>
      <w:r w:rsidR="00A42593" w:rsidRPr="00FC5DDE">
        <w:rPr>
          <w:rFonts w:cs="Arial"/>
          <w:b/>
          <w:bCs/>
          <w:color w:val="000000"/>
          <w:sz w:val="22"/>
          <w:szCs w:val="22"/>
          <w:lang w:val="es-ES_tradnl"/>
        </w:rPr>
        <w:t>)</w:t>
      </w:r>
      <w:r w:rsidR="00A42593">
        <w:rPr>
          <w:rFonts w:cs="Arial"/>
          <w:color w:val="000000"/>
          <w:sz w:val="22"/>
          <w:szCs w:val="22"/>
          <w:lang w:val="es-ES_tradnl"/>
        </w:rPr>
        <w:t xml:space="preserve"> Deberá ajustarse la disponibilidad presupuestaria FODESAF 2019 y crear la disponibilidad con recursos del Convenio </w:t>
      </w:r>
      <w:r>
        <w:rPr>
          <w:rFonts w:cs="Arial"/>
          <w:color w:val="000000"/>
          <w:sz w:val="22"/>
          <w:szCs w:val="22"/>
          <w:lang w:val="es-ES_tradnl"/>
        </w:rPr>
        <w:t>CNE-BANHVI, ambas por el monto total de ¢36.900.629,90.</w:t>
      </w:r>
    </w:p>
    <w:p w14:paraId="302F2BEE" w14:textId="56D5D55E" w:rsidR="00A42593" w:rsidRDefault="00A42593" w:rsidP="00D96EE2">
      <w:pPr>
        <w:spacing w:line="360" w:lineRule="auto"/>
        <w:jc w:val="both"/>
        <w:rPr>
          <w:rFonts w:cs="Arial"/>
          <w:color w:val="000000"/>
          <w:sz w:val="22"/>
          <w:szCs w:val="22"/>
          <w:lang w:val="es-ES_tradnl"/>
        </w:rPr>
      </w:pPr>
    </w:p>
    <w:p w14:paraId="00165A30" w14:textId="5A3F8BAF" w:rsidR="00C27EF8" w:rsidRDefault="00D96EE2" w:rsidP="00C27EF8">
      <w:pPr>
        <w:spacing w:line="360" w:lineRule="auto"/>
        <w:jc w:val="both"/>
        <w:rPr>
          <w:rFonts w:cs="Arial"/>
          <w:sz w:val="22"/>
          <w:szCs w:val="22"/>
        </w:rPr>
      </w:pPr>
      <w:r>
        <w:rPr>
          <w:rFonts w:cs="Arial"/>
          <w:b/>
          <w:bCs/>
          <w:sz w:val="22"/>
          <w:szCs w:val="22"/>
        </w:rPr>
        <w:t>4)</w:t>
      </w:r>
      <w:r>
        <w:rPr>
          <w:rFonts w:cs="Arial"/>
          <w:bCs/>
          <w:sz w:val="22"/>
          <w:szCs w:val="22"/>
        </w:rPr>
        <w:t xml:space="preserve"> </w:t>
      </w:r>
      <w:r w:rsidR="00291191">
        <w:rPr>
          <w:rFonts w:cs="Arial"/>
          <w:bCs/>
          <w:sz w:val="22"/>
          <w:szCs w:val="22"/>
        </w:rPr>
        <w:t xml:space="preserve">Téngase por modificado el acuerdo N° 4 de la sesión 48-20119, del 24 de junio de 2019, </w:t>
      </w:r>
      <w:r w:rsidR="00F32F63">
        <w:rPr>
          <w:rFonts w:cs="Arial"/>
          <w:bCs/>
          <w:sz w:val="22"/>
          <w:szCs w:val="22"/>
        </w:rPr>
        <w:t>e</w:t>
      </w:r>
      <w:r w:rsidR="00291191">
        <w:rPr>
          <w:rFonts w:cs="Arial"/>
          <w:bCs/>
          <w:sz w:val="22"/>
          <w:szCs w:val="22"/>
        </w:rPr>
        <w:t xml:space="preserve">n cuanto </w:t>
      </w:r>
      <w:r w:rsidR="00F32F63">
        <w:rPr>
          <w:rFonts w:cs="Arial"/>
          <w:bCs/>
          <w:sz w:val="22"/>
          <w:szCs w:val="22"/>
        </w:rPr>
        <w:t>al subsidio otorgado a la familia que encabeza el señor Domingo Alfredo Villarreal Villarreal</w:t>
      </w:r>
      <w:r>
        <w:rPr>
          <w:rFonts w:cs="Arial"/>
          <w:bCs/>
          <w:sz w:val="22"/>
          <w:szCs w:val="22"/>
        </w:rPr>
        <w:t>.</w:t>
      </w:r>
    </w:p>
    <w:p w14:paraId="748E860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AB99DC8" w14:textId="77777777" w:rsidR="00C27EF8" w:rsidRPr="00D14EAF" w:rsidRDefault="00C27EF8" w:rsidP="00C27EF8">
      <w:pPr>
        <w:spacing w:line="360" w:lineRule="auto"/>
        <w:jc w:val="both"/>
        <w:rPr>
          <w:rFonts w:cs="Arial"/>
          <w:b/>
          <w:sz w:val="22"/>
        </w:rPr>
      </w:pPr>
      <w:r w:rsidRPr="00D14EAF">
        <w:rPr>
          <w:rFonts w:cs="Arial"/>
          <w:b/>
          <w:sz w:val="22"/>
        </w:rPr>
        <w:t>************</w:t>
      </w:r>
    </w:p>
    <w:p w14:paraId="5DE6C8E9" w14:textId="77777777" w:rsidR="00C27EF8" w:rsidRDefault="00C27EF8" w:rsidP="00C27EF8">
      <w:pPr>
        <w:spacing w:line="360" w:lineRule="auto"/>
        <w:jc w:val="both"/>
        <w:rPr>
          <w:rFonts w:cs="Arial"/>
          <w:sz w:val="22"/>
          <w:szCs w:val="22"/>
        </w:rPr>
      </w:pPr>
    </w:p>
    <w:p w14:paraId="79B688E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6EAE5E43" w14:textId="075F0F13" w:rsidR="004708A8" w:rsidRDefault="004708A8" w:rsidP="00C27EF8">
      <w:pPr>
        <w:spacing w:line="360" w:lineRule="auto"/>
        <w:jc w:val="both"/>
        <w:rPr>
          <w:rFonts w:cs="Arial"/>
          <w:sz w:val="22"/>
          <w:szCs w:val="22"/>
          <w:lang w:val="es-CR"/>
        </w:rPr>
      </w:pPr>
      <w:r>
        <w:rPr>
          <w:rFonts w:cs="Arial"/>
          <w:sz w:val="22"/>
          <w:szCs w:val="22"/>
          <w:lang w:val="es-ES_tradnl"/>
        </w:rPr>
        <w:t>Dar por</w:t>
      </w:r>
      <w:r>
        <w:rPr>
          <w:rFonts w:cs="Arial"/>
          <w:sz w:val="22"/>
          <w:szCs w:val="22"/>
          <w:lang w:val="es-CR"/>
        </w:rPr>
        <w:t xml:space="preserve"> recibido el dictamen C-248-2018 de la Procuraduría General de la República</w:t>
      </w:r>
      <w:r w:rsidR="0015469F">
        <w:rPr>
          <w:rFonts w:cs="Arial"/>
          <w:sz w:val="22"/>
          <w:szCs w:val="22"/>
          <w:lang w:val="es-CR"/>
        </w:rPr>
        <w:t xml:space="preserve">, entregado por la </w:t>
      </w:r>
      <w:r w:rsidR="0015469F" w:rsidRPr="0015469F">
        <w:rPr>
          <w:rFonts w:cs="Arial"/>
          <w:sz w:val="22"/>
          <w:szCs w:val="22"/>
          <w:lang w:val="es-ES_tradnl"/>
        </w:rPr>
        <w:t>Asesoría Legal</w:t>
      </w:r>
      <w:r w:rsidR="0015469F">
        <w:rPr>
          <w:rFonts w:cs="Arial"/>
          <w:sz w:val="22"/>
          <w:szCs w:val="22"/>
          <w:lang w:val="es-ES_tradnl"/>
        </w:rPr>
        <w:t>,</w:t>
      </w:r>
      <w:r>
        <w:rPr>
          <w:rFonts w:cs="Arial"/>
          <w:sz w:val="22"/>
          <w:szCs w:val="22"/>
          <w:lang w:val="es-CR"/>
        </w:rPr>
        <w:t xml:space="preserve"> y </w:t>
      </w:r>
      <w:r w:rsidR="0015469F">
        <w:rPr>
          <w:rFonts w:cs="Arial"/>
          <w:sz w:val="22"/>
          <w:szCs w:val="22"/>
          <w:lang w:val="es-CR"/>
        </w:rPr>
        <w:t xml:space="preserve">se aboca esta </w:t>
      </w:r>
      <w:r w:rsidR="0015469F" w:rsidRPr="0015469F">
        <w:rPr>
          <w:rFonts w:cs="Arial"/>
          <w:sz w:val="22"/>
          <w:szCs w:val="22"/>
          <w:lang w:val="es-CR"/>
        </w:rPr>
        <w:t>Junta Directiva</w:t>
      </w:r>
      <w:r>
        <w:rPr>
          <w:rFonts w:cs="Arial"/>
          <w:sz w:val="22"/>
          <w:szCs w:val="22"/>
          <w:lang w:val="es-CR"/>
        </w:rPr>
        <w:t xml:space="preserve"> a su estudio</w:t>
      </w:r>
      <w:r w:rsidR="0015469F">
        <w:rPr>
          <w:rFonts w:cs="Arial"/>
          <w:sz w:val="22"/>
          <w:szCs w:val="22"/>
          <w:lang w:val="es-CR"/>
        </w:rPr>
        <w:t>,</w:t>
      </w:r>
      <w:r>
        <w:rPr>
          <w:rFonts w:cs="Arial"/>
          <w:sz w:val="22"/>
          <w:szCs w:val="22"/>
          <w:lang w:val="es-CR"/>
        </w:rPr>
        <w:t xml:space="preserve"> para </w:t>
      </w:r>
      <w:r w:rsidR="0015469F">
        <w:rPr>
          <w:rFonts w:cs="Arial"/>
          <w:sz w:val="22"/>
          <w:szCs w:val="22"/>
          <w:lang w:val="es-CR"/>
        </w:rPr>
        <w:t xml:space="preserve">proceder a su análisis </w:t>
      </w:r>
      <w:r>
        <w:rPr>
          <w:rFonts w:cs="Arial"/>
          <w:sz w:val="22"/>
          <w:szCs w:val="22"/>
          <w:lang w:val="es-CR"/>
        </w:rPr>
        <w:t>en una próxima sesión.</w:t>
      </w:r>
    </w:p>
    <w:p w14:paraId="1ED7A96A" w14:textId="77777777" w:rsidR="004708A8" w:rsidRDefault="004708A8" w:rsidP="00C27EF8">
      <w:pPr>
        <w:spacing w:line="360" w:lineRule="auto"/>
        <w:jc w:val="both"/>
        <w:rPr>
          <w:rFonts w:cs="Arial"/>
          <w:sz w:val="22"/>
          <w:szCs w:val="22"/>
          <w:lang w:val="es-CR"/>
        </w:rPr>
      </w:pPr>
    </w:p>
    <w:p w14:paraId="0FCE06AD" w14:textId="290A84C3" w:rsidR="00C27EF8" w:rsidRDefault="004708A8" w:rsidP="00C27EF8">
      <w:pPr>
        <w:spacing w:line="360" w:lineRule="auto"/>
        <w:jc w:val="both"/>
        <w:rPr>
          <w:rFonts w:cs="Arial"/>
          <w:sz w:val="22"/>
          <w:szCs w:val="22"/>
        </w:rPr>
      </w:pPr>
      <w:r>
        <w:rPr>
          <w:rFonts w:cs="Arial"/>
          <w:sz w:val="22"/>
          <w:szCs w:val="22"/>
          <w:lang w:val="es-CR"/>
        </w:rPr>
        <w:t xml:space="preserve">Mientras esta </w:t>
      </w:r>
      <w:r w:rsidRPr="004708A8">
        <w:rPr>
          <w:rFonts w:cs="Arial"/>
          <w:sz w:val="22"/>
          <w:szCs w:val="22"/>
          <w:lang w:val="es-CR"/>
        </w:rPr>
        <w:t>Junta Directiva</w:t>
      </w:r>
      <w:r>
        <w:rPr>
          <w:rFonts w:cs="Arial"/>
          <w:sz w:val="22"/>
          <w:szCs w:val="22"/>
          <w:lang w:val="es-CR"/>
        </w:rPr>
        <w:t xml:space="preserve"> no tome una decisión contraria, se reitera a la </w:t>
      </w:r>
      <w:r w:rsidRPr="00D31BAA">
        <w:rPr>
          <w:rFonts w:cs="Arial"/>
          <w:sz w:val="22"/>
          <w:szCs w:val="22"/>
          <w:lang w:val="es-CR"/>
        </w:rPr>
        <w:t>Administración</w:t>
      </w:r>
      <w:r>
        <w:rPr>
          <w:rFonts w:cs="Arial"/>
          <w:sz w:val="22"/>
          <w:szCs w:val="22"/>
          <w:lang w:val="es-CR"/>
        </w:rPr>
        <w:t xml:space="preserve"> la obligación de cumplir l</w:t>
      </w:r>
      <w:r w:rsidR="00282C19">
        <w:rPr>
          <w:rFonts w:cs="Arial"/>
          <w:sz w:val="22"/>
          <w:szCs w:val="22"/>
          <w:lang w:val="es-CR"/>
        </w:rPr>
        <w:t xml:space="preserve">a política institucional indicada </w:t>
      </w:r>
      <w:r>
        <w:rPr>
          <w:rFonts w:cs="Arial"/>
          <w:sz w:val="22"/>
          <w:szCs w:val="22"/>
          <w:lang w:val="es-CR"/>
        </w:rPr>
        <w:t>en el acuerdo N° 3 de la sesión 11-</w:t>
      </w:r>
      <w:r>
        <w:rPr>
          <w:rFonts w:cs="Arial"/>
          <w:sz w:val="22"/>
          <w:szCs w:val="22"/>
          <w:lang w:val="es-CR"/>
        </w:rPr>
        <w:lastRenderedPageBreak/>
        <w:t>2017</w:t>
      </w:r>
      <w:r w:rsidR="00D95DF4">
        <w:rPr>
          <w:rFonts w:cs="Arial"/>
          <w:sz w:val="22"/>
          <w:szCs w:val="22"/>
          <w:lang w:val="es-CR"/>
        </w:rPr>
        <w:t>,</w:t>
      </w:r>
      <w:r>
        <w:rPr>
          <w:rFonts w:cs="Arial"/>
          <w:sz w:val="22"/>
          <w:szCs w:val="22"/>
          <w:lang w:val="es-CR"/>
        </w:rPr>
        <w:t xml:space="preserve"> del 09 de febrero de 2017</w:t>
      </w:r>
      <w:r w:rsidR="00282C19">
        <w:rPr>
          <w:rFonts w:cs="Arial"/>
          <w:sz w:val="22"/>
          <w:szCs w:val="22"/>
          <w:lang w:val="es-CR"/>
        </w:rPr>
        <w:t xml:space="preserve">, en </w:t>
      </w:r>
      <w:r w:rsidR="00F41B27">
        <w:rPr>
          <w:rFonts w:cs="Arial"/>
          <w:sz w:val="22"/>
          <w:szCs w:val="22"/>
          <w:lang w:val="es-CR"/>
        </w:rPr>
        <w:t xml:space="preserve">cuanto a </w:t>
      </w:r>
      <w:r w:rsidR="00282C19">
        <w:rPr>
          <w:rFonts w:cs="Arial"/>
          <w:sz w:val="22"/>
          <w:szCs w:val="22"/>
          <w:lang w:val="es-CR"/>
        </w:rPr>
        <w:t>respetar lo dispuesto en el artículo 3 de la Ley 8220.</w:t>
      </w:r>
    </w:p>
    <w:p w14:paraId="6DE2D18B" w14:textId="1CA9C584"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18DB244" w14:textId="77777777" w:rsidR="00C27EF8" w:rsidRPr="00D14EAF" w:rsidRDefault="00C27EF8" w:rsidP="00C27EF8">
      <w:pPr>
        <w:spacing w:line="360" w:lineRule="auto"/>
        <w:jc w:val="both"/>
        <w:rPr>
          <w:rFonts w:cs="Arial"/>
          <w:b/>
          <w:sz w:val="22"/>
        </w:rPr>
      </w:pPr>
      <w:r w:rsidRPr="00D14EAF">
        <w:rPr>
          <w:rFonts w:cs="Arial"/>
          <w:b/>
          <w:sz w:val="22"/>
        </w:rPr>
        <w:t>************</w:t>
      </w:r>
    </w:p>
    <w:p w14:paraId="23FC9C6B" w14:textId="77777777" w:rsidR="00C27EF8" w:rsidRDefault="00C27EF8" w:rsidP="00C27EF8">
      <w:pPr>
        <w:spacing w:line="360" w:lineRule="auto"/>
        <w:jc w:val="both"/>
        <w:rPr>
          <w:rFonts w:cs="Arial"/>
          <w:sz w:val="22"/>
          <w:szCs w:val="22"/>
        </w:rPr>
      </w:pPr>
    </w:p>
    <w:p w14:paraId="2D0973D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36D8BC5D" w14:textId="00D62D18" w:rsidR="00C27EF8" w:rsidRDefault="00794256" w:rsidP="00C27EF8">
      <w:pPr>
        <w:spacing w:line="360" w:lineRule="auto"/>
        <w:jc w:val="both"/>
        <w:rPr>
          <w:rFonts w:cs="Arial"/>
          <w:bCs/>
          <w:sz w:val="22"/>
          <w:szCs w:val="22"/>
        </w:rPr>
      </w:pPr>
      <w:r>
        <w:rPr>
          <w:rFonts w:cs="Arial"/>
          <w:sz w:val="22"/>
          <w:lang w:val="es-ES_tradnl"/>
        </w:rPr>
        <w:t xml:space="preserve">Instruir a la </w:t>
      </w:r>
      <w:r w:rsidRPr="00282C19">
        <w:rPr>
          <w:rFonts w:cs="Arial"/>
          <w:sz w:val="22"/>
          <w:szCs w:val="22"/>
          <w:lang w:val="es-CR"/>
        </w:rPr>
        <w:t>Gerencia General</w:t>
      </w:r>
      <w:r>
        <w:rPr>
          <w:rFonts w:cs="Arial"/>
          <w:sz w:val="22"/>
          <w:szCs w:val="22"/>
          <w:lang w:val="es-CR"/>
        </w:rPr>
        <w:t xml:space="preserve">, para que, con carácter de urgencia, valore y resuelva las recomendaciones del equipo de trabajo, que está desarrollando las </w:t>
      </w:r>
      <w:r w:rsidRPr="007B3653">
        <w:rPr>
          <w:rFonts w:cs="Arial"/>
          <w:sz w:val="22"/>
          <w:szCs w:val="22"/>
          <w:lang w:val="es-ES_tradnl"/>
        </w:rPr>
        <w:t>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w:t>
      </w:r>
      <w:bookmarkStart w:id="0" w:name="_GoBack"/>
      <w:bookmarkEnd w:id="0"/>
    </w:p>
    <w:p w14:paraId="33BF05D1" w14:textId="1CFC71B6"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24EE816" w14:textId="77777777" w:rsidR="00C27EF8" w:rsidRPr="00D14EAF" w:rsidRDefault="00C27EF8" w:rsidP="00C27EF8">
      <w:pPr>
        <w:spacing w:line="360" w:lineRule="auto"/>
        <w:jc w:val="both"/>
        <w:rPr>
          <w:rFonts w:cs="Arial"/>
          <w:b/>
          <w:sz w:val="22"/>
        </w:rPr>
      </w:pPr>
      <w:r w:rsidRPr="00D14EAF">
        <w:rPr>
          <w:rFonts w:cs="Arial"/>
          <w:b/>
          <w:sz w:val="22"/>
        </w:rPr>
        <w:t>************</w:t>
      </w:r>
    </w:p>
    <w:p w14:paraId="682A6091" w14:textId="77777777" w:rsidR="00C27EF8" w:rsidRDefault="00C27EF8" w:rsidP="00C27EF8">
      <w:pPr>
        <w:spacing w:line="360" w:lineRule="auto"/>
        <w:jc w:val="both"/>
        <w:rPr>
          <w:rFonts w:cs="Arial"/>
          <w:sz w:val="22"/>
          <w:lang w:val="es-ES_tradnl"/>
        </w:rPr>
      </w:pPr>
    </w:p>
    <w:p w14:paraId="6DA5159F" w14:textId="77777777" w:rsidR="00C27EF8" w:rsidRPr="00AB2826" w:rsidRDefault="00C27EF8" w:rsidP="00C27EF8">
      <w:pPr>
        <w:spacing w:line="360" w:lineRule="auto"/>
        <w:jc w:val="both"/>
        <w:rPr>
          <w:rFonts w:cs="Arial"/>
          <w:sz w:val="22"/>
          <w:szCs w:val="22"/>
        </w:rPr>
      </w:pPr>
    </w:p>
    <w:p w14:paraId="713B7051"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950C" w14:textId="77777777" w:rsidR="00717000" w:rsidRDefault="00717000">
      <w:r>
        <w:separator/>
      </w:r>
    </w:p>
  </w:endnote>
  <w:endnote w:type="continuationSeparator" w:id="0">
    <w:p w14:paraId="1D182080" w14:textId="77777777" w:rsidR="00717000" w:rsidRDefault="0071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0C180" w14:textId="77777777" w:rsidR="00717000" w:rsidRDefault="00717000">
      <w:r>
        <w:separator/>
      </w:r>
    </w:p>
  </w:footnote>
  <w:footnote w:type="continuationSeparator" w:id="0">
    <w:p w14:paraId="1D1A599E" w14:textId="77777777" w:rsidR="00717000" w:rsidRDefault="0071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2687" w14:textId="77777777" w:rsidR="00C27EF8" w:rsidRDefault="00C27EF8">
    <w:pPr>
      <w:pStyle w:val="Encabezado"/>
      <w:rPr>
        <w:lang w:val="es-ES"/>
      </w:rPr>
    </w:pPr>
  </w:p>
  <w:p w14:paraId="7F7DDD09" w14:textId="082F6DF6" w:rsidR="00C27EF8" w:rsidRDefault="00C27EF8">
    <w:pPr>
      <w:pStyle w:val="Encabezado"/>
      <w:rPr>
        <w:rStyle w:val="Nmerodepgina"/>
        <w:sz w:val="18"/>
      </w:rPr>
    </w:pPr>
    <w:r>
      <w:rPr>
        <w:sz w:val="18"/>
        <w:lang w:val="es-ES"/>
      </w:rPr>
      <w:t xml:space="preserve">    Minuta de la sesión Nº </w:t>
    </w:r>
    <w:r w:rsidR="0033022A">
      <w:rPr>
        <w:sz w:val="18"/>
        <w:lang w:val="es-ES"/>
      </w:rPr>
      <w:t>87</w:t>
    </w:r>
    <w:r>
      <w:rPr>
        <w:sz w:val="18"/>
        <w:lang w:val="es-ES"/>
      </w:rPr>
      <w:t xml:space="preserve">-2019                      </w:t>
    </w:r>
    <w:r w:rsidR="0033022A">
      <w:rPr>
        <w:sz w:val="18"/>
        <w:lang w:val="es-ES"/>
      </w:rPr>
      <w:t>07</w:t>
    </w:r>
    <w:r>
      <w:rPr>
        <w:sz w:val="18"/>
        <w:lang w:val="es-ES"/>
      </w:rPr>
      <w:t xml:space="preserve"> de </w:t>
    </w:r>
    <w:r w:rsidR="0033022A">
      <w:rPr>
        <w:sz w:val="18"/>
        <w:lang w:val="es-ES"/>
      </w:rPr>
      <w:t>noviembre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1A9593DD"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240A6B"/>
    <w:multiLevelType w:val="hybridMultilevel"/>
    <w:tmpl w:val="D2DE068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
  </w:num>
  <w:num w:numId="5">
    <w:abstractNumId w:val="0"/>
  </w:num>
  <w:num w:numId="6">
    <w:abstractNumId w:val="15"/>
  </w:num>
  <w:num w:numId="7">
    <w:abstractNumId w:val="19"/>
  </w:num>
  <w:num w:numId="8">
    <w:abstractNumId w:val="11"/>
  </w:num>
  <w:num w:numId="9">
    <w:abstractNumId w:val="8"/>
  </w:num>
  <w:num w:numId="10">
    <w:abstractNumId w:val="4"/>
  </w:num>
  <w:num w:numId="11">
    <w:abstractNumId w:val="5"/>
  </w:num>
  <w:num w:numId="12">
    <w:abstractNumId w:val="20"/>
  </w:num>
  <w:num w:numId="13">
    <w:abstractNumId w:val="18"/>
  </w:num>
  <w:num w:numId="14">
    <w:abstractNumId w:val="17"/>
  </w:num>
  <w:num w:numId="15">
    <w:abstractNumId w:val="12"/>
  </w:num>
  <w:num w:numId="16">
    <w:abstractNumId w:val="16"/>
  </w:num>
  <w:num w:numId="17">
    <w:abstractNumId w:val="3"/>
  </w:num>
  <w:num w:numId="18">
    <w:abstractNumId w:val="7"/>
  </w:num>
  <w:num w:numId="19">
    <w:abstractNumId w:val="6"/>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yCrvMrDBZVLT3LpvZKgPmKoZt3HbXeywPP37u4hCyYRub0OOQz1jmhSZ4tZuc3BX9kyONrJe31s8XV1trycqYg==" w:salt="yz2rfuZKIkkFBBzC5T9Bd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00"/>
    <w:rsid w:val="00044C99"/>
    <w:rsid w:val="000C7B8E"/>
    <w:rsid w:val="00133456"/>
    <w:rsid w:val="0015469F"/>
    <w:rsid w:val="00155D9B"/>
    <w:rsid w:val="00282C19"/>
    <w:rsid w:val="00291191"/>
    <w:rsid w:val="002F2B92"/>
    <w:rsid w:val="00306A4C"/>
    <w:rsid w:val="0033022A"/>
    <w:rsid w:val="00330768"/>
    <w:rsid w:val="00343F2E"/>
    <w:rsid w:val="00362246"/>
    <w:rsid w:val="003679EB"/>
    <w:rsid w:val="00383C65"/>
    <w:rsid w:val="00402BEC"/>
    <w:rsid w:val="00414756"/>
    <w:rsid w:val="004708A8"/>
    <w:rsid w:val="004743B8"/>
    <w:rsid w:val="004A2F41"/>
    <w:rsid w:val="00500BC2"/>
    <w:rsid w:val="005623EC"/>
    <w:rsid w:val="005B5825"/>
    <w:rsid w:val="006378FD"/>
    <w:rsid w:val="0064102D"/>
    <w:rsid w:val="00645D21"/>
    <w:rsid w:val="006854A1"/>
    <w:rsid w:val="00693E24"/>
    <w:rsid w:val="006B1990"/>
    <w:rsid w:val="006F703A"/>
    <w:rsid w:val="00704207"/>
    <w:rsid w:val="00717000"/>
    <w:rsid w:val="00724120"/>
    <w:rsid w:val="00794256"/>
    <w:rsid w:val="007B66B3"/>
    <w:rsid w:val="007C6BEE"/>
    <w:rsid w:val="007E643A"/>
    <w:rsid w:val="00812607"/>
    <w:rsid w:val="00884ECB"/>
    <w:rsid w:val="008B004D"/>
    <w:rsid w:val="00902B0D"/>
    <w:rsid w:val="00917196"/>
    <w:rsid w:val="00A42593"/>
    <w:rsid w:val="00A43F5D"/>
    <w:rsid w:val="00A56BAA"/>
    <w:rsid w:val="00A64C44"/>
    <w:rsid w:val="00A7718E"/>
    <w:rsid w:val="00AC4B7F"/>
    <w:rsid w:val="00AE4D1A"/>
    <w:rsid w:val="00B23280"/>
    <w:rsid w:val="00B73640"/>
    <w:rsid w:val="00BB6DEA"/>
    <w:rsid w:val="00BD4FD1"/>
    <w:rsid w:val="00C27EF8"/>
    <w:rsid w:val="00CF2C54"/>
    <w:rsid w:val="00D31BAA"/>
    <w:rsid w:val="00D726DC"/>
    <w:rsid w:val="00D74DE0"/>
    <w:rsid w:val="00D95DF4"/>
    <w:rsid w:val="00D96EE2"/>
    <w:rsid w:val="00DC734A"/>
    <w:rsid w:val="00DD2C9D"/>
    <w:rsid w:val="00DF5A0F"/>
    <w:rsid w:val="00E3066A"/>
    <w:rsid w:val="00E40B7F"/>
    <w:rsid w:val="00E41A66"/>
    <w:rsid w:val="00E86CA5"/>
    <w:rsid w:val="00ED214D"/>
    <w:rsid w:val="00EF599D"/>
    <w:rsid w:val="00EF7FC8"/>
    <w:rsid w:val="00F10DED"/>
    <w:rsid w:val="00F269DC"/>
    <w:rsid w:val="00F32F63"/>
    <w:rsid w:val="00F41B27"/>
    <w:rsid w:val="00F742A1"/>
    <w:rsid w:val="00F92B2F"/>
    <w:rsid w:val="00FC5D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85D6"/>
  <w15:chartTrackingRefBased/>
  <w15:docId w15:val="{65229AAF-4DC8-4E89-9D22-4ED2E3EB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424</TotalTime>
  <Pages>9</Pages>
  <Words>2287</Words>
  <Characters>12583</Characters>
  <Application>Microsoft Office Word</Application>
  <DocSecurity>8</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74</cp:revision>
  <dcterms:created xsi:type="dcterms:W3CDTF">2019-11-11T20:15:00Z</dcterms:created>
  <dcterms:modified xsi:type="dcterms:W3CDTF">2019-11-19T13:55:00Z</dcterms:modified>
</cp:coreProperties>
</file>