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B574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406D170E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341A4DDA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70296EE5" w14:textId="663CFF38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MINUTA DEL ACTA DE LA SESION </w:t>
      </w:r>
      <w:r w:rsidR="006F5DF1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6F5DF1">
        <w:rPr>
          <w:rFonts w:cs="Arial"/>
          <w:b/>
          <w:sz w:val="22"/>
          <w:u w:val="single"/>
        </w:rPr>
        <w:t>64</w:t>
      </w:r>
      <w:r>
        <w:rPr>
          <w:rFonts w:cs="Arial"/>
          <w:b/>
          <w:sz w:val="22"/>
          <w:u w:val="single"/>
        </w:rPr>
        <w:t>-2019</w:t>
      </w:r>
    </w:p>
    <w:p w14:paraId="00904B12" w14:textId="012F0C49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6F5DF1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 xml:space="preserve"> DE </w:t>
      </w:r>
      <w:r w:rsidR="006F5DF1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2019</w:t>
      </w:r>
    </w:p>
    <w:p w14:paraId="3A9C9907" w14:textId="77777777" w:rsidR="00C27EF8" w:rsidRPr="00FA1809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</w:rPr>
      </w:pPr>
      <w:r w:rsidRPr="00FA1809">
        <w:rPr>
          <w:rFonts w:cs="Arial"/>
          <w:b/>
          <w:sz w:val="22"/>
        </w:rPr>
        <w:t>(Acta grabada en soporte digital)</w:t>
      </w:r>
    </w:p>
    <w:p w14:paraId="24A770D2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469FEDF9" w14:textId="13983C92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 w:rsidRPr="009D03FE">
        <w:rPr>
          <w:rFonts w:cs="Arial"/>
          <w:sz w:val="22"/>
          <w:u w:val="single"/>
        </w:rPr>
        <w:t>Minuto: 0:00</w:t>
      </w:r>
      <w:r>
        <w:rPr>
          <w:rFonts w:cs="Arial"/>
          <w:sz w:val="22"/>
        </w:rPr>
        <w:t xml:space="preserve"> Se inicia la sesión a las </w:t>
      </w:r>
      <w:r>
        <w:rPr>
          <w:rFonts w:cs="Arial"/>
          <w:sz w:val="22"/>
        </w:rPr>
        <w:softHyphen/>
        <w:t>diecisiete horas en la sede del BANHVI, con la asistencia de los siguientes Directores: Dania Chavarría Núñez, Vicepresidenta</w:t>
      </w:r>
      <w:r w:rsidR="00297A2E">
        <w:rPr>
          <w:rFonts w:cs="Arial"/>
          <w:sz w:val="22"/>
        </w:rPr>
        <w:t xml:space="preserve"> y quien preside temporalmente</w:t>
      </w:r>
      <w:r>
        <w:rPr>
          <w:rFonts w:cs="Arial"/>
          <w:sz w:val="22"/>
        </w:rPr>
        <w:t>; Guillermo Alvarado Herrera, Marian Pérez Gutiérrez, Kenneth Pérez Venegas y Eloísa Ulibarri Pernús.</w:t>
      </w:r>
      <w:r w:rsidR="00297A2E">
        <w:rPr>
          <w:rFonts w:cs="Arial"/>
          <w:sz w:val="22"/>
        </w:rPr>
        <w:t xml:space="preserve"> L</w:t>
      </w:r>
      <w:r w:rsidR="00D95AEF">
        <w:rPr>
          <w:rFonts w:cs="Arial"/>
          <w:sz w:val="22"/>
        </w:rPr>
        <w:t>os Directores</w:t>
      </w:r>
      <w:r w:rsidR="00297A2E" w:rsidRPr="00297A2E">
        <w:rPr>
          <w:rFonts w:cs="Arial"/>
          <w:sz w:val="22"/>
        </w:rPr>
        <w:t xml:space="preserve"> </w:t>
      </w:r>
      <w:r w:rsidR="00297A2E">
        <w:rPr>
          <w:rFonts w:cs="Arial"/>
          <w:sz w:val="22"/>
        </w:rPr>
        <w:t>Irene Campos Gómez, Presidenta</w:t>
      </w:r>
      <w:r w:rsidR="00D95AEF">
        <w:rPr>
          <w:rFonts w:cs="Arial"/>
          <w:sz w:val="22"/>
        </w:rPr>
        <w:t>, y Jorge Carranza González</w:t>
      </w:r>
      <w:r w:rsidR="00297A2E">
        <w:rPr>
          <w:rFonts w:cs="Arial"/>
          <w:sz w:val="22"/>
        </w:rPr>
        <w:t>, se incorpora</w:t>
      </w:r>
      <w:r w:rsidR="00D95AEF">
        <w:rPr>
          <w:rFonts w:cs="Arial"/>
          <w:sz w:val="22"/>
        </w:rPr>
        <w:t>n</w:t>
      </w:r>
      <w:r w:rsidR="00297A2E">
        <w:rPr>
          <w:rFonts w:cs="Arial"/>
          <w:sz w:val="22"/>
        </w:rPr>
        <w:t xml:space="preserve"> a la sesión a partir del minuto </w:t>
      </w:r>
      <w:r w:rsidR="00D95AEF">
        <w:rPr>
          <w:rFonts w:cs="Arial"/>
          <w:sz w:val="22"/>
        </w:rPr>
        <w:t>19</w:t>
      </w:r>
      <w:r w:rsidR="00297A2E" w:rsidRPr="00D95AEF">
        <w:rPr>
          <w:rFonts w:cs="Arial"/>
          <w:sz w:val="22"/>
        </w:rPr>
        <w:t>:</w:t>
      </w:r>
      <w:r w:rsidR="00D95AEF" w:rsidRPr="00D95AEF">
        <w:rPr>
          <w:rFonts w:cs="Arial"/>
          <w:sz w:val="22"/>
        </w:rPr>
        <w:t>15</w:t>
      </w:r>
      <w:r w:rsidR="00297A2E" w:rsidRPr="00D95AEF">
        <w:rPr>
          <w:rFonts w:cs="Arial"/>
          <w:sz w:val="22"/>
        </w:rPr>
        <w:t>.</w:t>
      </w:r>
    </w:p>
    <w:p w14:paraId="00794074" w14:textId="6073ABE0" w:rsidR="00C27EF8" w:rsidRDefault="00C27EF8" w:rsidP="00C27EF8">
      <w:pPr>
        <w:spacing w:line="360" w:lineRule="auto"/>
        <w:jc w:val="both"/>
        <w:rPr>
          <w:rFonts w:cs="Arial"/>
          <w:sz w:val="22"/>
        </w:rPr>
      </w:pPr>
    </w:p>
    <w:p w14:paraId="0EF9C7B4" w14:textId="18383B5A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Asisten también los siguientes funcionarios: Carlos Castro Miranda, Gerente General a.i.; </w:t>
      </w:r>
      <w:r w:rsidRPr="00C1036C">
        <w:rPr>
          <w:rFonts w:cs="Arial"/>
          <w:sz w:val="22"/>
        </w:rPr>
        <w:t xml:space="preserve">Gustavo Flores Oviedo, </w:t>
      </w:r>
      <w:r w:rsidRPr="00C1036C">
        <w:rPr>
          <w:rFonts w:cs="Arial"/>
          <w:sz w:val="22"/>
          <w:szCs w:val="22"/>
        </w:rPr>
        <w:t>Auditor Interno</w:t>
      </w:r>
      <w:r w:rsidRPr="00C1036C">
        <w:rPr>
          <w:rFonts w:cs="Arial"/>
          <w:sz w:val="22"/>
        </w:rPr>
        <w:t xml:space="preserve">; </w:t>
      </w:r>
      <w:r w:rsidR="002457D5">
        <w:rPr>
          <w:rFonts w:cs="Arial"/>
          <w:sz w:val="22"/>
        </w:rPr>
        <w:t>Ericka Masís Calderón</w:t>
      </w:r>
      <w:r w:rsidR="006F5DF1" w:rsidRPr="00C1036C">
        <w:rPr>
          <w:rFonts w:cs="Arial"/>
          <w:sz w:val="22"/>
        </w:rPr>
        <w:t xml:space="preserve">, funcionaria de la </w:t>
      </w:r>
      <w:r w:rsidR="006F5DF1" w:rsidRPr="00C1036C">
        <w:rPr>
          <w:rFonts w:cs="Arial"/>
          <w:sz w:val="22"/>
          <w:szCs w:val="22"/>
        </w:rPr>
        <w:t>Asesoría Legal</w:t>
      </w:r>
      <w:r w:rsidR="006F5DF1" w:rsidRPr="00C1036C">
        <w:rPr>
          <w:rFonts w:cs="Arial"/>
          <w:sz w:val="22"/>
        </w:rPr>
        <w:t>;</w:t>
      </w:r>
      <w:r>
        <w:rPr>
          <w:bCs/>
          <w:sz w:val="22"/>
        </w:rPr>
        <w:t xml:space="preserve"> </w:t>
      </w:r>
      <w:r>
        <w:rPr>
          <w:rFonts w:cs="Arial"/>
          <w:sz w:val="22"/>
        </w:rPr>
        <w:t xml:space="preserve">y </w:t>
      </w:r>
      <w:r w:rsidR="004B488D">
        <w:rPr>
          <w:rFonts w:cs="Arial"/>
          <w:sz w:val="22"/>
        </w:rPr>
        <w:t>María Isabel Artavia Luna</w:t>
      </w:r>
      <w:r>
        <w:rPr>
          <w:rFonts w:cs="Arial"/>
          <w:sz w:val="22"/>
        </w:rPr>
        <w:t xml:space="preserve">, </w:t>
      </w:r>
      <w:r w:rsidR="004B488D">
        <w:rPr>
          <w:rFonts w:cs="Arial"/>
          <w:sz w:val="22"/>
        </w:rPr>
        <w:t xml:space="preserve">funcionaria de la </w:t>
      </w:r>
      <w:r>
        <w:rPr>
          <w:rFonts w:cs="Arial"/>
          <w:sz w:val="22"/>
        </w:rPr>
        <w:t>Secretar</w:t>
      </w:r>
      <w:r w:rsidR="004B488D">
        <w:rPr>
          <w:rFonts w:cs="Arial"/>
          <w:sz w:val="22"/>
        </w:rPr>
        <w:t>ía</w:t>
      </w:r>
      <w:r>
        <w:rPr>
          <w:rFonts w:cs="Arial"/>
          <w:sz w:val="22"/>
        </w:rPr>
        <w:t xml:space="preserve"> de Junta Directiva.</w:t>
      </w:r>
    </w:p>
    <w:p w14:paraId="02BFA7F1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D9A6D32" w14:textId="77777777" w:rsidR="00C27EF8" w:rsidRDefault="00C27EF8" w:rsidP="00C27EF8">
      <w:pPr>
        <w:spacing w:line="360" w:lineRule="auto"/>
        <w:jc w:val="both"/>
        <w:rPr>
          <w:rFonts w:cs="Arial"/>
          <w:sz w:val="22"/>
        </w:rPr>
      </w:pPr>
    </w:p>
    <w:p w14:paraId="785BC3D2" w14:textId="77777777" w:rsidR="00C27EF8" w:rsidRDefault="00C27EF8" w:rsidP="00C27EF8">
      <w:pPr>
        <w:pStyle w:val="Ttulo4"/>
        <w:spacing w:line="360" w:lineRule="auto"/>
        <w:jc w:val="both"/>
        <w:rPr>
          <w:rFonts w:cs="Arial"/>
        </w:rPr>
      </w:pPr>
      <w:r>
        <w:rPr>
          <w:rFonts w:cs="Arial"/>
        </w:rPr>
        <w:t>Asuntos conocidos en la presente sesión</w:t>
      </w:r>
    </w:p>
    <w:p w14:paraId="73744A05" w14:textId="77777777" w:rsidR="00C27EF8" w:rsidRDefault="00C27EF8" w:rsidP="00C27EF8">
      <w:pPr>
        <w:spacing w:line="360" w:lineRule="auto"/>
        <w:jc w:val="both"/>
        <w:rPr>
          <w:rFonts w:cs="Arial"/>
          <w:b/>
          <w:sz w:val="22"/>
        </w:rPr>
      </w:pPr>
    </w:p>
    <w:p w14:paraId="4F489009" w14:textId="674B37A0" w:rsidR="00C27EF8" w:rsidRDefault="00C27EF8" w:rsidP="00C27EF8">
      <w:pPr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La Junta Directiva conoce los siguientes asuntos en la presente sesión:</w:t>
      </w:r>
    </w:p>
    <w:p w14:paraId="0372607E" w14:textId="77777777" w:rsidR="006F5DF1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>Presentación del Banco Popular y de Desarrollo Comunal, sobre el sistema informático de planificación de recursos empresariales (ERP).</w:t>
      </w:r>
    </w:p>
    <w:p w14:paraId="6B358B9A" w14:textId="393B7BD7" w:rsidR="006F5DF1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>Informe sobre el estado del proyecto Expediente Electrónico.</w:t>
      </w:r>
    </w:p>
    <w:p w14:paraId="38457337" w14:textId="270C9C18" w:rsidR="006F5DF1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>Viabilidad de procedimiento alterno y temporal, que permite registrar y emitir operaciones de Bono del “Programa de Financiamiento para Familias de Ingresos Medios”.</w:t>
      </w:r>
    </w:p>
    <w:p w14:paraId="53AE29DB" w14:textId="5C39350C" w:rsidR="006F5DF1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 xml:space="preserve">Criterio técnico sobre los informes del CIVCO-TEC, respecto a los proyectos </w:t>
      </w:r>
      <w:proofErr w:type="spellStart"/>
      <w:r w:rsidRPr="0033787E">
        <w:rPr>
          <w:rFonts w:cs="Arial"/>
          <w:sz w:val="22"/>
          <w:szCs w:val="22"/>
          <w:lang w:val="es-ES_tradnl"/>
        </w:rPr>
        <w:t>Ivannia</w:t>
      </w:r>
      <w:proofErr w:type="spellEnd"/>
      <w:r w:rsidRPr="0033787E">
        <w:rPr>
          <w:rFonts w:cs="Arial"/>
          <w:sz w:val="22"/>
          <w:szCs w:val="22"/>
          <w:lang w:val="es-ES_tradnl"/>
        </w:rPr>
        <w:t xml:space="preserve"> y La Flor.</w:t>
      </w:r>
    </w:p>
    <w:p w14:paraId="3D60D89F" w14:textId="59461FDB" w:rsidR="00CE5DD9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>Informe sobre la revisión de la exigencia de garantías, a los constructores en casos individuales de bono ordinario.</w:t>
      </w:r>
    </w:p>
    <w:p w14:paraId="4BA1D9C1" w14:textId="5B6E9BEE" w:rsidR="00AE4D1A" w:rsidRPr="0033787E" w:rsidRDefault="006F5DF1" w:rsidP="0033787E">
      <w:pPr>
        <w:pStyle w:val="Prrafodelista"/>
        <w:numPr>
          <w:ilvl w:val="0"/>
          <w:numId w:val="21"/>
        </w:numPr>
        <w:spacing w:line="360" w:lineRule="auto"/>
        <w:ind w:left="426" w:hanging="426"/>
        <w:jc w:val="both"/>
        <w:rPr>
          <w:rFonts w:cs="Arial"/>
          <w:sz w:val="22"/>
          <w:szCs w:val="22"/>
          <w:lang w:val="es-ES_tradnl"/>
        </w:rPr>
      </w:pPr>
      <w:r w:rsidRPr="0033787E">
        <w:rPr>
          <w:rFonts w:cs="Arial"/>
          <w:sz w:val="22"/>
          <w:szCs w:val="22"/>
          <w:lang w:val="es-ES_tradnl"/>
        </w:rPr>
        <w:t>Presentación de los resultados del análisis de requisitos de los candidatos al puesto de Gerente General.</w:t>
      </w:r>
    </w:p>
    <w:p w14:paraId="0F24F844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854FF2E" w14:textId="77777777" w:rsidR="00C27EF8" w:rsidRPr="00AB2826" w:rsidRDefault="00C27EF8" w:rsidP="00C27EF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FCE3D37" w14:textId="3EA5255D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1° </w:t>
      </w:r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>Presentación del Banco Popular y de Desarrollo Comunal, sobre el sistema informático de planificación de recursos empresariales (ERP)</w:t>
      </w:r>
    </w:p>
    <w:p w14:paraId="760F0E9D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44C0C9C5" w14:textId="1B0A13BB" w:rsidR="0033787E" w:rsidRDefault="00C27EF8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33787E">
        <w:rPr>
          <w:rFonts w:cs="Arial"/>
          <w:sz w:val="22"/>
          <w:u w:val="single"/>
          <w:lang w:val="es-ES_tradnl"/>
        </w:rPr>
        <w:t>01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927CA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0B798F">
        <w:rPr>
          <w:rFonts w:cs="Arial"/>
          <w:sz w:val="22"/>
          <w:lang w:val="es-ES_tradnl"/>
        </w:rPr>
        <w:t>En relación con la implementación del proyecto de Sistema de Apoyo a la Gestión Financiera y Capital Humano, y con el propósito de valorar experiencias a nivel nacional sobre proyectos</w:t>
      </w:r>
      <w:r w:rsidR="0033787E">
        <w:rPr>
          <w:rFonts w:cs="Arial"/>
          <w:sz w:val="22"/>
          <w:lang w:val="es-ES_tradnl"/>
        </w:rPr>
        <w:t xml:space="preserve"> desarrollados </w:t>
      </w:r>
      <w:r w:rsidR="004927CA">
        <w:rPr>
          <w:rFonts w:cs="Arial"/>
          <w:sz w:val="22"/>
          <w:lang w:val="es-ES_tradnl"/>
        </w:rPr>
        <w:t xml:space="preserve">a partir de </w:t>
      </w:r>
      <w:r w:rsidR="0033787E">
        <w:rPr>
          <w:rFonts w:cs="Arial"/>
          <w:sz w:val="22"/>
          <w:lang w:val="es-ES_tradnl"/>
        </w:rPr>
        <w:t>un sistema informático de planificación de recursos empresariales</w:t>
      </w:r>
      <w:r w:rsidR="000B798F">
        <w:rPr>
          <w:rFonts w:cs="Arial"/>
          <w:sz w:val="22"/>
          <w:lang w:val="es-ES_tradnl"/>
        </w:rPr>
        <w:t xml:space="preserve">, se procede a </w:t>
      </w:r>
      <w:r w:rsidR="0033787E">
        <w:rPr>
          <w:rFonts w:cs="Arial"/>
          <w:sz w:val="22"/>
          <w:lang w:val="es-ES_tradnl"/>
        </w:rPr>
        <w:t xml:space="preserve">recibir al </w:t>
      </w:r>
      <w:r w:rsidR="004927CA">
        <w:rPr>
          <w:rFonts w:cs="Arial"/>
          <w:sz w:val="22"/>
          <w:lang w:val="es-ES_tradnl"/>
        </w:rPr>
        <w:t xml:space="preserve">señor </w:t>
      </w:r>
      <w:r w:rsidR="004927CA" w:rsidRPr="00C1036C">
        <w:rPr>
          <w:rFonts w:cs="Arial"/>
          <w:sz w:val="22"/>
          <w:lang w:val="es-ES_tradnl"/>
        </w:rPr>
        <w:t xml:space="preserve">John Molina </w:t>
      </w:r>
      <w:r w:rsidR="00C1036C">
        <w:rPr>
          <w:rFonts w:cs="Arial"/>
          <w:sz w:val="22"/>
          <w:lang w:val="es-ES_tradnl"/>
        </w:rPr>
        <w:t>Núñez</w:t>
      </w:r>
      <w:r w:rsidR="004927CA">
        <w:rPr>
          <w:rFonts w:cs="Arial"/>
          <w:sz w:val="22"/>
          <w:lang w:val="es-ES_tradnl"/>
        </w:rPr>
        <w:t xml:space="preserve">, </w:t>
      </w:r>
      <w:r w:rsidR="008C1E09">
        <w:rPr>
          <w:rFonts w:cs="Arial"/>
          <w:sz w:val="22"/>
          <w:lang w:val="es-ES_tradnl"/>
        </w:rPr>
        <w:t>Jefe</w:t>
      </w:r>
      <w:r w:rsidR="004927CA">
        <w:rPr>
          <w:rFonts w:cs="Arial"/>
          <w:sz w:val="22"/>
          <w:lang w:val="es-ES_tradnl"/>
        </w:rPr>
        <w:t xml:space="preserve"> de </w:t>
      </w:r>
      <w:r w:rsidR="008C1E09">
        <w:rPr>
          <w:rFonts w:cs="Arial"/>
          <w:sz w:val="22"/>
          <w:lang w:val="es-ES_tradnl"/>
        </w:rPr>
        <w:t xml:space="preserve">Tecnología de Información </w:t>
      </w:r>
      <w:r w:rsidR="004927CA">
        <w:rPr>
          <w:rFonts w:cs="Arial"/>
          <w:sz w:val="22"/>
          <w:lang w:val="es-ES_tradnl"/>
        </w:rPr>
        <w:t xml:space="preserve"> en el Banco Popular y de Desarrollo Comunal, incorporándose además </w:t>
      </w:r>
      <w:r w:rsidR="00B51232">
        <w:rPr>
          <w:rFonts w:cs="Arial"/>
          <w:sz w:val="22"/>
          <w:lang w:val="es-ES_tradnl"/>
        </w:rPr>
        <w:t>el licenciado J</w:t>
      </w:r>
      <w:r w:rsidR="004927CA">
        <w:rPr>
          <w:rFonts w:cs="Arial"/>
          <w:sz w:val="22"/>
          <w:lang w:val="es-ES_tradnl"/>
        </w:rPr>
        <w:t>osé Pablo Durán Rodríguez, jefe del Departamento Financiero Contable.</w:t>
      </w:r>
    </w:p>
    <w:p w14:paraId="0B019416" w14:textId="77777777" w:rsidR="0033787E" w:rsidRDefault="0033787E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5896340" w14:textId="646A09F0" w:rsidR="004927CA" w:rsidRDefault="004927CA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El Lic. Molina </w:t>
      </w:r>
      <w:r w:rsidR="00C1036C">
        <w:rPr>
          <w:rFonts w:cs="Arial"/>
          <w:sz w:val="22"/>
          <w:lang w:val="es-ES_tradnl"/>
        </w:rPr>
        <w:t>Núñez</w:t>
      </w:r>
      <w:r>
        <w:rPr>
          <w:rFonts w:cs="Arial"/>
          <w:sz w:val="22"/>
          <w:lang w:val="es-ES_tradnl"/>
        </w:rPr>
        <w:t xml:space="preserve"> expone su experiencia</w:t>
      </w:r>
      <w:r w:rsidR="004B488D">
        <w:rPr>
          <w:rFonts w:cs="Arial"/>
          <w:sz w:val="22"/>
          <w:lang w:val="es-ES_tradnl"/>
        </w:rPr>
        <w:t>, tanto</w:t>
      </w:r>
      <w:r>
        <w:rPr>
          <w:rFonts w:cs="Arial"/>
          <w:sz w:val="22"/>
          <w:lang w:val="es-ES_tradnl"/>
        </w:rPr>
        <w:t xml:space="preserve"> en el Banco Popular y de Desarrollo Comunal, como </w:t>
      </w:r>
      <w:r w:rsidR="004B488D">
        <w:rPr>
          <w:rFonts w:cs="Arial"/>
          <w:sz w:val="22"/>
          <w:lang w:val="es-ES_tradnl"/>
        </w:rPr>
        <w:t>en el Banco Centroamericano de Integración Económica, en la implementación de proyectos tecnológicos desarrollados a partir de un sistema informático de planificación de recursos empresariales (ERP)</w:t>
      </w:r>
      <w:r w:rsidR="00D95AEF">
        <w:rPr>
          <w:rFonts w:cs="Arial"/>
          <w:sz w:val="22"/>
          <w:lang w:val="es-ES_tradnl"/>
        </w:rPr>
        <w:t>, y al mismo tiempo va atendiendo las consultas y observaciones que al respecto plantean los señores Directores</w:t>
      </w:r>
      <w:r w:rsidR="0044325D">
        <w:rPr>
          <w:rFonts w:cs="Arial"/>
          <w:sz w:val="22"/>
          <w:lang w:val="es-ES_tradnl"/>
        </w:rPr>
        <w:t>, relacionadas, fundamentalmente, con los factores claves de éxito, costos y plazos de implementación</w:t>
      </w:r>
      <w:r w:rsidR="00D95AEF">
        <w:rPr>
          <w:rFonts w:cs="Arial"/>
          <w:sz w:val="22"/>
          <w:lang w:val="es-ES_tradnl"/>
        </w:rPr>
        <w:t>.</w:t>
      </w:r>
    </w:p>
    <w:p w14:paraId="003EF0C6" w14:textId="77777777" w:rsidR="004927CA" w:rsidRDefault="004927CA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ECD7C62" w14:textId="59703789" w:rsidR="00C27EF8" w:rsidRDefault="00C27EF8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B51232">
        <w:rPr>
          <w:rFonts w:cs="Arial"/>
          <w:sz w:val="22"/>
          <w:u w:val="single"/>
          <w:lang w:val="es-ES_tradnl"/>
        </w:rPr>
        <w:t>26</w:t>
      </w:r>
      <w:r w:rsidRPr="00A25DB7">
        <w:rPr>
          <w:rFonts w:cs="Arial"/>
          <w:sz w:val="22"/>
          <w:u w:val="single"/>
          <w:lang w:val="es-ES_tradnl"/>
        </w:rPr>
        <w:t>:</w:t>
      </w:r>
      <w:r w:rsidR="00B51232"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</w:t>
      </w:r>
      <w:r w:rsidR="00B51232">
        <w:rPr>
          <w:rFonts w:cs="Arial"/>
          <w:sz w:val="22"/>
          <w:lang w:val="es-ES_tradnl"/>
        </w:rPr>
        <w:t xml:space="preserve">La Junta Directiva da por conocida y agradece al Lic. Molina la información suministrada.  Acto seguido, se retira de la sesión </w:t>
      </w:r>
      <w:r w:rsidR="00C1036C">
        <w:rPr>
          <w:rFonts w:cs="Arial"/>
          <w:sz w:val="22"/>
          <w:lang w:val="es-ES_tradnl"/>
        </w:rPr>
        <w:t>el</w:t>
      </w:r>
      <w:r w:rsidR="00B51232">
        <w:rPr>
          <w:rFonts w:cs="Arial"/>
          <w:sz w:val="22"/>
          <w:lang w:val="es-ES_tradnl"/>
        </w:rPr>
        <w:t xml:space="preserve"> licenciado </w:t>
      </w:r>
      <w:r w:rsidR="00B51232" w:rsidRPr="00C1036C">
        <w:rPr>
          <w:rFonts w:cs="Arial"/>
          <w:sz w:val="22"/>
          <w:lang w:val="es-ES_tradnl"/>
        </w:rPr>
        <w:t xml:space="preserve">Molina </w:t>
      </w:r>
      <w:r w:rsidR="00C1036C">
        <w:rPr>
          <w:rFonts w:cs="Arial"/>
          <w:sz w:val="22"/>
          <w:lang w:val="es-ES_tradnl"/>
        </w:rPr>
        <w:t>Núñez</w:t>
      </w:r>
      <w:r w:rsidR="00B51232">
        <w:rPr>
          <w:rFonts w:cs="Arial"/>
          <w:sz w:val="22"/>
          <w:lang w:val="es-ES_tradnl"/>
        </w:rPr>
        <w:t>.</w:t>
      </w:r>
    </w:p>
    <w:p w14:paraId="5C29AC38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5C0BA7C" w14:textId="77777777" w:rsidR="00C27EF8" w:rsidRDefault="00C27EF8" w:rsidP="00C27EF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0DBEEE3B" w14:textId="383986A3" w:rsidR="00C27EF8" w:rsidRPr="003470D8" w:rsidRDefault="00C27EF8" w:rsidP="00C27EF8">
      <w:pPr>
        <w:spacing w:line="360" w:lineRule="auto"/>
        <w:jc w:val="both"/>
        <w:outlineLvl w:val="0"/>
        <w:rPr>
          <w:rFonts w:cs="Arial"/>
          <w:b/>
          <w:bCs/>
          <w:sz w:val="22"/>
          <w:szCs w:val="22"/>
          <w:u w:val="single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2° </w:t>
      </w:r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>Informe sobre el estado del proyecto Expediente Electrónico</w:t>
      </w:r>
    </w:p>
    <w:p w14:paraId="70C61656" w14:textId="627FFAA4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48D0F57" w14:textId="36EDFBE2" w:rsidR="00E6401B" w:rsidRDefault="00AE4D1A" w:rsidP="00E6401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F2347B">
        <w:rPr>
          <w:rFonts w:cs="Arial"/>
          <w:sz w:val="22"/>
          <w:u w:val="single"/>
          <w:lang w:val="es-ES_tradnl"/>
        </w:rPr>
        <w:t>27</w:t>
      </w:r>
      <w:r w:rsidRPr="0039311E">
        <w:rPr>
          <w:rFonts w:cs="Arial"/>
          <w:sz w:val="22"/>
          <w:u w:val="single"/>
          <w:lang w:val="es-ES_tradnl"/>
        </w:rPr>
        <w:t>:</w:t>
      </w:r>
      <w:r w:rsidR="00E6401B">
        <w:rPr>
          <w:rFonts w:cs="Arial"/>
          <w:sz w:val="22"/>
          <w:u w:val="single"/>
          <w:lang w:val="es-ES_tradnl"/>
        </w:rPr>
        <w:t>30</w:t>
      </w:r>
      <w:r w:rsidR="00E6401B">
        <w:rPr>
          <w:rFonts w:cs="Arial"/>
          <w:sz w:val="22"/>
          <w:lang w:val="es-ES_tradnl"/>
        </w:rPr>
        <w:t xml:space="preserve"> </w:t>
      </w:r>
      <w:r w:rsidR="00407F41">
        <w:rPr>
          <w:rFonts w:cs="Arial"/>
          <w:sz w:val="22"/>
          <w:lang w:val="es-ES_tradnl"/>
        </w:rPr>
        <w:t>Que mediante el Oficio GG-ME-08883-2019 del 21 de agosto de 2019 y s</w:t>
      </w:r>
      <w:r w:rsidR="00E6401B">
        <w:rPr>
          <w:rFonts w:cs="Arial"/>
          <w:sz w:val="22"/>
          <w:lang w:val="es-ES_tradnl"/>
        </w:rPr>
        <w:t>egún lo solicitado en la sesión 63-2019 del pasado 19 de agosto, se procede a presentar un informe sobre el estado de la implementación de</w:t>
      </w:r>
      <w:r w:rsidR="00E6401B" w:rsidRPr="00D462D7">
        <w:rPr>
          <w:rFonts w:cs="Arial"/>
          <w:sz w:val="22"/>
          <w:szCs w:val="22"/>
          <w:lang w:val="es-ES_tradnl"/>
        </w:rPr>
        <w:t xml:space="preserve"> </w:t>
      </w:r>
      <w:r w:rsidR="00E6401B">
        <w:rPr>
          <w:rFonts w:cs="Arial"/>
          <w:sz w:val="22"/>
          <w:szCs w:val="22"/>
          <w:lang w:val="es-ES_tradnl"/>
        </w:rPr>
        <w:t>la segunda fase del proyecto de Expediente Electrónico.</w:t>
      </w:r>
      <w:r w:rsidR="00E6401B" w:rsidRPr="008B648F">
        <w:rPr>
          <w:rFonts w:cs="Arial"/>
          <w:sz w:val="22"/>
          <w:szCs w:val="22"/>
          <w:lang w:val="es-ES_tradnl"/>
        </w:rPr>
        <w:t xml:space="preserve"> </w:t>
      </w:r>
      <w:r w:rsidR="00E6401B">
        <w:rPr>
          <w:rFonts w:cs="Arial"/>
          <w:sz w:val="22"/>
          <w:szCs w:val="22"/>
          <w:lang w:val="es-ES_tradnl"/>
        </w:rPr>
        <w:t xml:space="preserve">Para estos efectos se incorporan a la sesión los siguientes funcionarios: Marco Tulio Méndez Contreras, jefe del Departamento de Tecnología de Información; Manfred Alfaro </w:t>
      </w:r>
      <w:proofErr w:type="spellStart"/>
      <w:r w:rsidR="00E6401B">
        <w:rPr>
          <w:rFonts w:cs="Arial"/>
          <w:sz w:val="22"/>
          <w:szCs w:val="22"/>
          <w:lang w:val="es-ES_tradnl"/>
        </w:rPr>
        <w:t>Alfaro</w:t>
      </w:r>
      <w:proofErr w:type="spellEnd"/>
      <w:r w:rsidR="00E6401B">
        <w:rPr>
          <w:rFonts w:cs="Arial"/>
          <w:sz w:val="22"/>
          <w:szCs w:val="22"/>
          <w:lang w:val="es-ES_tradnl"/>
        </w:rPr>
        <w:t xml:space="preserve"> y Hugo Mata </w:t>
      </w:r>
      <w:r w:rsidR="00C1036C">
        <w:rPr>
          <w:rFonts w:cs="Arial"/>
          <w:sz w:val="22"/>
          <w:szCs w:val="22"/>
          <w:lang w:val="es-ES_tradnl"/>
        </w:rPr>
        <w:t>Navarro</w:t>
      </w:r>
      <w:r w:rsidR="00E6401B">
        <w:rPr>
          <w:rFonts w:cs="Arial"/>
          <w:sz w:val="22"/>
          <w:szCs w:val="22"/>
          <w:lang w:val="es-ES_tradnl"/>
        </w:rPr>
        <w:t>, funcionarios del Departamento de Tecnología de Información; Martha Camacho Murillo, Directora del FOSUVI</w:t>
      </w:r>
      <w:r w:rsidR="00532385">
        <w:rPr>
          <w:rFonts w:cs="Arial"/>
          <w:sz w:val="22"/>
          <w:szCs w:val="22"/>
          <w:lang w:val="es-ES_tradnl"/>
        </w:rPr>
        <w:t>; y Alexis Solano Montero, jefe del Departamento de Análisis y Control.</w:t>
      </w:r>
    </w:p>
    <w:p w14:paraId="6B23DF42" w14:textId="77777777" w:rsidR="00E6401B" w:rsidRDefault="00E6401B" w:rsidP="00E6401B">
      <w:pPr>
        <w:spacing w:line="360" w:lineRule="auto"/>
        <w:jc w:val="both"/>
        <w:rPr>
          <w:rFonts w:cs="Arial"/>
          <w:sz w:val="22"/>
          <w:szCs w:val="22"/>
          <w:lang w:val="es-ES_tradnl"/>
        </w:rPr>
      </w:pPr>
    </w:p>
    <w:p w14:paraId="24804082" w14:textId="589BDB93" w:rsidR="00512DEC" w:rsidRDefault="00E6401B" w:rsidP="00E6401B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lastRenderedPageBreak/>
        <w:t xml:space="preserve">El licenciado Alfaro </w:t>
      </w:r>
      <w:proofErr w:type="spellStart"/>
      <w:r>
        <w:rPr>
          <w:rFonts w:cs="Arial"/>
          <w:sz w:val="22"/>
          <w:lang w:val="es-ES_tradnl"/>
        </w:rPr>
        <w:t>Alfaro</w:t>
      </w:r>
      <w:proofErr w:type="spellEnd"/>
      <w:r>
        <w:rPr>
          <w:rFonts w:cs="Arial"/>
          <w:sz w:val="22"/>
          <w:lang w:val="es-ES_tradnl"/>
        </w:rPr>
        <w:t xml:space="preserve"> expone lo actuado </w:t>
      </w:r>
      <w:r w:rsidR="00532385">
        <w:rPr>
          <w:rFonts w:cs="Arial"/>
          <w:sz w:val="22"/>
          <w:lang w:val="es-ES_tradnl"/>
        </w:rPr>
        <w:t>a</w:t>
      </w:r>
      <w:r>
        <w:rPr>
          <w:rFonts w:cs="Arial"/>
          <w:sz w:val="22"/>
          <w:lang w:val="es-ES_tradnl"/>
        </w:rPr>
        <w:t xml:space="preserve"> esta fecha </w:t>
      </w:r>
      <w:r w:rsidR="00512DEC">
        <w:rPr>
          <w:rFonts w:cs="Arial"/>
          <w:sz w:val="22"/>
          <w:lang w:val="es-ES_tradnl"/>
        </w:rPr>
        <w:t xml:space="preserve">en torno al referido proyecto informático, refiriéndose luego a las </w:t>
      </w:r>
      <w:r>
        <w:rPr>
          <w:rFonts w:cs="Arial"/>
          <w:sz w:val="22"/>
          <w:lang w:val="es-ES_tradnl"/>
        </w:rPr>
        <w:t xml:space="preserve">actividades </w:t>
      </w:r>
      <w:r w:rsidR="00512DEC">
        <w:rPr>
          <w:rFonts w:cs="Arial"/>
          <w:sz w:val="22"/>
          <w:lang w:val="es-ES_tradnl"/>
        </w:rPr>
        <w:t xml:space="preserve">que se están desarrollando en estas semanas; y sobre lo cual atiende </w:t>
      </w:r>
      <w:r w:rsidR="00532385">
        <w:rPr>
          <w:rFonts w:cs="Arial"/>
          <w:sz w:val="22"/>
          <w:lang w:val="es-ES_tradnl"/>
        </w:rPr>
        <w:t xml:space="preserve">–apoyado por el Lic. Solano Montero– varias </w:t>
      </w:r>
      <w:r w:rsidR="00512DEC">
        <w:rPr>
          <w:rFonts w:cs="Arial"/>
          <w:sz w:val="22"/>
          <w:lang w:val="es-ES_tradnl"/>
        </w:rPr>
        <w:t xml:space="preserve">consultas </w:t>
      </w:r>
      <w:r w:rsidR="009773A1">
        <w:rPr>
          <w:rFonts w:cs="Arial"/>
          <w:sz w:val="22"/>
          <w:lang w:val="es-ES_tradnl"/>
        </w:rPr>
        <w:t>e inquietudes de</w:t>
      </w:r>
      <w:r w:rsidR="00512DEC">
        <w:rPr>
          <w:rFonts w:cs="Arial"/>
          <w:sz w:val="22"/>
          <w:lang w:val="es-ES_tradnl"/>
        </w:rPr>
        <w:t xml:space="preserve"> los señores Directores</w:t>
      </w:r>
      <w:r w:rsidR="009773A1">
        <w:rPr>
          <w:rFonts w:cs="Arial"/>
          <w:sz w:val="22"/>
          <w:lang w:val="es-ES_tradnl"/>
        </w:rPr>
        <w:t>,</w:t>
      </w:r>
      <w:r w:rsidR="00512DEC">
        <w:rPr>
          <w:rFonts w:cs="Arial"/>
          <w:sz w:val="22"/>
          <w:lang w:val="es-ES_tradnl"/>
        </w:rPr>
        <w:t xml:space="preserve"> sobre los resultados de la implementación del plan piloto en la MUCAP y las acciones que se han realizado para subsanar los incidentes que se han presentado.</w:t>
      </w:r>
    </w:p>
    <w:p w14:paraId="3D496842" w14:textId="44318691" w:rsidR="00512DEC" w:rsidRDefault="00512DEC" w:rsidP="00E6401B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1AD3833" w14:textId="1A00CD02" w:rsidR="00512DEC" w:rsidRDefault="00B86B11" w:rsidP="00E6401B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0B4E46">
        <w:rPr>
          <w:rFonts w:cs="Arial"/>
          <w:sz w:val="22"/>
          <w:u w:val="single"/>
          <w:lang w:val="es-ES_tradnl"/>
        </w:rPr>
        <w:t>79</w:t>
      </w:r>
      <w:r w:rsidRPr="0039311E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5</w:t>
      </w:r>
      <w:r w:rsidR="000B4E46">
        <w:rPr>
          <w:rFonts w:cs="Arial"/>
          <w:sz w:val="22"/>
          <w:u w:val="single"/>
          <w:lang w:val="es-ES_tradnl"/>
        </w:rPr>
        <w:t>1</w:t>
      </w:r>
      <w:r>
        <w:rPr>
          <w:rFonts w:cs="Arial"/>
          <w:sz w:val="22"/>
          <w:lang w:val="es-ES_tradnl"/>
        </w:rPr>
        <w:t xml:space="preserve"> </w:t>
      </w:r>
      <w:r w:rsidR="000B4E46">
        <w:rPr>
          <w:rFonts w:cs="Arial"/>
          <w:sz w:val="22"/>
          <w:lang w:val="es-ES_tradnl"/>
        </w:rPr>
        <w:t xml:space="preserve">La Junta Directiva da por conocida la información suministrada y, acto seguido, se retiran de la sesión </w:t>
      </w:r>
      <w:r w:rsidR="000B4E46" w:rsidRPr="00953A55">
        <w:rPr>
          <w:rFonts w:cs="Arial"/>
          <w:sz w:val="22"/>
          <w:lang w:val="es-ES_tradnl"/>
        </w:rPr>
        <w:t>los funcionarios</w:t>
      </w:r>
      <w:r w:rsidR="000B4E46">
        <w:rPr>
          <w:rFonts w:cs="Arial"/>
          <w:sz w:val="22"/>
          <w:lang w:val="es-ES_tradnl"/>
        </w:rPr>
        <w:t xml:space="preserve"> </w:t>
      </w:r>
      <w:r w:rsidR="000B4E46">
        <w:rPr>
          <w:rFonts w:cs="Arial"/>
          <w:sz w:val="22"/>
          <w:szCs w:val="22"/>
          <w:lang w:val="es-ES_tradnl"/>
        </w:rPr>
        <w:t xml:space="preserve">Alfaro </w:t>
      </w:r>
      <w:proofErr w:type="spellStart"/>
      <w:r w:rsidR="000B4E46">
        <w:rPr>
          <w:rFonts w:cs="Arial"/>
          <w:sz w:val="22"/>
          <w:szCs w:val="22"/>
          <w:lang w:val="es-ES_tradnl"/>
        </w:rPr>
        <w:t>Alfaro</w:t>
      </w:r>
      <w:proofErr w:type="spellEnd"/>
      <w:r w:rsidR="00561815">
        <w:rPr>
          <w:rFonts w:cs="Arial"/>
          <w:sz w:val="22"/>
          <w:szCs w:val="22"/>
          <w:lang w:val="es-ES_tradnl"/>
        </w:rPr>
        <w:t xml:space="preserve"> y</w:t>
      </w:r>
      <w:r w:rsidR="000B4E46">
        <w:rPr>
          <w:rFonts w:cs="Arial"/>
          <w:sz w:val="22"/>
          <w:szCs w:val="22"/>
          <w:lang w:val="es-ES_tradnl"/>
        </w:rPr>
        <w:t xml:space="preserve"> Mata </w:t>
      </w:r>
      <w:r w:rsidR="00953A55">
        <w:rPr>
          <w:rFonts w:cs="Arial"/>
          <w:sz w:val="22"/>
          <w:szCs w:val="22"/>
          <w:lang w:val="es-ES_tradnl"/>
        </w:rPr>
        <w:t>Navarro</w:t>
      </w:r>
      <w:r w:rsidR="000B4E46">
        <w:rPr>
          <w:rFonts w:cs="Arial"/>
          <w:sz w:val="22"/>
          <w:szCs w:val="22"/>
          <w:lang w:val="es-ES_tradnl"/>
        </w:rPr>
        <w:t>.</w:t>
      </w:r>
    </w:p>
    <w:p w14:paraId="27B4D545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F667F19" w14:textId="77777777" w:rsidR="00C27EF8" w:rsidRDefault="00C27EF8" w:rsidP="00C27EF8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7A26C369" w14:textId="4F775566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3° </w:t>
      </w:r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>Viabilidad de procedimiento alterno y temporal, que permite registrar y emitir operaciones de Bono del “Programa de Financiamiento para Familias de Ingresos Medios”</w:t>
      </w:r>
    </w:p>
    <w:p w14:paraId="3C239179" w14:textId="3EEFC7B2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0AFF9CB" w14:textId="47ABF146" w:rsidR="000B4E46" w:rsidRDefault="00AE4D1A" w:rsidP="00AE4D1A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0B4E46">
        <w:rPr>
          <w:rFonts w:cs="Arial"/>
          <w:sz w:val="22"/>
          <w:u w:val="single"/>
          <w:lang w:val="es-ES_tradnl"/>
        </w:rPr>
        <w:t>79</w:t>
      </w:r>
      <w:r w:rsidRPr="0039311E">
        <w:rPr>
          <w:rFonts w:cs="Arial"/>
          <w:sz w:val="22"/>
          <w:u w:val="single"/>
          <w:lang w:val="es-ES_tradnl"/>
        </w:rPr>
        <w:t>:</w:t>
      </w:r>
      <w:r w:rsidR="000B4E46">
        <w:rPr>
          <w:rFonts w:cs="Arial"/>
          <w:sz w:val="22"/>
          <w:u w:val="single"/>
          <w:lang w:val="es-ES_tradnl"/>
        </w:rPr>
        <w:t>55</w:t>
      </w:r>
      <w:r>
        <w:rPr>
          <w:rFonts w:cs="Arial"/>
          <w:sz w:val="22"/>
          <w:lang w:val="es-ES_tradnl"/>
        </w:rPr>
        <w:t xml:space="preserve"> Se conoce el oficio </w:t>
      </w:r>
      <w:r w:rsidR="000B4E46" w:rsidRPr="000160E9">
        <w:rPr>
          <w:rFonts w:cs="Arial"/>
          <w:sz w:val="22"/>
          <w:lang w:val="es-ES_tradnl"/>
        </w:rPr>
        <w:t>GG-ME-</w:t>
      </w:r>
      <w:r w:rsidR="000160E9" w:rsidRPr="000160E9">
        <w:rPr>
          <w:rFonts w:cs="Arial"/>
          <w:sz w:val="22"/>
          <w:lang w:val="es-ES_tradnl"/>
        </w:rPr>
        <w:t>886</w:t>
      </w:r>
      <w:r w:rsidR="000B4E46" w:rsidRPr="000160E9">
        <w:rPr>
          <w:rFonts w:cs="Arial"/>
          <w:sz w:val="22"/>
          <w:lang w:val="es-ES_tradnl"/>
        </w:rPr>
        <w:t>-2019</w:t>
      </w:r>
      <w:r w:rsidR="000B4E46">
        <w:rPr>
          <w:rFonts w:cs="Arial"/>
          <w:sz w:val="22"/>
          <w:lang w:val="es-ES_tradnl"/>
        </w:rPr>
        <w:t xml:space="preserve"> del </w:t>
      </w:r>
      <w:r w:rsidR="000160E9">
        <w:rPr>
          <w:rFonts w:cs="Arial"/>
          <w:sz w:val="22"/>
          <w:lang w:val="es-ES_tradnl"/>
        </w:rPr>
        <w:t>22</w:t>
      </w:r>
      <w:r w:rsidR="000B4E46">
        <w:rPr>
          <w:rFonts w:cs="Arial"/>
          <w:sz w:val="22"/>
          <w:lang w:val="es-ES_tradnl"/>
        </w:rPr>
        <w:t xml:space="preserve"> de agosto de 2019, mediante el cual, atendiendo lo dispuesto en el acuerdo </w:t>
      </w:r>
      <w:r w:rsidR="000B4E46" w:rsidRPr="000160E9">
        <w:rPr>
          <w:rFonts w:cs="Arial"/>
          <w:sz w:val="22"/>
          <w:lang w:val="es-ES_tradnl"/>
        </w:rPr>
        <w:t xml:space="preserve">N° </w:t>
      </w:r>
      <w:r w:rsidR="000160E9" w:rsidRPr="000160E9">
        <w:rPr>
          <w:rFonts w:cs="Arial"/>
          <w:sz w:val="22"/>
          <w:lang w:val="es-ES_tradnl"/>
        </w:rPr>
        <w:t>7</w:t>
      </w:r>
      <w:r w:rsidR="000B4E46">
        <w:rPr>
          <w:rFonts w:cs="Arial"/>
          <w:sz w:val="22"/>
          <w:lang w:val="es-ES_tradnl"/>
        </w:rPr>
        <w:t xml:space="preserve"> de la sesión </w:t>
      </w:r>
      <w:r w:rsidR="000160E9" w:rsidRPr="000160E9">
        <w:rPr>
          <w:rFonts w:cs="Arial"/>
          <w:sz w:val="22"/>
          <w:lang w:val="es-ES_tradnl"/>
        </w:rPr>
        <w:t>63</w:t>
      </w:r>
      <w:r w:rsidR="000B4E46" w:rsidRPr="000160E9">
        <w:rPr>
          <w:rFonts w:cs="Arial"/>
          <w:sz w:val="22"/>
          <w:lang w:val="es-ES_tradnl"/>
        </w:rPr>
        <w:t xml:space="preserve">-2019 del pasado </w:t>
      </w:r>
      <w:r w:rsidR="000160E9" w:rsidRPr="000160E9">
        <w:rPr>
          <w:rFonts w:cs="Arial"/>
          <w:sz w:val="22"/>
          <w:lang w:val="es-ES_tradnl"/>
        </w:rPr>
        <w:t>20</w:t>
      </w:r>
      <w:r w:rsidR="000B4E46" w:rsidRPr="000160E9">
        <w:rPr>
          <w:rFonts w:cs="Arial"/>
          <w:sz w:val="22"/>
          <w:lang w:val="es-ES_tradnl"/>
        </w:rPr>
        <w:t xml:space="preserve"> de</w:t>
      </w:r>
      <w:r w:rsidR="000B4E46">
        <w:rPr>
          <w:rFonts w:cs="Arial"/>
          <w:sz w:val="22"/>
          <w:lang w:val="es-ES_tradnl"/>
        </w:rPr>
        <w:t xml:space="preserve"> agosto, la Gerencia General remite criterio sobre la viabilidad de implementar un procedimiento alterno y temporal, que permita registrar y emitir operaciones de Bono del “Programa de Financiamiento para Familias de Ingresos Medios”.  Dichos documentos se adjuntan al expediente del acta.</w:t>
      </w:r>
    </w:p>
    <w:p w14:paraId="4F5DCF25" w14:textId="0130D815" w:rsidR="000B4E46" w:rsidRDefault="000B4E46" w:rsidP="00AE4D1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49DE439E" w14:textId="4E5D7D3D" w:rsidR="00561815" w:rsidRDefault="00561815" w:rsidP="00AE4D1A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lang w:val="es-ES_tradnl"/>
        </w:rPr>
        <w:t xml:space="preserve">Luego de una introducción al tema por parte de la licenciada Camacho Murillo, el licenciado Solano Montero expone los alcances del citado informe, con </w:t>
      </w:r>
      <w:r w:rsidR="00465A1B">
        <w:rPr>
          <w:rFonts w:cs="Arial"/>
          <w:sz w:val="22"/>
          <w:lang w:val="es-ES_tradnl"/>
        </w:rPr>
        <w:t xml:space="preserve">las valoraciones técnicas </w:t>
      </w:r>
      <w:r w:rsidR="00F21614">
        <w:rPr>
          <w:rFonts w:cs="Arial"/>
          <w:sz w:val="22"/>
          <w:lang w:val="es-ES_tradnl"/>
        </w:rPr>
        <w:t>recomendadas.</w:t>
      </w:r>
    </w:p>
    <w:p w14:paraId="31D3F616" w14:textId="2B946842" w:rsidR="000B4E46" w:rsidRDefault="000B4E46" w:rsidP="00AE4D1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64275F73" w14:textId="77777777" w:rsidR="00465A1B" w:rsidRDefault="00AE4D1A" w:rsidP="00AE4D1A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 w:rsidR="00561815">
        <w:rPr>
          <w:rFonts w:cs="Arial"/>
          <w:sz w:val="22"/>
          <w:u w:val="single"/>
          <w:lang w:val="es-ES_tradnl"/>
        </w:rPr>
        <w:t>189</w:t>
      </w:r>
      <w:r w:rsidRPr="00A25DB7">
        <w:rPr>
          <w:rFonts w:cs="Arial"/>
          <w:sz w:val="22"/>
          <w:u w:val="single"/>
          <w:lang w:val="es-ES_tradnl"/>
        </w:rPr>
        <w:t>:</w:t>
      </w:r>
      <w:r w:rsidR="00561815">
        <w:rPr>
          <w:rFonts w:cs="Arial"/>
          <w:sz w:val="22"/>
          <w:u w:val="single"/>
          <w:lang w:val="es-ES_tradnl"/>
        </w:rPr>
        <w:t>00</w:t>
      </w:r>
      <w:r>
        <w:rPr>
          <w:rFonts w:cs="Arial"/>
          <w:sz w:val="22"/>
          <w:lang w:val="es-ES_tradnl"/>
        </w:rPr>
        <w:t xml:space="preserve"> </w:t>
      </w:r>
      <w:r w:rsidR="00465A1B">
        <w:rPr>
          <w:rFonts w:cs="Arial"/>
          <w:sz w:val="22"/>
          <w:lang w:val="es-ES_tradnl"/>
        </w:rPr>
        <w:t xml:space="preserve">El licenciado Méndez Contreras expone el estado, </w:t>
      </w:r>
      <w:proofErr w:type="gramStart"/>
      <w:r w:rsidR="00465A1B">
        <w:rPr>
          <w:rFonts w:cs="Arial"/>
          <w:sz w:val="22"/>
          <w:lang w:val="es-ES_tradnl"/>
        </w:rPr>
        <w:t>al día de hoy</w:t>
      </w:r>
      <w:proofErr w:type="gramEnd"/>
      <w:r w:rsidR="00465A1B">
        <w:rPr>
          <w:rFonts w:cs="Arial"/>
          <w:sz w:val="22"/>
          <w:lang w:val="es-ES_tradnl"/>
        </w:rPr>
        <w:t>, de los ajustes que requiere el Sistema de Vivienda, haciendo ver, en resumen, que en este momento solamente se deben realizar pruebas por parte del Departamento de Análisis y Control, con el fin de validar la funcionalidad de los cambios efectuados e implementar de inmediato el programa.</w:t>
      </w:r>
    </w:p>
    <w:p w14:paraId="02ACA685" w14:textId="77777777" w:rsidR="00465A1B" w:rsidRDefault="00465A1B" w:rsidP="00AE4D1A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4CA266D" w14:textId="5B32F23D" w:rsidR="00AE4D1A" w:rsidRDefault="00AE4D1A" w:rsidP="00AE4D1A">
      <w:pPr>
        <w:spacing w:line="360" w:lineRule="auto"/>
        <w:jc w:val="both"/>
        <w:rPr>
          <w:rFonts w:cs="Arial"/>
          <w:sz w:val="22"/>
          <w:lang w:val="es-ES_tradnl"/>
        </w:rPr>
      </w:pPr>
      <w:r>
        <w:rPr>
          <w:rFonts w:cs="Arial"/>
          <w:sz w:val="22"/>
          <w:u w:val="single"/>
          <w:lang w:val="es-ES_tradnl"/>
        </w:rPr>
        <w:t xml:space="preserve">Minuto </w:t>
      </w:r>
      <w:r w:rsidR="00485C02">
        <w:rPr>
          <w:rFonts w:cs="Arial"/>
          <w:sz w:val="22"/>
          <w:u w:val="single"/>
          <w:lang w:val="es-ES_tradnl"/>
        </w:rPr>
        <w:t>104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85C02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lang w:val="es-ES_tradnl"/>
        </w:rPr>
        <w:t xml:space="preserve"> </w:t>
      </w:r>
      <w:r w:rsidR="00485C02">
        <w:rPr>
          <w:rFonts w:cs="Arial"/>
          <w:sz w:val="22"/>
          <w:lang w:val="es-ES_tradnl"/>
        </w:rPr>
        <w:t xml:space="preserve">De conformidad con el análisis que se realiza en torno a la información presentada por la Dirección FOSUVI, la Junta Directiva resuelve girar instrucciones a la </w:t>
      </w:r>
      <w:r w:rsidR="00485C02">
        <w:rPr>
          <w:rFonts w:cs="Arial"/>
          <w:sz w:val="22"/>
          <w:lang w:val="es-ES_tradnl"/>
        </w:rPr>
        <w:lastRenderedPageBreak/>
        <w:t xml:space="preserve">Administración, para que proceda a realizar las </w:t>
      </w:r>
      <w:r w:rsidR="00465A1B">
        <w:rPr>
          <w:rFonts w:cs="Arial"/>
          <w:sz w:val="22"/>
          <w:lang w:val="es-ES_tradnl"/>
        </w:rPr>
        <w:t xml:space="preserve">pruebas </w:t>
      </w:r>
      <w:r w:rsidR="00485C02">
        <w:rPr>
          <w:rFonts w:cs="Arial"/>
          <w:sz w:val="22"/>
          <w:lang w:val="es-ES_tradnl"/>
        </w:rPr>
        <w:t>sobre los cambios efectuados al Sistema de Vivienda, para los efectos de</w:t>
      </w:r>
      <w:r w:rsidR="007873DE">
        <w:rPr>
          <w:rFonts w:cs="Arial"/>
          <w:sz w:val="22"/>
          <w:lang w:val="es-ES_tradnl"/>
        </w:rPr>
        <w:t xml:space="preserve"> implementar e</w:t>
      </w:r>
      <w:r w:rsidR="00485C02">
        <w:rPr>
          <w:rFonts w:cs="Arial"/>
          <w:sz w:val="22"/>
          <w:lang w:val="es-ES_tradnl"/>
        </w:rPr>
        <w:t xml:space="preserve">l </w:t>
      </w:r>
      <w:r w:rsidR="007873DE">
        <w:rPr>
          <w:rFonts w:cs="Arial"/>
          <w:sz w:val="22"/>
          <w:lang w:val="es-ES_tradnl"/>
        </w:rPr>
        <w:t xml:space="preserve">“Programa de Financiamiento para Familias de Ingresos Medios”, </w:t>
      </w:r>
      <w:r w:rsidR="00465A1B">
        <w:rPr>
          <w:rFonts w:cs="Arial"/>
          <w:sz w:val="22"/>
          <w:lang w:val="es-ES_tradnl"/>
        </w:rPr>
        <w:t xml:space="preserve">y </w:t>
      </w:r>
      <w:r w:rsidR="00485C02">
        <w:rPr>
          <w:rFonts w:cs="Arial"/>
          <w:sz w:val="22"/>
          <w:lang w:val="es-ES_tradnl"/>
        </w:rPr>
        <w:t xml:space="preserve">dentro de los próximo dos días hábiles </w:t>
      </w:r>
      <w:r w:rsidR="00465A1B">
        <w:rPr>
          <w:rFonts w:cs="Arial"/>
          <w:sz w:val="22"/>
          <w:lang w:val="es-ES_tradnl"/>
        </w:rPr>
        <w:t>determin</w:t>
      </w:r>
      <w:r w:rsidR="00485C02">
        <w:rPr>
          <w:rFonts w:cs="Arial"/>
          <w:sz w:val="22"/>
          <w:lang w:val="es-ES_tradnl"/>
        </w:rPr>
        <w:t>e y comunique a esta Junta Directiva,</w:t>
      </w:r>
      <w:r w:rsidR="00465A1B">
        <w:rPr>
          <w:rFonts w:cs="Arial"/>
          <w:sz w:val="22"/>
          <w:lang w:val="es-ES_tradnl"/>
        </w:rPr>
        <w:t xml:space="preserve"> si </w:t>
      </w:r>
      <w:r w:rsidR="00485C02">
        <w:rPr>
          <w:rFonts w:cs="Arial"/>
          <w:sz w:val="22"/>
          <w:lang w:val="es-ES_tradnl"/>
        </w:rPr>
        <w:t xml:space="preserve">los eventuales ajustes pueden efectuarse de forma tal que el programa </w:t>
      </w:r>
      <w:r w:rsidR="007873DE">
        <w:rPr>
          <w:rFonts w:cs="Arial"/>
          <w:sz w:val="22"/>
          <w:lang w:val="es-ES_tradnl"/>
        </w:rPr>
        <w:t xml:space="preserve">se </w:t>
      </w:r>
      <w:r w:rsidR="00485C02">
        <w:rPr>
          <w:rFonts w:cs="Arial"/>
          <w:sz w:val="22"/>
          <w:lang w:val="es-ES_tradnl"/>
        </w:rPr>
        <w:t>est</w:t>
      </w:r>
      <w:r w:rsidR="007873DE">
        <w:rPr>
          <w:rFonts w:cs="Arial"/>
          <w:sz w:val="22"/>
          <w:lang w:val="es-ES_tradnl"/>
        </w:rPr>
        <w:t>é</w:t>
      </w:r>
      <w:r w:rsidR="00485C02">
        <w:rPr>
          <w:rFonts w:cs="Arial"/>
          <w:sz w:val="22"/>
          <w:lang w:val="es-ES_tradnl"/>
        </w:rPr>
        <w:t xml:space="preserve"> implementa</w:t>
      </w:r>
      <w:r w:rsidR="007873DE">
        <w:rPr>
          <w:rFonts w:cs="Arial"/>
          <w:sz w:val="22"/>
          <w:lang w:val="es-ES_tradnl"/>
        </w:rPr>
        <w:t>ndo</w:t>
      </w:r>
      <w:r w:rsidR="00485C02">
        <w:rPr>
          <w:rFonts w:cs="Arial"/>
          <w:sz w:val="22"/>
          <w:lang w:val="es-ES_tradnl"/>
        </w:rPr>
        <w:t xml:space="preserve"> el próximo 31 de agosto</w:t>
      </w:r>
      <w:r w:rsidR="007873DE">
        <w:rPr>
          <w:rFonts w:cs="Arial"/>
          <w:sz w:val="22"/>
          <w:lang w:val="es-ES_tradnl"/>
        </w:rPr>
        <w:t xml:space="preserve">.  Lo anterior, según se indica en el </w:t>
      </w:r>
      <w:r w:rsidR="00485C02" w:rsidRPr="00947B9C">
        <w:rPr>
          <w:rFonts w:cs="Arial"/>
          <w:b/>
          <w:bCs/>
          <w:sz w:val="22"/>
          <w:lang w:val="es-ES_tradnl"/>
        </w:rPr>
        <w:t>Acuerdo N°1</w:t>
      </w:r>
      <w:r w:rsidR="007873DE">
        <w:rPr>
          <w:rFonts w:cs="Arial"/>
          <w:b/>
          <w:bCs/>
          <w:sz w:val="22"/>
          <w:lang w:val="es-ES_tradnl"/>
        </w:rPr>
        <w:t xml:space="preserve"> </w:t>
      </w:r>
      <w:r w:rsidR="007873DE" w:rsidRPr="007873DE">
        <w:rPr>
          <w:rFonts w:cs="Arial"/>
          <w:sz w:val="22"/>
          <w:lang w:val="es-ES_tradnl"/>
        </w:rPr>
        <w:t>que se anexa a esta minuta.</w:t>
      </w:r>
      <w:r w:rsidR="007873DE">
        <w:rPr>
          <w:rFonts w:cs="Arial"/>
          <w:sz w:val="22"/>
          <w:lang w:val="es-ES_tradnl"/>
        </w:rPr>
        <w:t xml:space="preserve">  Acto seguido, se retiran de la sesión los funcionarios Méndez Contreras y Solano Montero.</w:t>
      </w:r>
    </w:p>
    <w:p w14:paraId="78077DE3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27557F0" w14:textId="77777777" w:rsidR="00C27EF8" w:rsidRDefault="00C27EF8" w:rsidP="00C27EF8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7ABB705E" w14:textId="60BE5FEB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4° </w:t>
      </w:r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 xml:space="preserve">Criterio técnico sobre los informes del CIVCO-TEC, respecto a los proyectos </w:t>
      </w:r>
      <w:proofErr w:type="spellStart"/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>Ivannia</w:t>
      </w:r>
      <w:proofErr w:type="spellEnd"/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 xml:space="preserve"> y La Flor</w:t>
      </w:r>
    </w:p>
    <w:p w14:paraId="03D2D2B8" w14:textId="2A6BFF84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0320BBAF" w14:textId="3B199526" w:rsidR="00AE4D1A" w:rsidRDefault="00AE4D1A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425436">
        <w:rPr>
          <w:rFonts w:cs="Arial"/>
          <w:sz w:val="22"/>
          <w:u w:val="single"/>
          <w:lang w:val="es-ES_tradnl"/>
        </w:rPr>
        <w:t>105</w:t>
      </w:r>
      <w:r w:rsidRPr="0039311E">
        <w:rPr>
          <w:rFonts w:cs="Arial"/>
          <w:sz w:val="22"/>
          <w:u w:val="single"/>
          <w:lang w:val="es-ES_tradnl"/>
        </w:rPr>
        <w:t>:</w:t>
      </w:r>
      <w:r w:rsidR="00425436">
        <w:rPr>
          <w:rFonts w:cs="Arial"/>
          <w:sz w:val="22"/>
          <w:u w:val="single"/>
          <w:lang w:val="es-ES_tradnl"/>
        </w:rPr>
        <w:t>35</w:t>
      </w:r>
      <w:r>
        <w:rPr>
          <w:rFonts w:cs="Arial"/>
          <w:sz w:val="22"/>
          <w:lang w:val="es-ES_tradnl"/>
        </w:rPr>
        <w:t xml:space="preserve"> Se conoce el oficio</w:t>
      </w:r>
      <w:r w:rsidR="00425436">
        <w:rPr>
          <w:rFonts w:cs="Arial"/>
          <w:sz w:val="22"/>
          <w:lang w:val="es-ES_tradnl"/>
        </w:rPr>
        <w:t xml:space="preserve"> </w:t>
      </w:r>
      <w:r w:rsidR="00425436" w:rsidRPr="00B53E59">
        <w:rPr>
          <w:rFonts w:cs="Arial"/>
          <w:sz w:val="22"/>
          <w:lang w:val="es-ES_tradnl"/>
        </w:rPr>
        <w:t>GG-ME-</w:t>
      </w:r>
      <w:r w:rsidR="000160E9" w:rsidRPr="00B53E59">
        <w:rPr>
          <w:rFonts w:cs="Arial"/>
          <w:sz w:val="22"/>
          <w:lang w:val="es-ES_tradnl"/>
        </w:rPr>
        <w:t>885</w:t>
      </w:r>
      <w:r w:rsidR="00425436" w:rsidRPr="00B53E59">
        <w:rPr>
          <w:rFonts w:cs="Arial"/>
          <w:sz w:val="22"/>
          <w:lang w:val="es-ES_tradnl"/>
        </w:rPr>
        <w:t>-2019</w:t>
      </w:r>
      <w:r w:rsidR="00425436">
        <w:rPr>
          <w:rFonts w:cs="Arial"/>
          <w:sz w:val="22"/>
          <w:lang w:val="es-ES_tradnl"/>
        </w:rPr>
        <w:t xml:space="preserve"> del </w:t>
      </w:r>
      <w:r w:rsidR="00B53E59">
        <w:rPr>
          <w:rFonts w:cs="Arial"/>
          <w:sz w:val="22"/>
          <w:lang w:val="es-ES_tradnl"/>
        </w:rPr>
        <w:t>21</w:t>
      </w:r>
      <w:r w:rsidR="00425436">
        <w:rPr>
          <w:rFonts w:cs="Arial"/>
          <w:sz w:val="22"/>
          <w:lang w:val="es-ES_tradnl"/>
        </w:rPr>
        <w:t xml:space="preserve"> de agosto de 2019, mediante el cual, atendiendo lo dispuesto en el acuerdo </w:t>
      </w:r>
      <w:r w:rsidR="00425436" w:rsidRPr="00D54147">
        <w:rPr>
          <w:rStyle w:val="spellingerror"/>
          <w:rFonts w:cs="Arial"/>
          <w:sz w:val="22"/>
          <w:szCs w:val="22"/>
          <w:lang w:val="es-419"/>
        </w:rPr>
        <w:t>N°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> 5 de la sesión 55-2019 del 18 de julio de 2019</w:t>
      </w:r>
      <w:r w:rsidR="00425436">
        <w:rPr>
          <w:rFonts w:cs="Arial"/>
          <w:sz w:val="22"/>
          <w:lang w:val="es-ES_tradnl"/>
        </w:rPr>
        <w:t xml:space="preserve">, la Gerencia General remite el informe 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>DF-OF</w:t>
      </w:r>
      <w:r w:rsidR="00425436" w:rsidRPr="00BF1673">
        <w:rPr>
          <w:rStyle w:val="normaltextrun"/>
          <w:rFonts w:cs="Arial"/>
          <w:sz w:val="22"/>
          <w:szCs w:val="22"/>
          <w:lang w:val="es-419"/>
        </w:rPr>
        <w:t>-</w:t>
      </w:r>
      <w:r w:rsidR="00425436" w:rsidRPr="00BF1673">
        <w:rPr>
          <w:rStyle w:val="normaltextrun"/>
          <w:rFonts w:cs="Arial"/>
          <w:color w:val="000000" w:themeColor="text1"/>
          <w:sz w:val="22"/>
          <w:szCs w:val="22"/>
          <w:lang w:val="es-419"/>
        </w:rPr>
        <w:t>0955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>-2019 de la Dirección FOSUVI, que contiene</w:t>
      </w:r>
      <w:r w:rsidR="00425436">
        <w:rPr>
          <w:rStyle w:val="normaltextrun"/>
          <w:rFonts w:cs="Arial"/>
          <w:sz w:val="22"/>
          <w:szCs w:val="22"/>
          <w:lang w:val="es-419"/>
        </w:rPr>
        <w:t xml:space="preserve"> 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 xml:space="preserve">un análisis técnico sobre </w:t>
      </w:r>
      <w:r w:rsidR="00425436">
        <w:rPr>
          <w:rStyle w:val="normaltextrun"/>
          <w:rFonts w:cs="Arial"/>
          <w:sz w:val="22"/>
          <w:szCs w:val="22"/>
          <w:lang w:val="es-419"/>
        </w:rPr>
        <w:t>el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 xml:space="preserve"> informe del CIVCO-TEC </w:t>
      </w:r>
      <w:r w:rsidR="001A4586">
        <w:rPr>
          <w:rStyle w:val="normaltextrun"/>
          <w:rFonts w:cs="Arial"/>
          <w:sz w:val="22"/>
          <w:szCs w:val="22"/>
          <w:lang w:val="es-419"/>
        </w:rPr>
        <w:t xml:space="preserve">con respecto a los proyectos </w:t>
      </w:r>
      <w:proofErr w:type="spellStart"/>
      <w:r w:rsidR="001A4586">
        <w:rPr>
          <w:rStyle w:val="normaltextrun"/>
          <w:rFonts w:cs="Arial"/>
          <w:sz w:val="22"/>
          <w:szCs w:val="22"/>
          <w:lang w:val="es-419"/>
        </w:rPr>
        <w:t>Ivannia</w:t>
      </w:r>
      <w:proofErr w:type="spellEnd"/>
      <w:r w:rsidR="001A4586">
        <w:rPr>
          <w:rStyle w:val="normaltextrun"/>
          <w:rFonts w:cs="Arial"/>
          <w:sz w:val="22"/>
          <w:szCs w:val="22"/>
          <w:lang w:val="es-419"/>
        </w:rPr>
        <w:t xml:space="preserve"> y La Flor, </w:t>
      </w:r>
      <w:r w:rsidR="00425436" w:rsidRPr="00D54147">
        <w:rPr>
          <w:rStyle w:val="normaltextrun"/>
          <w:rFonts w:cs="Arial"/>
          <w:sz w:val="22"/>
          <w:szCs w:val="22"/>
          <w:lang w:val="es-419"/>
        </w:rPr>
        <w:t>y las recomendaciones pertinentes.</w:t>
      </w:r>
      <w:r w:rsidR="00425436">
        <w:rPr>
          <w:rStyle w:val="normaltextrun"/>
          <w:rFonts w:cs="Arial"/>
          <w:sz w:val="22"/>
          <w:szCs w:val="22"/>
          <w:lang w:val="es-419"/>
        </w:rPr>
        <w:t xml:space="preserve">  Dichos documentos se adjuntan al expediente del acta.</w:t>
      </w:r>
    </w:p>
    <w:p w14:paraId="21B328F9" w14:textId="7137A4E2" w:rsidR="00791453" w:rsidRDefault="00791453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</w:p>
    <w:p w14:paraId="7EBD566D" w14:textId="28EA9AD6" w:rsidR="00791453" w:rsidRDefault="00791453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  <w:r>
        <w:rPr>
          <w:rStyle w:val="normaltextrun"/>
          <w:rFonts w:cs="Arial"/>
          <w:sz w:val="22"/>
          <w:szCs w:val="22"/>
          <w:lang w:val="es-419"/>
        </w:rPr>
        <w:t>Para atender eventuales consultas de carácter técnico sobre el tema, se incorpora a la sesión el ingeniero Fra</w:t>
      </w:r>
      <w:r w:rsidR="00D10670">
        <w:rPr>
          <w:rStyle w:val="normaltextrun"/>
          <w:rFonts w:cs="Arial"/>
          <w:sz w:val="22"/>
          <w:szCs w:val="22"/>
          <w:lang w:val="es-419"/>
        </w:rPr>
        <w:t>nco</w:t>
      </w:r>
      <w:r>
        <w:rPr>
          <w:rStyle w:val="normaltextrun"/>
          <w:rFonts w:cs="Arial"/>
          <w:sz w:val="22"/>
          <w:szCs w:val="22"/>
          <w:lang w:val="es-419"/>
        </w:rPr>
        <w:t xml:space="preserve"> Mendoza Alfaro, funcionario del Departamento T</w:t>
      </w:r>
      <w:r w:rsidR="00D10670">
        <w:rPr>
          <w:rStyle w:val="normaltextrun"/>
          <w:rFonts w:cs="Arial"/>
          <w:sz w:val="22"/>
          <w:szCs w:val="22"/>
          <w:lang w:val="es-419"/>
        </w:rPr>
        <w:t>é</w:t>
      </w:r>
      <w:r>
        <w:rPr>
          <w:rStyle w:val="normaltextrun"/>
          <w:rFonts w:cs="Arial"/>
          <w:sz w:val="22"/>
          <w:szCs w:val="22"/>
          <w:lang w:val="es-419"/>
        </w:rPr>
        <w:t>cnico</w:t>
      </w:r>
      <w:r w:rsidR="00D10670">
        <w:rPr>
          <w:rStyle w:val="normaltextrun"/>
          <w:rFonts w:cs="Arial"/>
          <w:sz w:val="22"/>
          <w:szCs w:val="22"/>
          <w:lang w:val="es-419"/>
        </w:rPr>
        <w:t>.</w:t>
      </w:r>
    </w:p>
    <w:p w14:paraId="4B42D20B" w14:textId="5D80C2B7" w:rsidR="00D10670" w:rsidRDefault="00D10670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</w:p>
    <w:p w14:paraId="2FBAD4B4" w14:textId="21F10118" w:rsidR="00D10670" w:rsidRDefault="00D025EC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  <w:r>
        <w:rPr>
          <w:rStyle w:val="normaltextrun"/>
          <w:rFonts w:cs="Arial"/>
          <w:sz w:val="22"/>
          <w:szCs w:val="22"/>
          <w:lang w:val="es-419"/>
        </w:rPr>
        <w:t xml:space="preserve">La licenciada Camacho Murillo expone el contenido </w:t>
      </w:r>
      <w:r w:rsidR="001A4586">
        <w:rPr>
          <w:rStyle w:val="normaltextrun"/>
          <w:rFonts w:cs="Arial"/>
          <w:sz w:val="22"/>
          <w:szCs w:val="22"/>
          <w:lang w:val="es-419"/>
        </w:rPr>
        <w:t xml:space="preserve">del citado informe, concluyendo que de conformidad con las valoraciones efectuadas, se recomienda proceder a la reconstrucción de ambos proyectos de vivienda, aunque en materia de tratamiento de aguas residuales, el CIVCO-TEC no ha emitido una recomendación clara y, por consiguiente, deberán realizarse estudios adicionales para definir una opción </w:t>
      </w:r>
      <w:r w:rsidR="006247A5">
        <w:rPr>
          <w:rStyle w:val="normaltextrun"/>
          <w:rFonts w:cs="Arial"/>
          <w:sz w:val="22"/>
          <w:szCs w:val="22"/>
          <w:lang w:val="es-419"/>
        </w:rPr>
        <w:t xml:space="preserve">que sea </w:t>
      </w:r>
      <w:r w:rsidR="001A4586">
        <w:rPr>
          <w:rStyle w:val="normaltextrun"/>
          <w:rFonts w:cs="Arial"/>
          <w:sz w:val="22"/>
          <w:szCs w:val="22"/>
          <w:lang w:val="es-419"/>
        </w:rPr>
        <w:t>viable</w:t>
      </w:r>
      <w:r w:rsidR="006247A5">
        <w:rPr>
          <w:rStyle w:val="normaltextrun"/>
          <w:rFonts w:cs="Arial"/>
          <w:sz w:val="22"/>
          <w:szCs w:val="22"/>
          <w:lang w:val="es-419"/>
        </w:rPr>
        <w:t>,</w:t>
      </w:r>
      <w:r w:rsidR="001A4586">
        <w:rPr>
          <w:rStyle w:val="normaltextrun"/>
          <w:rFonts w:cs="Arial"/>
          <w:sz w:val="22"/>
          <w:szCs w:val="22"/>
          <w:lang w:val="es-419"/>
        </w:rPr>
        <w:t xml:space="preserve"> </w:t>
      </w:r>
      <w:r w:rsidR="006247A5">
        <w:rPr>
          <w:rStyle w:val="normaltextrun"/>
          <w:rFonts w:cs="Arial"/>
          <w:sz w:val="22"/>
          <w:szCs w:val="22"/>
          <w:lang w:val="es-419"/>
        </w:rPr>
        <w:t xml:space="preserve">legal, </w:t>
      </w:r>
      <w:r w:rsidR="001A4586">
        <w:rPr>
          <w:rStyle w:val="normaltextrun"/>
          <w:rFonts w:cs="Arial"/>
          <w:sz w:val="22"/>
          <w:szCs w:val="22"/>
          <w:lang w:val="es-419"/>
        </w:rPr>
        <w:t>técnica y financiera</w:t>
      </w:r>
      <w:r w:rsidR="006247A5">
        <w:rPr>
          <w:rStyle w:val="normaltextrun"/>
          <w:rFonts w:cs="Arial"/>
          <w:sz w:val="22"/>
          <w:szCs w:val="22"/>
          <w:lang w:val="es-419"/>
        </w:rPr>
        <w:t>mente.</w:t>
      </w:r>
    </w:p>
    <w:p w14:paraId="3A4B9DC1" w14:textId="77777777" w:rsidR="001A4586" w:rsidRDefault="001A4586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</w:p>
    <w:p w14:paraId="3277B805" w14:textId="073ECE41" w:rsidR="001A4586" w:rsidRDefault="001A4586" w:rsidP="001A4586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</w:t>
      </w:r>
      <w:r w:rsidR="006247A5">
        <w:rPr>
          <w:rFonts w:cs="Arial"/>
          <w:sz w:val="22"/>
          <w:u w:val="single"/>
          <w:lang w:val="es-ES_tradnl"/>
        </w:rPr>
        <w:t>22</w:t>
      </w:r>
      <w:r w:rsidRPr="00A25DB7">
        <w:rPr>
          <w:rFonts w:cs="Arial"/>
          <w:sz w:val="22"/>
          <w:u w:val="single"/>
          <w:lang w:val="es-ES_tradnl"/>
        </w:rPr>
        <w:t>:</w:t>
      </w:r>
      <w:r w:rsidR="006247A5">
        <w:rPr>
          <w:rFonts w:cs="Arial"/>
          <w:sz w:val="22"/>
          <w:u w:val="single"/>
          <w:lang w:val="es-ES_tradnl"/>
        </w:rPr>
        <w:t>3</w:t>
      </w:r>
      <w:r>
        <w:rPr>
          <w:rFonts w:cs="Arial"/>
          <w:sz w:val="22"/>
          <w:u w:val="single"/>
          <w:lang w:val="es-ES_tradnl"/>
        </w:rPr>
        <w:t>0</w:t>
      </w:r>
      <w:r>
        <w:rPr>
          <w:rFonts w:cs="Arial"/>
          <w:sz w:val="22"/>
          <w:lang w:val="es-ES_tradnl"/>
        </w:rPr>
        <w:t xml:space="preserve"> </w:t>
      </w:r>
      <w:r w:rsidR="006247A5">
        <w:rPr>
          <w:rFonts w:cs="Arial"/>
          <w:sz w:val="22"/>
          <w:lang w:val="es-ES_tradnl"/>
        </w:rPr>
        <w:t>Los señores Directores proceden a analizar la información suministrada por la Administración, así como las recomendaciones de la Dirección FOSUVI.</w:t>
      </w:r>
    </w:p>
    <w:p w14:paraId="74E0DBD6" w14:textId="715E945B" w:rsidR="001A4586" w:rsidRDefault="001A4586" w:rsidP="00425436">
      <w:pPr>
        <w:spacing w:line="360" w:lineRule="auto"/>
        <w:jc w:val="both"/>
        <w:rPr>
          <w:rStyle w:val="normaltextrun"/>
          <w:rFonts w:cs="Arial"/>
          <w:sz w:val="22"/>
          <w:szCs w:val="22"/>
          <w:lang w:val="es-419"/>
        </w:rPr>
      </w:pPr>
    </w:p>
    <w:p w14:paraId="2C6069DE" w14:textId="29607648" w:rsidR="00CB0B1C" w:rsidRPr="00CB0B1C" w:rsidRDefault="006247A5" w:rsidP="00425436">
      <w:pPr>
        <w:spacing w:line="360" w:lineRule="auto"/>
        <w:jc w:val="both"/>
        <w:rPr>
          <w:rStyle w:val="normaltextrun"/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153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30</w:t>
      </w:r>
      <w:r>
        <w:rPr>
          <w:rFonts w:cs="Arial"/>
          <w:sz w:val="22"/>
          <w:lang w:val="es-ES_tradnl"/>
        </w:rPr>
        <w:t xml:space="preserve"> De conformidad con </w:t>
      </w:r>
      <w:r w:rsidR="00CB0B1C">
        <w:rPr>
          <w:rFonts w:cs="Arial"/>
          <w:sz w:val="22"/>
          <w:lang w:val="es-ES_tradnl"/>
        </w:rPr>
        <w:t xml:space="preserve">las consideraciones y observaciones que se realizan en torno a los antecedentes del tema y al informe presentado, la Junta Directiva toma el </w:t>
      </w:r>
      <w:r w:rsidR="00CB0B1C" w:rsidRPr="00CB0B1C">
        <w:rPr>
          <w:rFonts w:cs="Arial"/>
          <w:b/>
          <w:bCs/>
          <w:sz w:val="22"/>
          <w:lang w:val="es-ES_tradnl"/>
        </w:rPr>
        <w:lastRenderedPageBreak/>
        <w:t xml:space="preserve">Acuerdo N° </w:t>
      </w:r>
      <w:r w:rsidR="00CB0B1C">
        <w:rPr>
          <w:rFonts w:cs="Arial"/>
          <w:b/>
          <w:bCs/>
          <w:sz w:val="22"/>
          <w:lang w:val="es-ES_tradnl"/>
        </w:rPr>
        <w:t>2</w:t>
      </w:r>
      <w:r w:rsidR="00CB0B1C">
        <w:rPr>
          <w:rFonts w:cs="Arial"/>
          <w:sz w:val="22"/>
          <w:lang w:val="es-ES_tradnl"/>
        </w:rPr>
        <w:t xml:space="preserve"> que se anexa a esta minuta.  Acto seguido, se retira de la sesión el ingeniero Mendoza Alfaro.</w:t>
      </w:r>
    </w:p>
    <w:p w14:paraId="3C1F8FAB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1D76911" w14:textId="77777777" w:rsidR="00C27EF8" w:rsidRDefault="00C27EF8" w:rsidP="00C27EF8">
      <w:pPr>
        <w:spacing w:line="360" w:lineRule="auto"/>
        <w:jc w:val="both"/>
        <w:rPr>
          <w:rFonts w:cs="Arial"/>
          <w:b/>
          <w:sz w:val="22"/>
          <w:szCs w:val="22"/>
          <w:u w:val="single"/>
          <w:lang w:val="es-ES_tradnl"/>
        </w:rPr>
      </w:pPr>
    </w:p>
    <w:p w14:paraId="5FE671C3" w14:textId="4FD0D2A1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5° </w:t>
      </w:r>
      <w:r w:rsidR="003470D8" w:rsidRPr="003470D8">
        <w:rPr>
          <w:rFonts w:cs="Arial"/>
          <w:b/>
          <w:bCs/>
          <w:sz w:val="22"/>
          <w:szCs w:val="22"/>
          <w:u w:val="single"/>
          <w:lang w:val="es-ES_tradnl"/>
        </w:rPr>
        <w:t>Informe sobre la revisión de la exigencia de garantías, a los constructores en casos individuales de bono ordinario</w:t>
      </w:r>
    </w:p>
    <w:p w14:paraId="26A735B6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7C441DC" w14:textId="251E3C8E" w:rsidR="00C27EF8" w:rsidRDefault="00C27EF8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 w:rsidR="00CB0B1C">
        <w:rPr>
          <w:rFonts w:cs="Arial"/>
          <w:sz w:val="22"/>
          <w:u w:val="single"/>
          <w:lang w:val="es-ES_tradnl"/>
        </w:rPr>
        <w:t>160</w:t>
      </w:r>
      <w:r w:rsidRPr="0039311E">
        <w:rPr>
          <w:rFonts w:cs="Arial"/>
          <w:sz w:val="22"/>
          <w:u w:val="single"/>
          <w:lang w:val="es-ES_tradnl"/>
        </w:rPr>
        <w:t>:</w:t>
      </w:r>
      <w:r w:rsidR="00CB0B1C">
        <w:rPr>
          <w:rFonts w:cs="Arial"/>
          <w:sz w:val="22"/>
          <w:u w:val="single"/>
          <w:lang w:val="es-ES_tradnl"/>
        </w:rPr>
        <w:t>15</w:t>
      </w:r>
      <w:r>
        <w:rPr>
          <w:rFonts w:cs="Arial"/>
          <w:sz w:val="22"/>
          <w:lang w:val="es-ES_tradnl"/>
        </w:rPr>
        <w:t xml:space="preserve"> Se conoce el oficio </w:t>
      </w:r>
      <w:r w:rsidR="008D00A0" w:rsidRPr="00407F41">
        <w:rPr>
          <w:rFonts w:cs="Arial"/>
          <w:sz w:val="22"/>
          <w:lang w:val="es-ES_tradnl"/>
        </w:rPr>
        <w:t>GG-ME-</w:t>
      </w:r>
      <w:r w:rsidR="00407F41" w:rsidRPr="00407F41">
        <w:rPr>
          <w:rFonts w:cs="Arial"/>
          <w:sz w:val="22"/>
          <w:lang w:val="es-ES_tradnl"/>
        </w:rPr>
        <w:t>884</w:t>
      </w:r>
      <w:r w:rsidR="008D00A0" w:rsidRPr="00407F41">
        <w:rPr>
          <w:rFonts w:cs="Arial"/>
          <w:sz w:val="22"/>
          <w:lang w:val="es-ES_tradnl"/>
        </w:rPr>
        <w:t>-2019</w:t>
      </w:r>
      <w:r w:rsidR="008D00A0">
        <w:rPr>
          <w:rFonts w:cs="Arial"/>
          <w:sz w:val="22"/>
          <w:lang w:val="es-ES_tradnl"/>
        </w:rPr>
        <w:t xml:space="preserve"> del </w:t>
      </w:r>
      <w:r w:rsidR="00407F41">
        <w:rPr>
          <w:rFonts w:cs="Arial"/>
          <w:sz w:val="22"/>
          <w:lang w:val="es-ES_tradnl"/>
        </w:rPr>
        <w:t>21</w:t>
      </w:r>
      <w:r w:rsidR="008D00A0">
        <w:rPr>
          <w:rFonts w:cs="Arial"/>
          <w:sz w:val="22"/>
          <w:lang w:val="es-ES_tradnl"/>
        </w:rPr>
        <w:t xml:space="preserve"> de agosto de 2019, mediante el cual, atendiendo lo dispuesto en el acuerdo </w:t>
      </w:r>
      <w:r w:rsidR="008D00A0" w:rsidRPr="00D54147">
        <w:rPr>
          <w:rStyle w:val="spellingerror"/>
          <w:rFonts w:cs="Arial"/>
          <w:sz w:val="22"/>
          <w:szCs w:val="22"/>
          <w:lang w:val="es-419"/>
        </w:rPr>
        <w:t>N°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> </w:t>
      </w:r>
      <w:r w:rsidR="00407F41">
        <w:rPr>
          <w:rStyle w:val="normaltextrun"/>
          <w:rFonts w:cs="Arial"/>
          <w:sz w:val="22"/>
          <w:szCs w:val="22"/>
          <w:lang w:val="es-419"/>
        </w:rPr>
        <w:t>11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 xml:space="preserve"> de la sesión </w:t>
      </w:r>
      <w:r w:rsidR="00407F41">
        <w:rPr>
          <w:rStyle w:val="normaltextrun"/>
          <w:rFonts w:cs="Arial"/>
          <w:sz w:val="22"/>
          <w:szCs w:val="22"/>
          <w:lang w:val="es-419"/>
        </w:rPr>
        <w:t>28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 xml:space="preserve">-2019 del </w:t>
      </w:r>
      <w:r w:rsidR="00407F41">
        <w:rPr>
          <w:rStyle w:val="normaltextrun"/>
          <w:rFonts w:cs="Arial"/>
          <w:sz w:val="22"/>
          <w:szCs w:val="22"/>
          <w:lang w:val="es-419"/>
        </w:rPr>
        <w:t>08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 xml:space="preserve"> de </w:t>
      </w:r>
      <w:r w:rsidR="00407F41">
        <w:rPr>
          <w:rStyle w:val="normaltextrun"/>
          <w:rFonts w:cs="Arial"/>
          <w:sz w:val="22"/>
          <w:szCs w:val="22"/>
          <w:lang w:val="es-419"/>
        </w:rPr>
        <w:t>abril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 xml:space="preserve"> de 2019</w:t>
      </w:r>
      <w:r w:rsidR="008D00A0">
        <w:rPr>
          <w:rFonts w:cs="Arial"/>
          <w:sz w:val="22"/>
          <w:lang w:val="es-ES_tradnl"/>
        </w:rPr>
        <w:t xml:space="preserve">, la Gerencia General remite el informe 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>DF-OF</w:t>
      </w:r>
      <w:r w:rsidR="008D00A0" w:rsidRPr="00BF1673">
        <w:rPr>
          <w:rStyle w:val="normaltextrun"/>
          <w:rFonts w:cs="Arial"/>
          <w:sz w:val="22"/>
          <w:szCs w:val="22"/>
          <w:lang w:val="es-419"/>
        </w:rPr>
        <w:t>-</w:t>
      </w:r>
      <w:r w:rsidR="008D00A0" w:rsidRPr="00BF1673">
        <w:rPr>
          <w:rStyle w:val="normaltextrun"/>
          <w:rFonts w:cs="Arial"/>
          <w:color w:val="000000" w:themeColor="text1"/>
          <w:sz w:val="22"/>
          <w:szCs w:val="22"/>
          <w:lang w:val="es-419"/>
        </w:rPr>
        <w:t>0</w:t>
      </w:r>
      <w:r w:rsidR="00B53E59">
        <w:rPr>
          <w:rStyle w:val="normaltextrun"/>
          <w:rFonts w:cs="Arial"/>
          <w:color w:val="000000" w:themeColor="text1"/>
          <w:sz w:val="22"/>
          <w:szCs w:val="22"/>
          <w:lang w:val="es-419"/>
        </w:rPr>
        <w:t>954</w:t>
      </w:r>
      <w:r w:rsidR="008D00A0" w:rsidRPr="00D54147">
        <w:rPr>
          <w:rStyle w:val="normaltextrun"/>
          <w:rFonts w:cs="Arial"/>
          <w:sz w:val="22"/>
          <w:szCs w:val="22"/>
          <w:lang w:val="es-419"/>
        </w:rPr>
        <w:t>-2019 de la Dirección FOSUVI, que contiene</w:t>
      </w:r>
      <w:r w:rsidR="008D00A0">
        <w:rPr>
          <w:rStyle w:val="normaltextrun"/>
          <w:rFonts w:cs="Arial"/>
          <w:sz w:val="22"/>
          <w:szCs w:val="22"/>
          <w:lang w:val="es-419"/>
        </w:rPr>
        <w:t xml:space="preserve"> los resultados del estudio efectuado a la</w:t>
      </w:r>
      <w:r w:rsidR="008D00A0" w:rsidRPr="008D00A0">
        <w:rPr>
          <w:rStyle w:val="normaltextrun"/>
          <w:rFonts w:cs="Arial"/>
          <w:sz w:val="22"/>
          <w:szCs w:val="22"/>
          <w:lang w:val="es-419"/>
        </w:rPr>
        <w:t xml:space="preserve"> </w:t>
      </w:r>
      <w:r w:rsidR="008D00A0" w:rsidRPr="008D00A0">
        <w:rPr>
          <w:rFonts w:cs="Arial"/>
          <w:sz w:val="22"/>
          <w:szCs w:val="22"/>
          <w:lang w:val="es-ES_tradnl"/>
        </w:rPr>
        <w:t>exigencia de garantías, a los constructores en casos individuales de bono ordinario</w:t>
      </w:r>
      <w:r w:rsidR="008D00A0">
        <w:rPr>
          <w:rFonts w:cs="Arial"/>
          <w:sz w:val="22"/>
          <w:szCs w:val="22"/>
          <w:lang w:val="es-ES_tradnl"/>
        </w:rPr>
        <w:t xml:space="preserve">. </w:t>
      </w:r>
      <w:r w:rsidR="008D00A0">
        <w:rPr>
          <w:rStyle w:val="normaltextrun"/>
          <w:rFonts w:cs="Arial"/>
          <w:sz w:val="22"/>
          <w:szCs w:val="22"/>
          <w:lang w:val="es-419"/>
        </w:rPr>
        <w:t xml:space="preserve"> Dichos documentos se adjuntan al expediente del acta.</w:t>
      </w:r>
    </w:p>
    <w:p w14:paraId="3F1F7E59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363EE5B0" w14:textId="02A5EEAA" w:rsidR="00C27EF8" w:rsidRDefault="008D00A0" w:rsidP="00C27EF8">
      <w:pPr>
        <w:spacing w:line="360" w:lineRule="auto"/>
        <w:jc w:val="both"/>
        <w:rPr>
          <w:rFonts w:cs="Arial"/>
          <w:sz w:val="22"/>
          <w:lang w:val="es-ES_tradnl"/>
        </w:rPr>
      </w:pPr>
      <w:r w:rsidRPr="008D00A0">
        <w:rPr>
          <w:rFonts w:cs="Arial"/>
          <w:sz w:val="22"/>
          <w:lang w:val="es-ES_tradnl"/>
        </w:rPr>
        <w:t xml:space="preserve">La licenciada </w:t>
      </w:r>
      <w:r>
        <w:rPr>
          <w:rFonts w:cs="Arial"/>
          <w:sz w:val="22"/>
          <w:lang w:val="es-ES_tradnl"/>
        </w:rPr>
        <w:t>C</w:t>
      </w:r>
      <w:r w:rsidRPr="008D00A0">
        <w:rPr>
          <w:rFonts w:cs="Arial"/>
          <w:sz w:val="22"/>
          <w:lang w:val="es-ES_tradnl"/>
        </w:rPr>
        <w:t xml:space="preserve">amacho Murillo </w:t>
      </w:r>
      <w:r>
        <w:rPr>
          <w:rFonts w:cs="Arial"/>
          <w:sz w:val="22"/>
          <w:lang w:val="es-ES_tradnl"/>
        </w:rPr>
        <w:t xml:space="preserve">expone los antecedentes y los alcances del citado informe, </w:t>
      </w:r>
      <w:r w:rsidR="00CE6E63">
        <w:rPr>
          <w:rFonts w:cs="Arial"/>
          <w:sz w:val="22"/>
          <w:lang w:val="es-ES_tradnl"/>
        </w:rPr>
        <w:t>concluyendo que de conformidad con los estudios técnicos y jurídicos realizados sobre el tema, recomienda que</w:t>
      </w:r>
      <w:r w:rsidR="00B53E59">
        <w:rPr>
          <w:rFonts w:cs="Arial"/>
          <w:sz w:val="22"/>
          <w:lang w:val="es-ES_tradnl"/>
        </w:rPr>
        <w:t xml:space="preserve"> hasta tanto no se realice la revisión requerida en las disposiciones de la Contraloría General de la República, en relación a la participación de terceros ajenos a las familias en el trámite de bonos (empresas y personas individuales), no se emita ninguna regulación en el tema de las garantías que algunas entidades autorizadas exigen a las empresas, lo anterior en vista de que a la fecha la participación de las empresas es un acto privado entre las familias y estas, y ese acto no ha sido regulado en el reglamentación del BANHVI.</w:t>
      </w:r>
    </w:p>
    <w:p w14:paraId="3A2C608C" w14:textId="572DA81F" w:rsidR="00B53E59" w:rsidRDefault="00B53E59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1D4E99E6" w14:textId="77777777" w:rsidR="00CE6E63" w:rsidRPr="008D00A0" w:rsidRDefault="00CE6E63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0096B710" w14:textId="4D632278" w:rsidR="00446A20" w:rsidRDefault="00446A20" w:rsidP="00446A20">
      <w:pPr>
        <w:spacing w:line="360" w:lineRule="auto"/>
        <w:jc w:val="both"/>
        <w:rPr>
          <w:rFonts w:cs="Arial"/>
          <w:sz w:val="22"/>
          <w:lang w:val="es-ES_tradnl"/>
        </w:rPr>
      </w:pPr>
      <w:r w:rsidRPr="00A25DB7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179</w:t>
      </w:r>
      <w:r w:rsidRPr="00A25DB7">
        <w:rPr>
          <w:rFonts w:cs="Arial"/>
          <w:sz w:val="22"/>
          <w:u w:val="single"/>
          <w:lang w:val="es-ES_tradnl"/>
        </w:rPr>
        <w:t>:</w:t>
      </w:r>
      <w:r>
        <w:rPr>
          <w:rFonts w:cs="Arial"/>
          <w:sz w:val="22"/>
          <w:u w:val="single"/>
          <w:lang w:val="es-ES_tradnl"/>
        </w:rPr>
        <w:t>20</w:t>
      </w:r>
      <w:r>
        <w:rPr>
          <w:rFonts w:cs="Arial"/>
          <w:sz w:val="22"/>
          <w:lang w:val="es-ES_tradnl"/>
        </w:rPr>
        <w:t xml:space="preserve"> Los señores Directores proceden a analizar la información suministrada por la Administración, y finalmente (minuto 187:45) resuelven actuar de la forma que recomienda la Dirección FOSUVI</w:t>
      </w:r>
      <w:r w:rsidR="00EF72F1">
        <w:rPr>
          <w:rFonts w:cs="Arial"/>
          <w:sz w:val="22"/>
          <w:lang w:val="es-ES_tradnl"/>
        </w:rPr>
        <w:t>, con los ajustes que se han estimado pertinentes</w:t>
      </w:r>
      <w:r>
        <w:rPr>
          <w:rFonts w:cs="Arial"/>
          <w:sz w:val="22"/>
          <w:lang w:val="es-ES_tradnl"/>
        </w:rPr>
        <w:t xml:space="preserve">.  Lo anterior, según se consigna en el </w:t>
      </w:r>
      <w:r w:rsidRPr="00EF72F1">
        <w:rPr>
          <w:rFonts w:cs="Arial"/>
          <w:b/>
          <w:bCs/>
          <w:sz w:val="22"/>
          <w:lang w:val="es-ES_tradnl"/>
        </w:rPr>
        <w:t>Acuerdo N° 3</w:t>
      </w:r>
      <w:r>
        <w:rPr>
          <w:rFonts w:cs="Arial"/>
          <w:sz w:val="22"/>
          <w:lang w:val="es-ES_tradnl"/>
        </w:rPr>
        <w:t xml:space="preserve"> que se anexa a esta minuta.  Acto seguido, se retira de la sesión la licenciada Camacho Murillo.</w:t>
      </w:r>
    </w:p>
    <w:p w14:paraId="1874AC53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4F03B090" w14:textId="77777777" w:rsidR="00C27EF8" w:rsidRDefault="00C27EF8" w:rsidP="00C27EF8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5B9957EE" w14:textId="5A30231F" w:rsidR="00C27EF8" w:rsidRPr="00AD4F06" w:rsidRDefault="00C27EF8" w:rsidP="00C27EF8">
      <w:pPr>
        <w:spacing w:line="360" w:lineRule="auto"/>
        <w:jc w:val="both"/>
        <w:outlineLvl w:val="0"/>
        <w:rPr>
          <w:rFonts w:cs="Arial"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 xml:space="preserve">6° </w:t>
      </w:r>
      <w:r w:rsidR="003470D8" w:rsidRPr="0033787E">
        <w:rPr>
          <w:rFonts w:cs="Arial"/>
          <w:b/>
          <w:bCs/>
          <w:sz w:val="22"/>
          <w:szCs w:val="22"/>
          <w:u w:val="single"/>
          <w:lang w:val="es-ES_tradnl"/>
        </w:rPr>
        <w:t>Presentación de los resultados del análisis de requisitos de los candidatos al puesto de Gerente General</w:t>
      </w:r>
    </w:p>
    <w:p w14:paraId="24CF3A93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45507BB9" w14:textId="4A1AFD28" w:rsidR="00CE6E63" w:rsidRDefault="00CE6E63" w:rsidP="00CE6E63">
      <w:pPr>
        <w:spacing w:line="360" w:lineRule="auto"/>
        <w:jc w:val="both"/>
        <w:rPr>
          <w:sz w:val="22"/>
          <w:szCs w:val="22"/>
        </w:rPr>
      </w:pPr>
      <w:r w:rsidRPr="0039311E">
        <w:rPr>
          <w:rFonts w:cs="Arial"/>
          <w:sz w:val="22"/>
          <w:u w:val="single"/>
          <w:lang w:val="es-ES_tradnl"/>
        </w:rPr>
        <w:t xml:space="preserve">Minuto </w:t>
      </w:r>
      <w:r>
        <w:rPr>
          <w:rFonts w:cs="Arial"/>
          <w:sz w:val="22"/>
          <w:u w:val="single"/>
          <w:lang w:val="es-ES_tradnl"/>
        </w:rPr>
        <w:t>2</w:t>
      </w:r>
      <w:r w:rsidR="00F21455">
        <w:rPr>
          <w:rFonts w:cs="Arial"/>
          <w:sz w:val="22"/>
          <w:u w:val="single"/>
          <w:lang w:val="es-ES_tradnl"/>
        </w:rPr>
        <w:t>10</w:t>
      </w:r>
      <w:r>
        <w:rPr>
          <w:rFonts w:cs="Arial"/>
          <w:sz w:val="22"/>
          <w:u w:val="single"/>
          <w:lang w:val="es-ES_tradnl"/>
        </w:rPr>
        <w:t>:10</w:t>
      </w:r>
      <w:r>
        <w:rPr>
          <w:rFonts w:cs="Arial"/>
          <w:sz w:val="22"/>
          <w:lang w:val="es-ES_tradnl"/>
        </w:rPr>
        <w:t xml:space="preserve"> Por </w:t>
      </w:r>
      <w:r>
        <w:rPr>
          <w:rFonts w:cs="Arial"/>
          <w:sz w:val="22"/>
          <w:szCs w:val="22"/>
        </w:rPr>
        <w:t xml:space="preserve">razón de la materia </w:t>
      </w:r>
      <w:r>
        <w:rPr>
          <w:rFonts w:cs="Arial"/>
          <w:color w:val="000000"/>
          <w:sz w:val="22"/>
          <w:szCs w:val="22"/>
        </w:rPr>
        <w:t xml:space="preserve">y al amparo del artículo 25 de la Ley del </w:t>
      </w:r>
      <w:r w:rsidRPr="00EF5705">
        <w:rPr>
          <w:rFonts w:cs="Arial"/>
          <w:color w:val="000000"/>
          <w:sz w:val="22"/>
          <w:szCs w:val="22"/>
        </w:rPr>
        <w:t>Sistema Financiero Nacional para la Vivienda</w:t>
      </w:r>
      <w:r>
        <w:rPr>
          <w:rFonts w:cs="Arial"/>
          <w:color w:val="000000"/>
          <w:sz w:val="22"/>
          <w:szCs w:val="22"/>
        </w:rPr>
        <w:t xml:space="preserve">, la </w:t>
      </w:r>
      <w:r w:rsidRPr="00EF5705">
        <w:rPr>
          <w:rFonts w:cs="Arial"/>
          <w:color w:val="000000"/>
          <w:sz w:val="22"/>
          <w:szCs w:val="22"/>
        </w:rPr>
        <w:t>Junta Directiva</w:t>
      </w:r>
      <w:r>
        <w:rPr>
          <w:rFonts w:cs="Arial"/>
          <w:color w:val="000000"/>
          <w:sz w:val="22"/>
          <w:szCs w:val="22"/>
        </w:rPr>
        <w:t xml:space="preserve"> sesiona únicamente con sus miembros</w:t>
      </w:r>
      <w:r>
        <w:rPr>
          <w:sz w:val="22"/>
          <w:szCs w:val="22"/>
        </w:rPr>
        <w:t xml:space="preserve">; </w:t>
      </w:r>
      <w:r>
        <w:rPr>
          <w:rFonts w:cs="Arial"/>
          <w:color w:val="000000"/>
          <w:sz w:val="22"/>
          <w:szCs w:val="22"/>
        </w:rPr>
        <w:t xml:space="preserve">y por lo tanto se retiran de la sesión los funcionarios </w:t>
      </w:r>
      <w:r>
        <w:rPr>
          <w:rFonts w:cs="Arial"/>
          <w:sz w:val="22"/>
        </w:rPr>
        <w:t>Castro Miranda, Flores Oviedo,</w:t>
      </w:r>
      <w:r>
        <w:rPr>
          <w:bCs/>
          <w:sz w:val="22"/>
        </w:rPr>
        <w:t xml:space="preserve"> </w:t>
      </w:r>
      <w:r w:rsidR="009756BB">
        <w:rPr>
          <w:bCs/>
          <w:sz w:val="22"/>
        </w:rPr>
        <w:t>Masis Calderón</w:t>
      </w:r>
      <w:r>
        <w:rPr>
          <w:bCs/>
          <w:sz w:val="22"/>
          <w:szCs w:val="22"/>
        </w:rPr>
        <w:t xml:space="preserve">, </w:t>
      </w:r>
      <w:r>
        <w:rPr>
          <w:rFonts w:cs="Arial"/>
          <w:sz w:val="22"/>
        </w:rPr>
        <w:t xml:space="preserve">y </w:t>
      </w:r>
      <w:r w:rsidR="009756BB">
        <w:rPr>
          <w:rFonts w:cs="Arial"/>
          <w:sz w:val="22"/>
        </w:rPr>
        <w:t>Artavia Luna</w:t>
      </w:r>
      <w:r>
        <w:rPr>
          <w:rFonts w:cs="Arial"/>
          <w:sz w:val="22"/>
        </w:rPr>
        <w:t>;</w:t>
      </w:r>
      <w:r>
        <w:rPr>
          <w:sz w:val="22"/>
          <w:szCs w:val="22"/>
        </w:rPr>
        <w:t xml:space="preserve"> suspendiéndose por consiguiente la grabación de la sesión.</w:t>
      </w:r>
    </w:p>
    <w:p w14:paraId="086ECBA4" w14:textId="788FFF54" w:rsidR="00F21455" w:rsidRDefault="00F21455" w:rsidP="00CE6E63">
      <w:pPr>
        <w:spacing w:line="360" w:lineRule="auto"/>
        <w:jc w:val="both"/>
        <w:rPr>
          <w:sz w:val="22"/>
          <w:szCs w:val="22"/>
        </w:rPr>
      </w:pPr>
    </w:p>
    <w:p w14:paraId="47433E37" w14:textId="09842BF0" w:rsidR="00F21455" w:rsidRDefault="00F21455" w:rsidP="00CE6E6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Una vez discutido el tema, la Junta Directiva toma los acuerdos N°4 y N°5 que se anexan a esta minuta.</w:t>
      </w:r>
    </w:p>
    <w:p w14:paraId="32DE7A77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1C0CE9B2" w14:textId="77777777" w:rsidR="00C27EF8" w:rsidRDefault="00C27EF8" w:rsidP="00C27EF8">
      <w:pPr>
        <w:spacing w:line="360" w:lineRule="auto"/>
        <w:jc w:val="both"/>
        <w:rPr>
          <w:rFonts w:cs="Arial"/>
          <w:b/>
          <w:bCs/>
          <w:sz w:val="22"/>
          <w:szCs w:val="22"/>
          <w:u w:val="single"/>
          <w:lang w:val="es-ES_tradnl"/>
        </w:rPr>
      </w:pPr>
    </w:p>
    <w:p w14:paraId="499E99A8" w14:textId="4B56D4A9" w:rsidR="00F21614" w:rsidRDefault="00F21455" w:rsidP="00C27EF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F21614" w:rsidRPr="00F21614">
        <w:rPr>
          <w:rFonts w:cs="Arial"/>
          <w:sz w:val="22"/>
          <w:szCs w:val="22"/>
        </w:rPr>
        <w:t>iendo las veint</w:t>
      </w:r>
      <w:r>
        <w:rPr>
          <w:rFonts w:cs="Arial"/>
          <w:sz w:val="22"/>
          <w:szCs w:val="22"/>
        </w:rPr>
        <w:t>iuna</w:t>
      </w:r>
      <w:r w:rsidR="00F21614">
        <w:rPr>
          <w:rFonts w:cs="Arial"/>
          <w:sz w:val="22"/>
          <w:szCs w:val="22"/>
        </w:rPr>
        <w:t xml:space="preserve"> </w:t>
      </w:r>
      <w:r w:rsidR="00F21614" w:rsidRPr="00F21614">
        <w:rPr>
          <w:rFonts w:cs="Arial"/>
          <w:sz w:val="22"/>
          <w:szCs w:val="22"/>
        </w:rPr>
        <w:t xml:space="preserve">horas con </w:t>
      </w:r>
      <w:r>
        <w:rPr>
          <w:rFonts w:cs="Arial"/>
          <w:sz w:val="22"/>
          <w:szCs w:val="22"/>
        </w:rPr>
        <w:t>cuarenta y cinco</w:t>
      </w:r>
      <w:r w:rsidR="00F21614" w:rsidRPr="00F21614">
        <w:rPr>
          <w:rFonts w:cs="Arial"/>
          <w:sz w:val="22"/>
          <w:szCs w:val="22"/>
        </w:rPr>
        <w:t xml:space="preserve"> minutos, se levanta la sesión</w:t>
      </w:r>
      <w:r w:rsidR="00F21614" w:rsidRPr="00AB2826">
        <w:rPr>
          <w:rFonts w:cs="Arial"/>
          <w:szCs w:val="22"/>
        </w:rPr>
        <w:t>.</w:t>
      </w:r>
    </w:p>
    <w:p w14:paraId="08742E62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6C242A3C" w14:textId="77777777" w:rsidR="00C27EF8" w:rsidRDefault="00C27EF8" w:rsidP="00C27EF8">
      <w:pPr>
        <w:rPr>
          <w:rFonts w:cs="Arial"/>
          <w:sz w:val="22"/>
          <w:szCs w:val="22"/>
        </w:rPr>
      </w:pPr>
    </w:p>
    <w:p w14:paraId="42752852" w14:textId="77777777" w:rsidR="00C27EF8" w:rsidRDefault="00C27EF8" w:rsidP="00C27EF8">
      <w:pPr>
        <w:rPr>
          <w:rFonts w:cs="Arial"/>
          <w:sz w:val="22"/>
          <w:szCs w:val="22"/>
        </w:rPr>
      </w:pPr>
    </w:p>
    <w:p w14:paraId="2398BA9E" w14:textId="77777777" w:rsidR="00C27EF8" w:rsidRDefault="00C27EF8" w:rsidP="00C27E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53BF74C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588AE56A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6390064C" w14:textId="77777777" w:rsidR="00C27EF8" w:rsidRDefault="00C27EF8" w:rsidP="00C27EF8">
      <w:pPr>
        <w:pStyle w:val="Ttulo"/>
        <w:ind w:right="51"/>
        <w:rPr>
          <w:rFonts w:cs="Arial"/>
        </w:rPr>
      </w:pPr>
      <w:r>
        <w:rPr>
          <w:rFonts w:cs="Arial"/>
        </w:rPr>
        <w:t>BANCO HIPOTECARIO DE LA VIVIENDA</w:t>
      </w:r>
    </w:p>
    <w:p w14:paraId="274E75F1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JUNTA DIRECTIVA</w:t>
      </w:r>
    </w:p>
    <w:p w14:paraId="080F5A59" w14:textId="7777777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</w:p>
    <w:p w14:paraId="5009B9DC" w14:textId="7EEF841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ACUERDOS DE LA SESION </w:t>
      </w:r>
      <w:r w:rsidR="000C3A0B">
        <w:rPr>
          <w:rFonts w:cs="Arial"/>
          <w:b/>
          <w:sz w:val="22"/>
          <w:u w:val="single"/>
        </w:rPr>
        <w:t>EXTRA</w:t>
      </w:r>
      <w:r>
        <w:rPr>
          <w:rFonts w:cs="Arial"/>
          <w:b/>
          <w:sz w:val="22"/>
          <w:u w:val="single"/>
        </w:rPr>
        <w:t xml:space="preserve">ORDINARIA N° </w:t>
      </w:r>
      <w:r w:rsidR="000C3A0B">
        <w:rPr>
          <w:rFonts w:cs="Arial"/>
          <w:b/>
          <w:sz w:val="22"/>
          <w:u w:val="single"/>
        </w:rPr>
        <w:t>64</w:t>
      </w:r>
      <w:r>
        <w:rPr>
          <w:rFonts w:cs="Arial"/>
          <w:b/>
          <w:sz w:val="22"/>
          <w:u w:val="single"/>
        </w:rPr>
        <w:t>-2019</w:t>
      </w:r>
    </w:p>
    <w:p w14:paraId="202C093C" w14:textId="073C17C7" w:rsidR="00C27EF8" w:rsidRDefault="00C27EF8" w:rsidP="00C27EF8">
      <w:pPr>
        <w:spacing w:line="360" w:lineRule="auto"/>
        <w:ind w:right="51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DEL </w:t>
      </w:r>
      <w:r w:rsidR="000C3A0B">
        <w:rPr>
          <w:rFonts w:cs="Arial"/>
          <w:b/>
          <w:sz w:val="22"/>
          <w:u w:val="single"/>
        </w:rPr>
        <w:t>22</w:t>
      </w:r>
      <w:r>
        <w:rPr>
          <w:rFonts w:cs="Arial"/>
          <w:b/>
          <w:sz w:val="22"/>
          <w:u w:val="single"/>
        </w:rPr>
        <w:t xml:space="preserve"> DE </w:t>
      </w:r>
      <w:r w:rsidR="000C3A0B">
        <w:rPr>
          <w:rFonts w:cs="Arial"/>
          <w:b/>
          <w:sz w:val="22"/>
          <w:u w:val="single"/>
        </w:rPr>
        <w:t>AGOSTO</w:t>
      </w:r>
      <w:r>
        <w:rPr>
          <w:rFonts w:cs="Arial"/>
          <w:b/>
          <w:sz w:val="22"/>
          <w:u w:val="single"/>
        </w:rPr>
        <w:t xml:space="preserve"> DE 2019</w:t>
      </w:r>
    </w:p>
    <w:p w14:paraId="546B143E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2AF4795F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7FE10C19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N°1</w:t>
      </w:r>
      <w:r w:rsidRPr="00AB2826">
        <w:rPr>
          <w:rFonts w:cs="Arial"/>
          <w:szCs w:val="22"/>
        </w:rPr>
        <w:t>:</w:t>
      </w:r>
    </w:p>
    <w:p w14:paraId="779A0C12" w14:textId="45366D7E" w:rsidR="00C27EF8" w:rsidRDefault="00407F41" w:rsidP="00C27EF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lang w:val="es-ES_tradnl"/>
        </w:rPr>
        <w:t>Instruir a la Administración, para que proceda a realizar las pruebas sobre los cambios efectuados al Sistema de Vivienda, para los efectos de implementar el “Programa de Financiamiento para Familias de Ingresos Medios”, y dentro de los próximo</w:t>
      </w:r>
      <w:r w:rsidR="009C079B">
        <w:rPr>
          <w:rFonts w:cs="Arial"/>
          <w:sz w:val="22"/>
          <w:lang w:val="es-ES_tradnl"/>
        </w:rPr>
        <w:t>s</w:t>
      </w:r>
      <w:r>
        <w:rPr>
          <w:rFonts w:cs="Arial"/>
          <w:sz w:val="22"/>
          <w:lang w:val="es-ES_tradnl"/>
        </w:rPr>
        <w:t xml:space="preserve"> dos días hábiles determine y comunique a esta Junta Directiva, si los eventuales ajustes pueden efectuarse de forma tal</w:t>
      </w:r>
      <w:r w:rsidR="009C079B">
        <w:rPr>
          <w:rFonts w:cs="Arial"/>
          <w:sz w:val="22"/>
          <w:lang w:val="es-ES_tradnl"/>
        </w:rPr>
        <w:t>,</w:t>
      </w:r>
      <w:r>
        <w:rPr>
          <w:rFonts w:cs="Arial"/>
          <w:sz w:val="22"/>
          <w:lang w:val="es-ES_tradnl"/>
        </w:rPr>
        <w:t xml:space="preserve"> que el programa se esté implementando </w:t>
      </w:r>
      <w:r w:rsidR="009C079B">
        <w:rPr>
          <w:rFonts w:cs="Arial"/>
          <w:sz w:val="22"/>
          <w:lang w:val="es-ES_tradnl"/>
        </w:rPr>
        <w:t>a partir d</w:t>
      </w:r>
      <w:r>
        <w:rPr>
          <w:rFonts w:cs="Arial"/>
          <w:sz w:val="22"/>
          <w:lang w:val="es-ES_tradnl"/>
        </w:rPr>
        <w:t>el próximo 31 de agosto.</w:t>
      </w:r>
    </w:p>
    <w:p w14:paraId="587D7626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 w:rsidRPr="00C27E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 Firme</w:t>
      </w:r>
      <w:r w:rsidRPr="00AB2826">
        <w:rPr>
          <w:rFonts w:cs="Arial"/>
          <w:szCs w:val="22"/>
        </w:rPr>
        <w:t>.-</w:t>
      </w:r>
    </w:p>
    <w:p w14:paraId="602A7FAC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970CA97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5718EC47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N°2</w:t>
      </w:r>
      <w:r w:rsidRPr="00AB2826">
        <w:rPr>
          <w:rFonts w:cs="Arial"/>
          <w:szCs w:val="22"/>
        </w:rPr>
        <w:t>:</w:t>
      </w:r>
    </w:p>
    <w:p w14:paraId="682B59CF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Considerando: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62215933" w14:textId="45CD27C2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Primero: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Que por medio del oficio GG-ME-0</w:t>
      </w:r>
      <w:r>
        <w:rPr>
          <w:rStyle w:val="normaltextrun"/>
          <w:rFonts w:ascii="Arial" w:hAnsi="Arial" w:cs="Arial"/>
          <w:sz w:val="22"/>
          <w:szCs w:val="22"/>
          <w:lang w:val="es-419"/>
        </w:rPr>
        <w:t>885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-2019 del 2</w:t>
      </w:r>
      <w:r>
        <w:rPr>
          <w:rStyle w:val="normaltextrun"/>
          <w:rFonts w:ascii="Arial" w:hAnsi="Arial" w:cs="Arial"/>
          <w:sz w:val="22"/>
          <w:szCs w:val="22"/>
          <w:lang w:val="es-419"/>
        </w:rPr>
        <w:t>1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 xml:space="preserve"> de </w:t>
      </w:r>
      <w:r>
        <w:rPr>
          <w:rStyle w:val="normaltextrun"/>
          <w:rFonts w:ascii="Arial" w:hAnsi="Arial" w:cs="Arial"/>
          <w:sz w:val="22"/>
          <w:szCs w:val="22"/>
          <w:lang w:val="es-419"/>
        </w:rPr>
        <w:t>agosto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 xml:space="preserve"> de 2019, la Gerencia General ha sometido a esta Junta Directiva, los resultados de los estudios efectuados por el Centro de Investigaciones en Vivienda y Construcción (CIVCO-TEC), en los proyectos de vivienda </w:t>
      </w:r>
      <w:proofErr w:type="spellStart"/>
      <w:r w:rsidRPr="00D54147">
        <w:rPr>
          <w:rStyle w:val="spellingerror"/>
          <w:rFonts w:ascii="Arial" w:hAnsi="Arial" w:cs="Arial"/>
          <w:sz w:val="22"/>
          <w:szCs w:val="22"/>
          <w:lang w:val="es-419"/>
        </w:rPr>
        <w:t>Ivannia</w:t>
      </w:r>
      <w:proofErr w:type="spellEnd"/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y La Flor.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3467F529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1334F47F" w14:textId="67055CE3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Segundo: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Que atendiendo lo dispuesto por este Órgano Colegiado en el acuerdo </w:t>
      </w:r>
      <w:r w:rsidRPr="00D54147">
        <w:rPr>
          <w:rStyle w:val="spellingerror"/>
          <w:rFonts w:ascii="Arial" w:hAnsi="Arial" w:cs="Arial"/>
          <w:sz w:val="22"/>
          <w:szCs w:val="22"/>
          <w:lang w:val="es-419"/>
        </w:rPr>
        <w:t>N°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5 de la sesión 55-2019 del 18 de julio de 2019, la Gerencia General remite y avala el informe DF-OF</w:t>
      </w:r>
      <w:r w:rsidRPr="00BF1673">
        <w:rPr>
          <w:rStyle w:val="normaltextrun"/>
          <w:rFonts w:ascii="Arial" w:hAnsi="Arial" w:cs="Arial"/>
          <w:sz w:val="22"/>
          <w:szCs w:val="22"/>
          <w:lang w:val="es-419"/>
        </w:rPr>
        <w:t>-</w:t>
      </w:r>
      <w:r w:rsidRPr="00BF1673">
        <w:rPr>
          <w:rStyle w:val="normaltextrun"/>
          <w:rFonts w:ascii="Arial" w:hAnsi="Arial" w:cs="Arial"/>
          <w:color w:val="000000" w:themeColor="text1"/>
          <w:sz w:val="22"/>
          <w:szCs w:val="22"/>
          <w:lang w:val="es-419"/>
        </w:rPr>
        <w:t>0955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-2019 de la Dirección FOSUVI, que contiene un análisis técnico sobre dicho informe del CIVCO-TEC y las recomendaciones pertinentes.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7194745D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2D987AA4" w14:textId="5E68C9E9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Cuarto: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 xml:space="preserve"> Que </w:t>
      </w:r>
      <w:r w:rsidR="00584C4A">
        <w:rPr>
          <w:rStyle w:val="normaltextrun"/>
          <w:rFonts w:ascii="Arial" w:hAnsi="Arial" w:cs="Arial"/>
          <w:sz w:val="22"/>
          <w:szCs w:val="22"/>
          <w:lang w:val="es-419"/>
        </w:rPr>
        <w:t xml:space="preserve">conocido y suficientemente discutido el referido informe, 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 xml:space="preserve">esta Junta Directiva estima pertinente </w:t>
      </w:r>
      <w:r w:rsidR="00584C4A">
        <w:rPr>
          <w:rStyle w:val="normaltextrun"/>
          <w:rFonts w:ascii="Arial" w:hAnsi="Arial" w:cs="Arial"/>
          <w:sz w:val="22"/>
          <w:szCs w:val="22"/>
          <w:lang w:val="es-419"/>
        </w:rPr>
        <w:t>emitir una serie de disposiciones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 xml:space="preserve">, en procura de resolver, lo antes posible, las deficiencias constructivas que han sido identificadas en ambos proyectos de 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lastRenderedPageBreak/>
        <w:t xml:space="preserve">vivienda y, de esta forma, mejorar las condiciones de vida de las familias que los habitan; gestionando además, las acciones que jurídicamente correspondan, para garantizar la debida y oportuna recuperación de los recursos públicos, que no hayan sido </w:t>
      </w:r>
      <w:r w:rsidR="00584C4A">
        <w:rPr>
          <w:rStyle w:val="normaltextrun"/>
          <w:rFonts w:ascii="Arial" w:hAnsi="Arial" w:cs="Arial"/>
          <w:sz w:val="22"/>
          <w:szCs w:val="22"/>
          <w:lang w:val="es-419"/>
        </w:rPr>
        <w:t xml:space="preserve">correctamente 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utilizados en dichos proyectos habitacionales.</w:t>
      </w:r>
    </w:p>
    <w:p w14:paraId="4DA5B0BB" w14:textId="77777777" w:rsidR="00D54147" w:rsidRPr="00D54147" w:rsidRDefault="00D54147" w:rsidP="00D5414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6879D6E3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Por tanto, se acuerda: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2535C451" w14:textId="6946C951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1)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Instruir a la Administración, para que de conformidad con lo dispuesto en el acuerdo </w:t>
      </w:r>
      <w:r w:rsidRPr="00D54147">
        <w:rPr>
          <w:rStyle w:val="spellingerror"/>
          <w:rFonts w:ascii="Arial" w:hAnsi="Arial" w:cs="Arial"/>
          <w:sz w:val="22"/>
          <w:szCs w:val="22"/>
          <w:lang w:val="es-419"/>
        </w:rPr>
        <w:t>N°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20 de la sesión 06-2018 del </w:t>
      </w:r>
      <w:r w:rsidR="00F053E3" w:rsidRPr="00F053E3">
        <w:rPr>
          <w:rStyle w:val="spellingerror"/>
          <w:rFonts w:ascii="Arial" w:hAnsi="Arial" w:cs="Arial"/>
          <w:sz w:val="22"/>
          <w:szCs w:val="22"/>
          <w:lang w:val="es-419"/>
        </w:rPr>
        <w:t>29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de enero de 2018, proceda a contratar los servicios de una empresa especializada en materia constructiva habitacional, que determine el origen de los daños y los eventuales responsables de los defectos y errores constructivos de los proyectos </w:t>
      </w:r>
      <w:proofErr w:type="spellStart"/>
      <w:r w:rsidRPr="00D54147">
        <w:rPr>
          <w:rStyle w:val="spellingerror"/>
          <w:rFonts w:ascii="Arial" w:hAnsi="Arial" w:cs="Arial"/>
          <w:sz w:val="22"/>
          <w:szCs w:val="22"/>
          <w:lang w:val="es-419"/>
        </w:rPr>
        <w:t>Ivannia</w:t>
      </w:r>
      <w:proofErr w:type="spellEnd"/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y La Flor.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1AB928F3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4C64BDBB" w14:textId="0CB1044E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2)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Complementariamente, deberá determinarse, con base en el informe del CIVCO</w:t>
      </w:r>
      <w:r w:rsidR="00D6209C">
        <w:rPr>
          <w:rStyle w:val="normaltextrun"/>
          <w:rFonts w:ascii="Arial" w:hAnsi="Arial" w:cs="Arial"/>
          <w:sz w:val="22"/>
          <w:szCs w:val="22"/>
          <w:lang w:val="es-419"/>
        </w:rPr>
        <w:t>-TEC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, las eventuales divergencias que existan entre los diseños de ambos proyectos de vivienda y lo que se ha encontrado en el sitio.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4FCF8566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673D8B6B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3)</w:t>
      </w:r>
      <w:r w:rsidRPr="00D54147">
        <w:rPr>
          <w:rStyle w:val="normaltextrun"/>
          <w:rFonts w:ascii="Arial" w:hAnsi="Arial" w:cs="Arial"/>
          <w:sz w:val="22"/>
          <w:szCs w:val="22"/>
          <w:lang w:val="es-419"/>
        </w:rPr>
        <w:t> Con fundamento en los resultados de los estudios antes señalados y con el concurso de la Asesoría Legal, oportunamente deberán determinarse y ejecutarse todas las acciones que legalmente correspondan, para procurar la recuperación de los recursos públicos que no hayan sido correctamente invertidos en ambos proyectos de vivienda.</w:t>
      </w: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3F1A8141" w14:textId="77777777" w:rsidR="00D54147" w:rsidRPr="00D54147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D54147">
        <w:rPr>
          <w:rStyle w:val="eop"/>
          <w:rFonts w:ascii="Arial" w:hAnsi="Arial" w:cs="Arial"/>
          <w:sz w:val="22"/>
          <w:szCs w:val="22"/>
        </w:rPr>
        <w:t> </w:t>
      </w:r>
    </w:p>
    <w:p w14:paraId="76DD7E57" w14:textId="3031D17A" w:rsidR="00D54147" w:rsidRPr="00584C4A" w:rsidRDefault="00D54147" w:rsidP="009756B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84C4A">
        <w:rPr>
          <w:rStyle w:val="normaltextrun"/>
          <w:rFonts w:ascii="Arial" w:hAnsi="Arial" w:cs="Arial"/>
          <w:b/>
          <w:sz w:val="22"/>
          <w:szCs w:val="22"/>
          <w:lang w:val="es-419"/>
        </w:rPr>
        <w:t>4)</w:t>
      </w:r>
      <w:r w:rsidRPr="00584C4A">
        <w:rPr>
          <w:rStyle w:val="normaltextrun"/>
          <w:rFonts w:ascii="Arial" w:hAnsi="Arial" w:cs="Arial"/>
          <w:sz w:val="22"/>
          <w:szCs w:val="22"/>
          <w:lang w:val="es-419"/>
        </w:rPr>
        <w:t xml:space="preserve"> De conformidad con lo establecido en el </w:t>
      </w:r>
      <w:r w:rsidR="00584C4A" w:rsidRPr="00584C4A">
        <w:rPr>
          <w:rStyle w:val="normaltextrun"/>
          <w:rFonts w:ascii="Arial" w:hAnsi="Arial" w:cs="Arial"/>
          <w:sz w:val="22"/>
          <w:szCs w:val="22"/>
          <w:lang w:val="es-419"/>
        </w:rPr>
        <w:t>“</w:t>
      </w:r>
      <w:r w:rsidRPr="00584C4A">
        <w:rPr>
          <w:rStyle w:val="normaltextrun"/>
          <w:rFonts w:ascii="Arial" w:hAnsi="Arial" w:cs="Arial"/>
          <w:sz w:val="22"/>
          <w:szCs w:val="22"/>
          <w:lang w:val="es-419"/>
        </w:rPr>
        <w:t>Convenio de Cooperación</w:t>
      </w:r>
      <w:r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 </w:t>
      </w:r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Institucional Banco Hipotecario de la Vivienda</w:t>
      </w:r>
      <w:r w:rsidR="009221DF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 xml:space="preserve"> - </w:t>
      </w:r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Banco de Costa Rica</w:t>
      </w:r>
      <w:r w:rsidR="00584C4A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,</w:t>
      </w:r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 xml:space="preserve"> </w:t>
      </w:r>
      <w:r w:rsidR="00584C4A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A</w:t>
      </w:r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 xml:space="preserve">tención de </w:t>
      </w:r>
      <w:r w:rsidR="00584C4A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P</w:t>
      </w:r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 xml:space="preserve">royectos de Vivienda La Flor e </w:t>
      </w:r>
      <w:proofErr w:type="spellStart"/>
      <w:r w:rsidR="00A70AB7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Ivannia</w:t>
      </w:r>
      <w:proofErr w:type="spellEnd"/>
      <w:r w:rsidR="00584C4A" w:rsidRPr="00584C4A">
        <w:rPr>
          <w:rStyle w:val="contextualspellingandgrammarerror"/>
          <w:rFonts w:ascii="Arial" w:hAnsi="Arial" w:cs="Arial"/>
          <w:sz w:val="22"/>
          <w:szCs w:val="22"/>
          <w:lang w:val="es-419"/>
        </w:rPr>
        <w:t>”</w:t>
      </w:r>
      <w:r w:rsidRPr="00584C4A">
        <w:rPr>
          <w:rStyle w:val="normaltextrun"/>
          <w:rFonts w:ascii="Arial" w:hAnsi="Arial" w:cs="Arial"/>
          <w:sz w:val="22"/>
          <w:szCs w:val="22"/>
          <w:lang w:val="es-419"/>
        </w:rPr>
        <w:t>, deberá velarse porque la entidad autorizada, inicie</w:t>
      </w:r>
      <w:r w:rsidR="009756BB" w:rsidRPr="00584C4A">
        <w:rPr>
          <w:rStyle w:val="normaltextrun"/>
          <w:rFonts w:ascii="Arial" w:hAnsi="Arial" w:cs="Arial"/>
          <w:sz w:val="22"/>
          <w:szCs w:val="22"/>
          <w:lang w:val="es-419"/>
        </w:rPr>
        <w:t xml:space="preserve"> </w:t>
      </w:r>
      <w:r w:rsidRPr="00584C4A">
        <w:rPr>
          <w:rStyle w:val="normaltextrun"/>
          <w:rFonts w:ascii="Arial" w:hAnsi="Arial" w:cs="Arial"/>
          <w:sz w:val="22"/>
          <w:szCs w:val="22"/>
          <w:lang w:val="es-419"/>
        </w:rPr>
        <w:t>de inmediato las gestiones relacionadas con el diseño y la construcción de las obras requeridas en ambos proyectos habitacionales, según la valoración de diferentes alternativas técnicas y costos, incluyendo una solución viable y efectiva para el tratamiento de aguas residuales.</w:t>
      </w:r>
      <w:r w:rsidRPr="00584C4A">
        <w:rPr>
          <w:rStyle w:val="eop"/>
          <w:rFonts w:ascii="Calibri" w:hAnsi="Calibri" w:cs="Segoe UI"/>
          <w:sz w:val="22"/>
          <w:szCs w:val="22"/>
        </w:rPr>
        <w:t> </w:t>
      </w:r>
    </w:p>
    <w:p w14:paraId="35CBC43A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 w:rsidRPr="00C27E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 Firme</w:t>
      </w:r>
      <w:r w:rsidRPr="00AB2826">
        <w:rPr>
          <w:rFonts w:cs="Arial"/>
          <w:szCs w:val="22"/>
        </w:rPr>
        <w:t>.-</w:t>
      </w:r>
    </w:p>
    <w:p w14:paraId="6533A5F5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09728D63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p w14:paraId="0AA6B93A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N°3</w:t>
      </w:r>
      <w:r w:rsidRPr="00AB2826">
        <w:rPr>
          <w:rFonts w:cs="Arial"/>
          <w:szCs w:val="22"/>
        </w:rPr>
        <w:t>:</w:t>
      </w:r>
    </w:p>
    <w:p w14:paraId="4CCFC6DE" w14:textId="375AE42C" w:rsidR="00C27EF8" w:rsidRPr="00446A20" w:rsidRDefault="00446A20" w:rsidP="001517F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46A20">
        <w:rPr>
          <w:rStyle w:val="eop"/>
          <w:rFonts w:ascii="Arial" w:hAnsi="Arial" w:cs="Arial"/>
          <w:sz w:val="22"/>
          <w:szCs w:val="22"/>
        </w:rPr>
        <w:t xml:space="preserve">Conocidos los oficios </w:t>
      </w:r>
      <w:r w:rsidRPr="001B680B">
        <w:rPr>
          <w:rStyle w:val="eop"/>
          <w:rFonts w:ascii="Arial" w:hAnsi="Arial" w:cs="Arial"/>
          <w:sz w:val="22"/>
          <w:szCs w:val="22"/>
        </w:rPr>
        <w:t>GG-ME-</w:t>
      </w:r>
      <w:r w:rsidR="001B680B" w:rsidRPr="001B680B">
        <w:rPr>
          <w:rStyle w:val="eop"/>
          <w:rFonts w:ascii="Arial" w:hAnsi="Arial" w:cs="Arial"/>
          <w:sz w:val="22"/>
          <w:szCs w:val="22"/>
        </w:rPr>
        <w:t>0884</w:t>
      </w:r>
      <w:r w:rsidRPr="001B680B">
        <w:rPr>
          <w:rStyle w:val="eop"/>
          <w:rFonts w:ascii="Arial" w:hAnsi="Arial" w:cs="Arial"/>
          <w:sz w:val="22"/>
          <w:szCs w:val="22"/>
        </w:rPr>
        <w:t>-2019</w:t>
      </w:r>
      <w:r w:rsidRPr="00446A20">
        <w:rPr>
          <w:rStyle w:val="eop"/>
          <w:rFonts w:ascii="Arial" w:hAnsi="Arial" w:cs="Arial"/>
          <w:sz w:val="22"/>
          <w:szCs w:val="22"/>
        </w:rPr>
        <w:t xml:space="preserve"> de la Gerencia General y DF-OF-</w:t>
      </w:r>
      <w:r w:rsidR="001B680B">
        <w:rPr>
          <w:rStyle w:val="eop"/>
          <w:rFonts w:ascii="Arial" w:hAnsi="Arial" w:cs="Arial"/>
          <w:sz w:val="22"/>
          <w:szCs w:val="22"/>
        </w:rPr>
        <w:t>954</w:t>
      </w:r>
      <w:r w:rsidRPr="00446A20">
        <w:rPr>
          <w:rStyle w:val="eop"/>
          <w:rFonts w:ascii="Arial" w:hAnsi="Arial" w:cs="Arial"/>
          <w:sz w:val="22"/>
          <w:szCs w:val="22"/>
        </w:rPr>
        <w:t xml:space="preserve">-2019 de la Dirección FOSUVI, </w:t>
      </w:r>
      <w:r w:rsidR="00EF72F1">
        <w:rPr>
          <w:rStyle w:val="eop"/>
          <w:rFonts w:ascii="Arial" w:hAnsi="Arial" w:cs="Arial"/>
          <w:sz w:val="22"/>
          <w:szCs w:val="22"/>
        </w:rPr>
        <w:t xml:space="preserve">se instruye a la Administración para que </w:t>
      </w:r>
      <w:r w:rsidR="00C367AB">
        <w:rPr>
          <w:rStyle w:val="eop"/>
          <w:rFonts w:ascii="Arial" w:hAnsi="Arial" w:cs="Arial"/>
          <w:sz w:val="22"/>
          <w:szCs w:val="22"/>
        </w:rPr>
        <w:t xml:space="preserve">someta a la consideración de </w:t>
      </w:r>
      <w:r w:rsidR="00C367AB">
        <w:rPr>
          <w:rStyle w:val="eop"/>
          <w:rFonts w:ascii="Arial" w:hAnsi="Arial" w:cs="Arial"/>
          <w:sz w:val="22"/>
          <w:szCs w:val="22"/>
        </w:rPr>
        <w:lastRenderedPageBreak/>
        <w:t xml:space="preserve">esta Junta Directiva, una propuesta </w:t>
      </w:r>
      <w:r w:rsidR="001517F4">
        <w:rPr>
          <w:rStyle w:val="eop"/>
          <w:rFonts w:ascii="Arial" w:hAnsi="Arial" w:cs="Arial"/>
          <w:sz w:val="22"/>
          <w:szCs w:val="22"/>
        </w:rPr>
        <w:t xml:space="preserve">integral </w:t>
      </w:r>
      <w:r w:rsidR="00C367AB">
        <w:rPr>
          <w:rStyle w:val="eop"/>
          <w:rFonts w:ascii="Arial" w:hAnsi="Arial" w:cs="Arial"/>
          <w:sz w:val="22"/>
          <w:szCs w:val="22"/>
        </w:rPr>
        <w:t xml:space="preserve">de regulación sobre </w:t>
      </w:r>
      <w:r w:rsidR="001517F4" w:rsidRPr="00446A20">
        <w:rPr>
          <w:rStyle w:val="eop"/>
          <w:rFonts w:ascii="Arial" w:hAnsi="Arial" w:cs="Arial"/>
          <w:sz w:val="22"/>
          <w:szCs w:val="22"/>
        </w:rPr>
        <w:t>la exigencia de garantías a los constructores</w:t>
      </w:r>
      <w:r w:rsidR="001517F4">
        <w:rPr>
          <w:rStyle w:val="eop"/>
          <w:rFonts w:ascii="Arial" w:hAnsi="Arial" w:cs="Arial"/>
          <w:sz w:val="22"/>
          <w:szCs w:val="22"/>
        </w:rPr>
        <w:t>,</w:t>
      </w:r>
      <w:r w:rsidR="001517F4" w:rsidRPr="00446A20">
        <w:rPr>
          <w:rStyle w:val="eop"/>
          <w:rFonts w:ascii="Arial" w:hAnsi="Arial" w:cs="Arial"/>
          <w:sz w:val="22"/>
          <w:szCs w:val="22"/>
        </w:rPr>
        <w:t xml:space="preserve"> en casos individuales de bono ordinario</w:t>
      </w:r>
      <w:r w:rsidR="001517F4">
        <w:rPr>
          <w:rStyle w:val="eop"/>
          <w:rFonts w:ascii="Arial" w:hAnsi="Arial" w:cs="Arial"/>
          <w:sz w:val="22"/>
          <w:szCs w:val="22"/>
        </w:rPr>
        <w:t>.</w:t>
      </w:r>
    </w:p>
    <w:p w14:paraId="5A0D0990" w14:textId="25DE1E7B" w:rsidR="00C27EF8" w:rsidRPr="00AB2826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 w:rsidR="001517F4">
        <w:rPr>
          <w:rFonts w:cs="Arial"/>
          <w:szCs w:val="22"/>
        </w:rPr>
        <w:t xml:space="preserve"> y Firme</w:t>
      </w:r>
      <w:r w:rsidRPr="00AB2826">
        <w:rPr>
          <w:rFonts w:cs="Arial"/>
          <w:szCs w:val="22"/>
        </w:rPr>
        <w:t>.-</w:t>
      </w:r>
    </w:p>
    <w:p w14:paraId="4134CE20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21D48249" w14:textId="77777777" w:rsidR="00C27EF8" w:rsidRDefault="00C27EF8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7096EA22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N°4</w:t>
      </w:r>
      <w:r w:rsidRPr="00AB2826">
        <w:rPr>
          <w:rFonts w:cs="Arial"/>
          <w:szCs w:val="22"/>
        </w:rPr>
        <w:t>:</w:t>
      </w:r>
    </w:p>
    <w:p w14:paraId="75072909" w14:textId="1B4790D2" w:rsidR="00947B9C" w:rsidRPr="000C3A0B" w:rsidRDefault="00947B9C" w:rsidP="00947B9C">
      <w:pPr>
        <w:spacing w:line="360" w:lineRule="auto"/>
        <w:jc w:val="both"/>
        <w:rPr>
          <w:sz w:val="22"/>
          <w:szCs w:val="22"/>
        </w:rPr>
      </w:pPr>
      <w:r w:rsidRPr="000C3A0B">
        <w:rPr>
          <w:sz w:val="22"/>
          <w:szCs w:val="22"/>
        </w:rPr>
        <w:t xml:space="preserve">Instruir a la Administración para que, por medio del </w:t>
      </w:r>
      <w:r w:rsidR="00BC2CD4" w:rsidRPr="000C3A0B">
        <w:rPr>
          <w:sz w:val="22"/>
          <w:szCs w:val="22"/>
        </w:rPr>
        <w:t>Á</w:t>
      </w:r>
      <w:r w:rsidRPr="000C3A0B">
        <w:rPr>
          <w:sz w:val="22"/>
          <w:szCs w:val="22"/>
        </w:rPr>
        <w:t xml:space="preserve">rea de </w:t>
      </w:r>
      <w:r w:rsidR="00BC2CD4" w:rsidRPr="000C3A0B">
        <w:rPr>
          <w:sz w:val="22"/>
          <w:szCs w:val="22"/>
        </w:rPr>
        <w:t>R</w:t>
      </w:r>
      <w:r w:rsidRPr="000C3A0B">
        <w:rPr>
          <w:sz w:val="22"/>
          <w:szCs w:val="22"/>
        </w:rPr>
        <w:t xml:space="preserve">ecursos </w:t>
      </w:r>
      <w:r w:rsidR="00BC2CD4" w:rsidRPr="000C3A0B">
        <w:rPr>
          <w:sz w:val="22"/>
          <w:szCs w:val="22"/>
        </w:rPr>
        <w:t>H</w:t>
      </w:r>
      <w:r w:rsidRPr="000C3A0B">
        <w:rPr>
          <w:sz w:val="22"/>
          <w:szCs w:val="22"/>
        </w:rPr>
        <w:t xml:space="preserve">umanos, de inmediato proceda a realizar las pruebas psicométricas a los </w:t>
      </w:r>
      <w:r w:rsidR="005018D3" w:rsidRPr="000C3A0B">
        <w:rPr>
          <w:sz w:val="22"/>
          <w:szCs w:val="22"/>
        </w:rPr>
        <w:t>quince</w:t>
      </w:r>
      <w:r w:rsidRPr="000C3A0B">
        <w:rPr>
          <w:sz w:val="22"/>
          <w:szCs w:val="22"/>
        </w:rPr>
        <w:t xml:space="preserve"> candidatos al puesto de Gerente General, que hayan obtenido la mayor calificación en concurso realizado para estos efectos</w:t>
      </w:r>
    </w:p>
    <w:p w14:paraId="2EFCF778" w14:textId="22E3C9B3" w:rsidR="00C27EF8" w:rsidRPr="000C3A0B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0C3A0B">
        <w:rPr>
          <w:rFonts w:cs="Arial"/>
          <w:szCs w:val="22"/>
        </w:rPr>
        <w:t xml:space="preserve">Acuerdo Unánime y </w:t>
      </w:r>
      <w:r w:rsidR="00947B9C" w:rsidRPr="000C3A0B">
        <w:rPr>
          <w:rFonts w:cs="Arial"/>
          <w:szCs w:val="22"/>
        </w:rPr>
        <w:t>Firme. -</w:t>
      </w:r>
      <w:bookmarkStart w:id="0" w:name="_GoBack"/>
      <w:bookmarkEnd w:id="0"/>
    </w:p>
    <w:p w14:paraId="39AE7E4D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3269CA7B" w14:textId="77777777" w:rsidR="00814542" w:rsidRDefault="00814542" w:rsidP="00C27EF8">
      <w:pPr>
        <w:spacing w:line="360" w:lineRule="auto"/>
        <w:jc w:val="both"/>
        <w:rPr>
          <w:rFonts w:cs="Arial"/>
          <w:sz w:val="22"/>
          <w:lang w:val="es-ES_tradnl"/>
        </w:rPr>
      </w:pPr>
    </w:p>
    <w:p w14:paraId="2FC6CD7D" w14:textId="77777777" w:rsidR="00C27EF8" w:rsidRPr="00AB2826" w:rsidRDefault="00C27EF8" w:rsidP="00C27EF8">
      <w:pPr>
        <w:pStyle w:val="Ttulo2"/>
        <w:spacing w:line="360" w:lineRule="auto"/>
        <w:rPr>
          <w:rFonts w:cs="Arial"/>
          <w:szCs w:val="22"/>
        </w:rPr>
      </w:pPr>
      <w:r w:rsidRPr="00AB2826">
        <w:rPr>
          <w:rFonts w:cs="Arial"/>
          <w:szCs w:val="22"/>
        </w:rPr>
        <w:t xml:space="preserve">ACUERDO </w:t>
      </w:r>
      <w:r>
        <w:rPr>
          <w:rFonts w:cs="Arial"/>
          <w:szCs w:val="22"/>
        </w:rPr>
        <w:t>N°5</w:t>
      </w:r>
      <w:r w:rsidRPr="00AB2826">
        <w:rPr>
          <w:rFonts w:cs="Arial"/>
          <w:szCs w:val="22"/>
        </w:rPr>
        <w:t>:</w:t>
      </w:r>
    </w:p>
    <w:p w14:paraId="78C5F4C5" w14:textId="064F478A" w:rsidR="00C27EF8" w:rsidRDefault="00947B9C" w:rsidP="00C27EF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r w:rsidR="00F60BB4">
        <w:rPr>
          <w:sz w:val="22"/>
          <w:szCs w:val="22"/>
        </w:rPr>
        <w:t>continuar</w:t>
      </w:r>
      <w:r>
        <w:rPr>
          <w:sz w:val="22"/>
          <w:szCs w:val="22"/>
        </w:rPr>
        <w:t xml:space="preserve"> analizando el procedimiento para el nombramiento del Gerente General, se convoca a sesión </w:t>
      </w:r>
      <w:r w:rsidR="00F60BB4">
        <w:rPr>
          <w:sz w:val="22"/>
          <w:szCs w:val="22"/>
        </w:rPr>
        <w:t>extraordinaria</w:t>
      </w:r>
      <w:r>
        <w:rPr>
          <w:sz w:val="22"/>
          <w:szCs w:val="22"/>
        </w:rPr>
        <w:t xml:space="preserve"> para el próximo miércoles 28 de agosto a las 13:00</w:t>
      </w:r>
      <w:r w:rsidR="00F60BB4">
        <w:rPr>
          <w:sz w:val="22"/>
          <w:szCs w:val="22"/>
        </w:rPr>
        <w:t xml:space="preserve"> horas.</w:t>
      </w:r>
    </w:p>
    <w:p w14:paraId="60B07B45" w14:textId="76991498" w:rsidR="00C27EF8" w:rsidRPr="00AB2826" w:rsidRDefault="00C27EF8" w:rsidP="00C27EF8">
      <w:pPr>
        <w:pStyle w:val="Ttulo2"/>
        <w:spacing w:line="360" w:lineRule="auto"/>
        <w:rPr>
          <w:rFonts w:cs="Arial"/>
          <w:szCs w:val="22"/>
          <w:lang w:val="es-ES_tradnl"/>
        </w:rPr>
      </w:pPr>
      <w:r w:rsidRPr="00AB2826">
        <w:rPr>
          <w:rFonts w:cs="Arial"/>
          <w:szCs w:val="22"/>
        </w:rPr>
        <w:t>Acuerdo Unánime</w:t>
      </w:r>
      <w:r>
        <w:rPr>
          <w:rFonts w:cs="Arial"/>
          <w:szCs w:val="22"/>
        </w:rPr>
        <w:t xml:space="preserve"> y </w:t>
      </w:r>
      <w:r w:rsidR="00F60BB4">
        <w:rPr>
          <w:rFonts w:cs="Arial"/>
          <w:szCs w:val="22"/>
        </w:rPr>
        <w:t>Firme</w:t>
      </w:r>
      <w:r w:rsidR="00F60BB4" w:rsidRPr="00AB2826">
        <w:rPr>
          <w:rFonts w:cs="Arial"/>
          <w:szCs w:val="22"/>
        </w:rPr>
        <w:t>. -</w:t>
      </w:r>
    </w:p>
    <w:p w14:paraId="6D75EA78" w14:textId="77777777" w:rsidR="00C27EF8" w:rsidRPr="00D14EAF" w:rsidRDefault="00C27EF8" w:rsidP="00C27EF8">
      <w:pPr>
        <w:spacing w:line="360" w:lineRule="auto"/>
        <w:jc w:val="both"/>
        <w:rPr>
          <w:rFonts w:cs="Arial"/>
          <w:b/>
          <w:sz w:val="22"/>
        </w:rPr>
      </w:pPr>
      <w:r w:rsidRPr="00D14EAF">
        <w:rPr>
          <w:rFonts w:cs="Arial"/>
          <w:b/>
          <w:sz w:val="22"/>
        </w:rPr>
        <w:t>************</w:t>
      </w:r>
    </w:p>
    <w:p w14:paraId="5FB0E6B7" w14:textId="77777777" w:rsidR="00C27EF8" w:rsidRDefault="00C27EF8" w:rsidP="00C27EF8">
      <w:pPr>
        <w:spacing w:line="360" w:lineRule="auto"/>
        <w:jc w:val="both"/>
        <w:rPr>
          <w:rFonts w:cs="Arial"/>
          <w:sz w:val="22"/>
          <w:szCs w:val="22"/>
        </w:rPr>
      </w:pPr>
    </w:p>
    <w:sectPr w:rsidR="00C27EF8">
      <w:headerReference w:type="default" r:id="rId8"/>
      <w:pgSz w:w="12242" w:h="15842" w:code="1"/>
      <w:pgMar w:top="1418" w:right="1701" w:bottom="1418" w:left="1701" w:header="720" w:footer="720" w:gutter="0"/>
      <w:lnNumType w:countBy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78D38" w14:textId="77777777" w:rsidR="00810034" w:rsidRDefault="00810034">
      <w:r>
        <w:separator/>
      </w:r>
    </w:p>
  </w:endnote>
  <w:endnote w:type="continuationSeparator" w:id="0">
    <w:p w14:paraId="1B4D31AC" w14:textId="77777777" w:rsidR="00810034" w:rsidRDefault="008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8D3F" w14:textId="77777777" w:rsidR="00810034" w:rsidRDefault="00810034">
      <w:r>
        <w:separator/>
      </w:r>
    </w:p>
  </w:footnote>
  <w:footnote w:type="continuationSeparator" w:id="0">
    <w:p w14:paraId="2FA9E8E4" w14:textId="77777777" w:rsidR="00810034" w:rsidRDefault="0081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BF80" w14:textId="77777777" w:rsidR="00810034" w:rsidRDefault="00810034">
    <w:pPr>
      <w:pStyle w:val="Encabezado"/>
      <w:rPr>
        <w:lang w:val="es-ES"/>
      </w:rPr>
    </w:pPr>
  </w:p>
  <w:p w14:paraId="6A1D8530" w14:textId="28EF1247" w:rsidR="00810034" w:rsidRDefault="00810034">
    <w:pPr>
      <w:pStyle w:val="Encabezado"/>
      <w:rPr>
        <w:rStyle w:val="Nmerodepgina"/>
        <w:sz w:val="18"/>
      </w:rPr>
    </w:pPr>
    <w:r>
      <w:rPr>
        <w:sz w:val="18"/>
        <w:lang w:val="es-ES"/>
      </w:rPr>
      <w:t xml:space="preserve">    Minuta de la sesión Nº 64-2019                      22 de agosto de 2019                                                        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14:paraId="098B6DAA" w14:textId="77777777" w:rsidR="00810034" w:rsidRDefault="00810034">
    <w:pPr>
      <w:pStyle w:val="Encabezado"/>
      <w:rPr>
        <w:sz w:val="18"/>
        <w:lang w:val="es-ES"/>
      </w:rPr>
    </w:pPr>
    <w:r>
      <w:rPr>
        <w:rStyle w:val="Nmerodepgina"/>
        <w:sz w:val="18"/>
      </w:rPr>
      <w:t>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9632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323C"/>
    <w:multiLevelType w:val="hybridMultilevel"/>
    <w:tmpl w:val="D9A4FE60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84A5B"/>
    <w:multiLevelType w:val="hybridMultilevel"/>
    <w:tmpl w:val="904C2F36"/>
    <w:lvl w:ilvl="0" w:tplc="92E4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643A"/>
    <w:multiLevelType w:val="hybridMultilevel"/>
    <w:tmpl w:val="D9E49582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311C6"/>
    <w:multiLevelType w:val="hybridMultilevel"/>
    <w:tmpl w:val="20549882"/>
    <w:lvl w:ilvl="0" w:tplc="45EC00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DF3"/>
    <w:multiLevelType w:val="hybridMultilevel"/>
    <w:tmpl w:val="014C32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F1C92"/>
    <w:multiLevelType w:val="hybridMultilevel"/>
    <w:tmpl w:val="7C5C639C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1188C"/>
    <w:multiLevelType w:val="hybridMultilevel"/>
    <w:tmpl w:val="CFDCA64A"/>
    <w:lvl w:ilvl="0" w:tplc="935EE5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1C6F"/>
    <w:multiLevelType w:val="hybridMultilevel"/>
    <w:tmpl w:val="1CE4DDBA"/>
    <w:lvl w:ilvl="0" w:tplc="293899D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93B9B"/>
    <w:multiLevelType w:val="hybridMultilevel"/>
    <w:tmpl w:val="C5109C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9514E"/>
    <w:multiLevelType w:val="hybridMultilevel"/>
    <w:tmpl w:val="A3B00BEC"/>
    <w:lvl w:ilvl="0" w:tplc="4B66F9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D929E3"/>
    <w:multiLevelType w:val="hybridMultilevel"/>
    <w:tmpl w:val="5636ACC4"/>
    <w:lvl w:ilvl="0" w:tplc="37A634FC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66132"/>
    <w:multiLevelType w:val="hybridMultilevel"/>
    <w:tmpl w:val="25D242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6373"/>
    <w:multiLevelType w:val="hybridMultilevel"/>
    <w:tmpl w:val="F95CE5FE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4510F"/>
    <w:multiLevelType w:val="hybridMultilevel"/>
    <w:tmpl w:val="F0C20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0221E"/>
    <w:multiLevelType w:val="hybridMultilevel"/>
    <w:tmpl w:val="13109FF2"/>
    <w:lvl w:ilvl="0" w:tplc="129A1A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2872"/>
    <w:multiLevelType w:val="hybridMultilevel"/>
    <w:tmpl w:val="36CA627C"/>
    <w:lvl w:ilvl="0" w:tplc="4D2CE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7067"/>
    <w:multiLevelType w:val="hybridMultilevel"/>
    <w:tmpl w:val="F490ED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959F1"/>
    <w:multiLevelType w:val="hybridMultilevel"/>
    <w:tmpl w:val="7DBE4A08"/>
    <w:lvl w:ilvl="0" w:tplc="8AEAA0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9"/>
  </w:num>
  <w:num w:numId="10">
    <w:abstractNumId w:val="4"/>
  </w:num>
  <w:num w:numId="11">
    <w:abstractNumId w:val="6"/>
  </w:num>
  <w:num w:numId="12">
    <w:abstractNumId w:val="20"/>
  </w:num>
  <w:num w:numId="13">
    <w:abstractNumId w:val="18"/>
  </w:num>
  <w:num w:numId="14">
    <w:abstractNumId w:val="17"/>
  </w:num>
  <w:num w:numId="15">
    <w:abstractNumId w:val="13"/>
  </w:num>
  <w:num w:numId="16">
    <w:abstractNumId w:val="16"/>
  </w:num>
  <w:num w:numId="17">
    <w:abstractNumId w:val="3"/>
  </w:num>
  <w:num w:numId="18">
    <w:abstractNumId w:val="8"/>
  </w:num>
  <w:num w:numId="19">
    <w:abstractNumId w:val="7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WqGacXQD9gs33Qi1MathTykM3GT3kyo302FrlmAawIOZm/L5U4Zr0wWmyJUfqvGjNPPcSGDFPwDlGXMfRLe5w==" w:salt="h3fshefML982x5QyGITu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F8"/>
    <w:rsid w:val="000160E9"/>
    <w:rsid w:val="000B4E46"/>
    <w:rsid w:val="000B798F"/>
    <w:rsid w:val="000C3A0B"/>
    <w:rsid w:val="001517F4"/>
    <w:rsid w:val="001A4586"/>
    <w:rsid w:val="001B680B"/>
    <w:rsid w:val="002457D5"/>
    <w:rsid w:val="00297A2E"/>
    <w:rsid w:val="0033787E"/>
    <w:rsid w:val="003470D8"/>
    <w:rsid w:val="003679EB"/>
    <w:rsid w:val="003D53AA"/>
    <w:rsid w:val="00407F41"/>
    <w:rsid w:val="00414756"/>
    <w:rsid w:val="00425436"/>
    <w:rsid w:val="0044325D"/>
    <w:rsid w:val="00446A20"/>
    <w:rsid w:val="00465A1B"/>
    <w:rsid w:val="00485C02"/>
    <w:rsid w:val="004927CA"/>
    <w:rsid w:val="004B488D"/>
    <w:rsid w:val="00500BC2"/>
    <w:rsid w:val="005018D3"/>
    <w:rsid w:val="00507B06"/>
    <w:rsid w:val="00512DEC"/>
    <w:rsid w:val="00532385"/>
    <w:rsid w:val="00561815"/>
    <w:rsid w:val="00571016"/>
    <w:rsid w:val="00584C4A"/>
    <w:rsid w:val="006247A5"/>
    <w:rsid w:val="006F56BB"/>
    <w:rsid w:val="006F5DF1"/>
    <w:rsid w:val="007413D1"/>
    <w:rsid w:val="00774B74"/>
    <w:rsid w:val="007873DE"/>
    <w:rsid w:val="00791453"/>
    <w:rsid w:val="007C6BEE"/>
    <w:rsid w:val="00810034"/>
    <w:rsid w:val="00814542"/>
    <w:rsid w:val="008553E7"/>
    <w:rsid w:val="008973F5"/>
    <w:rsid w:val="008C1E09"/>
    <w:rsid w:val="008D00A0"/>
    <w:rsid w:val="009221DF"/>
    <w:rsid w:val="00947B9C"/>
    <w:rsid w:val="00953A55"/>
    <w:rsid w:val="009756BB"/>
    <w:rsid w:val="009773A1"/>
    <w:rsid w:val="009C079B"/>
    <w:rsid w:val="009C5555"/>
    <w:rsid w:val="009F093D"/>
    <w:rsid w:val="00A02724"/>
    <w:rsid w:val="00A70AB7"/>
    <w:rsid w:val="00A73A36"/>
    <w:rsid w:val="00AE4D1A"/>
    <w:rsid w:val="00B51232"/>
    <w:rsid w:val="00B53E59"/>
    <w:rsid w:val="00B86B11"/>
    <w:rsid w:val="00B9470E"/>
    <w:rsid w:val="00BC2CD4"/>
    <w:rsid w:val="00BF1673"/>
    <w:rsid w:val="00C1036C"/>
    <w:rsid w:val="00C27EF8"/>
    <w:rsid w:val="00C367AB"/>
    <w:rsid w:val="00C87C64"/>
    <w:rsid w:val="00CB0B1C"/>
    <w:rsid w:val="00CE5DD9"/>
    <w:rsid w:val="00CE6E63"/>
    <w:rsid w:val="00D025EC"/>
    <w:rsid w:val="00D07F0E"/>
    <w:rsid w:val="00D10670"/>
    <w:rsid w:val="00D54147"/>
    <w:rsid w:val="00D6209C"/>
    <w:rsid w:val="00D95AEF"/>
    <w:rsid w:val="00E52610"/>
    <w:rsid w:val="00E6401B"/>
    <w:rsid w:val="00EF72F1"/>
    <w:rsid w:val="00F053E3"/>
    <w:rsid w:val="00F16DEB"/>
    <w:rsid w:val="00F21455"/>
    <w:rsid w:val="00F21614"/>
    <w:rsid w:val="00F22E8E"/>
    <w:rsid w:val="00F2347B"/>
    <w:rsid w:val="00F60BB4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AF62C"/>
  <w15:chartTrackingRefBased/>
  <w15:docId w15:val="{707E2B70-B418-4A53-868F-C40F4140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EF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7EF8"/>
    <w:pPr>
      <w:keepNext/>
      <w:spacing w:line="360" w:lineRule="auto"/>
      <w:ind w:right="-233"/>
      <w:jc w:val="center"/>
      <w:outlineLvl w:val="0"/>
    </w:pPr>
    <w:rPr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C27EF8"/>
    <w:pPr>
      <w:keepNext/>
      <w:jc w:val="both"/>
      <w:outlineLvl w:val="1"/>
    </w:pPr>
    <w:rPr>
      <w:b/>
      <w:i/>
      <w:sz w:val="22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27EF8"/>
    <w:pPr>
      <w:keepNext/>
      <w:outlineLvl w:val="3"/>
    </w:pPr>
    <w:rPr>
      <w:b/>
      <w:sz w:val="22"/>
      <w:szCs w:val="20"/>
      <w:u w:val="single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27EF8"/>
    <w:rPr>
      <w:rFonts w:ascii="Arial" w:eastAsia="Times New Roman" w:hAnsi="Arial" w:cs="Times New Roman"/>
      <w:b/>
      <w:i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27EF8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C27EF8"/>
    <w:pPr>
      <w:spacing w:line="360" w:lineRule="auto"/>
      <w:ind w:right="-233"/>
      <w:jc w:val="center"/>
    </w:pPr>
    <w:rPr>
      <w:b/>
      <w:sz w:val="2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27EF8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C27EF8"/>
    <w:pPr>
      <w:spacing w:line="360" w:lineRule="auto"/>
      <w:ind w:right="51"/>
      <w:jc w:val="both"/>
    </w:pPr>
    <w:rPr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27EF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rsid w:val="00C27EF8"/>
    <w:pPr>
      <w:tabs>
        <w:tab w:val="center" w:pos="4252"/>
        <w:tab w:val="right" w:pos="8504"/>
      </w:tabs>
    </w:pPr>
    <w:rPr>
      <w:sz w:val="22"/>
      <w:szCs w:val="20"/>
      <w:lang w:val="es-CR"/>
    </w:rPr>
  </w:style>
  <w:style w:type="character" w:customStyle="1" w:styleId="EncabezadoCar">
    <w:name w:val="Encabezado Car"/>
    <w:basedOn w:val="Fuentedeprrafopredeter"/>
    <w:link w:val="Encabezado"/>
    <w:rsid w:val="00C27EF8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C27EF8"/>
  </w:style>
  <w:style w:type="paragraph" w:styleId="Textoindependiente2">
    <w:name w:val="Body Text 2"/>
    <w:basedOn w:val="Normal"/>
    <w:link w:val="Textoindependiente2Car"/>
    <w:rsid w:val="00C27EF8"/>
    <w:pPr>
      <w:spacing w:line="360" w:lineRule="auto"/>
      <w:jc w:val="both"/>
    </w:pPr>
    <w:rPr>
      <w:rFonts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C27EF8"/>
    <w:rPr>
      <w:rFonts w:ascii="Arial" w:eastAsia="Times New Roman" w:hAnsi="Arial" w:cs="Arial"/>
      <w:bCs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27EF8"/>
    <w:pPr>
      <w:spacing w:line="360" w:lineRule="auto"/>
      <w:ind w:left="360" w:hanging="360"/>
      <w:jc w:val="both"/>
    </w:pPr>
    <w:rPr>
      <w:rFonts w:cs="Arial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27EF8"/>
    <w:rPr>
      <w:rFonts w:ascii="Arial" w:eastAsia="Times New Roman" w:hAnsi="Arial" w:cs="Arial"/>
      <w:szCs w:val="24"/>
      <w:lang w:val="es-ES" w:eastAsia="es-ES"/>
    </w:rPr>
  </w:style>
  <w:style w:type="paragraph" w:styleId="Piedepgina">
    <w:name w:val="footer"/>
    <w:basedOn w:val="Normal"/>
    <w:link w:val="PiedepginaCar"/>
    <w:rsid w:val="00C2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7EF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C27EF8"/>
  </w:style>
  <w:style w:type="paragraph" w:styleId="Textoindependiente3">
    <w:name w:val="Body Text 3"/>
    <w:basedOn w:val="Normal"/>
    <w:link w:val="Textoindependiente3Car"/>
    <w:rsid w:val="00C27EF8"/>
    <w:pPr>
      <w:ind w:right="51"/>
      <w:jc w:val="both"/>
    </w:pPr>
    <w:rPr>
      <w:rFonts w:cs="Arial"/>
      <w:i/>
      <w:i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27EF8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Listaconvietas">
    <w:name w:val="List Bullet"/>
    <w:basedOn w:val="Normal"/>
    <w:autoRedefine/>
    <w:rsid w:val="00C27EF8"/>
    <w:pPr>
      <w:numPr>
        <w:numId w:val="5"/>
      </w:numPr>
    </w:pPr>
  </w:style>
  <w:style w:type="paragraph" w:customStyle="1" w:styleId="CarCarCar1CarCarCarCarCarCar">
    <w:name w:val="Car Car Car1 Car Car Car Car Car Car"/>
    <w:basedOn w:val="Normal"/>
    <w:rsid w:val="00C27EF8"/>
    <w:pPr>
      <w:spacing w:after="160" w:line="240" w:lineRule="exact"/>
    </w:pPr>
    <w:rPr>
      <w:sz w:val="20"/>
      <w:szCs w:val="20"/>
      <w:lang w:val="en-US" w:eastAsia="en-US"/>
    </w:rPr>
  </w:style>
  <w:style w:type="paragraph" w:styleId="Textodebloque">
    <w:name w:val="Block Text"/>
    <w:basedOn w:val="Normal"/>
    <w:rsid w:val="00C27EF8"/>
    <w:pPr>
      <w:ind w:left="360" w:right="333"/>
      <w:jc w:val="both"/>
    </w:pPr>
    <w:rPr>
      <w:rFonts w:ascii="Times New Roman" w:hAnsi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27EF8"/>
    <w:pPr>
      <w:ind w:left="720"/>
      <w:contextualSpacing/>
    </w:pPr>
  </w:style>
  <w:style w:type="paragraph" w:customStyle="1" w:styleId="paragraph">
    <w:name w:val="paragraph"/>
    <w:basedOn w:val="Normal"/>
    <w:rsid w:val="00C87C64"/>
    <w:pPr>
      <w:spacing w:before="100" w:beforeAutospacing="1" w:after="100" w:afterAutospacing="1"/>
    </w:pPr>
    <w:rPr>
      <w:rFonts w:ascii="Times New Roman" w:hAnsi="Times New Roman"/>
      <w:lang w:val="es-CR" w:eastAsia="es-CR"/>
    </w:rPr>
  </w:style>
  <w:style w:type="character" w:customStyle="1" w:styleId="normaltextrun">
    <w:name w:val="normaltextrun"/>
    <w:basedOn w:val="Fuentedeprrafopredeter"/>
    <w:rsid w:val="00C87C64"/>
  </w:style>
  <w:style w:type="character" w:customStyle="1" w:styleId="spellingerror">
    <w:name w:val="spellingerror"/>
    <w:basedOn w:val="Fuentedeprrafopredeter"/>
    <w:rsid w:val="00C87C64"/>
  </w:style>
  <w:style w:type="character" w:customStyle="1" w:styleId="eop">
    <w:name w:val="eop"/>
    <w:basedOn w:val="Fuentedeprrafopredeter"/>
    <w:rsid w:val="00C87C64"/>
  </w:style>
  <w:style w:type="character" w:customStyle="1" w:styleId="contextualspellingandgrammarerror">
    <w:name w:val="contextualspellingandgrammarerror"/>
    <w:basedOn w:val="Fuentedeprrafopredeter"/>
    <w:rsid w:val="00C8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D866-10D7-4164-B141-914CC6F8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2263</Words>
  <Characters>12449</Characters>
  <Application>Microsoft Office Word</Application>
  <DocSecurity>8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Hipotecario para la Vivienda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Pacheco David</dc:creator>
  <cp:keywords/>
  <dc:description/>
  <cp:lastModifiedBy>López Pacheco David</cp:lastModifiedBy>
  <cp:revision>24</cp:revision>
  <dcterms:created xsi:type="dcterms:W3CDTF">2019-09-02T19:39:00Z</dcterms:created>
  <dcterms:modified xsi:type="dcterms:W3CDTF">2019-09-10T14:31:00Z</dcterms:modified>
</cp:coreProperties>
</file>