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55E37">
        <w:rPr>
          <w:rFonts w:cs="Arial"/>
          <w:b/>
          <w:sz w:val="22"/>
          <w:u w:val="single"/>
        </w:rPr>
        <w:t>EXTRA</w:t>
      </w:r>
      <w:r w:rsidR="00FA4CCB">
        <w:rPr>
          <w:rFonts w:cs="Arial"/>
          <w:b/>
          <w:sz w:val="22"/>
          <w:u w:val="single"/>
        </w:rPr>
        <w:t xml:space="preserve">ORDINARIA </w:t>
      </w:r>
      <w:r>
        <w:rPr>
          <w:rFonts w:cs="Arial"/>
          <w:b/>
          <w:sz w:val="22"/>
          <w:u w:val="single"/>
        </w:rPr>
        <w:t>N°</w:t>
      </w:r>
      <w:r w:rsidR="00555E37">
        <w:rPr>
          <w:rFonts w:cs="Arial"/>
          <w:b/>
          <w:sz w:val="22"/>
          <w:u w:val="single"/>
        </w:rPr>
        <w:t>59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555E37">
        <w:rPr>
          <w:rFonts w:cs="Arial"/>
          <w:b/>
          <w:sz w:val="22"/>
          <w:u w:val="single"/>
        </w:rPr>
        <w:t>01</w:t>
      </w:r>
      <w:r>
        <w:rPr>
          <w:rFonts w:cs="Arial"/>
          <w:b/>
          <w:sz w:val="22"/>
          <w:u w:val="single"/>
        </w:rPr>
        <w:t xml:space="preserve"> DE </w:t>
      </w:r>
      <w:r w:rsidR="00555E37">
        <w:rPr>
          <w:rFonts w:cs="Arial"/>
          <w:b/>
          <w:sz w:val="22"/>
          <w:u w:val="single"/>
        </w:rPr>
        <w:t>AGOSTO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Presentación de informe sobre el avance en la ejecución de las actividades de los proyectos del Sistema de Apoyo a la Gestión Financiera, Rediseño del Sistema de Vivienda y Expediente Electrónico-Fase II.</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Propuesta de sustitución del tipo de póliza de Seguro de Responsabilidad Civil Profesional, por el diseño en los proyectos de vivienda.</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Solicitud de autorización para el pago de comisiones fiduciarias asociadas a la renovación del contrato del Fideicomiso 001-2010, con Grupo Mutual Alajuela –La Vivienda.</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 xml:space="preserve">Solicitud de modificación a las condiciones de desembolso del crédito otorgado a la Fundación para  la Vivienda Rural Costa Rica – Canadá. </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Informe sobre la gestión del FONAVI al 30 de junio de 2019.</w:t>
      </w:r>
    </w:p>
    <w:p w:rsidR="003B1AFE" w:rsidRPr="009A0F16" w:rsidRDefault="003B1AFE" w:rsidP="009A0F16">
      <w:pPr>
        <w:pStyle w:val="Prrafodelista"/>
        <w:numPr>
          <w:ilvl w:val="0"/>
          <w:numId w:val="18"/>
        </w:numPr>
        <w:spacing w:line="360" w:lineRule="auto"/>
        <w:ind w:left="426" w:hanging="426"/>
        <w:jc w:val="both"/>
        <w:rPr>
          <w:rFonts w:cs="Arial"/>
          <w:sz w:val="22"/>
          <w:lang w:val="es-ES_tradnl"/>
        </w:rPr>
      </w:pPr>
      <w:r w:rsidRPr="009A0F16">
        <w:rPr>
          <w:rFonts w:cs="Arial"/>
          <w:sz w:val="22"/>
          <w:lang w:val="es-ES_tradnl"/>
        </w:rPr>
        <w:t>Resultados de la autoevaluación del Comité de Crédito.</w:t>
      </w:r>
    </w:p>
    <w:p w:rsidR="007749FC" w:rsidRPr="009A0F16" w:rsidRDefault="003B1AFE" w:rsidP="009A0F16">
      <w:pPr>
        <w:pStyle w:val="Prrafodelista"/>
        <w:numPr>
          <w:ilvl w:val="0"/>
          <w:numId w:val="18"/>
        </w:numPr>
        <w:spacing w:line="360" w:lineRule="auto"/>
        <w:ind w:left="426" w:hanging="426"/>
        <w:jc w:val="both"/>
        <w:rPr>
          <w:rFonts w:cs="Arial"/>
          <w:sz w:val="22"/>
        </w:rPr>
      </w:pPr>
      <w:r w:rsidRPr="009A0F16">
        <w:rPr>
          <w:rFonts w:cs="Arial"/>
          <w:sz w:val="22"/>
          <w:lang w:val="es-ES_tradnl"/>
        </w:rPr>
        <w:t>Consulta sobre proyecto de ley que otorga competencia a las municipalidades, para gestionar y desarrollar proyectos de vivienda de interés social.</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F23B4" w:rsidRPr="002F23B4">
        <w:rPr>
          <w:rFonts w:cs="Arial"/>
          <w:b/>
          <w:sz w:val="22"/>
          <w:u w:val="single"/>
          <w:lang w:val="es-ES_tradnl"/>
        </w:rPr>
        <w:t>Presentación de informe sobre el avance en la ejecución de las actividades de los proyectos del Sistema de Apoyo a la Gestión Financiera, Rediseño del Sistema de Vivienda y Expediente Electrónico-Fase II</w:t>
      </w:r>
    </w:p>
    <w:p w:rsidR="00FA4CCB" w:rsidRDefault="00FA4CCB" w:rsidP="002D0146">
      <w:pPr>
        <w:spacing w:line="360" w:lineRule="auto"/>
        <w:jc w:val="both"/>
        <w:rPr>
          <w:rFonts w:cs="Arial"/>
          <w:sz w:val="22"/>
          <w:szCs w:val="22"/>
        </w:rPr>
      </w:pPr>
    </w:p>
    <w:p w:rsidR="009B7A9B" w:rsidRDefault="009B7A9B" w:rsidP="009B7A9B">
      <w:pPr>
        <w:spacing w:line="360" w:lineRule="auto"/>
        <w:jc w:val="both"/>
        <w:rPr>
          <w:rFonts w:cs="Arial"/>
          <w:sz w:val="22"/>
          <w:szCs w:val="22"/>
          <w:lang w:val="es-ES_tradnl"/>
        </w:rPr>
      </w:pPr>
      <w:r>
        <w:rPr>
          <w:rFonts w:cs="Arial"/>
          <w:sz w:val="22"/>
          <w:u w:val="single"/>
          <w:lang w:val="es-ES_tradnl"/>
        </w:rPr>
        <w:t>Minuto 00:45</w:t>
      </w:r>
      <w:r>
        <w:rPr>
          <w:rFonts w:cs="Arial"/>
          <w:sz w:val="22"/>
          <w:lang w:val="es-ES_tradnl"/>
        </w:rPr>
        <w:t xml:space="preserve"> Según lo resuelto en el acuerdo N° 1 de la sesión 26-2019, del pasado 01 de abril, se procede a conocer el informe, con corte al día de hoy,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 y para estos efectos, se incorporan a la sesión los funcionarios Marco Tulio Méndez Contreras, jefe del Departamento de Tecnología de Información; José Pablo Durán Rodríguez, jefe del Departamento Financiero Contable; </w:t>
      </w:r>
    </w:p>
    <w:p w:rsidR="009B7A9B" w:rsidRDefault="009B7A9B" w:rsidP="009B7A9B">
      <w:pPr>
        <w:spacing w:line="360" w:lineRule="auto"/>
        <w:jc w:val="both"/>
        <w:rPr>
          <w:rFonts w:cs="Arial"/>
          <w:sz w:val="22"/>
          <w:szCs w:val="22"/>
          <w:lang w:val="es-ES_tradnl"/>
        </w:rPr>
      </w:pPr>
      <w:proofErr w:type="gramStart"/>
      <w:r>
        <w:rPr>
          <w:rFonts w:cs="Arial"/>
          <w:sz w:val="22"/>
          <w:szCs w:val="22"/>
          <w:lang w:val="es-ES_tradnl"/>
        </w:rPr>
        <w:t>y</w:t>
      </w:r>
      <w:proofErr w:type="gramEnd"/>
      <w:r>
        <w:rPr>
          <w:rFonts w:cs="Arial"/>
          <w:sz w:val="22"/>
          <w:szCs w:val="22"/>
          <w:lang w:val="es-ES_tradnl"/>
        </w:rPr>
        <w:t xml:space="preserve"> Martha Camacho Murillo, Directora del FOSUVI.</w:t>
      </w:r>
    </w:p>
    <w:p w:rsidR="009B7A9B" w:rsidRDefault="009B7A9B" w:rsidP="009B7A9B">
      <w:pPr>
        <w:spacing w:line="360" w:lineRule="auto"/>
        <w:jc w:val="both"/>
        <w:rPr>
          <w:rFonts w:cs="Arial"/>
          <w:sz w:val="22"/>
          <w:szCs w:val="22"/>
          <w:lang w:val="es-ES_tradnl"/>
        </w:rPr>
      </w:pPr>
    </w:p>
    <w:p w:rsidR="009B7A9B" w:rsidRDefault="009B7A9B" w:rsidP="009B7A9B">
      <w:pPr>
        <w:spacing w:line="360" w:lineRule="auto"/>
        <w:jc w:val="both"/>
        <w:rPr>
          <w:rFonts w:cs="Arial"/>
          <w:sz w:val="22"/>
          <w:szCs w:val="22"/>
          <w:lang w:val="es-ES_tradnl"/>
        </w:rPr>
      </w:pPr>
      <w:r>
        <w:rPr>
          <w:rFonts w:cs="Arial"/>
          <w:sz w:val="22"/>
          <w:lang w:val="es-ES_tradnl"/>
        </w:rPr>
        <w:t xml:space="preserve">El licenciado Durán Rodríguez </w:t>
      </w:r>
      <w:r>
        <w:rPr>
          <w:rFonts w:cs="Arial"/>
          <w:sz w:val="22"/>
          <w:szCs w:val="22"/>
          <w:lang w:val="es-ES_tradnl"/>
        </w:rPr>
        <w:t>expone el referido avance en el cronograma de trabajo para los tres citados proyectos, atendiendo las consultas y observaciones que al respecto van planteando los señores Directores, y particularmente sobre el cumplimiento efectivo de los cronogramas previstos</w:t>
      </w:r>
      <w:r w:rsidR="00D87E7E">
        <w:rPr>
          <w:rFonts w:cs="Arial"/>
          <w:sz w:val="22"/>
          <w:szCs w:val="22"/>
          <w:lang w:val="es-ES_tradnl"/>
        </w:rPr>
        <w:t xml:space="preserve">, destacando </w:t>
      </w:r>
      <w:r w:rsidR="00D87E7E">
        <w:rPr>
          <w:rFonts w:cs="Arial"/>
          <w:sz w:val="22"/>
          <w:lang w:val="es-ES_tradnl"/>
        </w:rPr>
        <w:t>que el factor clave de éxito consiste en contar oportunamente con el recurso humano que requiere el desarrollo y la implementación dichos proyectos, cuyas acciones no tienen avance, aunque todavía se encuentra dentro del plazo.</w:t>
      </w:r>
    </w:p>
    <w:p w:rsidR="009B7A9B" w:rsidRDefault="009B7A9B" w:rsidP="009B7A9B">
      <w:pPr>
        <w:spacing w:line="360" w:lineRule="auto"/>
        <w:jc w:val="both"/>
        <w:rPr>
          <w:rFonts w:cs="Arial"/>
          <w:sz w:val="22"/>
          <w:szCs w:val="22"/>
          <w:lang w:val="es-ES_tradnl"/>
        </w:rPr>
      </w:pPr>
    </w:p>
    <w:p w:rsidR="00D87E7E" w:rsidRDefault="009B7A9B" w:rsidP="00F41073">
      <w:pPr>
        <w:spacing w:line="360" w:lineRule="auto"/>
        <w:jc w:val="both"/>
        <w:rPr>
          <w:rFonts w:cs="Arial"/>
          <w:sz w:val="22"/>
          <w:szCs w:val="22"/>
          <w:lang w:val="es-ES_tradnl"/>
        </w:rPr>
      </w:pPr>
      <w:r>
        <w:rPr>
          <w:rFonts w:cs="Arial"/>
          <w:sz w:val="22"/>
          <w:u w:val="single"/>
          <w:lang w:val="es-ES_tradnl"/>
        </w:rPr>
        <w:t xml:space="preserve">Minuto </w:t>
      </w:r>
      <w:r w:rsidR="00D87E7E">
        <w:rPr>
          <w:rFonts w:cs="Arial"/>
          <w:sz w:val="22"/>
          <w:u w:val="single"/>
          <w:lang w:val="es-ES_tradnl"/>
        </w:rPr>
        <w:t>2</w:t>
      </w:r>
      <w:r>
        <w:rPr>
          <w:rFonts w:cs="Arial"/>
          <w:sz w:val="22"/>
          <w:u w:val="single"/>
          <w:lang w:val="es-ES_tradnl"/>
        </w:rPr>
        <w:t>8</w:t>
      </w:r>
      <w:r w:rsidRPr="0039311E">
        <w:rPr>
          <w:rFonts w:cs="Arial"/>
          <w:sz w:val="22"/>
          <w:u w:val="single"/>
          <w:lang w:val="es-ES_tradnl"/>
        </w:rPr>
        <w:t>:</w:t>
      </w:r>
      <w:r w:rsidR="00D87E7E">
        <w:rPr>
          <w:rFonts w:cs="Arial"/>
          <w:sz w:val="22"/>
          <w:u w:val="single"/>
          <w:lang w:val="es-ES_tradnl"/>
        </w:rPr>
        <w:t>3</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D87E7E">
        <w:rPr>
          <w:rFonts w:cs="Arial"/>
          <w:sz w:val="22"/>
          <w:lang w:val="es-ES_tradnl"/>
        </w:rPr>
        <w:t xml:space="preserve"> y, adicionalmente, dada la discusión realizada en torno a las actividades que le competen a la Dirección </w:t>
      </w:r>
      <w:r w:rsidR="00D87E7E">
        <w:rPr>
          <w:rFonts w:cs="Arial"/>
          <w:sz w:val="22"/>
          <w:szCs w:val="22"/>
          <w:lang w:val="es-ES_tradnl"/>
        </w:rPr>
        <w:t xml:space="preserve">Administrativa, se concuerda en la pertinencia de girar instrucciones a </w:t>
      </w:r>
      <w:r w:rsidR="00D87E7E">
        <w:rPr>
          <w:rFonts w:cs="Arial"/>
          <w:sz w:val="22"/>
          <w:lang w:val="es-ES_tradnl"/>
        </w:rPr>
        <w:t xml:space="preserve">la </w:t>
      </w:r>
      <w:r w:rsidR="00D87E7E" w:rsidRPr="00F041BB">
        <w:rPr>
          <w:rFonts w:cs="Arial"/>
          <w:sz w:val="22"/>
          <w:szCs w:val="22"/>
          <w:lang w:val="es-ES_tradnl"/>
        </w:rPr>
        <w:t>Gerencia General</w:t>
      </w:r>
      <w:r w:rsidR="00D87E7E">
        <w:rPr>
          <w:rFonts w:cs="Arial"/>
          <w:sz w:val="22"/>
          <w:szCs w:val="22"/>
          <w:lang w:val="es-ES_tradnl"/>
        </w:rPr>
        <w:t>, para que de inmediato realice una revisión de dicha Dirección y particularmente de las áreas de Recursos Humanos y Proveeduría, debiendo tomar las acciones que estime necesarias para mitigar cualquier riesgo que advierta, en relación con las actividades que les competen a esas áreas, para garantizar el desarrollo oportuno y adecuado de los citados proyectos.  Lo anterior, según se consigna en el Acuerdo N° 1 que se anexa a esta minuta.</w:t>
      </w:r>
    </w:p>
    <w:p w:rsidR="00D87E7E" w:rsidRDefault="00D87E7E" w:rsidP="00F41073">
      <w:pPr>
        <w:spacing w:line="360" w:lineRule="auto"/>
        <w:jc w:val="both"/>
        <w:rPr>
          <w:rFonts w:cs="Arial"/>
          <w:sz w:val="22"/>
          <w:szCs w:val="22"/>
          <w:lang w:val="es-ES_tradnl"/>
        </w:rPr>
      </w:pPr>
    </w:p>
    <w:p w:rsidR="00F41073" w:rsidRPr="00D87E7E" w:rsidRDefault="00D87E7E" w:rsidP="00F41073">
      <w:pPr>
        <w:spacing w:line="360" w:lineRule="auto"/>
        <w:jc w:val="both"/>
        <w:rPr>
          <w:rFonts w:cs="Arial"/>
          <w:sz w:val="22"/>
          <w:szCs w:val="22"/>
          <w:lang w:val="es-ES_tradnl"/>
        </w:rPr>
      </w:pPr>
      <w:r>
        <w:rPr>
          <w:rFonts w:cs="Arial"/>
          <w:sz w:val="22"/>
          <w:szCs w:val="22"/>
          <w:lang w:val="es-ES_tradnl"/>
        </w:rPr>
        <w:lastRenderedPageBreak/>
        <w:t xml:space="preserve">Minuto 29:00 A solicitud del Director Pérez Gutiérrez, el licenciado Durán Rodríguez comenta los aspectos más relevantes de la visita efectuada al Ministerio de Hacienda, para valorar la experiencia de ese Ministerio en la implementación de un ERP.  </w:t>
      </w:r>
      <w:r w:rsidR="009B7A9B">
        <w:rPr>
          <w:rFonts w:cs="Arial"/>
          <w:sz w:val="22"/>
          <w:szCs w:val="22"/>
        </w:rPr>
        <w:t>Acto seguido, se retiran de la sesión los funcionarios Durán Rodríguez y Méndez Contreras.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2F23B4" w:rsidRPr="002F23B4">
        <w:rPr>
          <w:rFonts w:cs="Arial"/>
          <w:b/>
          <w:sz w:val="22"/>
          <w:u w:val="single"/>
          <w:lang w:val="es-ES_tradnl"/>
        </w:rPr>
        <w:t>Propuesta de sustitución del tipo de póliza de Seguro de Responsabilidad Civil Profesional, por el diseño en los proyectos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D87E7E">
        <w:rPr>
          <w:rFonts w:cs="Arial"/>
          <w:sz w:val="22"/>
          <w:u w:val="single"/>
          <w:lang w:val="es-ES_tradnl"/>
        </w:rPr>
        <w:t>34</w:t>
      </w:r>
      <w:r w:rsidRPr="0039311E">
        <w:rPr>
          <w:rFonts w:cs="Arial"/>
          <w:sz w:val="22"/>
          <w:u w:val="single"/>
          <w:lang w:val="es-ES_tradnl"/>
        </w:rPr>
        <w:t>:</w:t>
      </w:r>
      <w:r w:rsidR="00D87E7E">
        <w:rPr>
          <w:rFonts w:cs="Arial"/>
          <w:sz w:val="22"/>
          <w:u w:val="single"/>
          <w:lang w:val="es-ES_tradnl"/>
        </w:rPr>
        <w:t>50</w:t>
      </w:r>
      <w:r>
        <w:rPr>
          <w:rFonts w:cs="Arial"/>
          <w:sz w:val="22"/>
          <w:lang w:val="es-ES_tradnl"/>
        </w:rPr>
        <w:t xml:space="preserve"> Se conoce el oficio </w:t>
      </w:r>
      <w:r w:rsidR="00781B2B">
        <w:rPr>
          <w:rFonts w:cs="Arial"/>
          <w:sz w:val="22"/>
          <w:lang w:val="es-ES_tradnl"/>
        </w:rPr>
        <w:t xml:space="preserve">GG-ME-0802-2019 del 31 de julio de 2019, mediante el cual, atendiendo lo dispuesto en el acuerdo </w:t>
      </w:r>
      <w:r w:rsidR="0048769B">
        <w:rPr>
          <w:rFonts w:cs="Arial"/>
          <w:sz w:val="22"/>
          <w:lang w:val="es-ES_tradnl"/>
        </w:rPr>
        <w:t xml:space="preserve">N° </w:t>
      </w:r>
      <w:r w:rsidR="00781B2B">
        <w:rPr>
          <w:rFonts w:cs="Arial"/>
          <w:sz w:val="22"/>
          <w:lang w:val="es-ES_tradnl"/>
        </w:rPr>
        <w:t xml:space="preserve">11 de la sesión 52-2019 del 08 de julio de 2019, la </w:t>
      </w:r>
      <w:r w:rsidR="00781B2B" w:rsidRPr="00781B2B">
        <w:rPr>
          <w:rFonts w:cs="Arial"/>
          <w:sz w:val="22"/>
          <w:szCs w:val="22"/>
          <w:lang w:val="es-ES_tradnl"/>
        </w:rPr>
        <w:t>Gerencia General</w:t>
      </w:r>
      <w:r w:rsidR="00781B2B">
        <w:rPr>
          <w:rFonts w:cs="Arial"/>
          <w:sz w:val="22"/>
          <w:szCs w:val="22"/>
          <w:lang w:val="es-ES_tradnl"/>
        </w:rPr>
        <w:t xml:space="preserve"> remite y avala el informe DF-OF-0874-2019 de la Dirección FOSUVI, que contiene una propuesta para sustituir el tipo de póliza de seguro de Responsabilidad Civil Profesional, por el diseño en los proyectos de vivienda gestionados mediante procesos licitatorios.  Dichos documentos se adjuntan al expediente del acta.</w:t>
      </w:r>
    </w:p>
    <w:p w:rsidR="00781B2B" w:rsidRDefault="00781B2B" w:rsidP="009D03FE">
      <w:pPr>
        <w:spacing w:line="360" w:lineRule="auto"/>
        <w:jc w:val="both"/>
        <w:rPr>
          <w:rFonts w:cs="Arial"/>
          <w:sz w:val="22"/>
          <w:szCs w:val="22"/>
          <w:lang w:val="es-ES_tradnl"/>
        </w:rPr>
      </w:pPr>
    </w:p>
    <w:p w:rsidR="00781B2B" w:rsidRDefault="00781B2B" w:rsidP="00781B2B">
      <w:pPr>
        <w:spacing w:line="360" w:lineRule="auto"/>
        <w:jc w:val="both"/>
        <w:rPr>
          <w:rFonts w:cs="Arial"/>
          <w:sz w:val="22"/>
          <w:szCs w:val="22"/>
          <w:lang w:val="es-CR"/>
        </w:rPr>
      </w:pPr>
      <w:r>
        <w:rPr>
          <w:rFonts w:cs="Arial"/>
          <w:sz w:val="22"/>
          <w:szCs w:val="22"/>
          <w:lang w:val="es-ES_tradnl"/>
        </w:rPr>
        <w:t xml:space="preserve">La licenciada Camacho Murillo expone los antecedentes del tema y los alcances de la propuesta que ahora se conoce, </w:t>
      </w:r>
      <w:r w:rsidR="00530A8B">
        <w:rPr>
          <w:rFonts w:cs="Arial"/>
          <w:sz w:val="22"/>
          <w:szCs w:val="22"/>
          <w:lang w:val="es-ES_tradnl"/>
        </w:rPr>
        <w:t xml:space="preserve">haciendo énfasis en que </w:t>
      </w:r>
      <w:r w:rsidRPr="00781B2B">
        <w:rPr>
          <w:rFonts w:cs="Arial"/>
          <w:sz w:val="22"/>
          <w:szCs w:val="22"/>
          <w:lang w:val="es-CR"/>
        </w:rPr>
        <w:t xml:space="preserve">solicitar </w:t>
      </w:r>
      <w:r w:rsidR="00C65F2B">
        <w:rPr>
          <w:rFonts w:cs="Arial"/>
          <w:sz w:val="22"/>
          <w:szCs w:val="22"/>
          <w:lang w:val="es-CR"/>
        </w:rPr>
        <w:t xml:space="preserve">la </w:t>
      </w:r>
      <w:r w:rsidRPr="00781B2B">
        <w:rPr>
          <w:rFonts w:cs="Arial"/>
          <w:sz w:val="22"/>
          <w:szCs w:val="22"/>
          <w:lang w:val="es-CR"/>
        </w:rPr>
        <w:t>p</w:t>
      </w:r>
      <w:r w:rsidR="00C65F2B">
        <w:rPr>
          <w:rFonts w:cs="Arial"/>
          <w:sz w:val="22"/>
          <w:szCs w:val="22"/>
          <w:lang w:val="es-CR"/>
        </w:rPr>
        <w:t>ó</w:t>
      </w:r>
      <w:r w:rsidRPr="00781B2B">
        <w:rPr>
          <w:rFonts w:cs="Arial"/>
          <w:sz w:val="22"/>
          <w:szCs w:val="22"/>
          <w:lang w:val="es-CR"/>
        </w:rPr>
        <w:t xml:space="preserve">liza indicada en el acuerdo N° 5 de </w:t>
      </w:r>
      <w:r w:rsidR="00C65F2B">
        <w:rPr>
          <w:rFonts w:cs="Arial"/>
          <w:sz w:val="22"/>
          <w:szCs w:val="22"/>
          <w:lang w:val="es-CR"/>
        </w:rPr>
        <w:t>la</w:t>
      </w:r>
      <w:r w:rsidRPr="00781B2B">
        <w:rPr>
          <w:rFonts w:cs="Arial"/>
          <w:sz w:val="22"/>
          <w:szCs w:val="22"/>
          <w:lang w:val="es-CR"/>
        </w:rPr>
        <w:t xml:space="preserve"> sesi</w:t>
      </w:r>
      <w:r w:rsidR="00C65F2B">
        <w:rPr>
          <w:rFonts w:cs="Arial"/>
          <w:sz w:val="22"/>
          <w:szCs w:val="22"/>
          <w:lang w:val="es-CR"/>
        </w:rPr>
        <w:t>ón</w:t>
      </w:r>
      <w:r w:rsidRPr="00781B2B">
        <w:rPr>
          <w:rFonts w:cs="Arial"/>
          <w:sz w:val="22"/>
          <w:szCs w:val="22"/>
          <w:lang w:val="es-CR"/>
        </w:rPr>
        <w:t xml:space="preserve"> 51-2018 del 13 de setiembre de 2018, no</w:t>
      </w:r>
      <w:r w:rsidR="00C65F2B">
        <w:rPr>
          <w:rFonts w:cs="Arial"/>
          <w:sz w:val="22"/>
          <w:szCs w:val="22"/>
          <w:lang w:val="es-CR"/>
        </w:rPr>
        <w:t xml:space="preserve"> </w:t>
      </w:r>
      <w:r w:rsidRPr="00781B2B">
        <w:rPr>
          <w:rFonts w:cs="Arial"/>
          <w:sz w:val="22"/>
          <w:szCs w:val="22"/>
          <w:lang w:val="es-CR"/>
        </w:rPr>
        <w:t xml:space="preserve">garantiza </w:t>
      </w:r>
      <w:r w:rsidR="00C65F2B">
        <w:rPr>
          <w:rFonts w:cs="Arial"/>
          <w:sz w:val="22"/>
          <w:szCs w:val="22"/>
          <w:lang w:val="es-CR"/>
        </w:rPr>
        <w:t>la</w:t>
      </w:r>
      <w:r w:rsidRPr="00781B2B">
        <w:rPr>
          <w:rFonts w:cs="Arial"/>
          <w:sz w:val="22"/>
          <w:szCs w:val="22"/>
          <w:lang w:val="es-CR"/>
        </w:rPr>
        <w:t xml:space="preserve"> cobertura de errores u omisiones de dise</w:t>
      </w:r>
      <w:r w:rsidR="00C65F2B">
        <w:rPr>
          <w:rFonts w:cs="Arial"/>
          <w:sz w:val="22"/>
          <w:szCs w:val="22"/>
          <w:lang w:val="es-CR"/>
        </w:rPr>
        <w:t>ñ</w:t>
      </w:r>
      <w:r w:rsidRPr="00781B2B">
        <w:rPr>
          <w:rFonts w:cs="Arial"/>
          <w:sz w:val="22"/>
          <w:szCs w:val="22"/>
          <w:lang w:val="es-CR"/>
        </w:rPr>
        <w:t xml:space="preserve">o, si no se adquiere </w:t>
      </w:r>
      <w:r w:rsidR="00C65F2B">
        <w:rPr>
          <w:rFonts w:cs="Arial"/>
          <w:sz w:val="22"/>
          <w:szCs w:val="22"/>
          <w:lang w:val="es-CR"/>
        </w:rPr>
        <w:t>la</w:t>
      </w:r>
      <w:r w:rsidRPr="00781B2B">
        <w:rPr>
          <w:rFonts w:cs="Arial"/>
          <w:sz w:val="22"/>
          <w:szCs w:val="22"/>
          <w:lang w:val="es-CR"/>
        </w:rPr>
        <w:t xml:space="preserve"> “RCP</w:t>
      </w:r>
      <w:r w:rsidR="00C65F2B">
        <w:rPr>
          <w:rFonts w:cs="Arial"/>
          <w:sz w:val="22"/>
          <w:szCs w:val="22"/>
          <w:lang w:val="es-CR"/>
        </w:rPr>
        <w:t xml:space="preserve"> </w:t>
      </w:r>
      <w:r w:rsidRPr="00781B2B">
        <w:rPr>
          <w:rFonts w:cs="Arial"/>
          <w:sz w:val="22"/>
          <w:szCs w:val="22"/>
          <w:lang w:val="es-CR"/>
        </w:rPr>
        <w:t>Facultativa” por errores u omisiones de dise</w:t>
      </w:r>
      <w:r w:rsidR="00C65F2B">
        <w:rPr>
          <w:rFonts w:cs="Arial"/>
          <w:sz w:val="22"/>
          <w:szCs w:val="22"/>
          <w:lang w:val="es-CR"/>
        </w:rPr>
        <w:t>ñ</w:t>
      </w:r>
      <w:r w:rsidRPr="00781B2B">
        <w:rPr>
          <w:rFonts w:cs="Arial"/>
          <w:sz w:val="22"/>
          <w:szCs w:val="22"/>
          <w:lang w:val="es-CR"/>
        </w:rPr>
        <w:t>o y se expresa as</w:t>
      </w:r>
      <w:r w:rsidR="00C65F2B">
        <w:rPr>
          <w:rFonts w:cs="Arial"/>
          <w:sz w:val="22"/>
          <w:szCs w:val="22"/>
          <w:lang w:val="es-CR"/>
        </w:rPr>
        <w:t>í</w:t>
      </w:r>
      <w:r w:rsidRPr="00781B2B">
        <w:rPr>
          <w:rFonts w:cs="Arial"/>
          <w:sz w:val="22"/>
          <w:szCs w:val="22"/>
          <w:lang w:val="es-CR"/>
        </w:rPr>
        <w:t xml:space="preserve"> en el contrato de</w:t>
      </w:r>
      <w:r w:rsidR="00C65F2B">
        <w:rPr>
          <w:rFonts w:cs="Arial"/>
          <w:sz w:val="22"/>
          <w:szCs w:val="22"/>
          <w:lang w:val="es-CR"/>
        </w:rPr>
        <w:t xml:space="preserve"> </w:t>
      </w:r>
      <w:r w:rsidRPr="00781B2B">
        <w:rPr>
          <w:rFonts w:cs="Arial"/>
          <w:sz w:val="22"/>
          <w:szCs w:val="22"/>
          <w:lang w:val="es-CR"/>
        </w:rPr>
        <w:t>aseguramiento, esto seg</w:t>
      </w:r>
      <w:r w:rsidR="00C65F2B">
        <w:rPr>
          <w:rFonts w:cs="Arial"/>
          <w:sz w:val="22"/>
          <w:szCs w:val="22"/>
          <w:lang w:val="es-CR"/>
        </w:rPr>
        <w:t>ú</w:t>
      </w:r>
      <w:r w:rsidRPr="00781B2B">
        <w:rPr>
          <w:rFonts w:cs="Arial"/>
          <w:sz w:val="22"/>
          <w:szCs w:val="22"/>
          <w:lang w:val="es-CR"/>
        </w:rPr>
        <w:t>n lo aclarado por el experto de seguros de</w:t>
      </w:r>
      <w:r w:rsidR="00C65F2B">
        <w:rPr>
          <w:rFonts w:cs="Arial"/>
          <w:sz w:val="22"/>
          <w:szCs w:val="22"/>
          <w:lang w:val="es-CR"/>
        </w:rPr>
        <w:t xml:space="preserve"> </w:t>
      </w:r>
      <w:r w:rsidRPr="00781B2B">
        <w:rPr>
          <w:rFonts w:cs="Arial"/>
          <w:sz w:val="22"/>
          <w:szCs w:val="22"/>
          <w:lang w:val="es-CR"/>
        </w:rPr>
        <w:t>Grupo Mutual Alajuela</w:t>
      </w:r>
      <w:r w:rsidR="00C65F2B">
        <w:rPr>
          <w:rFonts w:cs="Arial"/>
          <w:sz w:val="22"/>
          <w:szCs w:val="22"/>
          <w:lang w:val="es-CR"/>
        </w:rPr>
        <w:t xml:space="preserve"> – La </w:t>
      </w:r>
      <w:r w:rsidRPr="00781B2B">
        <w:rPr>
          <w:rFonts w:cs="Arial"/>
          <w:sz w:val="22"/>
          <w:szCs w:val="22"/>
          <w:lang w:val="es-CR"/>
        </w:rPr>
        <w:t>Vivienda.</w:t>
      </w:r>
    </w:p>
    <w:p w:rsidR="00530A8B" w:rsidRPr="00781B2B" w:rsidRDefault="00530A8B" w:rsidP="00781B2B">
      <w:pPr>
        <w:spacing w:line="360" w:lineRule="auto"/>
        <w:jc w:val="both"/>
        <w:rPr>
          <w:rFonts w:cs="Arial"/>
          <w:sz w:val="22"/>
          <w:szCs w:val="22"/>
          <w:lang w:val="es-CR"/>
        </w:rPr>
      </w:pPr>
    </w:p>
    <w:p w:rsidR="00781B2B" w:rsidRDefault="00530A8B" w:rsidP="00781B2B">
      <w:pPr>
        <w:spacing w:line="360" w:lineRule="auto"/>
        <w:jc w:val="both"/>
        <w:rPr>
          <w:rFonts w:cs="Arial"/>
          <w:sz w:val="22"/>
          <w:szCs w:val="22"/>
          <w:lang w:val="es-CR"/>
        </w:rPr>
      </w:pPr>
      <w:r>
        <w:rPr>
          <w:rFonts w:cs="Arial"/>
          <w:sz w:val="22"/>
          <w:szCs w:val="22"/>
          <w:lang w:val="es-CR"/>
        </w:rPr>
        <w:t>Agrega que l</w:t>
      </w:r>
      <w:r w:rsidR="00781B2B" w:rsidRPr="00781B2B">
        <w:rPr>
          <w:rFonts w:cs="Arial"/>
          <w:sz w:val="22"/>
          <w:szCs w:val="22"/>
          <w:lang w:val="es-CR"/>
        </w:rPr>
        <w:t>a “RCP Facultativa”, que s</w:t>
      </w:r>
      <w:r w:rsidR="00C65F2B">
        <w:rPr>
          <w:rFonts w:cs="Arial"/>
          <w:sz w:val="22"/>
          <w:szCs w:val="22"/>
          <w:lang w:val="es-CR"/>
        </w:rPr>
        <w:t>í</w:t>
      </w:r>
      <w:r w:rsidR="00781B2B" w:rsidRPr="00781B2B">
        <w:rPr>
          <w:rFonts w:cs="Arial"/>
          <w:sz w:val="22"/>
          <w:szCs w:val="22"/>
          <w:lang w:val="es-CR"/>
        </w:rPr>
        <w:t xml:space="preserve"> garantizarla los errores u omisiones de dise</w:t>
      </w:r>
      <w:r w:rsidR="00C65F2B">
        <w:rPr>
          <w:rFonts w:cs="Arial"/>
          <w:sz w:val="22"/>
          <w:szCs w:val="22"/>
          <w:lang w:val="es-CR"/>
        </w:rPr>
        <w:t>ñ</w:t>
      </w:r>
      <w:r w:rsidR="00781B2B" w:rsidRPr="00781B2B">
        <w:rPr>
          <w:rFonts w:cs="Arial"/>
          <w:sz w:val="22"/>
          <w:szCs w:val="22"/>
          <w:lang w:val="es-CR"/>
        </w:rPr>
        <w:t>o</w:t>
      </w:r>
      <w:r w:rsidR="00C65F2B">
        <w:rPr>
          <w:rFonts w:cs="Arial"/>
          <w:sz w:val="22"/>
          <w:szCs w:val="22"/>
          <w:lang w:val="es-CR"/>
        </w:rPr>
        <w:t>,</w:t>
      </w:r>
      <w:r w:rsidR="00781B2B" w:rsidRPr="00781B2B">
        <w:rPr>
          <w:rFonts w:cs="Arial"/>
          <w:sz w:val="22"/>
          <w:szCs w:val="22"/>
          <w:lang w:val="es-CR"/>
        </w:rPr>
        <w:t xml:space="preserve"> requiere m</w:t>
      </w:r>
      <w:r w:rsidR="00C65F2B">
        <w:rPr>
          <w:rFonts w:cs="Arial"/>
          <w:sz w:val="22"/>
          <w:szCs w:val="22"/>
          <w:lang w:val="es-CR"/>
        </w:rPr>
        <w:t>á</w:t>
      </w:r>
      <w:r w:rsidR="00781B2B" w:rsidRPr="00781B2B">
        <w:rPr>
          <w:rFonts w:cs="Arial"/>
          <w:sz w:val="22"/>
          <w:szCs w:val="22"/>
          <w:lang w:val="es-CR"/>
        </w:rPr>
        <w:t>s</w:t>
      </w:r>
      <w:r w:rsidR="00C65F2B">
        <w:rPr>
          <w:rFonts w:cs="Arial"/>
          <w:sz w:val="22"/>
          <w:szCs w:val="22"/>
          <w:lang w:val="es-CR"/>
        </w:rPr>
        <w:t xml:space="preserve"> </w:t>
      </w:r>
      <w:r w:rsidR="00781B2B" w:rsidRPr="00781B2B">
        <w:rPr>
          <w:rFonts w:cs="Arial"/>
          <w:sz w:val="22"/>
          <w:szCs w:val="22"/>
          <w:lang w:val="es-CR"/>
        </w:rPr>
        <w:t>requisitos que una RCP convencional y su cost</w:t>
      </w:r>
      <w:r>
        <w:rPr>
          <w:rFonts w:cs="Arial"/>
          <w:sz w:val="22"/>
          <w:szCs w:val="22"/>
          <w:lang w:val="es-CR"/>
        </w:rPr>
        <w:t>o</w:t>
      </w:r>
      <w:r w:rsidR="00781B2B" w:rsidRPr="00781B2B">
        <w:rPr>
          <w:rFonts w:cs="Arial"/>
          <w:sz w:val="22"/>
          <w:szCs w:val="22"/>
          <w:lang w:val="es-CR"/>
        </w:rPr>
        <w:t xml:space="preserve"> pude ser al menos 3 veces mayor a </w:t>
      </w:r>
      <w:r w:rsidR="00C65F2B">
        <w:rPr>
          <w:rFonts w:cs="Arial"/>
          <w:sz w:val="22"/>
          <w:szCs w:val="22"/>
          <w:lang w:val="es-CR"/>
        </w:rPr>
        <w:t xml:space="preserve">la </w:t>
      </w:r>
      <w:r w:rsidR="00781B2B" w:rsidRPr="00781B2B">
        <w:rPr>
          <w:rFonts w:cs="Arial"/>
          <w:sz w:val="22"/>
          <w:szCs w:val="22"/>
          <w:lang w:val="es-CR"/>
        </w:rPr>
        <w:t xml:space="preserve">RCP convencional, </w:t>
      </w:r>
      <w:r>
        <w:rPr>
          <w:rFonts w:cs="Arial"/>
          <w:sz w:val="22"/>
          <w:szCs w:val="22"/>
          <w:lang w:val="es-CR"/>
        </w:rPr>
        <w:t xml:space="preserve">y </w:t>
      </w:r>
      <w:r w:rsidR="00781B2B" w:rsidRPr="00781B2B">
        <w:rPr>
          <w:rFonts w:cs="Arial"/>
          <w:sz w:val="22"/>
          <w:szCs w:val="22"/>
          <w:lang w:val="es-CR"/>
        </w:rPr>
        <w:t>adem</w:t>
      </w:r>
      <w:r w:rsidR="00C65F2B">
        <w:rPr>
          <w:rFonts w:cs="Arial"/>
          <w:sz w:val="22"/>
          <w:szCs w:val="22"/>
          <w:lang w:val="es-CR"/>
        </w:rPr>
        <w:t>á</w:t>
      </w:r>
      <w:r w:rsidR="00781B2B" w:rsidRPr="00781B2B">
        <w:rPr>
          <w:rFonts w:cs="Arial"/>
          <w:sz w:val="22"/>
          <w:szCs w:val="22"/>
          <w:lang w:val="es-CR"/>
        </w:rPr>
        <w:t xml:space="preserve">s no se garantiza que las </w:t>
      </w:r>
      <w:r w:rsidR="00C65F2B">
        <w:rPr>
          <w:rFonts w:cs="Arial"/>
          <w:sz w:val="22"/>
          <w:szCs w:val="22"/>
          <w:lang w:val="es-CR"/>
        </w:rPr>
        <w:t>a</w:t>
      </w:r>
      <w:r w:rsidR="00781B2B" w:rsidRPr="00781B2B">
        <w:rPr>
          <w:rFonts w:cs="Arial"/>
          <w:sz w:val="22"/>
          <w:szCs w:val="22"/>
          <w:lang w:val="es-CR"/>
        </w:rPr>
        <w:t>seguradoras asuman el riesgo de</w:t>
      </w:r>
      <w:r w:rsidR="00C65F2B">
        <w:rPr>
          <w:rFonts w:cs="Arial"/>
          <w:sz w:val="22"/>
          <w:szCs w:val="22"/>
          <w:lang w:val="es-CR"/>
        </w:rPr>
        <w:t xml:space="preserve"> </w:t>
      </w:r>
      <w:r w:rsidR="00781B2B" w:rsidRPr="00781B2B">
        <w:rPr>
          <w:rFonts w:cs="Arial"/>
          <w:sz w:val="22"/>
          <w:szCs w:val="22"/>
          <w:lang w:val="es-CR"/>
        </w:rPr>
        <w:t>aprobar una p</w:t>
      </w:r>
      <w:r w:rsidR="00C65F2B">
        <w:rPr>
          <w:rFonts w:cs="Arial"/>
          <w:sz w:val="22"/>
          <w:szCs w:val="22"/>
          <w:lang w:val="es-CR"/>
        </w:rPr>
        <w:t>ó</w:t>
      </w:r>
      <w:r w:rsidR="00781B2B" w:rsidRPr="00781B2B">
        <w:rPr>
          <w:rFonts w:cs="Arial"/>
          <w:sz w:val="22"/>
          <w:szCs w:val="22"/>
          <w:lang w:val="es-CR"/>
        </w:rPr>
        <w:t>liza para profesionales que no cumplan con los requisitos m</w:t>
      </w:r>
      <w:r w:rsidR="00C65F2B">
        <w:rPr>
          <w:rFonts w:cs="Arial"/>
          <w:sz w:val="22"/>
          <w:szCs w:val="22"/>
          <w:lang w:val="es-CR"/>
        </w:rPr>
        <w:t>í</w:t>
      </w:r>
      <w:r w:rsidR="00781B2B" w:rsidRPr="00781B2B">
        <w:rPr>
          <w:rFonts w:cs="Arial"/>
          <w:sz w:val="22"/>
          <w:szCs w:val="22"/>
          <w:lang w:val="es-CR"/>
        </w:rPr>
        <w:t>nimos de</w:t>
      </w:r>
      <w:r w:rsidR="00C65F2B">
        <w:rPr>
          <w:rFonts w:cs="Arial"/>
          <w:sz w:val="22"/>
          <w:szCs w:val="22"/>
          <w:lang w:val="es-CR"/>
        </w:rPr>
        <w:t xml:space="preserve"> </w:t>
      </w:r>
      <w:r w:rsidR="00781B2B" w:rsidRPr="00781B2B">
        <w:rPr>
          <w:rFonts w:cs="Arial"/>
          <w:sz w:val="22"/>
          <w:szCs w:val="22"/>
          <w:lang w:val="es-CR"/>
        </w:rPr>
        <w:t>experiencia profesional.</w:t>
      </w:r>
    </w:p>
    <w:p w:rsidR="00530A8B" w:rsidRPr="00781B2B" w:rsidRDefault="00530A8B" w:rsidP="00781B2B">
      <w:pPr>
        <w:spacing w:line="360" w:lineRule="auto"/>
        <w:jc w:val="both"/>
        <w:rPr>
          <w:rFonts w:cs="Arial"/>
          <w:sz w:val="22"/>
          <w:szCs w:val="22"/>
          <w:lang w:val="es-CR"/>
        </w:rPr>
      </w:pPr>
    </w:p>
    <w:p w:rsidR="00781B2B" w:rsidRDefault="00530A8B" w:rsidP="00781B2B">
      <w:pPr>
        <w:spacing w:line="360" w:lineRule="auto"/>
        <w:jc w:val="both"/>
        <w:rPr>
          <w:rFonts w:cs="Arial"/>
          <w:sz w:val="22"/>
          <w:szCs w:val="22"/>
          <w:lang w:val="es-CR"/>
        </w:rPr>
      </w:pPr>
      <w:r>
        <w:rPr>
          <w:rFonts w:cs="Arial"/>
          <w:sz w:val="22"/>
          <w:szCs w:val="22"/>
          <w:lang w:val="es-CR"/>
        </w:rPr>
        <w:t xml:space="preserve">En razón de lo anterior, señala que en </w:t>
      </w:r>
      <w:r w:rsidR="00781B2B" w:rsidRPr="00781B2B">
        <w:rPr>
          <w:rFonts w:cs="Arial"/>
          <w:sz w:val="22"/>
          <w:szCs w:val="22"/>
          <w:lang w:val="es-CR"/>
        </w:rPr>
        <w:t xml:space="preserve">caso de que se considere solicitar </w:t>
      </w:r>
      <w:r w:rsidR="00C65F2B">
        <w:rPr>
          <w:rFonts w:cs="Arial"/>
          <w:sz w:val="22"/>
          <w:szCs w:val="22"/>
          <w:lang w:val="es-CR"/>
        </w:rPr>
        <w:t>la</w:t>
      </w:r>
      <w:r w:rsidR="00781B2B" w:rsidRPr="00781B2B">
        <w:rPr>
          <w:rFonts w:cs="Arial"/>
          <w:sz w:val="22"/>
          <w:szCs w:val="22"/>
          <w:lang w:val="es-CR"/>
        </w:rPr>
        <w:t xml:space="preserve"> “P</w:t>
      </w:r>
      <w:r w:rsidR="00C65F2B">
        <w:rPr>
          <w:rFonts w:cs="Arial"/>
          <w:sz w:val="22"/>
          <w:szCs w:val="22"/>
          <w:lang w:val="es-CR"/>
        </w:rPr>
        <w:t>ó</w:t>
      </w:r>
      <w:r w:rsidR="00781B2B" w:rsidRPr="00781B2B">
        <w:rPr>
          <w:rFonts w:cs="Arial"/>
          <w:sz w:val="22"/>
          <w:szCs w:val="22"/>
          <w:lang w:val="es-CR"/>
        </w:rPr>
        <w:t xml:space="preserve">liza </w:t>
      </w:r>
      <w:r w:rsidR="00C65F2B">
        <w:rPr>
          <w:rFonts w:cs="Arial"/>
          <w:sz w:val="22"/>
          <w:szCs w:val="22"/>
          <w:lang w:val="es-CR"/>
        </w:rPr>
        <w:t>d</w:t>
      </w:r>
      <w:r w:rsidR="00781B2B" w:rsidRPr="00781B2B">
        <w:rPr>
          <w:rFonts w:cs="Arial"/>
          <w:sz w:val="22"/>
          <w:szCs w:val="22"/>
          <w:lang w:val="es-CR"/>
        </w:rPr>
        <w:t>e Responsabilidad Civil” RCP, se debe</w:t>
      </w:r>
      <w:r w:rsidR="00C65F2B">
        <w:rPr>
          <w:rFonts w:cs="Arial"/>
          <w:sz w:val="22"/>
          <w:szCs w:val="22"/>
          <w:lang w:val="es-CR"/>
        </w:rPr>
        <w:t xml:space="preserve"> </w:t>
      </w:r>
      <w:r w:rsidR="00781B2B" w:rsidRPr="00781B2B">
        <w:rPr>
          <w:rFonts w:cs="Arial"/>
          <w:sz w:val="22"/>
          <w:szCs w:val="22"/>
          <w:lang w:val="es-CR"/>
        </w:rPr>
        <w:t xml:space="preserve">garantizar que se adquiera </w:t>
      </w:r>
      <w:r w:rsidR="00C65F2B">
        <w:rPr>
          <w:rFonts w:cs="Arial"/>
          <w:sz w:val="22"/>
          <w:szCs w:val="22"/>
          <w:lang w:val="es-CR"/>
        </w:rPr>
        <w:t>la</w:t>
      </w:r>
      <w:r w:rsidR="00781B2B" w:rsidRPr="00781B2B">
        <w:rPr>
          <w:rFonts w:cs="Arial"/>
          <w:sz w:val="22"/>
          <w:szCs w:val="22"/>
          <w:lang w:val="es-CR"/>
        </w:rPr>
        <w:t xml:space="preserve"> P</w:t>
      </w:r>
      <w:r w:rsidR="00C65F2B">
        <w:rPr>
          <w:rFonts w:cs="Arial"/>
          <w:sz w:val="22"/>
          <w:szCs w:val="22"/>
          <w:lang w:val="es-CR"/>
        </w:rPr>
        <w:t>ó</w:t>
      </w:r>
      <w:r w:rsidR="00781B2B" w:rsidRPr="00781B2B">
        <w:rPr>
          <w:rFonts w:cs="Arial"/>
          <w:sz w:val="22"/>
          <w:szCs w:val="22"/>
          <w:lang w:val="es-CR"/>
        </w:rPr>
        <w:t>liza “RCP Facultativa” y que as</w:t>
      </w:r>
      <w:r w:rsidR="00C65F2B">
        <w:rPr>
          <w:rFonts w:cs="Arial"/>
          <w:sz w:val="22"/>
          <w:szCs w:val="22"/>
          <w:lang w:val="es-CR"/>
        </w:rPr>
        <w:t>í</w:t>
      </w:r>
      <w:r w:rsidR="00781B2B" w:rsidRPr="00781B2B">
        <w:rPr>
          <w:rFonts w:cs="Arial"/>
          <w:sz w:val="22"/>
          <w:szCs w:val="22"/>
          <w:lang w:val="es-CR"/>
        </w:rPr>
        <w:t xml:space="preserve"> se indique</w:t>
      </w:r>
      <w:r w:rsidR="00C65F2B">
        <w:rPr>
          <w:rFonts w:cs="Arial"/>
          <w:sz w:val="22"/>
          <w:szCs w:val="22"/>
          <w:lang w:val="es-CR"/>
        </w:rPr>
        <w:t xml:space="preserve"> </w:t>
      </w:r>
      <w:r w:rsidR="00781B2B" w:rsidRPr="00781B2B">
        <w:rPr>
          <w:rFonts w:cs="Arial"/>
          <w:sz w:val="22"/>
          <w:szCs w:val="22"/>
          <w:lang w:val="es-CR"/>
        </w:rPr>
        <w:t>expresamente en el contrato, que ampara los errores u omisiones de dise</w:t>
      </w:r>
      <w:r w:rsidR="00C65F2B">
        <w:rPr>
          <w:rFonts w:cs="Arial"/>
          <w:sz w:val="22"/>
          <w:szCs w:val="22"/>
          <w:lang w:val="es-CR"/>
        </w:rPr>
        <w:t>ñ</w:t>
      </w:r>
      <w:r w:rsidR="00781B2B" w:rsidRPr="00781B2B">
        <w:rPr>
          <w:rFonts w:cs="Arial"/>
          <w:sz w:val="22"/>
          <w:szCs w:val="22"/>
          <w:lang w:val="es-CR"/>
        </w:rPr>
        <w:t>o. Baj</w:t>
      </w:r>
      <w:r w:rsidR="00C65F2B">
        <w:rPr>
          <w:rFonts w:cs="Arial"/>
          <w:sz w:val="22"/>
          <w:szCs w:val="22"/>
          <w:lang w:val="es-CR"/>
        </w:rPr>
        <w:t>o</w:t>
      </w:r>
      <w:r w:rsidR="00781B2B" w:rsidRPr="00781B2B">
        <w:rPr>
          <w:rFonts w:cs="Arial"/>
          <w:sz w:val="22"/>
          <w:szCs w:val="22"/>
          <w:lang w:val="es-CR"/>
        </w:rPr>
        <w:t xml:space="preserve"> </w:t>
      </w:r>
      <w:r w:rsidR="00C65F2B">
        <w:rPr>
          <w:rFonts w:cs="Arial"/>
          <w:sz w:val="22"/>
          <w:szCs w:val="22"/>
          <w:lang w:val="es-CR"/>
        </w:rPr>
        <w:t>la salvedad que el costo es má</w:t>
      </w:r>
      <w:r w:rsidR="00781B2B" w:rsidRPr="00781B2B">
        <w:rPr>
          <w:rFonts w:cs="Arial"/>
          <w:sz w:val="22"/>
          <w:szCs w:val="22"/>
          <w:lang w:val="es-CR"/>
        </w:rPr>
        <w:t xml:space="preserve">s alto que </w:t>
      </w:r>
      <w:r w:rsidR="00C65F2B">
        <w:rPr>
          <w:rFonts w:cs="Arial"/>
          <w:sz w:val="22"/>
          <w:szCs w:val="22"/>
          <w:lang w:val="es-CR"/>
        </w:rPr>
        <w:t>la</w:t>
      </w:r>
      <w:r w:rsidR="00781B2B" w:rsidRPr="00781B2B">
        <w:rPr>
          <w:rFonts w:cs="Arial"/>
          <w:sz w:val="22"/>
          <w:szCs w:val="22"/>
          <w:lang w:val="es-CR"/>
        </w:rPr>
        <w:t xml:space="preserve"> RCP normal, y que dicho costo deber</w:t>
      </w:r>
      <w:r w:rsidR="00C65F2B">
        <w:rPr>
          <w:rFonts w:cs="Arial"/>
          <w:sz w:val="22"/>
          <w:szCs w:val="22"/>
          <w:lang w:val="es-CR"/>
        </w:rPr>
        <w:t>á</w:t>
      </w:r>
      <w:r w:rsidR="00781B2B" w:rsidRPr="00781B2B">
        <w:rPr>
          <w:rFonts w:cs="Arial"/>
          <w:sz w:val="22"/>
          <w:szCs w:val="22"/>
          <w:lang w:val="es-CR"/>
        </w:rPr>
        <w:t xml:space="preserve"> ser</w:t>
      </w:r>
      <w:r w:rsidR="00C65F2B">
        <w:rPr>
          <w:rFonts w:cs="Arial"/>
          <w:sz w:val="22"/>
          <w:szCs w:val="22"/>
          <w:lang w:val="es-CR"/>
        </w:rPr>
        <w:t xml:space="preserve"> </w:t>
      </w:r>
      <w:r w:rsidR="00781B2B" w:rsidRPr="00781B2B">
        <w:rPr>
          <w:rFonts w:cs="Arial"/>
          <w:sz w:val="22"/>
          <w:szCs w:val="22"/>
          <w:lang w:val="es-CR"/>
        </w:rPr>
        <w:t>asumido por el dise</w:t>
      </w:r>
      <w:r w:rsidR="00C65F2B">
        <w:rPr>
          <w:rFonts w:cs="Arial"/>
          <w:sz w:val="22"/>
          <w:szCs w:val="22"/>
          <w:lang w:val="es-CR"/>
        </w:rPr>
        <w:t>ñ</w:t>
      </w:r>
      <w:r w:rsidR="00781B2B" w:rsidRPr="00781B2B">
        <w:rPr>
          <w:rFonts w:cs="Arial"/>
          <w:sz w:val="22"/>
          <w:szCs w:val="22"/>
          <w:lang w:val="es-CR"/>
        </w:rPr>
        <w:t xml:space="preserve">ador. Adicionalmente, con </w:t>
      </w:r>
      <w:r w:rsidR="00C65F2B">
        <w:rPr>
          <w:rFonts w:cs="Arial"/>
          <w:sz w:val="22"/>
          <w:szCs w:val="22"/>
          <w:lang w:val="es-CR"/>
        </w:rPr>
        <w:t>la</w:t>
      </w:r>
      <w:r w:rsidR="00781B2B" w:rsidRPr="00781B2B">
        <w:rPr>
          <w:rFonts w:cs="Arial"/>
          <w:sz w:val="22"/>
          <w:szCs w:val="22"/>
          <w:lang w:val="es-CR"/>
        </w:rPr>
        <w:t xml:space="preserve"> salvedad que no se garantiza que </w:t>
      </w:r>
      <w:r w:rsidR="00C65F2B">
        <w:rPr>
          <w:rFonts w:cs="Arial"/>
          <w:sz w:val="22"/>
          <w:szCs w:val="22"/>
          <w:lang w:val="es-CR"/>
        </w:rPr>
        <w:t xml:space="preserve">la </w:t>
      </w:r>
      <w:r w:rsidR="00781B2B" w:rsidRPr="00781B2B">
        <w:rPr>
          <w:rFonts w:cs="Arial"/>
          <w:sz w:val="22"/>
          <w:szCs w:val="22"/>
          <w:lang w:val="es-CR"/>
        </w:rPr>
        <w:t>empresa aseguradora asuma dicho riesgo.</w:t>
      </w:r>
    </w:p>
    <w:p w:rsidR="00530A8B" w:rsidRPr="00781B2B" w:rsidRDefault="00530A8B" w:rsidP="00781B2B">
      <w:pPr>
        <w:spacing w:line="360" w:lineRule="auto"/>
        <w:jc w:val="both"/>
        <w:rPr>
          <w:rFonts w:cs="Arial"/>
          <w:sz w:val="22"/>
          <w:szCs w:val="22"/>
          <w:lang w:val="es-CR"/>
        </w:rPr>
      </w:pPr>
    </w:p>
    <w:p w:rsidR="00781B2B" w:rsidRDefault="00530A8B" w:rsidP="00781B2B">
      <w:pPr>
        <w:spacing w:line="360" w:lineRule="auto"/>
        <w:jc w:val="both"/>
        <w:rPr>
          <w:rFonts w:cs="Arial"/>
          <w:sz w:val="22"/>
          <w:lang w:val="es-CR"/>
        </w:rPr>
      </w:pPr>
      <w:r>
        <w:rPr>
          <w:rFonts w:cs="Arial"/>
          <w:sz w:val="22"/>
          <w:szCs w:val="22"/>
          <w:lang w:val="es-CR"/>
        </w:rPr>
        <w:t>Añade que e</w:t>
      </w:r>
      <w:r w:rsidR="00781B2B" w:rsidRPr="00781B2B">
        <w:rPr>
          <w:rFonts w:cs="Arial"/>
          <w:sz w:val="22"/>
          <w:szCs w:val="22"/>
          <w:lang w:val="es-CR"/>
        </w:rPr>
        <w:t xml:space="preserve">n caso de dejar sin efecto el acuerdo N° 5 de </w:t>
      </w:r>
      <w:r w:rsidR="00C65F2B">
        <w:rPr>
          <w:rFonts w:cs="Arial"/>
          <w:sz w:val="22"/>
          <w:szCs w:val="22"/>
          <w:lang w:val="es-CR"/>
        </w:rPr>
        <w:t>la</w:t>
      </w:r>
      <w:r w:rsidR="00781B2B" w:rsidRPr="00781B2B">
        <w:rPr>
          <w:rFonts w:cs="Arial"/>
          <w:sz w:val="22"/>
          <w:szCs w:val="22"/>
          <w:lang w:val="es-CR"/>
        </w:rPr>
        <w:t xml:space="preserve"> sesi</w:t>
      </w:r>
      <w:r w:rsidR="00C65F2B">
        <w:rPr>
          <w:rFonts w:cs="Arial"/>
          <w:sz w:val="22"/>
          <w:szCs w:val="22"/>
          <w:lang w:val="es-CR"/>
        </w:rPr>
        <w:t xml:space="preserve">ón </w:t>
      </w:r>
      <w:r w:rsidR="00781B2B" w:rsidRPr="00781B2B">
        <w:rPr>
          <w:rFonts w:cs="Arial"/>
          <w:sz w:val="22"/>
          <w:szCs w:val="22"/>
          <w:lang w:val="es-CR"/>
        </w:rPr>
        <w:t>51-2018 del 13 de setiembre de</w:t>
      </w:r>
      <w:r>
        <w:rPr>
          <w:rFonts w:cs="Arial"/>
          <w:sz w:val="22"/>
          <w:szCs w:val="22"/>
          <w:lang w:val="es-CR"/>
        </w:rPr>
        <w:t xml:space="preserve"> </w:t>
      </w:r>
      <w:r w:rsidR="00781B2B" w:rsidRPr="00781B2B">
        <w:rPr>
          <w:rFonts w:cs="Arial"/>
          <w:sz w:val="22"/>
          <w:szCs w:val="22"/>
          <w:lang w:val="es-CR"/>
        </w:rPr>
        <w:t xml:space="preserve">2018, donde se solicita </w:t>
      </w:r>
      <w:r w:rsidR="00C65F2B">
        <w:rPr>
          <w:rFonts w:cs="Arial"/>
          <w:sz w:val="22"/>
          <w:szCs w:val="22"/>
          <w:lang w:val="es-CR"/>
        </w:rPr>
        <w:t>la</w:t>
      </w:r>
      <w:r w:rsidR="00781B2B" w:rsidRPr="00781B2B">
        <w:rPr>
          <w:rFonts w:cs="Arial"/>
          <w:sz w:val="22"/>
          <w:szCs w:val="22"/>
          <w:lang w:val="es-CR"/>
        </w:rPr>
        <w:t xml:space="preserve"> “P</w:t>
      </w:r>
      <w:r w:rsidR="00C65F2B">
        <w:rPr>
          <w:rFonts w:cs="Arial"/>
          <w:sz w:val="22"/>
          <w:szCs w:val="22"/>
          <w:lang w:val="es-CR"/>
        </w:rPr>
        <w:t>óli</w:t>
      </w:r>
      <w:r w:rsidR="00781B2B" w:rsidRPr="00781B2B">
        <w:rPr>
          <w:rFonts w:cs="Arial"/>
          <w:sz w:val="22"/>
          <w:szCs w:val="22"/>
          <w:lang w:val="es-CR"/>
        </w:rPr>
        <w:t>za de Responsabilidad Civil”, se recomienda aprobar</w:t>
      </w:r>
      <w:r w:rsidR="00C65F2B">
        <w:rPr>
          <w:rFonts w:cs="Arial"/>
          <w:sz w:val="22"/>
          <w:szCs w:val="22"/>
          <w:lang w:val="es-CR"/>
        </w:rPr>
        <w:t xml:space="preserve"> </w:t>
      </w:r>
      <w:r w:rsidR="00781B2B" w:rsidRPr="00781B2B">
        <w:rPr>
          <w:rFonts w:cs="Arial"/>
          <w:sz w:val="22"/>
          <w:szCs w:val="22"/>
          <w:lang w:val="es-CR"/>
        </w:rPr>
        <w:t>com</w:t>
      </w:r>
      <w:r w:rsidR="00C65F2B">
        <w:rPr>
          <w:rFonts w:cs="Arial"/>
          <w:sz w:val="22"/>
          <w:szCs w:val="22"/>
          <w:lang w:val="es-CR"/>
        </w:rPr>
        <w:t>o</w:t>
      </w:r>
      <w:r w:rsidR="00781B2B" w:rsidRPr="00781B2B">
        <w:rPr>
          <w:rFonts w:cs="Arial"/>
          <w:sz w:val="22"/>
          <w:szCs w:val="22"/>
          <w:lang w:val="es-CR"/>
        </w:rPr>
        <w:t xml:space="preserve"> requisito para proyectos tramitados baja el modelo de licitaci</w:t>
      </w:r>
      <w:r w:rsidR="00C65F2B">
        <w:rPr>
          <w:rFonts w:cs="Arial"/>
          <w:sz w:val="22"/>
          <w:szCs w:val="22"/>
          <w:lang w:val="es-CR"/>
        </w:rPr>
        <w:t>ón</w:t>
      </w:r>
      <w:r w:rsidR="00781B2B" w:rsidRPr="00781B2B">
        <w:rPr>
          <w:rFonts w:cs="Arial"/>
          <w:sz w:val="22"/>
          <w:szCs w:val="22"/>
          <w:lang w:val="es-CR"/>
        </w:rPr>
        <w:t>, que se</w:t>
      </w:r>
      <w:r w:rsidR="00C65F2B">
        <w:rPr>
          <w:rFonts w:cs="Arial"/>
          <w:sz w:val="22"/>
          <w:szCs w:val="22"/>
          <w:lang w:val="es-CR"/>
        </w:rPr>
        <w:t xml:space="preserve"> </w:t>
      </w:r>
      <w:r w:rsidR="00781B2B" w:rsidRPr="00781B2B">
        <w:rPr>
          <w:rFonts w:cs="Arial"/>
          <w:sz w:val="22"/>
          <w:szCs w:val="22"/>
          <w:lang w:val="es-CR"/>
        </w:rPr>
        <w:t>adquieran las coberturas “Todo Riesgo de Construcci</w:t>
      </w:r>
      <w:r w:rsidR="00C65F2B">
        <w:rPr>
          <w:rFonts w:cs="Arial"/>
          <w:sz w:val="22"/>
          <w:szCs w:val="22"/>
          <w:lang w:val="es-CR"/>
        </w:rPr>
        <w:t>ón</w:t>
      </w:r>
      <w:r w:rsidR="00781B2B" w:rsidRPr="00781B2B">
        <w:rPr>
          <w:rFonts w:cs="Arial"/>
          <w:sz w:val="22"/>
          <w:szCs w:val="22"/>
          <w:lang w:val="es-CR"/>
        </w:rPr>
        <w:t>” incluyendo al menos las</w:t>
      </w:r>
      <w:r w:rsidR="00C65F2B">
        <w:rPr>
          <w:rFonts w:cs="Arial"/>
          <w:sz w:val="22"/>
          <w:szCs w:val="22"/>
          <w:lang w:val="es-CR"/>
        </w:rPr>
        <w:t xml:space="preserve"> </w:t>
      </w:r>
      <w:r w:rsidR="00781B2B" w:rsidRPr="00781B2B">
        <w:rPr>
          <w:rFonts w:cs="Arial"/>
          <w:sz w:val="22"/>
          <w:szCs w:val="22"/>
          <w:lang w:val="es-CR"/>
        </w:rPr>
        <w:t>coberturas “E, F, G, L y U”.</w:t>
      </w:r>
      <w:r>
        <w:rPr>
          <w:rFonts w:cs="Arial"/>
          <w:sz w:val="22"/>
          <w:szCs w:val="22"/>
          <w:lang w:val="es-CR"/>
        </w:rPr>
        <w:t xml:space="preserve">  Y en</w:t>
      </w:r>
      <w:r w:rsidR="00781B2B" w:rsidRPr="00781B2B">
        <w:rPr>
          <w:rFonts w:cs="Arial"/>
          <w:sz w:val="22"/>
          <w:lang w:val="es-CR"/>
        </w:rPr>
        <w:t xml:space="preserve"> caso de adquirir </w:t>
      </w:r>
      <w:r w:rsidR="00C65F2B">
        <w:rPr>
          <w:rFonts w:cs="Arial"/>
          <w:sz w:val="22"/>
          <w:lang w:val="es-CR"/>
        </w:rPr>
        <w:t>la</w:t>
      </w:r>
      <w:r w:rsidR="00781B2B" w:rsidRPr="00781B2B">
        <w:rPr>
          <w:rFonts w:cs="Arial"/>
          <w:sz w:val="22"/>
          <w:lang w:val="es-CR"/>
        </w:rPr>
        <w:t xml:space="preserve"> p</w:t>
      </w:r>
      <w:r w:rsidR="00C65F2B">
        <w:rPr>
          <w:rFonts w:cs="Arial"/>
          <w:sz w:val="22"/>
          <w:lang w:val="es-CR"/>
        </w:rPr>
        <w:t>ó</w:t>
      </w:r>
      <w:r w:rsidR="00781B2B" w:rsidRPr="00781B2B">
        <w:rPr>
          <w:rFonts w:cs="Arial"/>
          <w:sz w:val="22"/>
          <w:lang w:val="es-CR"/>
        </w:rPr>
        <w:t>liza con otra aseguradora</w:t>
      </w:r>
      <w:r w:rsidR="00C65F2B">
        <w:rPr>
          <w:rFonts w:cs="Arial"/>
          <w:sz w:val="22"/>
          <w:lang w:val="es-CR"/>
        </w:rPr>
        <w:t>, la</w:t>
      </w:r>
      <w:r w:rsidR="00781B2B" w:rsidRPr="00781B2B">
        <w:rPr>
          <w:rFonts w:cs="Arial"/>
          <w:sz w:val="22"/>
          <w:lang w:val="es-CR"/>
        </w:rPr>
        <w:t xml:space="preserve"> Entidad Autorizada debe verificar</w:t>
      </w:r>
      <w:r w:rsidR="00C65F2B">
        <w:rPr>
          <w:rFonts w:cs="Arial"/>
          <w:sz w:val="22"/>
          <w:lang w:val="es-CR"/>
        </w:rPr>
        <w:t xml:space="preserve"> </w:t>
      </w:r>
      <w:r w:rsidR="00781B2B" w:rsidRPr="00781B2B">
        <w:rPr>
          <w:rFonts w:cs="Arial"/>
          <w:sz w:val="22"/>
          <w:lang w:val="es-CR"/>
        </w:rPr>
        <w:t xml:space="preserve">que se encuentren estas coberturas (E, F, G, L y U) o sus equivalentes en </w:t>
      </w:r>
      <w:r w:rsidR="00C65F2B">
        <w:rPr>
          <w:rFonts w:cs="Arial"/>
          <w:sz w:val="22"/>
          <w:lang w:val="es-CR"/>
        </w:rPr>
        <w:t>la</w:t>
      </w:r>
      <w:r w:rsidR="00781B2B" w:rsidRPr="00781B2B">
        <w:rPr>
          <w:rFonts w:cs="Arial"/>
          <w:sz w:val="22"/>
          <w:lang w:val="es-CR"/>
        </w:rPr>
        <w:t xml:space="preserve"> p</w:t>
      </w:r>
      <w:r w:rsidR="00C65F2B">
        <w:rPr>
          <w:rFonts w:cs="Arial"/>
          <w:sz w:val="22"/>
          <w:lang w:val="es-CR"/>
        </w:rPr>
        <w:t>ó</w:t>
      </w:r>
      <w:r w:rsidR="00781B2B" w:rsidRPr="00781B2B">
        <w:rPr>
          <w:rFonts w:cs="Arial"/>
          <w:sz w:val="22"/>
          <w:lang w:val="es-CR"/>
        </w:rPr>
        <w:t>liza que</w:t>
      </w:r>
      <w:r w:rsidR="00C65F2B">
        <w:rPr>
          <w:rFonts w:cs="Arial"/>
          <w:sz w:val="22"/>
          <w:lang w:val="es-CR"/>
        </w:rPr>
        <w:t xml:space="preserve"> </w:t>
      </w:r>
      <w:r w:rsidR="00781B2B" w:rsidRPr="00781B2B">
        <w:rPr>
          <w:rFonts w:cs="Arial"/>
          <w:sz w:val="22"/>
          <w:lang w:val="es-CR"/>
        </w:rPr>
        <w:t>adquiere el profesional responsable del dise</w:t>
      </w:r>
      <w:r w:rsidR="00C65F2B">
        <w:rPr>
          <w:rFonts w:cs="Arial"/>
          <w:sz w:val="22"/>
          <w:lang w:val="es-CR"/>
        </w:rPr>
        <w:t>ñ</w:t>
      </w:r>
      <w:r w:rsidR="00781B2B" w:rsidRPr="00781B2B">
        <w:rPr>
          <w:rFonts w:cs="Arial"/>
          <w:sz w:val="22"/>
          <w:lang w:val="es-CR"/>
        </w:rPr>
        <w:t>o.</w:t>
      </w:r>
    </w:p>
    <w:p w:rsidR="00530A8B" w:rsidRDefault="00530A8B" w:rsidP="00781B2B">
      <w:pPr>
        <w:spacing w:line="360" w:lineRule="auto"/>
        <w:jc w:val="both"/>
        <w:rPr>
          <w:rFonts w:cs="Arial"/>
          <w:sz w:val="22"/>
          <w:lang w:val="es-CR"/>
        </w:rPr>
      </w:pPr>
    </w:p>
    <w:p w:rsidR="00781B2B" w:rsidRDefault="00530A8B" w:rsidP="00781B2B">
      <w:pPr>
        <w:spacing w:line="360" w:lineRule="auto"/>
        <w:jc w:val="both"/>
        <w:rPr>
          <w:rFonts w:cs="Arial"/>
          <w:sz w:val="22"/>
          <w:lang w:val="es-ES_tradnl"/>
        </w:rPr>
      </w:pPr>
      <w:r>
        <w:rPr>
          <w:rFonts w:cs="Arial"/>
          <w:sz w:val="22"/>
          <w:lang w:val="es-CR"/>
        </w:rPr>
        <w:t>Además, para</w:t>
      </w:r>
      <w:r w:rsidR="00781B2B" w:rsidRPr="00781B2B">
        <w:rPr>
          <w:rFonts w:cs="Arial"/>
          <w:sz w:val="22"/>
          <w:lang w:val="es-CR"/>
        </w:rPr>
        <w:t xml:space="preserve"> el caso de los Bonos Colectivos</w:t>
      </w:r>
      <w:r w:rsidR="00C65F2B">
        <w:rPr>
          <w:rFonts w:cs="Arial"/>
          <w:sz w:val="22"/>
          <w:lang w:val="es-CR"/>
        </w:rPr>
        <w:t>,</w:t>
      </w:r>
      <w:r w:rsidR="00781B2B" w:rsidRPr="00781B2B">
        <w:rPr>
          <w:rFonts w:cs="Arial"/>
          <w:sz w:val="22"/>
          <w:lang w:val="es-CR"/>
        </w:rPr>
        <w:t xml:space="preserve"> cuyo dise</w:t>
      </w:r>
      <w:r w:rsidR="00C65F2B">
        <w:rPr>
          <w:rFonts w:cs="Arial"/>
          <w:sz w:val="22"/>
          <w:lang w:val="es-CR"/>
        </w:rPr>
        <w:t>ñ</w:t>
      </w:r>
      <w:r w:rsidR="00781B2B" w:rsidRPr="00781B2B">
        <w:rPr>
          <w:rFonts w:cs="Arial"/>
          <w:sz w:val="22"/>
          <w:lang w:val="es-CR"/>
        </w:rPr>
        <w:t>o sea donado por un ente externo, se</w:t>
      </w:r>
      <w:r w:rsidR="00C65F2B">
        <w:rPr>
          <w:rFonts w:cs="Arial"/>
          <w:sz w:val="22"/>
          <w:lang w:val="es-CR"/>
        </w:rPr>
        <w:t xml:space="preserve"> </w:t>
      </w:r>
      <w:r w:rsidR="00781B2B" w:rsidRPr="00781B2B">
        <w:rPr>
          <w:rFonts w:cs="Arial"/>
          <w:sz w:val="22"/>
          <w:lang w:val="es-CR"/>
        </w:rPr>
        <w:t>reco</w:t>
      </w:r>
      <w:r w:rsidR="00C65F2B">
        <w:rPr>
          <w:rFonts w:cs="Arial"/>
          <w:sz w:val="22"/>
          <w:lang w:val="es-CR"/>
        </w:rPr>
        <w:t>m</w:t>
      </w:r>
      <w:r w:rsidR="00781B2B" w:rsidRPr="00781B2B">
        <w:rPr>
          <w:rFonts w:cs="Arial"/>
          <w:sz w:val="22"/>
          <w:lang w:val="es-CR"/>
        </w:rPr>
        <w:t>ienda indicar, que cualquier omisi</w:t>
      </w:r>
      <w:r w:rsidR="00C65F2B">
        <w:rPr>
          <w:rFonts w:cs="Arial"/>
          <w:sz w:val="22"/>
          <w:lang w:val="es-CR"/>
        </w:rPr>
        <w:t>ón</w:t>
      </w:r>
      <w:r w:rsidR="00781B2B" w:rsidRPr="00781B2B">
        <w:rPr>
          <w:rFonts w:cs="Arial"/>
          <w:sz w:val="22"/>
          <w:lang w:val="es-CR"/>
        </w:rPr>
        <w:t xml:space="preserve"> o error de dise</w:t>
      </w:r>
      <w:r w:rsidR="00C65F2B">
        <w:rPr>
          <w:rFonts w:cs="Arial"/>
          <w:sz w:val="22"/>
          <w:lang w:val="es-CR"/>
        </w:rPr>
        <w:t>ñ</w:t>
      </w:r>
      <w:r w:rsidR="00781B2B" w:rsidRPr="00781B2B">
        <w:rPr>
          <w:rFonts w:cs="Arial"/>
          <w:sz w:val="22"/>
          <w:lang w:val="es-CR"/>
        </w:rPr>
        <w:t>o el cual se traduzca en</w:t>
      </w:r>
      <w:r w:rsidR="00C65F2B">
        <w:rPr>
          <w:rFonts w:cs="Arial"/>
          <w:sz w:val="22"/>
          <w:lang w:val="es-CR"/>
        </w:rPr>
        <w:t xml:space="preserve"> </w:t>
      </w:r>
      <w:r w:rsidR="00781B2B" w:rsidRPr="00781B2B">
        <w:rPr>
          <w:rFonts w:cs="Arial"/>
          <w:sz w:val="22"/>
          <w:lang w:val="es-CR"/>
        </w:rPr>
        <w:t>financiamiento adicional en obras, las obras adicionales que se requieran para subsanar</w:t>
      </w:r>
      <w:r w:rsidR="00C65F2B">
        <w:rPr>
          <w:rFonts w:cs="Arial"/>
          <w:sz w:val="22"/>
          <w:lang w:val="es-CR"/>
        </w:rPr>
        <w:t xml:space="preserve"> </w:t>
      </w:r>
      <w:r w:rsidR="00781B2B" w:rsidRPr="00781B2B">
        <w:rPr>
          <w:rFonts w:cs="Arial"/>
          <w:sz w:val="22"/>
          <w:lang w:val="es-CR"/>
        </w:rPr>
        <w:t>dichos errores deber</w:t>
      </w:r>
      <w:r w:rsidR="00C65F2B">
        <w:rPr>
          <w:rFonts w:cs="Arial"/>
          <w:sz w:val="22"/>
          <w:lang w:val="es-CR"/>
        </w:rPr>
        <w:t>á</w:t>
      </w:r>
      <w:r w:rsidR="00781B2B" w:rsidRPr="00781B2B">
        <w:rPr>
          <w:rFonts w:cs="Arial"/>
          <w:sz w:val="22"/>
          <w:lang w:val="es-CR"/>
        </w:rPr>
        <w:t>n ser cubiertas por el ente que dona los dise</w:t>
      </w:r>
      <w:r w:rsidR="00C65F2B">
        <w:rPr>
          <w:rFonts w:cs="Arial"/>
          <w:sz w:val="22"/>
          <w:lang w:val="es-CR"/>
        </w:rPr>
        <w:t>ñ</w:t>
      </w:r>
      <w:r w:rsidR="00781B2B" w:rsidRPr="00781B2B">
        <w:rPr>
          <w:rFonts w:cs="Arial"/>
          <w:sz w:val="22"/>
          <w:lang w:val="es-CR"/>
        </w:rPr>
        <w:t>os.</w:t>
      </w:r>
    </w:p>
    <w:p w:rsidR="00781B2B" w:rsidRDefault="00781B2B" w:rsidP="009D03FE">
      <w:pPr>
        <w:spacing w:line="360" w:lineRule="auto"/>
        <w:jc w:val="both"/>
        <w:rPr>
          <w:rFonts w:cs="Arial"/>
          <w:sz w:val="22"/>
          <w:lang w:val="es-ES_tradnl"/>
        </w:rPr>
      </w:pPr>
    </w:p>
    <w:p w:rsidR="0048769B"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48769B">
        <w:rPr>
          <w:rFonts w:cs="Arial"/>
          <w:sz w:val="22"/>
          <w:u w:val="single"/>
          <w:lang w:val="es-ES_tradnl"/>
        </w:rPr>
        <w:t>53</w:t>
      </w:r>
      <w:r w:rsidRPr="00A25DB7">
        <w:rPr>
          <w:rFonts w:cs="Arial"/>
          <w:sz w:val="22"/>
          <w:u w:val="single"/>
          <w:lang w:val="es-ES_tradnl"/>
        </w:rPr>
        <w:t>:</w:t>
      </w:r>
      <w:r w:rsidR="0048769B">
        <w:rPr>
          <w:rFonts w:cs="Arial"/>
          <w:sz w:val="22"/>
          <w:u w:val="single"/>
          <w:lang w:val="es-ES_tradnl"/>
        </w:rPr>
        <w:t>00</w:t>
      </w:r>
      <w:r>
        <w:rPr>
          <w:rFonts w:cs="Arial"/>
          <w:sz w:val="22"/>
          <w:lang w:val="es-ES_tradnl"/>
        </w:rPr>
        <w:t xml:space="preserve"> </w:t>
      </w:r>
      <w:r w:rsidR="0048769B">
        <w:rPr>
          <w:rFonts w:cs="Arial"/>
          <w:sz w:val="22"/>
          <w:lang w:val="es-ES_tradnl"/>
        </w:rPr>
        <w:t xml:space="preserve">De conformidad con el análisis efectuado a la información suministrada por la </w:t>
      </w:r>
      <w:r w:rsidR="0048769B" w:rsidRPr="0048769B">
        <w:rPr>
          <w:rFonts w:cs="Arial"/>
          <w:sz w:val="22"/>
          <w:szCs w:val="22"/>
          <w:lang w:val="es-ES_tradnl"/>
        </w:rPr>
        <w:t>Administración</w:t>
      </w:r>
      <w:r w:rsidR="0048769B">
        <w:rPr>
          <w:rFonts w:cs="Arial"/>
          <w:sz w:val="22"/>
          <w:szCs w:val="22"/>
          <w:lang w:val="es-ES_tradnl"/>
        </w:rPr>
        <w:t xml:space="preserve">, la </w:t>
      </w:r>
      <w:r w:rsidR="0048769B" w:rsidRPr="0048769B">
        <w:rPr>
          <w:rFonts w:cs="Arial"/>
          <w:sz w:val="22"/>
          <w:szCs w:val="22"/>
          <w:lang w:val="es-ES_tradnl"/>
        </w:rPr>
        <w:t xml:space="preserve">Junta Directiva </w:t>
      </w:r>
      <w:r w:rsidR="0048769B">
        <w:rPr>
          <w:rFonts w:cs="Arial"/>
          <w:sz w:val="22"/>
          <w:szCs w:val="22"/>
          <w:lang w:val="es-ES_tradnl"/>
        </w:rPr>
        <w:t xml:space="preserve"> toma el </w:t>
      </w:r>
      <w:r w:rsidR="0048769B" w:rsidRPr="0048769B">
        <w:rPr>
          <w:rFonts w:cs="Arial"/>
          <w:b/>
          <w:sz w:val="22"/>
          <w:szCs w:val="22"/>
          <w:lang w:val="es-ES_tradnl"/>
        </w:rPr>
        <w:t>Acuerdo N° 2</w:t>
      </w:r>
      <w:r w:rsidR="0048769B">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2F23B4" w:rsidRPr="002F23B4">
        <w:rPr>
          <w:rFonts w:cs="Arial"/>
          <w:b/>
          <w:sz w:val="22"/>
          <w:u w:val="single"/>
          <w:lang w:val="es-ES_tradnl"/>
        </w:rPr>
        <w:t>Solicitud de autorización para el pago de comisiones fiduciarias asociadas a la renovación del contrato del Fideicomiso 001-2010, con Grupo Mutual Alajuela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B145D">
        <w:rPr>
          <w:rFonts w:cs="Arial"/>
          <w:sz w:val="22"/>
          <w:u w:val="single"/>
          <w:lang w:val="es-ES_tradnl"/>
        </w:rPr>
        <w:t>56</w:t>
      </w:r>
      <w:r w:rsidRPr="0039311E">
        <w:rPr>
          <w:rFonts w:cs="Arial"/>
          <w:sz w:val="22"/>
          <w:u w:val="single"/>
          <w:lang w:val="es-ES_tradnl"/>
        </w:rPr>
        <w:t>:</w:t>
      </w:r>
      <w:r w:rsidR="00FB145D">
        <w:rPr>
          <w:rFonts w:cs="Arial"/>
          <w:sz w:val="22"/>
          <w:u w:val="single"/>
          <w:lang w:val="es-ES_tradnl"/>
        </w:rPr>
        <w:t>15</w:t>
      </w:r>
      <w:r>
        <w:rPr>
          <w:rFonts w:cs="Arial"/>
          <w:sz w:val="22"/>
          <w:lang w:val="es-ES_tradnl"/>
        </w:rPr>
        <w:t xml:space="preserve"> Se conoce el oficio </w:t>
      </w:r>
      <w:r w:rsidR="00FB145D">
        <w:rPr>
          <w:rFonts w:cs="Arial"/>
          <w:sz w:val="22"/>
          <w:lang w:val="es-ES_tradnl"/>
        </w:rPr>
        <w:t xml:space="preserve">GG-ME-0772-2019 del 23 de julio de 2019, mediante el cual, la </w:t>
      </w:r>
      <w:r w:rsidR="00FB145D" w:rsidRPr="00FB145D">
        <w:rPr>
          <w:rFonts w:cs="Arial"/>
          <w:sz w:val="22"/>
          <w:szCs w:val="22"/>
          <w:lang w:val="es-ES_tradnl"/>
        </w:rPr>
        <w:t>Gerencia General</w:t>
      </w:r>
      <w:r w:rsidR="00FB145D">
        <w:rPr>
          <w:rFonts w:cs="Arial"/>
          <w:sz w:val="22"/>
          <w:szCs w:val="22"/>
          <w:lang w:val="es-ES_tradnl"/>
        </w:rPr>
        <w:t xml:space="preserve"> remite y avala el informe DFNV-ME-0301-2019 de la Dirección FONAVI, que contiene una solicitud de autorización, para el pago de las comisiones fiduciarias, conforme lo indicado en el acuerdo N° 1 de la sesión 78-2018, del 20 de diciembre de 2018, asociadas a la renovación del contrato del Fideicomiso 001-2010 con Grupo Mutual Alajuela – La Vivienda </w:t>
      </w:r>
      <w:r w:rsidR="00FB145D" w:rsidRPr="00FB145D">
        <w:rPr>
          <w:rFonts w:cs="Arial"/>
          <w:sz w:val="22"/>
          <w:szCs w:val="22"/>
          <w:lang w:val="es-ES_tradnl"/>
        </w:rPr>
        <w:t>de Ahorro y Préstamo</w:t>
      </w:r>
      <w:r w:rsidR="00FB145D">
        <w:rPr>
          <w:rFonts w:cs="Arial"/>
          <w:sz w:val="22"/>
          <w:szCs w:val="22"/>
          <w:lang w:val="es-ES_tradnl"/>
        </w:rPr>
        <w:t>.  Dichos documentos se adjuntan al expediente del acta.</w:t>
      </w:r>
    </w:p>
    <w:p w:rsidR="009D03FE" w:rsidRDefault="009D03FE" w:rsidP="009D03FE">
      <w:pPr>
        <w:spacing w:line="360" w:lineRule="auto"/>
        <w:jc w:val="both"/>
        <w:rPr>
          <w:rFonts w:cs="Arial"/>
          <w:sz w:val="22"/>
          <w:szCs w:val="22"/>
        </w:rPr>
      </w:pPr>
    </w:p>
    <w:p w:rsidR="005B223A" w:rsidRDefault="00FB145D" w:rsidP="005B223A">
      <w:pPr>
        <w:spacing w:line="360" w:lineRule="auto"/>
        <w:jc w:val="both"/>
        <w:rPr>
          <w:rFonts w:cs="Arial"/>
          <w:iCs/>
          <w:sz w:val="22"/>
          <w:szCs w:val="22"/>
        </w:rPr>
      </w:pPr>
      <w:r>
        <w:rPr>
          <w:rFonts w:cs="Arial"/>
          <w:sz w:val="22"/>
          <w:szCs w:val="22"/>
        </w:rPr>
        <w:t xml:space="preserve">Para exponer los alcances de la referida solicitud y atender eventuales consultas sobre </w:t>
      </w:r>
      <w:r w:rsidR="005B223A">
        <w:rPr>
          <w:rFonts w:cs="Arial"/>
          <w:sz w:val="22"/>
          <w:szCs w:val="22"/>
        </w:rPr>
        <w:t xml:space="preserve">éste y los siguientes dos temas, se incorpora a la sesión la licenciada Tricia Hernández Brenes, Directora del FONAVI, quien presenta los antecedentes del tema, destacando que </w:t>
      </w:r>
      <w:r w:rsidR="005B223A">
        <w:rPr>
          <w:rFonts w:cs="Arial"/>
          <w:sz w:val="22"/>
          <w:szCs w:val="22"/>
          <w:lang w:val="es-ES_tradnl"/>
        </w:rPr>
        <w:t xml:space="preserve">en el acuerdo N° 1 de la sesión 78-2018, </w:t>
      </w:r>
      <w:r w:rsidR="005B223A" w:rsidRPr="005B223A">
        <w:rPr>
          <w:rFonts w:cs="Arial"/>
          <w:iCs/>
          <w:sz w:val="22"/>
          <w:szCs w:val="22"/>
          <w:lang w:val="es-CR"/>
        </w:rPr>
        <w:t>se autorizó la renovación del contrato de Fideicomiso 001-2010 con Grupo Mutual Alajuela - La Vivienda</w:t>
      </w:r>
      <w:r w:rsidR="005B223A">
        <w:rPr>
          <w:rFonts w:cs="Arial"/>
          <w:iCs/>
          <w:sz w:val="22"/>
          <w:szCs w:val="22"/>
          <w:lang w:val="es-CR"/>
        </w:rPr>
        <w:t xml:space="preserve">.  En </w:t>
      </w:r>
      <w:r w:rsidR="005B223A" w:rsidRPr="005B223A">
        <w:rPr>
          <w:rFonts w:cs="Arial"/>
          <w:iCs/>
          <w:sz w:val="22"/>
          <w:szCs w:val="22"/>
        </w:rPr>
        <w:t xml:space="preserve">coordinación con la Asesoría Legal del BANHVI, se elaboró </w:t>
      </w:r>
      <w:r w:rsidR="005B223A">
        <w:rPr>
          <w:rFonts w:cs="Arial"/>
          <w:iCs/>
          <w:sz w:val="22"/>
          <w:szCs w:val="22"/>
        </w:rPr>
        <w:t xml:space="preserve">el </w:t>
      </w:r>
      <w:r w:rsidR="005B223A" w:rsidRPr="005B223A">
        <w:rPr>
          <w:rFonts w:cs="Arial"/>
          <w:iCs/>
          <w:sz w:val="22"/>
          <w:szCs w:val="22"/>
        </w:rPr>
        <w:t>documento para la renovación del Contrato de Fideicomiso y se remitió a Grupo Mutual el 18 de enero 2019.</w:t>
      </w:r>
      <w:r w:rsidR="007130EA">
        <w:rPr>
          <w:rFonts w:cs="Arial"/>
          <w:iCs/>
          <w:sz w:val="22"/>
          <w:szCs w:val="22"/>
        </w:rPr>
        <w:t xml:space="preserve"> Agrega que aunque la</w:t>
      </w:r>
      <w:r w:rsidR="005B223A" w:rsidRPr="005B223A">
        <w:rPr>
          <w:rFonts w:cs="Arial"/>
          <w:iCs/>
          <w:sz w:val="22"/>
          <w:szCs w:val="22"/>
        </w:rPr>
        <w:t xml:space="preserve"> fecha de vencimiento del Contrato fue establecida al 18-04-2019</w:t>
      </w:r>
      <w:r w:rsidR="007130EA">
        <w:rPr>
          <w:rFonts w:cs="Arial"/>
          <w:iCs/>
          <w:sz w:val="22"/>
          <w:szCs w:val="22"/>
        </w:rPr>
        <w:t xml:space="preserve">, </w:t>
      </w:r>
      <w:r w:rsidR="005B223A" w:rsidRPr="005B223A">
        <w:rPr>
          <w:rFonts w:cs="Arial"/>
          <w:iCs/>
          <w:sz w:val="22"/>
          <w:szCs w:val="22"/>
        </w:rPr>
        <w:t xml:space="preserve">Grupo Mutual solicito ajustes en cláusulas asociadas al pago de comisiones por venta de proyectos; </w:t>
      </w:r>
      <w:r w:rsidR="007130EA">
        <w:rPr>
          <w:rFonts w:cs="Arial"/>
          <w:iCs/>
          <w:sz w:val="22"/>
          <w:szCs w:val="22"/>
        </w:rPr>
        <w:t xml:space="preserve">y esos </w:t>
      </w:r>
      <w:r w:rsidR="005B223A" w:rsidRPr="005B223A">
        <w:rPr>
          <w:rFonts w:cs="Arial"/>
          <w:iCs/>
          <w:sz w:val="22"/>
          <w:szCs w:val="22"/>
        </w:rPr>
        <w:t xml:space="preserve">ajustes requeridos no formaron parte de las negociaciones realizadas, </w:t>
      </w:r>
      <w:r w:rsidR="007130EA">
        <w:rPr>
          <w:rFonts w:cs="Arial"/>
          <w:iCs/>
          <w:sz w:val="22"/>
          <w:szCs w:val="22"/>
        </w:rPr>
        <w:t xml:space="preserve">por lo que </w:t>
      </w:r>
      <w:r w:rsidR="005B223A" w:rsidRPr="005B223A">
        <w:rPr>
          <w:rFonts w:cs="Arial"/>
          <w:iCs/>
          <w:sz w:val="22"/>
          <w:szCs w:val="22"/>
        </w:rPr>
        <w:t>en virtud del desacuerdo, no fue factible la firma del Contrato en la fecha prevista.</w:t>
      </w:r>
    </w:p>
    <w:p w:rsidR="007130EA" w:rsidRPr="005B223A" w:rsidRDefault="007130EA" w:rsidP="005B223A">
      <w:pPr>
        <w:spacing w:line="360" w:lineRule="auto"/>
        <w:jc w:val="both"/>
        <w:rPr>
          <w:rFonts w:cs="Arial"/>
          <w:sz w:val="22"/>
          <w:szCs w:val="22"/>
          <w:lang w:val="es-CR"/>
        </w:rPr>
      </w:pPr>
    </w:p>
    <w:p w:rsidR="005B223A" w:rsidRPr="005B223A" w:rsidRDefault="007130EA" w:rsidP="005B223A">
      <w:pPr>
        <w:spacing w:line="360" w:lineRule="auto"/>
        <w:jc w:val="both"/>
        <w:rPr>
          <w:rFonts w:cs="Arial"/>
          <w:sz w:val="22"/>
          <w:szCs w:val="22"/>
          <w:lang w:val="es-CR"/>
        </w:rPr>
      </w:pPr>
      <w:r>
        <w:rPr>
          <w:rFonts w:cs="Arial"/>
          <w:iCs/>
          <w:sz w:val="22"/>
          <w:szCs w:val="22"/>
        </w:rPr>
        <w:t xml:space="preserve">Añade que </w:t>
      </w:r>
      <w:r w:rsidR="005B223A" w:rsidRPr="005B223A">
        <w:rPr>
          <w:rFonts w:cs="Arial"/>
          <w:iCs/>
          <w:sz w:val="22"/>
          <w:szCs w:val="22"/>
        </w:rPr>
        <w:t xml:space="preserve">Grupo Mutual continuó ejecutando las funciones de administración fiduciaria previstas y las comisiones establecidas en el </w:t>
      </w:r>
      <w:r w:rsidR="005B223A" w:rsidRPr="005B223A">
        <w:rPr>
          <w:rFonts w:cs="Arial"/>
          <w:iCs/>
          <w:sz w:val="22"/>
          <w:szCs w:val="22"/>
          <w:lang w:val="es-CR"/>
        </w:rPr>
        <w:t>acuerdo N°1, de la sesión 78-2018, fueron devengadas</w:t>
      </w:r>
      <w:r>
        <w:rPr>
          <w:rFonts w:cs="Arial"/>
          <w:iCs/>
          <w:sz w:val="22"/>
          <w:szCs w:val="22"/>
          <w:lang w:val="es-CR"/>
        </w:rPr>
        <w:t xml:space="preserve">, en el tanto, según lo confirma la </w:t>
      </w:r>
      <w:r w:rsidRPr="007130EA">
        <w:rPr>
          <w:rFonts w:cs="Arial"/>
          <w:iCs/>
          <w:sz w:val="22"/>
          <w:szCs w:val="22"/>
          <w:lang w:val="es-CR"/>
        </w:rPr>
        <w:t>Asesoría Legal</w:t>
      </w:r>
      <w:r>
        <w:rPr>
          <w:rFonts w:cs="Arial"/>
          <w:iCs/>
          <w:sz w:val="22"/>
          <w:szCs w:val="22"/>
          <w:lang w:val="es-CR"/>
        </w:rPr>
        <w:t xml:space="preserve">, el </w:t>
      </w:r>
      <w:r w:rsidR="005B223A" w:rsidRPr="005B223A">
        <w:rPr>
          <w:rFonts w:cs="Arial"/>
          <w:iCs/>
          <w:sz w:val="22"/>
          <w:szCs w:val="22"/>
        </w:rPr>
        <w:t xml:space="preserve">contrato </w:t>
      </w:r>
      <w:r>
        <w:rPr>
          <w:rFonts w:cs="Arial"/>
          <w:iCs/>
          <w:sz w:val="22"/>
          <w:szCs w:val="22"/>
        </w:rPr>
        <w:t>s</w:t>
      </w:r>
      <w:r w:rsidR="005B223A" w:rsidRPr="005B223A">
        <w:rPr>
          <w:rFonts w:cs="Arial"/>
          <w:iCs/>
          <w:sz w:val="22"/>
          <w:szCs w:val="22"/>
        </w:rPr>
        <w:t>e prorrogó tácit</w:t>
      </w:r>
      <w:r>
        <w:rPr>
          <w:rFonts w:cs="Arial"/>
          <w:iCs/>
          <w:sz w:val="22"/>
          <w:szCs w:val="22"/>
        </w:rPr>
        <w:t xml:space="preserve">amente y a la </w:t>
      </w:r>
      <w:r w:rsidR="005B223A" w:rsidRPr="005B223A">
        <w:rPr>
          <w:rFonts w:cs="Arial"/>
          <w:iCs/>
          <w:sz w:val="22"/>
          <w:szCs w:val="22"/>
        </w:rPr>
        <w:t>fecha no es factible ejecutar la firma del Contrato con las fechas originalmente previstas, debido al cambio en la representación legal de la Entidad.</w:t>
      </w:r>
    </w:p>
    <w:p w:rsidR="00FB145D" w:rsidRDefault="00FB145D"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130EA">
        <w:rPr>
          <w:rFonts w:cs="Arial"/>
          <w:sz w:val="22"/>
          <w:u w:val="single"/>
          <w:lang w:val="es-ES_tradnl"/>
        </w:rPr>
        <w:t>63</w:t>
      </w:r>
      <w:r w:rsidRPr="00A25DB7">
        <w:rPr>
          <w:rFonts w:cs="Arial"/>
          <w:sz w:val="22"/>
          <w:u w:val="single"/>
          <w:lang w:val="es-ES_tradnl"/>
        </w:rPr>
        <w:t>:</w:t>
      </w:r>
      <w:r w:rsidR="007130EA">
        <w:rPr>
          <w:rFonts w:cs="Arial"/>
          <w:sz w:val="22"/>
          <w:u w:val="single"/>
          <w:lang w:val="es-ES_tradnl"/>
        </w:rPr>
        <w:t>25</w:t>
      </w:r>
      <w:r w:rsidR="00FB145D">
        <w:rPr>
          <w:rFonts w:cs="Arial"/>
          <w:sz w:val="22"/>
          <w:lang w:val="es-ES_tradnl"/>
        </w:rPr>
        <w:t xml:space="preserve"> </w:t>
      </w:r>
      <w:r w:rsidR="007130EA">
        <w:rPr>
          <w:rFonts w:cs="Arial"/>
          <w:sz w:val="22"/>
          <w:lang w:val="es-ES_tradnl"/>
        </w:rPr>
        <w:t xml:space="preserve">Conocida y suficientemente discutida la propuesta de la </w:t>
      </w:r>
      <w:r w:rsidR="007130EA" w:rsidRPr="007130EA">
        <w:rPr>
          <w:rFonts w:cs="Arial"/>
          <w:sz w:val="22"/>
          <w:szCs w:val="22"/>
          <w:lang w:val="es-ES_tradnl"/>
        </w:rPr>
        <w:t>Administración</w:t>
      </w:r>
      <w:r w:rsidR="007130EA">
        <w:rPr>
          <w:rFonts w:cs="Arial"/>
          <w:sz w:val="22"/>
          <w:szCs w:val="22"/>
          <w:lang w:val="es-ES_tradnl"/>
        </w:rPr>
        <w:t xml:space="preserve"> y siendo que la </w:t>
      </w:r>
      <w:r w:rsidR="007130EA" w:rsidRPr="007130EA">
        <w:rPr>
          <w:rFonts w:cs="Arial"/>
          <w:sz w:val="22"/>
          <w:szCs w:val="22"/>
          <w:lang w:val="es-ES_tradnl"/>
        </w:rPr>
        <w:t>Asesoría Legal</w:t>
      </w:r>
      <w:r w:rsidR="007130EA">
        <w:rPr>
          <w:rFonts w:cs="Arial"/>
          <w:sz w:val="22"/>
          <w:szCs w:val="22"/>
          <w:lang w:val="es-ES_tradnl"/>
        </w:rPr>
        <w:t xml:space="preserve"> manifiesta que no tiene observaciones a la misma, la </w:t>
      </w:r>
      <w:r w:rsidR="007130EA" w:rsidRPr="007130EA">
        <w:rPr>
          <w:rFonts w:cs="Arial"/>
          <w:sz w:val="22"/>
          <w:szCs w:val="22"/>
          <w:lang w:val="es-ES_tradnl"/>
        </w:rPr>
        <w:t xml:space="preserve">Junta Directiva </w:t>
      </w:r>
      <w:r w:rsidR="007130EA">
        <w:rPr>
          <w:rFonts w:cs="Arial"/>
          <w:sz w:val="22"/>
          <w:szCs w:val="22"/>
          <w:lang w:val="es-ES_tradnl"/>
        </w:rPr>
        <w:t xml:space="preserve"> toma el </w:t>
      </w:r>
      <w:r w:rsidR="007130EA" w:rsidRPr="006246F4">
        <w:rPr>
          <w:rFonts w:cs="Arial"/>
          <w:b/>
          <w:sz w:val="22"/>
          <w:szCs w:val="22"/>
          <w:lang w:val="es-ES_tradnl"/>
        </w:rPr>
        <w:t>Acuerdo N° 3</w:t>
      </w:r>
      <w:r w:rsidR="007130EA">
        <w:rPr>
          <w:rFonts w:cs="Arial"/>
          <w:sz w:val="22"/>
          <w:szCs w:val="22"/>
          <w:lang w:val="es-ES_tradnl"/>
        </w:rPr>
        <w:t xml:space="preserve"> que se </w:t>
      </w:r>
      <w:r w:rsidR="006246F4">
        <w:rPr>
          <w:rFonts w:cs="Arial"/>
          <w:sz w:val="22"/>
          <w:szCs w:val="22"/>
          <w:lang w:val="es-ES_tradnl"/>
        </w:rPr>
        <w:t>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2F23B4" w:rsidRPr="002F23B4">
        <w:rPr>
          <w:rFonts w:cs="Arial"/>
          <w:b/>
          <w:sz w:val="22"/>
          <w:u w:val="single"/>
          <w:lang w:val="es-ES_tradnl"/>
        </w:rPr>
        <w:t>Solicitud de modificación a las condiciones de desembolso del crédito otorgado a la Fundación para  la Vivienda Rural Costa Rica – Canadá</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E7FF0">
        <w:rPr>
          <w:rFonts w:cs="Arial"/>
          <w:sz w:val="22"/>
          <w:u w:val="single"/>
          <w:lang w:val="es-ES_tradnl"/>
        </w:rPr>
        <w:t>64</w:t>
      </w:r>
      <w:r w:rsidRPr="0039311E">
        <w:rPr>
          <w:rFonts w:cs="Arial"/>
          <w:sz w:val="22"/>
          <w:u w:val="single"/>
          <w:lang w:val="es-ES_tradnl"/>
        </w:rPr>
        <w:t>:</w:t>
      </w:r>
      <w:r w:rsidR="009E7FF0">
        <w:rPr>
          <w:rFonts w:cs="Arial"/>
          <w:sz w:val="22"/>
          <w:u w:val="single"/>
          <w:lang w:val="es-ES_tradnl"/>
        </w:rPr>
        <w:t>30</w:t>
      </w:r>
      <w:r>
        <w:rPr>
          <w:rFonts w:cs="Arial"/>
          <w:sz w:val="22"/>
          <w:lang w:val="es-ES_tradnl"/>
        </w:rPr>
        <w:t xml:space="preserve"> Se conoce el oficio </w:t>
      </w:r>
      <w:r w:rsidR="006246F4">
        <w:rPr>
          <w:rFonts w:cs="Arial"/>
          <w:sz w:val="22"/>
          <w:lang w:val="es-ES_tradnl"/>
        </w:rPr>
        <w:t xml:space="preserve">GG-ME-0782-2019 del 24 de julio de 2019, mediante el cual, la </w:t>
      </w:r>
      <w:r w:rsidR="006246F4" w:rsidRPr="006246F4">
        <w:rPr>
          <w:rFonts w:cs="Arial"/>
          <w:sz w:val="22"/>
          <w:szCs w:val="22"/>
          <w:lang w:val="es-ES_tradnl"/>
        </w:rPr>
        <w:t>Gerencia General</w:t>
      </w:r>
      <w:r w:rsidR="009E7FF0" w:rsidRPr="009E7FF0">
        <w:rPr>
          <w:rFonts w:cs="Arial"/>
          <w:sz w:val="22"/>
          <w:szCs w:val="22"/>
        </w:rPr>
        <w:t xml:space="preserve"> </w:t>
      </w:r>
      <w:r w:rsidR="009E7FF0">
        <w:rPr>
          <w:rFonts w:cs="Arial"/>
          <w:sz w:val="22"/>
          <w:szCs w:val="22"/>
        </w:rPr>
        <w:t xml:space="preserve">remite y avala el informe DFNV-ME-0323-2019 de la Dirección FONAVI, que contiene una propuesta para modificar el referido inciso a., con el propósito de consignar que </w:t>
      </w:r>
      <w:r w:rsidR="009E7FF0" w:rsidRPr="0040018F">
        <w:rPr>
          <w:rFonts w:cs="Arial"/>
          <w:sz w:val="22"/>
          <w:szCs w:val="22"/>
          <w:lang w:val="es-CR"/>
        </w:rPr>
        <w:t>el monto del cr</w:t>
      </w:r>
      <w:r w:rsidR="009E7FF0">
        <w:rPr>
          <w:rFonts w:cs="Arial"/>
          <w:sz w:val="22"/>
          <w:szCs w:val="22"/>
          <w:lang w:val="es-CR"/>
        </w:rPr>
        <w:t>édito serí</w:t>
      </w:r>
      <w:r w:rsidR="009E7FF0" w:rsidRPr="0040018F">
        <w:rPr>
          <w:rFonts w:cs="Arial"/>
          <w:sz w:val="22"/>
          <w:szCs w:val="22"/>
          <w:lang w:val="es-CR"/>
        </w:rPr>
        <w:t>a desembolsado</w:t>
      </w:r>
      <w:r w:rsidR="009E7FF0">
        <w:rPr>
          <w:rFonts w:cs="Arial"/>
          <w:sz w:val="22"/>
          <w:szCs w:val="22"/>
          <w:lang w:val="es-CR"/>
        </w:rPr>
        <w:t xml:space="preserve"> en tres tractos durante el año </w:t>
      </w:r>
      <w:r w:rsidR="009E7FF0" w:rsidRPr="0040018F">
        <w:rPr>
          <w:rFonts w:cs="Arial"/>
          <w:sz w:val="22"/>
          <w:szCs w:val="22"/>
          <w:lang w:val="es-CR"/>
        </w:rPr>
        <w:t>2019.</w:t>
      </w:r>
      <w:r w:rsidR="009E7FF0">
        <w:rPr>
          <w:rFonts w:cs="Arial"/>
          <w:sz w:val="22"/>
          <w:szCs w:val="22"/>
          <w:lang w:val="es-CR"/>
        </w:rPr>
        <w:t xml:space="preserve">  Lo anterior, dado que al momento de ejecutar el segundo desembolso de recursos, por ¢300 millones, la entidad no disponía de garantía suficiente (operaciones de cré</w:t>
      </w:r>
      <w:r w:rsidR="009E7FF0" w:rsidRPr="0040018F">
        <w:rPr>
          <w:rFonts w:cs="Arial"/>
          <w:sz w:val="22"/>
          <w:szCs w:val="22"/>
          <w:lang w:val="es-CR"/>
        </w:rPr>
        <w:t>dito hipotecario no</w:t>
      </w:r>
      <w:r w:rsidR="009E7FF0">
        <w:rPr>
          <w:rFonts w:cs="Arial"/>
          <w:sz w:val="22"/>
          <w:szCs w:val="22"/>
          <w:lang w:val="es-CR"/>
        </w:rPr>
        <w:t xml:space="preserve"> </w:t>
      </w:r>
      <w:r w:rsidR="009E7FF0" w:rsidRPr="0040018F">
        <w:rPr>
          <w:rFonts w:cs="Arial"/>
          <w:sz w:val="22"/>
          <w:szCs w:val="22"/>
          <w:lang w:val="es-CR"/>
        </w:rPr>
        <w:t>constituidas con Bono Fami</w:t>
      </w:r>
      <w:r w:rsidR="009E7FF0">
        <w:rPr>
          <w:rFonts w:cs="Arial"/>
          <w:sz w:val="22"/>
          <w:szCs w:val="22"/>
          <w:lang w:val="es-CR"/>
        </w:rPr>
        <w:t>li</w:t>
      </w:r>
      <w:r w:rsidR="009E7FF0" w:rsidRPr="0040018F">
        <w:rPr>
          <w:rFonts w:cs="Arial"/>
          <w:sz w:val="22"/>
          <w:szCs w:val="22"/>
          <w:lang w:val="es-CR"/>
        </w:rPr>
        <w:t>ar de Vivienda</w:t>
      </w:r>
      <w:r w:rsidR="009E7FF0">
        <w:rPr>
          <w:rFonts w:cs="Arial"/>
          <w:sz w:val="22"/>
          <w:szCs w:val="22"/>
          <w:lang w:val="es-CR"/>
        </w:rPr>
        <w:t xml:space="preserve">), por lo que </w:t>
      </w:r>
      <w:r w:rsidR="009E7FF0" w:rsidRPr="0040018F">
        <w:rPr>
          <w:rFonts w:cs="Arial"/>
          <w:sz w:val="22"/>
          <w:szCs w:val="22"/>
          <w:lang w:val="es-CR"/>
        </w:rPr>
        <w:t>fue necesario a</w:t>
      </w:r>
      <w:r w:rsidR="009E7FF0">
        <w:rPr>
          <w:rFonts w:cs="Arial"/>
          <w:sz w:val="22"/>
          <w:szCs w:val="22"/>
          <w:lang w:val="es-CR"/>
        </w:rPr>
        <w:t>j</w:t>
      </w:r>
      <w:r w:rsidR="009E7FF0" w:rsidRPr="0040018F">
        <w:rPr>
          <w:rFonts w:cs="Arial"/>
          <w:sz w:val="22"/>
          <w:szCs w:val="22"/>
          <w:lang w:val="es-CR"/>
        </w:rPr>
        <w:t>ustar el</w:t>
      </w:r>
      <w:r w:rsidR="009E7FF0">
        <w:rPr>
          <w:rFonts w:cs="Arial"/>
          <w:sz w:val="22"/>
          <w:szCs w:val="22"/>
          <w:lang w:val="es-CR"/>
        </w:rPr>
        <w:t xml:space="preserve"> </w:t>
      </w:r>
      <w:r w:rsidR="009E7FF0" w:rsidRPr="0040018F">
        <w:rPr>
          <w:rFonts w:cs="Arial"/>
          <w:sz w:val="22"/>
          <w:szCs w:val="22"/>
          <w:lang w:val="es-CR"/>
        </w:rPr>
        <w:t xml:space="preserve">monto del desembolso a </w:t>
      </w:r>
      <w:r w:rsidR="009E7FF0">
        <w:rPr>
          <w:rFonts w:cs="Arial"/>
          <w:sz w:val="22"/>
          <w:szCs w:val="22"/>
          <w:lang w:val="es-CR"/>
        </w:rPr>
        <w:t>¢</w:t>
      </w:r>
      <w:r w:rsidR="009E7FF0" w:rsidRPr="0040018F">
        <w:rPr>
          <w:rFonts w:cs="Arial"/>
          <w:sz w:val="22"/>
          <w:szCs w:val="22"/>
          <w:lang w:val="es-CR"/>
        </w:rPr>
        <w:t>200 millones</w:t>
      </w:r>
      <w:r w:rsidR="009E7FF0">
        <w:rPr>
          <w:rFonts w:cs="Arial"/>
          <w:sz w:val="22"/>
          <w:szCs w:val="22"/>
          <w:lang w:val="es-CR"/>
        </w:rPr>
        <w:t xml:space="preserve"> y todavía quedaría pendiente un tercer desembolso de recursos por la suma de ¢100 millones.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E7FF0">
        <w:rPr>
          <w:rFonts w:cs="Arial"/>
          <w:sz w:val="22"/>
          <w:u w:val="single"/>
          <w:lang w:val="es-ES_tradnl"/>
        </w:rPr>
        <w:t>67</w:t>
      </w:r>
      <w:r w:rsidRPr="00A25DB7">
        <w:rPr>
          <w:rFonts w:cs="Arial"/>
          <w:sz w:val="22"/>
          <w:u w:val="single"/>
          <w:lang w:val="es-ES_tradnl"/>
        </w:rPr>
        <w:t>:</w:t>
      </w:r>
      <w:r w:rsidR="009E7FF0">
        <w:rPr>
          <w:rFonts w:cs="Arial"/>
          <w:sz w:val="22"/>
          <w:u w:val="single"/>
          <w:lang w:val="es-ES_tradnl"/>
        </w:rPr>
        <w:t>10</w:t>
      </w:r>
      <w:r>
        <w:rPr>
          <w:rFonts w:cs="Arial"/>
          <w:sz w:val="22"/>
          <w:lang w:val="es-ES_tradnl"/>
        </w:rPr>
        <w:t xml:space="preserve"> </w:t>
      </w:r>
      <w:r w:rsidR="009E7FF0">
        <w:rPr>
          <w:rFonts w:cs="Arial"/>
          <w:sz w:val="22"/>
          <w:lang w:val="es-ES_tradnl"/>
        </w:rPr>
        <w:t xml:space="preserve">Conocida la solicitud de la Dirección FONAVI y no habiendo objeciones de los señores Directores ni por parte de los funcionarios presentes, la </w:t>
      </w:r>
      <w:r w:rsidR="009E7FF0" w:rsidRPr="009E7FF0">
        <w:rPr>
          <w:rFonts w:cs="Arial"/>
          <w:sz w:val="22"/>
          <w:szCs w:val="22"/>
          <w:lang w:val="es-ES_tradnl"/>
        </w:rPr>
        <w:t xml:space="preserve">Junta Directiva </w:t>
      </w:r>
      <w:r w:rsidR="009E7FF0">
        <w:rPr>
          <w:rFonts w:cs="Arial"/>
          <w:sz w:val="22"/>
          <w:szCs w:val="22"/>
          <w:lang w:val="es-ES_tradnl"/>
        </w:rPr>
        <w:t xml:space="preserve"> resuelve acoger la recomendación de la </w:t>
      </w:r>
      <w:r w:rsidR="009E7FF0" w:rsidRPr="009E7FF0">
        <w:rPr>
          <w:rFonts w:cs="Arial"/>
          <w:sz w:val="22"/>
          <w:szCs w:val="22"/>
          <w:lang w:val="es-ES_tradnl"/>
        </w:rPr>
        <w:t>Administración</w:t>
      </w:r>
      <w:r w:rsidR="009E7FF0">
        <w:rPr>
          <w:rFonts w:cs="Arial"/>
          <w:sz w:val="22"/>
          <w:szCs w:val="22"/>
          <w:lang w:val="es-ES_tradnl"/>
        </w:rPr>
        <w:t xml:space="preserve"> y, en consecuencia, emite el </w:t>
      </w:r>
      <w:r w:rsidR="009E7FF0" w:rsidRPr="009E7FF0">
        <w:rPr>
          <w:rFonts w:cs="Arial"/>
          <w:b/>
          <w:sz w:val="22"/>
          <w:szCs w:val="22"/>
          <w:lang w:val="es-ES_tradnl"/>
        </w:rPr>
        <w:t>Acuerdo N° 4</w:t>
      </w:r>
      <w:r w:rsidR="009E7FF0">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F23B4" w:rsidRPr="002F23B4">
        <w:rPr>
          <w:rFonts w:cs="Arial"/>
          <w:b/>
          <w:sz w:val="22"/>
          <w:u w:val="single"/>
          <w:lang w:val="es-ES_tradnl"/>
        </w:rPr>
        <w:t>Informe sobre la gestión del FONAVI al 30 de junio de 2019</w:t>
      </w:r>
    </w:p>
    <w:p w:rsidR="009D03FE" w:rsidRDefault="009D03FE" w:rsidP="009D03FE">
      <w:pPr>
        <w:spacing w:line="360" w:lineRule="auto"/>
        <w:jc w:val="both"/>
        <w:rPr>
          <w:rFonts w:cs="Arial"/>
          <w:sz w:val="22"/>
          <w:szCs w:val="22"/>
        </w:rPr>
      </w:pPr>
    </w:p>
    <w:p w:rsidR="003A6C08" w:rsidRDefault="003A6C08" w:rsidP="003A6C08">
      <w:pPr>
        <w:spacing w:line="360" w:lineRule="auto"/>
        <w:jc w:val="both"/>
        <w:rPr>
          <w:rFonts w:cs="Arial"/>
          <w:sz w:val="22"/>
          <w:lang w:val="es-ES_tradnl"/>
        </w:rPr>
      </w:pPr>
      <w:r w:rsidRPr="0039311E">
        <w:rPr>
          <w:rFonts w:cs="Arial"/>
          <w:sz w:val="22"/>
          <w:u w:val="single"/>
          <w:lang w:val="es-ES_tradnl"/>
        </w:rPr>
        <w:t xml:space="preserve">Minuto </w:t>
      </w:r>
      <w:r w:rsidR="009E7FF0">
        <w:rPr>
          <w:rFonts w:cs="Arial"/>
          <w:sz w:val="22"/>
          <w:u w:val="single"/>
          <w:lang w:val="es-ES_tradnl"/>
        </w:rPr>
        <w:t>68</w:t>
      </w:r>
      <w:r w:rsidRPr="0039311E">
        <w:rPr>
          <w:rFonts w:cs="Arial"/>
          <w:sz w:val="22"/>
          <w:u w:val="single"/>
          <w:lang w:val="es-ES_tradnl"/>
        </w:rPr>
        <w:t>:</w:t>
      </w:r>
      <w:r w:rsidR="009E7FF0">
        <w:rPr>
          <w:rFonts w:cs="Arial"/>
          <w:sz w:val="22"/>
          <w:u w:val="single"/>
          <w:lang w:val="es-ES_tradnl"/>
        </w:rPr>
        <w:t>2</w:t>
      </w:r>
      <w:r>
        <w:rPr>
          <w:rFonts w:cs="Arial"/>
          <w:sz w:val="22"/>
          <w:u w:val="single"/>
          <w:lang w:val="es-ES_tradnl"/>
        </w:rPr>
        <w:t>0</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Pr>
          <w:rFonts w:cs="Arial"/>
          <w:color w:val="000000"/>
          <w:sz w:val="22"/>
          <w:szCs w:val="22"/>
        </w:rPr>
        <w:t>0</w:t>
      </w:r>
      <w:r w:rsidR="009E7FF0">
        <w:rPr>
          <w:rFonts w:cs="Arial"/>
          <w:color w:val="000000"/>
          <w:sz w:val="22"/>
          <w:szCs w:val="22"/>
        </w:rPr>
        <w:t>792</w:t>
      </w:r>
      <w:r w:rsidRPr="002C7B29">
        <w:rPr>
          <w:rFonts w:cs="Arial"/>
          <w:color w:val="000000"/>
          <w:sz w:val="22"/>
          <w:szCs w:val="22"/>
        </w:rPr>
        <w:t>-201</w:t>
      </w:r>
      <w:r>
        <w:rPr>
          <w:rFonts w:cs="Arial"/>
          <w:color w:val="000000"/>
          <w:sz w:val="22"/>
          <w:szCs w:val="22"/>
        </w:rPr>
        <w:t xml:space="preserve">9 del </w:t>
      </w:r>
      <w:r w:rsidR="009E7FF0">
        <w:rPr>
          <w:rFonts w:cs="Arial"/>
          <w:color w:val="000000"/>
          <w:sz w:val="22"/>
          <w:szCs w:val="22"/>
        </w:rPr>
        <w:t>26</w:t>
      </w:r>
      <w:r>
        <w:rPr>
          <w:rFonts w:cs="Arial"/>
          <w:color w:val="000000"/>
          <w:sz w:val="22"/>
          <w:szCs w:val="22"/>
        </w:rPr>
        <w:t xml:space="preserve"> de </w:t>
      </w:r>
      <w:r w:rsidR="009E7FF0">
        <w:rPr>
          <w:rFonts w:cs="Arial"/>
          <w:color w:val="000000"/>
          <w:sz w:val="22"/>
          <w:szCs w:val="22"/>
        </w:rPr>
        <w:t>julio</w:t>
      </w:r>
      <w:r>
        <w:rPr>
          <w:rFonts w:cs="Arial"/>
          <w:color w:val="000000"/>
          <w:sz w:val="22"/>
          <w:szCs w:val="22"/>
        </w:rPr>
        <w:t xml:space="preserve"> de 2019,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DFNV-IN22-</w:t>
      </w:r>
      <w:r>
        <w:rPr>
          <w:rFonts w:cs="Arial"/>
          <w:color w:val="000000"/>
          <w:sz w:val="22"/>
          <w:szCs w:val="22"/>
        </w:rPr>
        <w:t>0</w:t>
      </w:r>
      <w:r w:rsidR="009E7FF0">
        <w:rPr>
          <w:rFonts w:cs="Arial"/>
          <w:color w:val="000000"/>
          <w:sz w:val="22"/>
          <w:szCs w:val="22"/>
        </w:rPr>
        <w:t>330</w:t>
      </w:r>
      <w:r w:rsidRPr="002C7B29">
        <w:rPr>
          <w:rFonts w:cs="Arial"/>
          <w:color w:val="000000"/>
          <w:sz w:val="22"/>
          <w:szCs w:val="22"/>
        </w:rPr>
        <w:t>-201</w:t>
      </w:r>
      <w:r>
        <w:rPr>
          <w:rFonts w:cs="Arial"/>
          <w:color w:val="000000"/>
          <w:sz w:val="22"/>
          <w:szCs w:val="22"/>
        </w:rPr>
        <w:t>9</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w:t>
      </w:r>
      <w:r w:rsidR="009E7FF0">
        <w:rPr>
          <w:rFonts w:cs="Arial"/>
          <w:color w:val="000000"/>
          <w:sz w:val="22"/>
          <w:szCs w:val="22"/>
        </w:rPr>
        <w:t>0</w:t>
      </w:r>
      <w:r>
        <w:rPr>
          <w:rFonts w:cs="Arial"/>
          <w:color w:val="000000"/>
          <w:sz w:val="22"/>
          <w:szCs w:val="22"/>
        </w:rPr>
        <w:t xml:space="preserve"> de </w:t>
      </w:r>
      <w:r w:rsidR="009E7FF0">
        <w:rPr>
          <w:rFonts w:cs="Arial"/>
          <w:color w:val="000000"/>
          <w:sz w:val="22"/>
          <w:szCs w:val="22"/>
        </w:rPr>
        <w:t>junio</w:t>
      </w:r>
      <w:r>
        <w:rPr>
          <w:rFonts w:cs="Arial"/>
          <w:color w:val="000000"/>
          <w:sz w:val="22"/>
          <w:szCs w:val="22"/>
        </w:rPr>
        <w:t xml:space="preserve"> de</w:t>
      </w:r>
      <w:r w:rsidRPr="002C7B29">
        <w:rPr>
          <w:rFonts w:cs="Arial"/>
          <w:color w:val="000000"/>
          <w:sz w:val="22"/>
          <w:szCs w:val="22"/>
        </w:rPr>
        <w:t xml:space="preserve"> 201</w:t>
      </w:r>
      <w:r>
        <w:rPr>
          <w:rFonts w:cs="Arial"/>
          <w:color w:val="000000"/>
          <w:sz w:val="22"/>
          <w:szCs w:val="22"/>
        </w:rPr>
        <w:t>9</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rsidR="003A6C08" w:rsidRDefault="003A6C08" w:rsidP="003A6C08">
      <w:pPr>
        <w:spacing w:line="360" w:lineRule="auto"/>
        <w:jc w:val="both"/>
        <w:rPr>
          <w:rFonts w:cs="Arial"/>
          <w:sz w:val="22"/>
          <w:szCs w:val="22"/>
        </w:rPr>
      </w:pPr>
    </w:p>
    <w:p w:rsidR="003A6C08" w:rsidRDefault="009E7FF0" w:rsidP="003A6C08">
      <w:pPr>
        <w:spacing w:line="360" w:lineRule="auto"/>
        <w:jc w:val="both"/>
        <w:rPr>
          <w:rFonts w:cs="Arial"/>
          <w:sz w:val="22"/>
          <w:lang w:val="es-ES_tradnl"/>
        </w:rPr>
      </w:pPr>
      <w:r>
        <w:rPr>
          <w:rFonts w:cs="Arial"/>
          <w:sz w:val="22"/>
          <w:szCs w:val="22"/>
        </w:rPr>
        <w:t xml:space="preserve">La licenciada Hernández Brenes </w:t>
      </w:r>
      <w:r w:rsidR="003A6C08" w:rsidRPr="00BB303F">
        <w:rPr>
          <w:rFonts w:cs="Arial"/>
          <w:sz w:val="22"/>
          <w:szCs w:val="22"/>
        </w:rPr>
        <w:t>expone los alcances del citado informe</w:t>
      </w:r>
      <w:r w:rsidR="003A6C08">
        <w:rPr>
          <w:rFonts w:cs="Arial"/>
          <w:sz w:val="22"/>
          <w:szCs w:val="22"/>
        </w:rPr>
        <w:t>,</w:t>
      </w:r>
      <w:r w:rsidR="003A6C08">
        <w:rPr>
          <w:rFonts w:cs="Arial"/>
          <w:color w:val="000000"/>
          <w:sz w:val="22"/>
          <w:szCs w:val="22"/>
        </w:rPr>
        <w:t xml:space="preserve"> refir</w:t>
      </w:r>
      <w:r>
        <w:rPr>
          <w:rFonts w:cs="Arial"/>
          <w:color w:val="000000"/>
          <w:sz w:val="22"/>
          <w:szCs w:val="22"/>
        </w:rPr>
        <w:t>iéndose</w:t>
      </w:r>
      <w:r w:rsidR="003A6C08">
        <w:rPr>
          <w:rFonts w:cs="Arial"/>
          <w:color w:val="000000"/>
          <w:sz w:val="22"/>
          <w:szCs w:val="22"/>
        </w:rPr>
        <w:t xml:space="preserve"> a los</w:t>
      </w:r>
      <w:r w:rsidR="003A6C08" w:rsidRPr="002C7B29">
        <w:rPr>
          <w:rFonts w:cs="Arial"/>
          <w:color w:val="000000"/>
          <w:sz w:val="22"/>
          <w:szCs w:val="22"/>
        </w:rPr>
        <w:t xml:space="preserve"> principales movimientos</w:t>
      </w:r>
      <w:r>
        <w:rPr>
          <w:rFonts w:cs="Arial"/>
          <w:color w:val="000000"/>
          <w:sz w:val="22"/>
          <w:szCs w:val="22"/>
        </w:rPr>
        <w:t>,</w:t>
      </w:r>
      <w:r w:rsidR="003A6C08" w:rsidRPr="002C7B29">
        <w:rPr>
          <w:rFonts w:cs="Arial"/>
          <w:color w:val="000000"/>
          <w:sz w:val="22"/>
          <w:szCs w:val="22"/>
        </w:rPr>
        <w:t xml:space="preserve"> en </w:t>
      </w:r>
      <w:r w:rsidR="003A6C08">
        <w:rPr>
          <w:rFonts w:cs="Arial"/>
          <w:color w:val="000000"/>
          <w:sz w:val="22"/>
          <w:szCs w:val="22"/>
        </w:rPr>
        <w:t>cuanto a la cartera de</w:t>
      </w:r>
      <w:r w:rsidR="003A6C08" w:rsidRPr="002C7B29">
        <w:rPr>
          <w:rFonts w:cs="Arial"/>
          <w:color w:val="000000"/>
          <w:sz w:val="22"/>
          <w:szCs w:val="22"/>
        </w:rPr>
        <w:t xml:space="preserve"> crédito y </w:t>
      </w:r>
      <w:r w:rsidR="003A6C08">
        <w:rPr>
          <w:rFonts w:cs="Arial"/>
          <w:color w:val="000000"/>
          <w:sz w:val="22"/>
          <w:szCs w:val="22"/>
        </w:rPr>
        <w:t xml:space="preserve">en materia de </w:t>
      </w:r>
      <w:r w:rsidR="003A6C08" w:rsidRPr="002C7B29">
        <w:rPr>
          <w:rFonts w:cs="Arial"/>
          <w:color w:val="000000"/>
          <w:sz w:val="22"/>
          <w:szCs w:val="22"/>
        </w:rPr>
        <w:t>captaciones</w:t>
      </w:r>
      <w:r w:rsidR="003A6C08">
        <w:rPr>
          <w:rFonts w:cs="Arial"/>
          <w:color w:val="000000"/>
          <w:sz w:val="22"/>
          <w:szCs w:val="22"/>
        </w:rPr>
        <w:t>;</w:t>
      </w:r>
      <w:r w:rsidR="003A6C08" w:rsidRPr="002C7B29">
        <w:rPr>
          <w:rFonts w:cs="Arial"/>
          <w:color w:val="000000"/>
          <w:sz w:val="22"/>
          <w:szCs w:val="22"/>
        </w:rPr>
        <w:t xml:space="preserve"> </w:t>
      </w:r>
      <w:r w:rsidR="003A6C08">
        <w:rPr>
          <w:rFonts w:cs="Arial"/>
          <w:color w:val="000000"/>
          <w:sz w:val="22"/>
          <w:szCs w:val="22"/>
        </w:rPr>
        <w:t xml:space="preserve">luego de lo cual, expone </w:t>
      </w:r>
      <w:r w:rsidR="003A6C08" w:rsidRPr="002C7B29">
        <w:rPr>
          <w:rFonts w:cs="Arial"/>
          <w:color w:val="000000"/>
          <w:sz w:val="22"/>
          <w:szCs w:val="22"/>
        </w:rPr>
        <w:t xml:space="preserve">los resultados de la intermediación financiera y la situación de Fondo de Garantías, al cierre del pasado mes de </w:t>
      </w:r>
      <w:r w:rsidR="003A6C08">
        <w:rPr>
          <w:rFonts w:cs="Arial"/>
          <w:color w:val="000000"/>
          <w:sz w:val="22"/>
          <w:szCs w:val="22"/>
        </w:rPr>
        <w:t>marzo, al tiempo que atiende las consultas y observaciones que al respecto van planteando los señores Directores.</w:t>
      </w:r>
    </w:p>
    <w:p w:rsidR="003A6C08" w:rsidRDefault="003A6C08" w:rsidP="003A6C08">
      <w:pPr>
        <w:spacing w:line="360" w:lineRule="auto"/>
        <w:jc w:val="both"/>
        <w:rPr>
          <w:rFonts w:cs="Arial"/>
          <w:sz w:val="22"/>
          <w:lang w:val="es-ES_tradnl"/>
        </w:rPr>
      </w:pPr>
    </w:p>
    <w:p w:rsidR="009D03FE" w:rsidRDefault="003A6C08" w:rsidP="009D03FE">
      <w:pPr>
        <w:spacing w:line="360" w:lineRule="auto"/>
        <w:jc w:val="both"/>
        <w:rPr>
          <w:rFonts w:cs="Arial"/>
          <w:sz w:val="22"/>
          <w:lang w:val="es-ES_tradnl"/>
        </w:rPr>
      </w:pPr>
      <w:r w:rsidRPr="00A25DB7">
        <w:rPr>
          <w:rFonts w:cs="Arial"/>
          <w:sz w:val="22"/>
          <w:u w:val="single"/>
          <w:lang w:val="es-ES_tradnl"/>
        </w:rPr>
        <w:t xml:space="preserve">Minuto </w:t>
      </w:r>
      <w:r w:rsidR="009E7FF0">
        <w:rPr>
          <w:rFonts w:cs="Arial"/>
          <w:sz w:val="22"/>
          <w:u w:val="single"/>
          <w:lang w:val="es-ES_tradnl"/>
        </w:rPr>
        <w:t>80:00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darle un adecuado seguimiento a este tema e informar a este Órgano Colegiado sobre cualquier situación que al respecto sea pertinente.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F23B4" w:rsidRPr="002F23B4">
        <w:rPr>
          <w:rFonts w:cs="Arial"/>
          <w:b/>
          <w:sz w:val="22"/>
          <w:u w:val="single"/>
          <w:lang w:val="es-ES_tradnl"/>
        </w:rPr>
        <w:t>Resultados de la autoevaluación del Comité de Crédito</w:t>
      </w:r>
    </w:p>
    <w:p w:rsidR="009D03FE" w:rsidRDefault="009D03FE" w:rsidP="009D03FE">
      <w:pPr>
        <w:spacing w:line="360" w:lineRule="auto"/>
        <w:jc w:val="both"/>
        <w:rPr>
          <w:rFonts w:cs="Arial"/>
          <w:sz w:val="22"/>
          <w:szCs w:val="22"/>
        </w:rPr>
      </w:pPr>
    </w:p>
    <w:p w:rsidR="00F35E92" w:rsidRDefault="00F35E92" w:rsidP="00F35E92">
      <w:pPr>
        <w:spacing w:line="360" w:lineRule="auto"/>
        <w:jc w:val="both"/>
        <w:rPr>
          <w:rFonts w:cs="Arial"/>
          <w:sz w:val="22"/>
          <w:szCs w:val="22"/>
          <w:lang w:val="es-ES_tradnl"/>
        </w:rPr>
      </w:pPr>
      <w:r w:rsidRPr="0039311E">
        <w:rPr>
          <w:rFonts w:cs="Arial"/>
          <w:sz w:val="22"/>
          <w:u w:val="single"/>
          <w:lang w:val="es-ES_tradnl"/>
        </w:rPr>
        <w:t xml:space="preserve">Minuto </w:t>
      </w:r>
      <w:r w:rsidR="009E7FF0">
        <w:rPr>
          <w:rFonts w:cs="Arial"/>
          <w:sz w:val="22"/>
          <w:u w:val="single"/>
          <w:lang w:val="es-ES_tradnl"/>
        </w:rPr>
        <w:t>82</w:t>
      </w:r>
      <w:r w:rsidRPr="0039311E">
        <w:rPr>
          <w:rFonts w:cs="Arial"/>
          <w:sz w:val="22"/>
          <w:u w:val="single"/>
          <w:lang w:val="es-ES_tradnl"/>
        </w:rPr>
        <w:t>:</w:t>
      </w:r>
      <w:r w:rsidR="009E7FF0">
        <w:rPr>
          <w:rFonts w:cs="Arial"/>
          <w:sz w:val="22"/>
          <w:u w:val="single"/>
          <w:lang w:val="es-ES_tradnl"/>
        </w:rPr>
        <w:t>00</w:t>
      </w:r>
      <w:r>
        <w:rPr>
          <w:rFonts w:cs="Arial"/>
          <w:sz w:val="22"/>
          <w:lang w:val="es-ES_tradnl"/>
        </w:rPr>
        <w:t xml:space="preserve"> Se conoce el oficio </w:t>
      </w:r>
      <w:r w:rsidR="009E7FF0">
        <w:rPr>
          <w:rFonts w:cs="Arial"/>
          <w:sz w:val="22"/>
          <w:lang w:val="es-ES_tradnl"/>
        </w:rPr>
        <w:t>GG-ME-0778-2019 del 24 de julio</w:t>
      </w:r>
      <w:r>
        <w:rPr>
          <w:rFonts w:cs="Arial"/>
          <w:sz w:val="22"/>
          <w:lang w:val="es-ES_tradnl"/>
        </w:rPr>
        <w:t xml:space="preserve"> de 2019, mediante el cual, </w:t>
      </w:r>
      <w:r w:rsidR="009E7FF0">
        <w:rPr>
          <w:rFonts w:cs="Arial"/>
          <w:sz w:val="22"/>
          <w:lang w:val="es-ES_tradnl"/>
        </w:rPr>
        <w:t xml:space="preserve">atendiendo los lineamientos </w:t>
      </w:r>
      <w:r>
        <w:rPr>
          <w:rFonts w:cs="Arial"/>
          <w:sz w:val="22"/>
          <w:lang w:val="es-ES_tradnl"/>
        </w:rPr>
        <w:t>d</w:t>
      </w:r>
      <w:r w:rsidR="009E7FF0">
        <w:rPr>
          <w:rFonts w:cs="Arial"/>
          <w:sz w:val="22"/>
          <w:lang w:val="es-ES_tradnl"/>
        </w:rPr>
        <w:t>e</w:t>
      </w:r>
      <w:r>
        <w:rPr>
          <w:rFonts w:cs="Arial"/>
          <w:sz w:val="22"/>
          <w:lang w:val="es-ES_tradnl"/>
        </w:rPr>
        <w:t xml:space="preserve"> Gobierno Corporativo del BANHVI y el artículo </w:t>
      </w:r>
      <w:r w:rsidR="009E7FF0">
        <w:rPr>
          <w:rFonts w:cs="Arial"/>
          <w:sz w:val="22"/>
          <w:lang w:val="es-ES_tradnl"/>
        </w:rPr>
        <w:t>37</w:t>
      </w:r>
      <w:r>
        <w:rPr>
          <w:rFonts w:cs="Arial"/>
          <w:sz w:val="22"/>
          <w:lang w:val="es-ES_tradnl"/>
        </w:rPr>
        <w:t xml:space="preserve"> del Reglamento </w:t>
      </w:r>
      <w:r w:rsidR="009E7FF0">
        <w:rPr>
          <w:rFonts w:cs="Arial"/>
          <w:sz w:val="22"/>
          <w:lang w:val="es-ES_tradnl"/>
        </w:rPr>
        <w:t>de los Programas de Crédito y Avales del Fondo Nacional para la Vivienda del BANHVI</w:t>
      </w:r>
      <w:r>
        <w:rPr>
          <w:rFonts w:cs="Arial"/>
          <w:sz w:val="22"/>
          <w:szCs w:val="22"/>
          <w:lang w:val="es-ES_tradnl"/>
        </w:rPr>
        <w:t xml:space="preserve">, el </w:t>
      </w:r>
      <w:r>
        <w:rPr>
          <w:rFonts w:cs="Arial"/>
          <w:sz w:val="22"/>
          <w:lang w:val="es-ES_tradnl"/>
        </w:rPr>
        <w:t xml:space="preserve">Comité de </w:t>
      </w:r>
      <w:r w:rsidR="009E7FF0">
        <w:rPr>
          <w:rFonts w:cs="Arial"/>
          <w:sz w:val="22"/>
          <w:lang w:val="es-ES_tradnl"/>
        </w:rPr>
        <w:t>Crédito</w:t>
      </w:r>
      <w:r>
        <w:rPr>
          <w:rFonts w:cs="Arial"/>
          <w:sz w:val="22"/>
          <w:lang w:val="es-ES_tradnl"/>
        </w:rPr>
        <w:t xml:space="preserve"> somete a la consideración de esta </w:t>
      </w:r>
      <w:r w:rsidRPr="00295DDB">
        <w:rPr>
          <w:rFonts w:cs="Arial"/>
          <w:sz w:val="22"/>
          <w:szCs w:val="22"/>
          <w:lang w:val="es-ES_tradnl"/>
        </w:rPr>
        <w:t>Junta Directiva</w:t>
      </w:r>
      <w:r>
        <w:rPr>
          <w:rFonts w:cs="Arial"/>
          <w:sz w:val="22"/>
          <w:szCs w:val="22"/>
          <w:lang w:val="es-ES_tradnl"/>
        </w:rPr>
        <w:t>, los resultados de la autoevaluación de dicho órgano, correspondiente al período 2018.  Lo anterior, según fue conocido por ese Comité en su sesión N° 0</w:t>
      </w:r>
      <w:r w:rsidR="009E7FF0">
        <w:rPr>
          <w:rFonts w:cs="Arial"/>
          <w:sz w:val="22"/>
          <w:szCs w:val="22"/>
          <w:lang w:val="es-ES_tradnl"/>
        </w:rPr>
        <w:t>2</w:t>
      </w:r>
      <w:r>
        <w:rPr>
          <w:rFonts w:cs="Arial"/>
          <w:sz w:val="22"/>
          <w:szCs w:val="22"/>
          <w:lang w:val="es-ES_tradnl"/>
        </w:rPr>
        <w:t xml:space="preserve">-2019 del </w:t>
      </w:r>
      <w:r w:rsidR="009E7FF0">
        <w:rPr>
          <w:rFonts w:cs="Arial"/>
          <w:sz w:val="22"/>
          <w:szCs w:val="22"/>
          <w:lang w:val="es-ES_tradnl"/>
        </w:rPr>
        <w:t>23 de abril de 2019</w:t>
      </w:r>
      <w:r>
        <w:rPr>
          <w:rFonts w:cs="Arial"/>
          <w:sz w:val="22"/>
          <w:szCs w:val="22"/>
          <w:lang w:val="es-ES_tradnl"/>
        </w:rPr>
        <w:t>.  Dicho documento se adjunta al expediente del acta.</w:t>
      </w:r>
    </w:p>
    <w:p w:rsidR="00F35E92" w:rsidRDefault="00F35E92" w:rsidP="00F35E92">
      <w:pPr>
        <w:spacing w:line="360" w:lineRule="auto"/>
        <w:jc w:val="both"/>
        <w:rPr>
          <w:rFonts w:cs="Arial"/>
          <w:sz w:val="22"/>
          <w:szCs w:val="22"/>
          <w:lang w:val="es-ES_tradnl"/>
        </w:rPr>
      </w:pPr>
    </w:p>
    <w:p w:rsidR="00F35E92" w:rsidRPr="007010F8" w:rsidRDefault="00F35E92" w:rsidP="00F35E92">
      <w:pPr>
        <w:spacing w:line="360" w:lineRule="auto"/>
        <w:jc w:val="both"/>
        <w:rPr>
          <w:rFonts w:cs="Arial"/>
          <w:sz w:val="22"/>
          <w:u w:val="single"/>
          <w:lang w:val="es-ES_tradnl"/>
        </w:rPr>
      </w:pPr>
      <w:r>
        <w:rPr>
          <w:rFonts w:cs="Arial"/>
          <w:sz w:val="22"/>
          <w:szCs w:val="22"/>
          <w:lang w:val="es-ES_tradnl"/>
        </w:rPr>
        <w:t xml:space="preserve">La </w:t>
      </w:r>
      <w:r w:rsidR="004225F9">
        <w:rPr>
          <w:rFonts w:cs="Arial"/>
          <w:sz w:val="22"/>
          <w:szCs w:val="22"/>
          <w:lang w:val="es-ES_tradnl"/>
        </w:rPr>
        <w:t xml:space="preserve">licenciada Hernández Brenes </w:t>
      </w:r>
      <w:r>
        <w:rPr>
          <w:rFonts w:cs="Arial"/>
          <w:sz w:val="22"/>
          <w:szCs w:val="22"/>
          <w:lang w:val="es-ES_tradnl"/>
        </w:rPr>
        <w:t xml:space="preserve">expone el contenido del citado informe, cuya calificación global se estimó en un </w:t>
      </w:r>
      <w:r w:rsidR="004225F9">
        <w:rPr>
          <w:rFonts w:cs="Arial"/>
          <w:sz w:val="22"/>
          <w:szCs w:val="22"/>
          <w:lang w:val="es-ES_tradnl"/>
        </w:rPr>
        <w:t>93,1</w:t>
      </w:r>
      <w:r>
        <w:rPr>
          <w:rFonts w:cs="Arial"/>
          <w:sz w:val="22"/>
          <w:szCs w:val="22"/>
          <w:lang w:val="es-ES_tradnl"/>
        </w:rPr>
        <w:t>%, así como los aspectos más relevantes del respectivo plan para atender las oportunidades de mejora identificadas.</w:t>
      </w:r>
    </w:p>
    <w:p w:rsidR="00F35E92" w:rsidRDefault="00F35E92" w:rsidP="00F35E92">
      <w:pPr>
        <w:spacing w:line="360" w:lineRule="auto"/>
        <w:jc w:val="both"/>
        <w:rPr>
          <w:rFonts w:cs="Arial"/>
          <w:sz w:val="22"/>
          <w:szCs w:val="22"/>
        </w:rPr>
      </w:pPr>
    </w:p>
    <w:p w:rsidR="009D03FE" w:rsidRDefault="00F35E92" w:rsidP="009D03FE">
      <w:pPr>
        <w:spacing w:line="360" w:lineRule="auto"/>
        <w:jc w:val="both"/>
        <w:rPr>
          <w:rFonts w:cs="Arial"/>
          <w:sz w:val="22"/>
          <w:lang w:val="es-ES_tradnl"/>
        </w:rPr>
      </w:pPr>
      <w:r w:rsidRPr="00A25DB7">
        <w:rPr>
          <w:rFonts w:cs="Arial"/>
          <w:sz w:val="22"/>
          <w:u w:val="single"/>
          <w:lang w:val="es-ES_tradnl"/>
        </w:rPr>
        <w:t xml:space="preserve">Minuto </w:t>
      </w:r>
      <w:r w:rsidR="004225F9">
        <w:rPr>
          <w:rFonts w:cs="Arial"/>
          <w:sz w:val="22"/>
          <w:u w:val="single"/>
          <w:lang w:val="es-ES_tradnl"/>
        </w:rPr>
        <w:t>84</w:t>
      </w:r>
      <w:r w:rsidRPr="00A25DB7">
        <w:rPr>
          <w:rFonts w:cs="Arial"/>
          <w:sz w:val="22"/>
          <w:u w:val="single"/>
          <w:lang w:val="es-ES_tradnl"/>
        </w:rPr>
        <w:t>:</w:t>
      </w:r>
      <w:r w:rsidR="004225F9">
        <w:rPr>
          <w:rFonts w:cs="Arial"/>
          <w:sz w:val="22"/>
          <w:u w:val="single"/>
          <w:lang w:val="es-ES_tradnl"/>
        </w:rPr>
        <w:t>5</w:t>
      </w:r>
      <w:r>
        <w:rPr>
          <w:rFonts w:cs="Arial"/>
          <w:sz w:val="22"/>
          <w:u w:val="single"/>
          <w:lang w:val="es-ES_tradnl"/>
        </w:rPr>
        <w:t>0</w:t>
      </w:r>
      <w:r>
        <w:rPr>
          <w:rFonts w:cs="Arial"/>
          <w:sz w:val="22"/>
          <w:lang w:val="es-ES_tradnl"/>
        </w:rPr>
        <w:t xml:space="preserve"> La </w:t>
      </w:r>
      <w:r w:rsidRPr="00295DDB">
        <w:rPr>
          <w:rFonts w:cs="Arial"/>
          <w:sz w:val="22"/>
          <w:szCs w:val="22"/>
          <w:lang w:val="es-ES_tradnl"/>
        </w:rPr>
        <w:t xml:space="preserve">Junta Directiva </w:t>
      </w:r>
      <w:r>
        <w:rPr>
          <w:rFonts w:cs="Arial"/>
          <w:sz w:val="22"/>
          <w:szCs w:val="22"/>
          <w:lang w:val="es-ES_tradnl"/>
        </w:rPr>
        <w:t xml:space="preserve">da por conocido el referido informe del Comité de </w:t>
      </w:r>
      <w:r w:rsidR="004225F9">
        <w:rPr>
          <w:rFonts w:cs="Arial"/>
          <w:sz w:val="22"/>
          <w:szCs w:val="22"/>
          <w:lang w:val="es-ES_tradnl"/>
        </w:rPr>
        <w:t>Crédito</w:t>
      </w:r>
      <w:r w:rsidR="00AF19AB">
        <w:rPr>
          <w:rFonts w:cs="Arial"/>
          <w:sz w:val="22"/>
          <w:szCs w:val="22"/>
          <w:lang w:val="es-ES_tradnl"/>
        </w:rPr>
        <w:t xml:space="preserve"> y,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F23B4" w:rsidRPr="002F23B4">
        <w:rPr>
          <w:rFonts w:cs="Arial"/>
          <w:b/>
          <w:sz w:val="22"/>
          <w:u w:val="single"/>
          <w:lang w:val="es-ES_tradnl"/>
        </w:rPr>
        <w:t>Consulta sobre proyecto de ley que otorga competencia a las municipalidades, para gestionar y desarrollar proyectos de vivienda de interés social</w:t>
      </w:r>
    </w:p>
    <w:p w:rsidR="009D03FE" w:rsidRDefault="009D03FE" w:rsidP="009D03FE">
      <w:pPr>
        <w:spacing w:line="360" w:lineRule="auto"/>
        <w:jc w:val="both"/>
        <w:rPr>
          <w:rFonts w:cs="Arial"/>
          <w:sz w:val="22"/>
          <w:szCs w:val="22"/>
        </w:rPr>
      </w:pPr>
    </w:p>
    <w:p w:rsidR="00525381" w:rsidRPr="00031527" w:rsidRDefault="00525381" w:rsidP="00525381">
      <w:pPr>
        <w:spacing w:line="360" w:lineRule="auto"/>
        <w:jc w:val="both"/>
        <w:rPr>
          <w:rFonts w:cs="Arial"/>
          <w:sz w:val="22"/>
          <w:szCs w:val="22"/>
        </w:rPr>
      </w:pPr>
      <w:r w:rsidRPr="0039311E">
        <w:rPr>
          <w:rFonts w:cs="Arial"/>
          <w:sz w:val="22"/>
          <w:u w:val="single"/>
          <w:lang w:val="es-ES_tradnl"/>
        </w:rPr>
        <w:t xml:space="preserve">Minuto </w:t>
      </w:r>
      <w:r w:rsidR="00BA51DA">
        <w:rPr>
          <w:rFonts w:cs="Arial"/>
          <w:sz w:val="22"/>
          <w:u w:val="single"/>
          <w:lang w:val="es-ES_tradnl"/>
        </w:rPr>
        <w:t>85</w:t>
      </w:r>
      <w:r w:rsidRPr="0039311E">
        <w:rPr>
          <w:rFonts w:cs="Arial"/>
          <w:sz w:val="22"/>
          <w:u w:val="single"/>
          <w:lang w:val="es-ES_tradnl"/>
        </w:rPr>
        <w:t>:</w:t>
      </w:r>
      <w:r w:rsidR="00BA51DA">
        <w:rPr>
          <w:rFonts w:cs="Arial"/>
          <w:sz w:val="22"/>
          <w:u w:val="single"/>
          <w:lang w:val="es-ES_tradnl"/>
        </w:rPr>
        <w:t>0</w:t>
      </w:r>
      <w:r>
        <w:rPr>
          <w:rFonts w:cs="Arial"/>
          <w:sz w:val="22"/>
          <w:u w:val="single"/>
          <w:lang w:val="es-ES_tradnl"/>
        </w:rPr>
        <w:t>0</w:t>
      </w:r>
      <w:r>
        <w:rPr>
          <w:rFonts w:cs="Arial"/>
          <w:sz w:val="22"/>
          <w:lang w:val="es-ES_tradnl"/>
        </w:rPr>
        <w:t xml:space="preserve"> </w:t>
      </w:r>
      <w:r w:rsidR="00BA51DA">
        <w:rPr>
          <w:rFonts w:cs="Arial"/>
          <w:sz w:val="22"/>
          <w:lang w:val="es-ES_tradnl"/>
        </w:rPr>
        <w:t>Se conoce el oficio</w:t>
      </w:r>
      <w:r>
        <w:rPr>
          <w:rFonts w:cs="Arial"/>
          <w:sz w:val="22"/>
          <w:lang w:val="es-ES_tradnl"/>
        </w:rPr>
        <w:t xml:space="preserve"> </w:t>
      </w:r>
      <w:r w:rsidRPr="00D574AE">
        <w:rPr>
          <w:rFonts w:cs="Arial"/>
          <w:sz w:val="22"/>
          <w:szCs w:val="22"/>
        </w:rPr>
        <w:t>GG-ME-</w:t>
      </w:r>
      <w:r>
        <w:rPr>
          <w:rFonts w:cs="Arial"/>
          <w:sz w:val="22"/>
          <w:szCs w:val="22"/>
        </w:rPr>
        <w:t>0</w:t>
      </w:r>
      <w:r w:rsidR="00BA51DA">
        <w:rPr>
          <w:rFonts w:cs="Arial"/>
          <w:sz w:val="22"/>
          <w:szCs w:val="22"/>
        </w:rPr>
        <w:t>801</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BA51DA">
        <w:rPr>
          <w:rFonts w:cs="Arial"/>
          <w:sz w:val="22"/>
          <w:szCs w:val="22"/>
        </w:rPr>
        <w:t>29</w:t>
      </w:r>
      <w:r w:rsidRPr="00D574AE">
        <w:rPr>
          <w:rFonts w:cs="Arial"/>
          <w:sz w:val="22"/>
          <w:szCs w:val="22"/>
        </w:rPr>
        <w:t xml:space="preserve"> de </w:t>
      </w:r>
      <w:r>
        <w:rPr>
          <w:rFonts w:cs="Arial"/>
          <w:sz w:val="22"/>
          <w:szCs w:val="22"/>
        </w:rPr>
        <w:t>julio</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w:t>
      </w:r>
      <w:r w:rsidR="00BA51DA">
        <w:rPr>
          <w:rFonts w:cs="Arial"/>
          <w:sz w:val="22"/>
          <w:szCs w:val="22"/>
          <w:lang w:val="es-ES_tradnl"/>
        </w:rPr>
        <w:t xml:space="preserve">el </w:t>
      </w:r>
      <w:r w:rsidRPr="00D574AE">
        <w:rPr>
          <w:rFonts w:cs="Arial"/>
          <w:sz w:val="22"/>
          <w:szCs w:val="22"/>
          <w:lang w:val="es-ES_tradnl"/>
        </w:rPr>
        <w:t>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denominado </w:t>
      </w:r>
      <w:r>
        <w:rPr>
          <w:rFonts w:cs="Arial"/>
          <w:bCs/>
          <w:i/>
          <w:iCs/>
          <w:sz w:val="22"/>
          <w:szCs w:val="22"/>
          <w:lang w:val="es-CR"/>
        </w:rPr>
        <w:t>“</w:t>
      </w:r>
      <w:r w:rsidR="00BA51DA">
        <w:rPr>
          <w:rFonts w:cs="Arial"/>
          <w:sz w:val="22"/>
          <w:szCs w:val="22"/>
        </w:rPr>
        <w:t>“</w:t>
      </w:r>
      <w:r w:rsidR="00BA51DA" w:rsidRPr="00AE5E4F">
        <w:rPr>
          <w:rFonts w:cs="Arial"/>
          <w:i/>
          <w:sz w:val="22"/>
          <w:szCs w:val="22"/>
        </w:rPr>
        <w:t>Ley que otorga competencia a las municipalidades para desarrollar proyectos de erradicación de tugurios, asentamientos consolidados o en precario, gestión de proyectos de vivienda de interés social y reubicación de familias residentes en zonas de alto riesgo a deslizamientos, vulnerabilidad por inundación e invasión de zonas de protección ambiental</w:t>
      </w:r>
      <w:r w:rsidR="00BA51DA">
        <w:rPr>
          <w:rFonts w:cs="Arial"/>
          <w:sz w:val="22"/>
          <w:szCs w:val="22"/>
        </w:rPr>
        <w:t>”,</w:t>
      </w:r>
      <w:r w:rsidR="00BA51DA">
        <w:rPr>
          <w:rFonts w:cs="Arial"/>
          <w:sz w:val="22"/>
          <w:szCs w:val="22"/>
          <w:lang w:val="es-ES_tradnl"/>
        </w:rPr>
        <w:t xml:space="preserve"> tramitado en el expediente </w:t>
      </w:r>
      <w:r w:rsidR="00BA51DA" w:rsidRPr="00C95CD9">
        <w:rPr>
          <w:rFonts w:cs="Arial"/>
          <w:sz w:val="22"/>
          <w:szCs w:val="22"/>
          <w:lang w:val="es-ES_tradnl"/>
        </w:rPr>
        <w:t>legislativo N° 2</w:t>
      </w:r>
      <w:r w:rsidR="00BA51DA">
        <w:rPr>
          <w:rFonts w:cs="Arial"/>
          <w:sz w:val="22"/>
          <w:szCs w:val="22"/>
          <w:lang w:val="es-ES_tradnl"/>
        </w:rPr>
        <w:t>0</w:t>
      </w:r>
      <w:r w:rsidR="00BA51DA" w:rsidRPr="00C95CD9">
        <w:rPr>
          <w:rFonts w:cs="Arial"/>
          <w:sz w:val="22"/>
          <w:szCs w:val="22"/>
          <w:lang w:val="es-ES_tradnl"/>
        </w:rPr>
        <w:t>.</w:t>
      </w:r>
      <w:r w:rsidR="00BA51DA">
        <w:rPr>
          <w:rFonts w:cs="Arial"/>
          <w:sz w:val="22"/>
          <w:szCs w:val="22"/>
          <w:lang w:val="es-ES_tradnl"/>
        </w:rPr>
        <w:t>201</w:t>
      </w:r>
      <w:r>
        <w:rPr>
          <w:rFonts w:cs="Arial"/>
          <w:sz w:val="22"/>
          <w:szCs w:val="22"/>
          <w:lang w:val="es-ES_tradnl"/>
        </w:rPr>
        <w:t xml:space="preserve"> y</w:t>
      </w:r>
      <w:r w:rsidRPr="00031527">
        <w:rPr>
          <w:rFonts w:cs="Arial"/>
          <w:bCs/>
          <w:sz w:val="22"/>
          <w:szCs w:val="22"/>
          <w:lang w:val="es-CR"/>
        </w:rPr>
        <w:t xml:space="preserve"> </w:t>
      </w:r>
      <w:r>
        <w:rPr>
          <w:rFonts w:cs="Arial"/>
          <w:sz w:val="22"/>
          <w:szCs w:val="22"/>
          <w:lang w:val="es-ES_tradnl"/>
        </w:rPr>
        <w:t xml:space="preserve">consultado a este Banco por medio del oficio </w:t>
      </w:r>
      <w:r w:rsidR="00BA51DA">
        <w:rPr>
          <w:rFonts w:cs="Arial"/>
          <w:sz w:val="22"/>
          <w:szCs w:val="22"/>
          <w:lang w:val="es-ES_tradnl"/>
        </w:rPr>
        <w:t xml:space="preserve">CPEM-030-2019 de la Comisión </w:t>
      </w:r>
      <w:r>
        <w:rPr>
          <w:rFonts w:cs="Arial"/>
          <w:sz w:val="22"/>
          <w:szCs w:val="22"/>
          <w:lang w:val="es-ES_tradnl"/>
        </w:rPr>
        <w:t>Permanente de</w:t>
      </w:r>
      <w:r w:rsidR="00BA51DA">
        <w:rPr>
          <w:rFonts w:cs="Arial"/>
          <w:sz w:val="22"/>
          <w:szCs w:val="22"/>
          <w:lang w:val="es-ES_tradnl"/>
        </w:rPr>
        <w:t xml:space="preserve"> Asuntos Municipales y Desarrollo Local Participativo de la Asamblea Legislativa</w:t>
      </w:r>
      <w:r>
        <w:rPr>
          <w:rFonts w:cs="Arial"/>
          <w:sz w:val="22"/>
          <w:szCs w:val="22"/>
          <w:lang w:val="es-ES_tradnl"/>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rsidR="00525381" w:rsidRDefault="00525381" w:rsidP="00525381">
      <w:pPr>
        <w:spacing w:line="360" w:lineRule="auto"/>
        <w:jc w:val="both"/>
        <w:rPr>
          <w:rFonts w:cs="Arial"/>
          <w:sz w:val="22"/>
          <w:lang w:val="es-ES_tradnl"/>
        </w:rPr>
      </w:pPr>
    </w:p>
    <w:p w:rsidR="00BA51DA" w:rsidRDefault="00BA51DA" w:rsidP="00525381">
      <w:pPr>
        <w:spacing w:line="360" w:lineRule="auto"/>
        <w:jc w:val="both"/>
        <w:rPr>
          <w:rFonts w:cs="Arial"/>
          <w:sz w:val="22"/>
          <w:szCs w:val="22"/>
        </w:rPr>
      </w:pPr>
      <w:r>
        <w:rPr>
          <w:rFonts w:cs="Arial"/>
          <w:sz w:val="22"/>
          <w:szCs w:val="22"/>
        </w:rPr>
        <w:t xml:space="preserve">El señor Gerente General </w:t>
      </w:r>
      <w:proofErr w:type="spellStart"/>
      <w:r>
        <w:rPr>
          <w:rFonts w:cs="Arial"/>
          <w:sz w:val="22"/>
          <w:szCs w:val="22"/>
        </w:rPr>
        <w:t>a.i.</w:t>
      </w:r>
      <w:proofErr w:type="spellEnd"/>
      <w:r>
        <w:rPr>
          <w:rFonts w:cs="Arial"/>
          <w:sz w:val="22"/>
          <w:szCs w:val="22"/>
        </w:rPr>
        <w:t xml:space="preserve"> </w:t>
      </w:r>
      <w:r w:rsidR="00525381">
        <w:rPr>
          <w:rFonts w:cs="Arial"/>
          <w:sz w:val="22"/>
          <w:szCs w:val="22"/>
        </w:rPr>
        <w:t xml:space="preserve">expone </w:t>
      </w:r>
      <w:r>
        <w:rPr>
          <w:rFonts w:cs="Arial"/>
          <w:sz w:val="22"/>
          <w:szCs w:val="22"/>
        </w:rPr>
        <w:t>el</w:t>
      </w:r>
      <w:r w:rsidR="00525381">
        <w:rPr>
          <w:rFonts w:cs="Arial"/>
          <w:sz w:val="22"/>
          <w:szCs w:val="22"/>
        </w:rPr>
        <w:t xml:space="preserve"> criterio </w:t>
      </w:r>
      <w:r>
        <w:rPr>
          <w:rFonts w:cs="Arial"/>
          <w:sz w:val="22"/>
          <w:szCs w:val="22"/>
        </w:rPr>
        <w:t xml:space="preserve">de la </w:t>
      </w:r>
      <w:r w:rsidRPr="00BA51DA">
        <w:rPr>
          <w:rFonts w:cs="Arial"/>
          <w:sz w:val="22"/>
          <w:szCs w:val="22"/>
        </w:rPr>
        <w:t>Administración</w:t>
      </w:r>
      <w:r w:rsidR="00525381">
        <w:rPr>
          <w:rFonts w:cs="Arial"/>
          <w:sz w:val="22"/>
          <w:szCs w:val="22"/>
        </w:rPr>
        <w:t xml:space="preserve"> con respecto a los alcances d</w:t>
      </w:r>
      <w:r>
        <w:rPr>
          <w:rFonts w:cs="Arial"/>
          <w:sz w:val="22"/>
          <w:szCs w:val="22"/>
        </w:rPr>
        <w:t>e la referida iniciativa de ley; criterio que es analizado posteriormente por parte de los señores Directores.</w:t>
      </w:r>
    </w:p>
    <w:p w:rsidR="00BA51DA" w:rsidRDefault="00BA51DA" w:rsidP="00525381">
      <w:pPr>
        <w:spacing w:line="360" w:lineRule="auto"/>
        <w:jc w:val="both"/>
        <w:rPr>
          <w:rFonts w:cs="Arial"/>
          <w:sz w:val="22"/>
          <w:szCs w:val="22"/>
        </w:rPr>
      </w:pPr>
    </w:p>
    <w:p w:rsidR="00BA51DA" w:rsidRDefault="00BA51DA" w:rsidP="00982183">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982183">
        <w:rPr>
          <w:rFonts w:cs="Arial"/>
          <w:sz w:val="22"/>
          <w:u w:val="single"/>
          <w:lang w:val="es-ES_tradnl"/>
        </w:rPr>
        <w:t>116</w:t>
      </w:r>
      <w:r w:rsidRPr="00A25DB7">
        <w:rPr>
          <w:rFonts w:cs="Arial"/>
          <w:sz w:val="22"/>
          <w:u w:val="single"/>
          <w:lang w:val="es-ES_tradnl"/>
        </w:rPr>
        <w:t>:</w:t>
      </w:r>
      <w:r w:rsidR="00982183">
        <w:rPr>
          <w:rFonts w:cs="Arial"/>
          <w:sz w:val="22"/>
          <w:u w:val="single"/>
          <w:lang w:val="es-ES_tradnl"/>
        </w:rPr>
        <w:t>0</w:t>
      </w:r>
      <w:r>
        <w:rPr>
          <w:rFonts w:cs="Arial"/>
          <w:sz w:val="22"/>
          <w:u w:val="single"/>
          <w:lang w:val="es-ES_tradnl"/>
        </w:rPr>
        <w:t>0</w:t>
      </w:r>
      <w:r>
        <w:rPr>
          <w:rFonts w:cs="Arial"/>
          <w:sz w:val="22"/>
          <w:lang w:val="es-ES_tradnl"/>
        </w:rPr>
        <w:t xml:space="preserve"> </w:t>
      </w:r>
      <w:r w:rsidR="00982183">
        <w:rPr>
          <w:rFonts w:cs="Arial"/>
          <w:sz w:val="22"/>
          <w:lang w:val="es-ES_tradnl"/>
        </w:rPr>
        <w:t xml:space="preserve">Conocido y suficientemente discutido el informe de la </w:t>
      </w:r>
      <w:r w:rsidR="00982183" w:rsidRPr="00982183">
        <w:rPr>
          <w:rFonts w:cs="Arial"/>
          <w:sz w:val="22"/>
          <w:szCs w:val="22"/>
          <w:lang w:val="es-ES_tradnl"/>
        </w:rPr>
        <w:t>Administración</w:t>
      </w:r>
      <w:r w:rsidR="00982183">
        <w:rPr>
          <w:rFonts w:cs="Arial"/>
          <w:sz w:val="22"/>
          <w:szCs w:val="22"/>
          <w:lang w:val="es-ES_tradnl"/>
        </w:rPr>
        <w:t xml:space="preserve">, la </w:t>
      </w:r>
      <w:r w:rsidR="00982183" w:rsidRPr="00982183">
        <w:rPr>
          <w:rFonts w:cs="Arial"/>
          <w:sz w:val="22"/>
          <w:szCs w:val="22"/>
          <w:lang w:val="es-ES_tradnl"/>
        </w:rPr>
        <w:t xml:space="preserve">Junta Directiva </w:t>
      </w:r>
      <w:r w:rsidR="00982183">
        <w:rPr>
          <w:rFonts w:cs="Arial"/>
          <w:sz w:val="22"/>
          <w:szCs w:val="22"/>
          <w:lang w:val="es-ES_tradnl"/>
        </w:rPr>
        <w:t xml:space="preserve">resuelve girar instrucciones a la </w:t>
      </w:r>
      <w:r w:rsidR="00982183" w:rsidRPr="00744312">
        <w:rPr>
          <w:rFonts w:cs="Arial"/>
          <w:sz w:val="22"/>
          <w:szCs w:val="22"/>
          <w:lang w:val="es-ES_tradnl"/>
        </w:rPr>
        <w:t>Gerencia General</w:t>
      </w:r>
      <w:r w:rsidR="00982183">
        <w:rPr>
          <w:rFonts w:cs="Arial"/>
          <w:sz w:val="22"/>
          <w:szCs w:val="22"/>
          <w:lang w:val="es-ES_tradnl"/>
        </w:rPr>
        <w:t xml:space="preserve">, </w:t>
      </w:r>
      <w:r w:rsidR="00982183">
        <w:rPr>
          <w:rFonts w:cs="Arial"/>
          <w:sz w:val="22"/>
          <w:szCs w:val="22"/>
        </w:rPr>
        <w:t xml:space="preserve">para que tomando en consideración las observaciones realizadas en la presente sesión y según lo indicado en el oficio </w:t>
      </w:r>
      <w:r w:rsidR="00982183" w:rsidRPr="00D574AE">
        <w:rPr>
          <w:rFonts w:cs="Arial"/>
          <w:sz w:val="22"/>
          <w:szCs w:val="22"/>
        </w:rPr>
        <w:t>GG-ME-</w:t>
      </w:r>
      <w:r w:rsidR="00982183">
        <w:rPr>
          <w:rFonts w:cs="Arial"/>
          <w:sz w:val="22"/>
          <w:szCs w:val="22"/>
        </w:rPr>
        <w:t>0801-2</w:t>
      </w:r>
      <w:r w:rsidR="00982183" w:rsidRPr="00D574AE">
        <w:rPr>
          <w:rFonts w:cs="Arial"/>
          <w:sz w:val="22"/>
          <w:szCs w:val="22"/>
        </w:rPr>
        <w:t>01</w:t>
      </w:r>
      <w:r w:rsidR="00982183">
        <w:rPr>
          <w:rFonts w:cs="Arial"/>
          <w:sz w:val="22"/>
          <w:szCs w:val="22"/>
        </w:rPr>
        <w:t xml:space="preserve">9, comunique a la </w:t>
      </w:r>
      <w:r w:rsidR="00982183">
        <w:rPr>
          <w:rFonts w:cs="Arial"/>
          <w:sz w:val="22"/>
          <w:szCs w:val="22"/>
          <w:lang w:val="es-ES_tradnl"/>
        </w:rPr>
        <w:t xml:space="preserve">Comisión Permanente de Asuntos Municipales y Desarrollo Local Participativo de la Asamblea Legislativa, el criterio formal de este Banco sobre dicho </w:t>
      </w:r>
      <w:r w:rsidR="00982183" w:rsidRPr="00D574AE">
        <w:rPr>
          <w:rFonts w:cs="Arial"/>
          <w:sz w:val="22"/>
          <w:szCs w:val="22"/>
        </w:rPr>
        <w:t xml:space="preserve">proyecto de </w:t>
      </w:r>
      <w:r w:rsidR="00982183">
        <w:rPr>
          <w:rFonts w:cs="Arial"/>
          <w:sz w:val="22"/>
          <w:szCs w:val="22"/>
        </w:rPr>
        <w:t>ley.  Lo anterior,</w:t>
      </w:r>
      <w:r>
        <w:rPr>
          <w:rFonts w:cs="Arial"/>
          <w:sz w:val="22"/>
          <w:szCs w:val="22"/>
        </w:rPr>
        <w:t xml:space="preserve"> en los términos que se indican en el </w:t>
      </w:r>
      <w:r w:rsidRPr="00542F89">
        <w:rPr>
          <w:rFonts w:cs="Arial"/>
          <w:b/>
          <w:sz w:val="22"/>
          <w:szCs w:val="22"/>
        </w:rPr>
        <w:t xml:space="preserve">Acuerdo N° </w:t>
      </w:r>
      <w:r>
        <w:rPr>
          <w:rFonts w:cs="Arial"/>
          <w:b/>
          <w:sz w:val="22"/>
          <w:szCs w:val="22"/>
        </w:rPr>
        <w:t>5</w:t>
      </w:r>
      <w:r w:rsidRPr="00542F89">
        <w:rPr>
          <w:rFonts w:cs="Arial"/>
          <w:b/>
          <w:sz w:val="22"/>
          <w:szCs w:val="22"/>
        </w:rPr>
        <w:t xml:space="preserve"> </w:t>
      </w:r>
      <w:r>
        <w:rPr>
          <w:rFonts w:cs="Arial"/>
          <w:sz w:val="22"/>
          <w:szCs w:val="22"/>
        </w:rPr>
        <w:t xml:space="preserve">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D46DD2">
        <w:rPr>
          <w:rFonts w:cs="Arial"/>
          <w:szCs w:val="22"/>
          <w:u w:val="single"/>
        </w:rPr>
        <w:t xml:space="preserve">Minuto </w:t>
      </w:r>
      <w:r w:rsidR="00D46DD2" w:rsidRPr="00D46DD2">
        <w:rPr>
          <w:rFonts w:cs="Arial"/>
          <w:szCs w:val="22"/>
          <w:u w:val="single"/>
        </w:rPr>
        <w:t>116</w:t>
      </w:r>
      <w:r w:rsidRPr="00D46DD2">
        <w:rPr>
          <w:rFonts w:cs="Arial"/>
          <w:szCs w:val="22"/>
          <w:u w:val="single"/>
        </w:rPr>
        <w:t>:</w:t>
      </w:r>
      <w:r w:rsidR="00982183">
        <w:rPr>
          <w:rFonts w:cs="Arial"/>
          <w:szCs w:val="22"/>
          <w:u w:val="single"/>
        </w:rPr>
        <w:t>5</w:t>
      </w:r>
      <w:r w:rsidR="00D46DD2" w:rsidRPr="00D46DD2">
        <w:rPr>
          <w:rFonts w:cs="Arial"/>
          <w:szCs w:val="22"/>
          <w:u w:val="single"/>
        </w:rPr>
        <w:t>0</w:t>
      </w:r>
      <w:r>
        <w:rPr>
          <w:rFonts w:cs="Arial"/>
          <w:szCs w:val="22"/>
        </w:rPr>
        <w:t xml:space="preserve"> </w:t>
      </w:r>
      <w:r w:rsidR="00FA4CCB" w:rsidRPr="00AB2826">
        <w:rPr>
          <w:rFonts w:cs="Arial"/>
          <w:szCs w:val="22"/>
        </w:rPr>
        <w:t xml:space="preserve">Siendo las </w:t>
      </w:r>
      <w:r w:rsidR="00B45E4E">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B45E4E">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F23B4">
        <w:rPr>
          <w:rFonts w:cs="Arial"/>
          <w:b/>
          <w:sz w:val="22"/>
          <w:u w:val="single"/>
        </w:rPr>
        <w:t>EXTRA</w:t>
      </w:r>
      <w:r>
        <w:rPr>
          <w:rFonts w:cs="Arial"/>
          <w:b/>
          <w:sz w:val="22"/>
          <w:u w:val="single"/>
        </w:rPr>
        <w:t xml:space="preserve">ORDINARIA N° </w:t>
      </w:r>
      <w:r w:rsidR="002F23B4">
        <w:rPr>
          <w:rFonts w:cs="Arial"/>
          <w:b/>
          <w:sz w:val="22"/>
          <w:u w:val="single"/>
        </w:rPr>
        <w:t>59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2F23B4">
        <w:rPr>
          <w:rFonts w:cs="Arial"/>
          <w:b/>
          <w:sz w:val="22"/>
          <w:u w:val="single"/>
        </w:rPr>
        <w:t>01</w:t>
      </w:r>
      <w:r>
        <w:rPr>
          <w:rFonts w:cs="Arial"/>
          <w:b/>
          <w:sz w:val="22"/>
          <w:u w:val="single"/>
        </w:rPr>
        <w:t xml:space="preserve"> DE </w:t>
      </w:r>
      <w:r w:rsidR="002F23B4">
        <w:rPr>
          <w:rFonts w:cs="Arial"/>
          <w:b/>
          <w:sz w:val="22"/>
          <w:u w:val="single"/>
        </w:rPr>
        <w:t>AGOSTO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177FF9" w:rsidRDefault="00F041BB" w:rsidP="00177FF9">
      <w:pPr>
        <w:spacing w:line="360" w:lineRule="auto"/>
        <w:jc w:val="both"/>
        <w:rPr>
          <w:rFonts w:cs="Arial"/>
          <w:sz w:val="22"/>
          <w:szCs w:val="22"/>
          <w:lang w:val="es-ES_tradnl"/>
        </w:rPr>
      </w:pPr>
      <w:r>
        <w:rPr>
          <w:rFonts w:cs="Arial"/>
          <w:sz w:val="22"/>
          <w:szCs w:val="22"/>
        </w:rPr>
        <w:t xml:space="preserve">Conocido el </w:t>
      </w:r>
      <w:r w:rsidRPr="009A0F16">
        <w:rPr>
          <w:rFonts w:cs="Arial"/>
          <w:sz w:val="22"/>
          <w:lang w:val="es-ES_tradnl"/>
        </w:rPr>
        <w:t xml:space="preserve">informe </w:t>
      </w:r>
      <w:r>
        <w:rPr>
          <w:rFonts w:cs="Arial"/>
          <w:sz w:val="22"/>
          <w:lang w:val="es-ES_tradnl"/>
        </w:rPr>
        <w:t>de</w:t>
      </w:r>
      <w:r w:rsidRPr="009A0F16">
        <w:rPr>
          <w:rFonts w:cs="Arial"/>
          <w:sz w:val="22"/>
          <w:lang w:val="es-ES_tradnl"/>
        </w:rPr>
        <w:t xml:space="preserve"> avance </w:t>
      </w:r>
      <w:r>
        <w:rPr>
          <w:rFonts w:cs="Arial"/>
          <w:sz w:val="22"/>
          <w:lang w:val="es-ES_tradnl"/>
        </w:rPr>
        <w:t xml:space="preserve">sobre </w:t>
      </w:r>
      <w:r w:rsidRPr="009A0F16">
        <w:rPr>
          <w:rFonts w:cs="Arial"/>
          <w:sz w:val="22"/>
          <w:lang w:val="es-ES_tradnl"/>
        </w:rPr>
        <w:t>la ejecución de las actividades de los proyectos de Sistema de Apoyo a la Gestión Financiera, Rediseño del Sistema de Vivienda y Expediente Electrónico-Fase II</w:t>
      </w:r>
      <w:r>
        <w:rPr>
          <w:rFonts w:cs="Arial"/>
          <w:sz w:val="22"/>
          <w:lang w:val="es-ES_tradnl"/>
        </w:rPr>
        <w:t xml:space="preserve">, y valorando –según </w:t>
      </w:r>
      <w:r w:rsidR="00804D4E">
        <w:rPr>
          <w:rFonts w:cs="Arial"/>
          <w:sz w:val="22"/>
          <w:lang w:val="es-ES_tradnl"/>
        </w:rPr>
        <w:t xml:space="preserve">se ha </w:t>
      </w:r>
      <w:r>
        <w:rPr>
          <w:rFonts w:cs="Arial"/>
          <w:sz w:val="22"/>
          <w:lang w:val="es-ES_tradnl"/>
        </w:rPr>
        <w:t xml:space="preserve">expuesto– </w:t>
      </w:r>
      <w:r w:rsidR="00804D4E">
        <w:rPr>
          <w:rFonts w:cs="Arial"/>
          <w:sz w:val="22"/>
          <w:lang w:val="es-ES_tradnl"/>
        </w:rPr>
        <w:t xml:space="preserve">que </w:t>
      </w:r>
      <w:r>
        <w:rPr>
          <w:rFonts w:cs="Arial"/>
          <w:sz w:val="22"/>
          <w:lang w:val="es-ES_tradnl"/>
        </w:rPr>
        <w:t xml:space="preserve">el factor clave de éxito consiste en contar oportunamente con el recurso humano que requiere el desarrollo y la implementación dichos proyectos, se instruye a la </w:t>
      </w:r>
      <w:r w:rsidRPr="00F041BB">
        <w:rPr>
          <w:rFonts w:cs="Arial"/>
          <w:sz w:val="22"/>
          <w:szCs w:val="22"/>
          <w:lang w:val="es-ES_tradnl"/>
        </w:rPr>
        <w:t>Gerencia General</w:t>
      </w:r>
      <w:r w:rsidR="00982E91">
        <w:rPr>
          <w:rFonts w:cs="Arial"/>
          <w:sz w:val="22"/>
          <w:szCs w:val="22"/>
          <w:lang w:val="es-ES_tradnl"/>
        </w:rPr>
        <w:t>,</w:t>
      </w:r>
      <w:r>
        <w:rPr>
          <w:rFonts w:cs="Arial"/>
          <w:sz w:val="22"/>
          <w:szCs w:val="22"/>
          <w:lang w:val="es-ES_tradnl"/>
        </w:rPr>
        <w:t xml:space="preserve"> para que de inmediato </w:t>
      </w:r>
      <w:r w:rsidR="00804D4E">
        <w:rPr>
          <w:rFonts w:cs="Arial"/>
          <w:sz w:val="22"/>
          <w:szCs w:val="22"/>
          <w:lang w:val="es-ES_tradnl"/>
        </w:rPr>
        <w:t xml:space="preserve">realice una revisión de la Dirección Administrativa y particularmente de las áreas de Recursos Humanos y Proveeduría, </w:t>
      </w:r>
      <w:r w:rsidR="00177FF9">
        <w:rPr>
          <w:rFonts w:cs="Arial"/>
          <w:sz w:val="22"/>
          <w:szCs w:val="22"/>
          <w:lang w:val="es-ES_tradnl"/>
        </w:rPr>
        <w:t>y tome las acciones que estime necesarias para mitigar cualquier riesgo</w:t>
      </w:r>
      <w:r w:rsidR="008430C2">
        <w:rPr>
          <w:rFonts w:cs="Arial"/>
          <w:sz w:val="22"/>
          <w:szCs w:val="22"/>
          <w:lang w:val="es-ES_tradnl"/>
        </w:rPr>
        <w:t xml:space="preserve"> que advierta, en relación con </w:t>
      </w:r>
      <w:r w:rsidR="009C48B7">
        <w:rPr>
          <w:rFonts w:cs="Arial"/>
          <w:sz w:val="22"/>
          <w:szCs w:val="22"/>
          <w:lang w:val="es-ES_tradnl"/>
        </w:rPr>
        <w:t xml:space="preserve">las </w:t>
      </w:r>
      <w:r w:rsidR="00BB2E32">
        <w:rPr>
          <w:rFonts w:cs="Arial"/>
          <w:sz w:val="22"/>
          <w:szCs w:val="22"/>
          <w:lang w:val="es-ES_tradnl"/>
        </w:rPr>
        <w:t>actividades</w:t>
      </w:r>
      <w:r w:rsidR="00B40EB7">
        <w:rPr>
          <w:rFonts w:cs="Arial"/>
          <w:sz w:val="22"/>
          <w:szCs w:val="22"/>
          <w:lang w:val="es-ES_tradnl"/>
        </w:rPr>
        <w:t xml:space="preserve"> que le</w:t>
      </w:r>
      <w:r w:rsidR="00BB2E32">
        <w:rPr>
          <w:rFonts w:cs="Arial"/>
          <w:sz w:val="22"/>
          <w:szCs w:val="22"/>
          <w:lang w:val="es-ES_tradnl"/>
        </w:rPr>
        <w:t>s</w:t>
      </w:r>
      <w:r w:rsidR="00B40EB7">
        <w:rPr>
          <w:rFonts w:cs="Arial"/>
          <w:sz w:val="22"/>
          <w:szCs w:val="22"/>
          <w:lang w:val="es-ES_tradnl"/>
        </w:rPr>
        <w:t xml:space="preserve"> co</w:t>
      </w:r>
      <w:r w:rsidR="008430C2">
        <w:rPr>
          <w:rFonts w:cs="Arial"/>
          <w:sz w:val="22"/>
          <w:szCs w:val="22"/>
          <w:lang w:val="es-ES_tradnl"/>
        </w:rPr>
        <w:t xml:space="preserve">mpeten </w:t>
      </w:r>
      <w:r w:rsidR="00B40EB7">
        <w:rPr>
          <w:rFonts w:cs="Arial"/>
          <w:sz w:val="22"/>
          <w:szCs w:val="22"/>
          <w:lang w:val="es-ES_tradnl"/>
        </w:rPr>
        <w:t>a esas áreas</w:t>
      </w:r>
      <w:r w:rsidR="00BD1BD3">
        <w:rPr>
          <w:rFonts w:cs="Arial"/>
          <w:sz w:val="22"/>
          <w:szCs w:val="22"/>
          <w:lang w:val="es-ES_tradnl"/>
        </w:rPr>
        <w:t>,</w:t>
      </w:r>
      <w:r w:rsidR="00B40EB7">
        <w:rPr>
          <w:rFonts w:cs="Arial"/>
          <w:sz w:val="22"/>
          <w:szCs w:val="22"/>
          <w:lang w:val="es-ES_tradnl"/>
        </w:rPr>
        <w:t xml:space="preserve"> para garantizar </w:t>
      </w:r>
      <w:r w:rsidR="008430C2">
        <w:rPr>
          <w:rFonts w:cs="Arial"/>
          <w:sz w:val="22"/>
          <w:szCs w:val="22"/>
          <w:lang w:val="es-ES_tradnl"/>
        </w:rPr>
        <w:t xml:space="preserve">el desarrollo </w:t>
      </w:r>
      <w:r w:rsidR="00B40EB7">
        <w:rPr>
          <w:rFonts w:cs="Arial"/>
          <w:sz w:val="22"/>
          <w:szCs w:val="22"/>
          <w:lang w:val="es-ES_tradnl"/>
        </w:rPr>
        <w:t>oportun</w:t>
      </w:r>
      <w:r w:rsidR="008430C2">
        <w:rPr>
          <w:rFonts w:cs="Arial"/>
          <w:sz w:val="22"/>
          <w:szCs w:val="22"/>
          <w:lang w:val="es-ES_tradnl"/>
        </w:rPr>
        <w:t>o</w:t>
      </w:r>
      <w:r w:rsidR="00B40EB7">
        <w:rPr>
          <w:rFonts w:cs="Arial"/>
          <w:sz w:val="22"/>
          <w:szCs w:val="22"/>
          <w:lang w:val="es-ES_tradnl"/>
        </w:rPr>
        <w:t xml:space="preserve"> y adecuad</w:t>
      </w:r>
      <w:r w:rsidR="008430C2">
        <w:rPr>
          <w:rFonts w:cs="Arial"/>
          <w:sz w:val="22"/>
          <w:szCs w:val="22"/>
          <w:lang w:val="es-ES_tradnl"/>
        </w:rPr>
        <w:t>o</w:t>
      </w:r>
      <w:r w:rsidR="00B40EB7">
        <w:rPr>
          <w:rFonts w:cs="Arial"/>
          <w:sz w:val="22"/>
          <w:szCs w:val="22"/>
          <w:lang w:val="es-ES_tradnl"/>
        </w:rPr>
        <w:t xml:space="preserve"> de los citados proyectos</w:t>
      </w:r>
      <w:r w:rsidR="00607F12">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48769B" w:rsidRPr="0048769B" w:rsidRDefault="0048769B" w:rsidP="0048769B">
      <w:pPr>
        <w:spacing w:line="360" w:lineRule="auto"/>
        <w:jc w:val="both"/>
        <w:rPr>
          <w:rFonts w:cs="Arial"/>
          <w:b/>
          <w:sz w:val="22"/>
          <w:lang w:val="es-ES_tradnl"/>
        </w:rPr>
      </w:pPr>
      <w:r w:rsidRPr="0048769B">
        <w:rPr>
          <w:rFonts w:cs="Arial"/>
          <w:b/>
          <w:sz w:val="22"/>
          <w:lang w:val="es-ES_tradnl"/>
        </w:rPr>
        <w:t>Considerando:</w:t>
      </w:r>
    </w:p>
    <w:p w:rsidR="0048769B" w:rsidRDefault="0048769B" w:rsidP="0048769B">
      <w:pPr>
        <w:spacing w:line="360" w:lineRule="auto"/>
        <w:jc w:val="both"/>
        <w:rPr>
          <w:rFonts w:cs="Arial"/>
          <w:sz w:val="22"/>
          <w:szCs w:val="22"/>
          <w:lang w:val="es-CR"/>
        </w:rPr>
      </w:pPr>
      <w:r w:rsidRPr="0048769B">
        <w:rPr>
          <w:rFonts w:cs="Arial"/>
          <w:b/>
          <w:sz w:val="22"/>
          <w:lang w:val="es-ES_tradnl"/>
        </w:rPr>
        <w:t>Primero:</w:t>
      </w:r>
      <w:r>
        <w:rPr>
          <w:rFonts w:cs="Arial"/>
          <w:sz w:val="22"/>
          <w:lang w:val="es-ES_tradnl"/>
        </w:rPr>
        <w:t xml:space="preserve"> Que por medio del oficio GG-ME-0802-2019 del 31 de julio de 2019 y atendiendo lo dispuesto en el acuerdo N° 11 de la sesión 52-2019 del 08 de julio de 2019, la </w:t>
      </w:r>
      <w:r w:rsidRPr="00781B2B">
        <w:rPr>
          <w:rFonts w:cs="Arial"/>
          <w:sz w:val="22"/>
          <w:szCs w:val="22"/>
          <w:lang w:val="es-ES_tradnl"/>
        </w:rPr>
        <w:t>Gerencia General</w:t>
      </w:r>
      <w:r>
        <w:rPr>
          <w:rFonts w:cs="Arial"/>
          <w:sz w:val="22"/>
          <w:szCs w:val="22"/>
          <w:lang w:val="es-ES_tradnl"/>
        </w:rPr>
        <w:t xml:space="preserve"> remite y avala el informe DF-OF-0874-2019 de la Dirección FOSUVI, que contiene una propuesta para sustituir el tipo de póliza de seguro de Responsabilidad Civil Profesional, por el diseño en los proyectos de vivienda gestionados mediante procesos licitatorios, según lo establecido en el </w:t>
      </w:r>
      <w:r w:rsidRPr="00781B2B">
        <w:rPr>
          <w:rFonts w:cs="Arial"/>
          <w:sz w:val="22"/>
          <w:szCs w:val="22"/>
          <w:lang w:val="es-CR"/>
        </w:rPr>
        <w:t xml:space="preserve">acuerdo N° 5 de </w:t>
      </w:r>
      <w:r>
        <w:rPr>
          <w:rFonts w:cs="Arial"/>
          <w:sz w:val="22"/>
          <w:szCs w:val="22"/>
          <w:lang w:val="es-CR"/>
        </w:rPr>
        <w:t>la</w:t>
      </w:r>
      <w:r w:rsidRPr="00781B2B">
        <w:rPr>
          <w:rFonts w:cs="Arial"/>
          <w:sz w:val="22"/>
          <w:szCs w:val="22"/>
          <w:lang w:val="es-CR"/>
        </w:rPr>
        <w:t xml:space="preserve"> sesi</w:t>
      </w:r>
      <w:r>
        <w:rPr>
          <w:rFonts w:cs="Arial"/>
          <w:sz w:val="22"/>
          <w:szCs w:val="22"/>
          <w:lang w:val="es-CR"/>
        </w:rPr>
        <w:t>ón</w:t>
      </w:r>
      <w:r w:rsidRPr="00781B2B">
        <w:rPr>
          <w:rFonts w:cs="Arial"/>
          <w:sz w:val="22"/>
          <w:szCs w:val="22"/>
          <w:lang w:val="es-CR"/>
        </w:rPr>
        <w:t xml:space="preserve"> 51-2018 d</w:t>
      </w:r>
      <w:r>
        <w:rPr>
          <w:rFonts w:cs="Arial"/>
          <w:sz w:val="22"/>
          <w:szCs w:val="22"/>
          <w:lang w:val="es-CR"/>
        </w:rPr>
        <w:t>el 13 de setiembre de 2018.</w:t>
      </w:r>
    </w:p>
    <w:p w:rsidR="0048769B" w:rsidRDefault="0048769B" w:rsidP="0048769B">
      <w:pPr>
        <w:spacing w:line="360" w:lineRule="auto"/>
        <w:jc w:val="both"/>
        <w:rPr>
          <w:rFonts w:cs="Arial"/>
          <w:sz w:val="22"/>
          <w:szCs w:val="22"/>
          <w:lang w:val="es-CR"/>
        </w:rPr>
      </w:pPr>
    </w:p>
    <w:p w:rsidR="0048769B" w:rsidRDefault="0048769B" w:rsidP="0048769B">
      <w:pPr>
        <w:spacing w:line="360" w:lineRule="auto"/>
        <w:jc w:val="both"/>
        <w:rPr>
          <w:rFonts w:cs="Arial"/>
          <w:sz w:val="22"/>
          <w:szCs w:val="22"/>
          <w:lang w:val="es-CR"/>
        </w:rPr>
      </w:pPr>
      <w:r w:rsidRPr="0048769B">
        <w:rPr>
          <w:rFonts w:cs="Arial"/>
          <w:b/>
          <w:sz w:val="22"/>
          <w:szCs w:val="22"/>
          <w:lang w:val="es-CR"/>
        </w:rPr>
        <w:t>Segundo:</w:t>
      </w:r>
      <w:r>
        <w:rPr>
          <w:rFonts w:cs="Arial"/>
          <w:sz w:val="22"/>
          <w:szCs w:val="22"/>
          <w:lang w:val="es-CR"/>
        </w:rPr>
        <w:t xml:space="preserve"> Que para sustentar su propuesta, la Dirección FOSUVI señala, en resumen, lo siguiente:</w:t>
      </w:r>
    </w:p>
    <w:p w:rsidR="0048769B" w:rsidRDefault="0048769B" w:rsidP="0048769B">
      <w:pPr>
        <w:spacing w:line="360" w:lineRule="auto"/>
        <w:jc w:val="both"/>
        <w:rPr>
          <w:rFonts w:cs="Arial"/>
          <w:sz w:val="22"/>
          <w:szCs w:val="22"/>
          <w:lang w:val="es-CR"/>
        </w:rPr>
      </w:pPr>
      <w:r>
        <w:rPr>
          <w:rFonts w:cs="Arial"/>
          <w:sz w:val="22"/>
          <w:szCs w:val="22"/>
          <w:lang w:val="es-CR"/>
        </w:rPr>
        <w:t xml:space="preserve">a) La </w:t>
      </w:r>
      <w:r w:rsidRPr="00781B2B">
        <w:rPr>
          <w:rFonts w:cs="Arial"/>
          <w:sz w:val="22"/>
          <w:szCs w:val="22"/>
          <w:lang w:val="es-CR"/>
        </w:rPr>
        <w:t>p</w:t>
      </w:r>
      <w:r>
        <w:rPr>
          <w:rFonts w:cs="Arial"/>
          <w:sz w:val="22"/>
          <w:szCs w:val="22"/>
          <w:lang w:val="es-CR"/>
        </w:rPr>
        <w:t>ó</w:t>
      </w:r>
      <w:r w:rsidRPr="00781B2B">
        <w:rPr>
          <w:rFonts w:cs="Arial"/>
          <w:sz w:val="22"/>
          <w:szCs w:val="22"/>
          <w:lang w:val="es-CR"/>
        </w:rPr>
        <w:t xml:space="preserve">liza indicada en el acuerdo N° 5 de </w:t>
      </w:r>
      <w:r>
        <w:rPr>
          <w:rFonts w:cs="Arial"/>
          <w:sz w:val="22"/>
          <w:szCs w:val="22"/>
          <w:lang w:val="es-CR"/>
        </w:rPr>
        <w:t>la</w:t>
      </w:r>
      <w:r w:rsidRPr="00781B2B">
        <w:rPr>
          <w:rFonts w:cs="Arial"/>
          <w:sz w:val="22"/>
          <w:szCs w:val="22"/>
          <w:lang w:val="es-CR"/>
        </w:rPr>
        <w:t xml:space="preserve"> sesi</w:t>
      </w:r>
      <w:r>
        <w:rPr>
          <w:rFonts w:cs="Arial"/>
          <w:sz w:val="22"/>
          <w:szCs w:val="22"/>
          <w:lang w:val="es-CR"/>
        </w:rPr>
        <w:t>ón</w:t>
      </w:r>
      <w:r w:rsidRPr="00781B2B">
        <w:rPr>
          <w:rFonts w:cs="Arial"/>
          <w:sz w:val="22"/>
          <w:szCs w:val="22"/>
          <w:lang w:val="es-CR"/>
        </w:rPr>
        <w:t xml:space="preserve"> 51-2018 del 13 de setiembre de 2018</w:t>
      </w:r>
      <w:r>
        <w:rPr>
          <w:rFonts w:cs="Arial"/>
          <w:sz w:val="22"/>
          <w:szCs w:val="22"/>
          <w:lang w:val="es-CR"/>
        </w:rPr>
        <w:t>, “Seguro de Responsabilidad Civil Profesional (RCP)”</w:t>
      </w:r>
      <w:r w:rsidRPr="00781B2B">
        <w:rPr>
          <w:rFonts w:cs="Arial"/>
          <w:sz w:val="22"/>
          <w:szCs w:val="22"/>
          <w:lang w:val="es-CR"/>
        </w:rPr>
        <w:t>, no</w:t>
      </w:r>
      <w:r>
        <w:rPr>
          <w:rFonts w:cs="Arial"/>
          <w:sz w:val="22"/>
          <w:szCs w:val="22"/>
          <w:lang w:val="es-CR"/>
        </w:rPr>
        <w:t xml:space="preserve"> </w:t>
      </w:r>
      <w:r w:rsidRPr="00781B2B">
        <w:rPr>
          <w:rFonts w:cs="Arial"/>
          <w:sz w:val="22"/>
          <w:szCs w:val="22"/>
          <w:lang w:val="es-CR"/>
        </w:rPr>
        <w:t xml:space="preserve">garantiza </w:t>
      </w:r>
      <w:r>
        <w:rPr>
          <w:rFonts w:cs="Arial"/>
          <w:sz w:val="22"/>
          <w:szCs w:val="22"/>
          <w:lang w:val="es-CR"/>
        </w:rPr>
        <w:t>la</w:t>
      </w:r>
      <w:r w:rsidRPr="00781B2B">
        <w:rPr>
          <w:rFonts w:cs="Arial"/>
          <w:sz w:val="22"/>
          <w:szCs w:val="22"/>
          <w:lang w:val="es-CR"/>
        </w:rPr>
        <w:t xml:space="preserve"> cobertura de errores u omisiones de dise</w:t>
      </w:r>
      <w:r>
        <w:rPr>
          <w:rFonts w:cs="Arial"/>
          <w:sz w:val="22"/>
          <w:szCs w:val="22"/>
          <w:lang w:val="es-CR"/>
        </w:rPr>
        <w:t>ñ</w:t>
      </w:r>
      <w:r w:rsidRPr="00781B2B">
        <w:rPr>
          <w:rFonts w:cs="Arial"/>
          <w:sz w:val="22"/>
          <w:szCs w:val="22"/>
          <w:lang w:val="es-CR"/>
        </w:rPr>
        <w:t>o</w:t>
      </w:r>
      <w:r>
        <w:rPr>
          <w:rFonts w:cs="Arial"/>
          <w:sz w:val="22"/>
          <w:szCs w:val="22"/>
          <w:lang w:val="es-CR"/>
        </w:rPr>
        <w:t>.</w:t>
      </w:r>
    </w:p>
    <w:p w:rsidR="0048769B" w:rsidRDefault="0048769B" w:rsidP="0048769B">
      <w:pPr>
        <w:spacing w:line="360" w:lineRule="auto"/>
        <w:jc w:val="both"/>
        <w:rPr>
          <w:rFonts w:cs="Arial"/>
          <w:sz w:val="22"/>
          <w:szCs w:val="22"/>
          <w:lang w:val="es-CR"/>
        </w:rPr>
      </w:pPr>
      <w:r>
        <w:rPr>
          <w:rFonts w:cs="Arial"/>
          <w:sz w:val="22"/>
          <w:szCs w:val="22"/>
          <w:lang w:val="es-CR"/>
        </w:rPr>
        <w:t xml:space="preserve">b) La </w:t>
      </w:r>
      <w:r w:rsidRPr="00781B2B">
        <w:rPr>
          <w:rFonts w:cs="Arial"/>
          <w:sz w:val="22"/>
          <w:szCs w:val="22"/>
          <w:lang w:val="es-CR"/>
        </w:rPr>
        <w:t>“RCP Facultativa” s</w:t>
      </w:r>
      <w:r>
        <w:rPr>
          <w:rFonts w:cs="Arial"/>
          <w:sz w:val="22"/>
          <w:szCs w:val="22"/>
          <w:lang w:val="es-CR"/>
        </w:rPr>
        <w:t>í</w:t>
      </w:r>
      <w:r w:rsidRPr="00781B2B">
        <w:rPr>
          <w:rFonts w:cs="Arial"/>
          <w:sz w:val="22"/>
          <w:szCs w:val="22"/>
          <w:lang w:val="es-CR"/>
        </w:rPr>
        <w:t xml:space="preserve"> garantizarla los errores u omisiones de dise</w:t>
      </w:r>
      <w:r>
        <w:rPr>
          <w:rFonts w:cs="Arial"/>
          <w:sz w:val="22"/>
          <w:szCs w:val="22"/>
          <w:lang w:val="es-CR"/>
        </w:rPr>
        <w:t>ñ</w:t>
      </w:r>
      <w:r w:rsidRPr="00781B2B">
        <w:rPr>
          <w:rFonts w:cs="Arial"/>
          <w:sz w:val="22"/>
          <w:szCs w:val="22"/>
          <w:lang w:val="es-CR"/>
        </w:rPr>
        <w:t>o</w:t>
      </w:r>
      <w:r>
        <w:rPr>
          <w:rFonts w:cs="Arial"/>
          <w:sz w:val="22"/>
          <w:szCs w:val="22"/>
          <w:lang w:val="es-CR"/>
        </w:rPr>
        <w:t>,</w:t>
      </w:r>
      <w:r w:rsidRPr="00781B2B">
        <w:rPr>
          <w:rFonts w:cs="Arial"/>
          <w:sz w:val="22"/>
          <w:szCs w:val="22"/>
          <w:lang w:val="es-CR"/>
        </w:rPr>
        <w:t xml:space="preserve"> </w:t>
      </w:r>
      <w:r>
        <w:rPr>
          <w:rFonts w:cs="Arial"/>
          <w:sz w:val="22"/>
          <w:szCs w:val="22"/>
          <w:lang w:val="es-CR"/>
        </w:rPr>
        <w:t xml:space="preserve">pero </w:t>
      </w:r>
      <w:r w:rsidRPr="00781B2B">
        <w:rPr>
          <w:rFonts w:cs="Arial"/>
          <w:sz w:val="22"/>
          <w:szCs w:val="22"/>
          <w:lang w:val="es-CR"/>
        </w:rPr>
        <w:t>requiere m</w:t>
      </w:r>
      <w:r>
        <w:rPr>
          <w:rFonts w:cs="Arial"/>
          <w:sz w:val="22"/>
          <w:szCs w:val="22"/>
          <w:lang w:val="es-CR"/>
        </w:rPr>
        <w:t>á</w:t>
      </w:r>
      <w:r w:rsidRPr="00781B2B">
        <w:rPr>
          <w:rFonts w:cs="Arial"/>
          <w:sz w:val="22"/>
          <w:szCs w:val="22"/>
          <w:lang w:val="es-CR"/>
        </w:rPr>
        <w:t>s</w:t>
      </w:r>
      <w:r>
        <w:rPr>
          <w:rFonts w:cs="Arial"/>
          <w:sz w:val="22"/>
          <w:szCs w:val="22"/>
          <w:lang w:val="es-CR"/>
        </w:rPr>
        <w:t xml:space="preserve"> </w:t>
      </w:r>
      <w:r w:rsidRPr="00781B2B">
        <w:rPr>
          <w:rFonts w:cs="Arial"/>
          <w:sz w:val="22"/>
          <w:szCs w:val="22"/>
          <w:lang w:val="es-CR"/>
        </w:rPr>
        <w:t>requisitos que una RCP convencional y su cost</w:t>
      </w:r>
      <w:r>
        <w:rPr>
          <w:rFonts w:cs="Arial"/>
          <w:sz w:val="22"/>
          <w:szCs w:val="22"/>
          <w:lang w:val="es-CR"/>
        </w:rPr>
        <w:t>o</w:t>
      </w:r>
      <w:r w:rsidRPr="00781B2B">
        <w:rPr>
          <w:rFonts w:cs="Arial"/>
          <w:sz w:val="22"/>
          <w:szCs w:val="22"/>
          <w:lang w:val="es-CR"/>
        </w:rPr>
        <w:t xml:space="preserve"> pude ser al menos </w:t>
      </w:r>
      <w:r>
        <w:rPr>
          <w:rFonts w:cs="Arial"/>
          <w:sz w:val="22"/>
          <w:szCs w:val="22"/>
          <w:lang w:val="es-CR"/>
        </w:rPr>
        <w:t>tres</w:t>
      </w:r>
      <w:r w:rsidRPr="00781B2B">
        <w:rPr>
          <w:rFonts w:cs="Arial"/>
          <w:sz w:val="22"/>
          <w:szCs w:val="22"/>
          <w:lang w:val="es-CR"/>
        </w:rPr>
        <w:t xml:space="preserve"> veces mayor </w:t>
      </w:r>
      <w:r>
        <w:rPr>
          <w:rFonts w:cs="Arial"/>
          <w:sz w:val="22"/>
          <w:szCs w:val="22"/>
          <w:lang w:val="es-CR"/>
        </w:rPr>
        <w:t>que</w:t>
      </w:r>
      <w:r w:rsidRPr="00781B2B">
        <w:rPr>
          <w:rFonts w:cs="Arial"/>
          <w:sz w:val="22"/>
          <w:szCs w:val="22"/>
          <w:lang w:val="es-CR"/>
        </w:rPr>
        <w:t xml:space="preserve"> </w:t>
      </w:r>
      <w:r>
        <w:rPr>
          <w:rFonts w:cs="Arial"/>
          <w:sz w:val="22"/>
          <w:szCs w:val="22"/>
          <w:lang w:val="es-CR"/>
        </w:rPr>
        <w:t xml:space="preserve">la </w:t>
      </w:r>
      <w:r w:rsidRPr="00781B2B">
        <w:rPr>
          <w:rFonts w:cs="Arial"/>
          <w:sz w:val="22"/>
          <w:szCs w:val="22"/>
          <w:lang w:val="es-CR"/>
        </w:rPr>
        <w:t xml:space="preserve">RCP convencional, </w:t>
      </w:r>
      <w:r>
        <w:rPr>
          <w:rFonts w:cs="Arial"/>
          <w:sz w:val="22"/>
          <w:szCs w:val="22"/>
          <w:lang w:val="es-CR"/>
        </w:rPr>
        <w:t xml:space="preserve">y </w:t>
      </w:r>
      <w:r w:rsidRPr="00781B2B">
        <w:rPr>
          <w:rFonts w:cs="Arial"/>
          <w:sz w:val="22"/>
          <w:szCs w:val="22"/>
          <w:lang w:val="es-CR"/>
        </w:rPr>
        <w:t>adem</w:t>
      </w:r>
      <w:r>
        <w:rPr>
          <w:rFonts w:cs="Arial"/>
          <w:sz w:val="22"/>
          <w:szCs w:val="22"/>
          <w:lang w:val="es-CR"/>
        </w:rPr>
        <w:t>á</w:t>
      </w:r>
      <w:r w:rsidRPr="00781B2B">
        <w:rPr>
          <w:rFonts w:cs="Arial"/>
          <w:sz w:val="22"/>
          <w:szCs w:val="22"/>
          <w:lang w:val="es-CR"/>
        </w:rPr>
        <w:t xml:space="preserve">s no garantiza que las </w:t>
      </w:r>
      <w:r>
        <w:rPr>
          <w:rFonts w:cs="Arial"/>
          <w:sz w:val="22"/>
          <w:szCs w:val="22"/>
          <w:lang w:val="es-CR"/>
        </w:rPr>
        <w:t>a</w:t>
      </w:r>
      <w:r w:rsidRPr="00781B2B">
        <w:rPr>
          <w:rFonts w:cs="Arial"/>
          <w:sz w:val="22"/>
          <w:szCs w:val="22"/>
          <w:lang w:val="es-CR"/>
        </w:rPr>
        <w:t>seguradoras asuman el riesgo de</w:t>
      </w:r>
      <w:r>
        <w:rPr>
          <w:rFonts w:cs="Arial"/>
          <w:sz w:val="22"/>
          <w:szCs w:val="22"/>
          <w:lang w:val="es-CR"/>
        </w:rPr>
        <w:t xml:space="preserve"> </w:t>
      </w:r>
      <w:r w:rsidRPr="00781B2B">
        <w:rPr>
          <w:rFonts w:cs="Arial"/>
          <w:sz w:val="22"/>
          <w:szCs w:val="22"/>
          <w:lang w:val="es-CR"/>
        </w:rPr>
        <w:t>aprobar una p</w:t>
      </w:r>
      <w:r>
        <w:rPr>
          <w:rFonts w:cs="Arial"/>
          <w:sz w:val="22"/>
          <w:szCs w:val="22"/>
          <w:lang w:val="es-CR"/>
        </w:rPr>
        <w:t>ó</w:t>
      </w:r>
      <w:r w:rsidRPr="00781B2B">
        <w:rPr>
          <w:rFonts w:cs="Arial"/>
          <w:sz w:val="22"/>
          <w:szCs w:val="22"/>
          <w:lang w:val="es-CR"/>
        </w:rPr>
        <w:t>liza para profesionales que no cumplan con los requisitos m</w:t>
      </w:r>
      <w:r>
        <w:rPr>
          <w:rFonts w:cs="Arial"/>
          <w:sz w:val="22"/>
          <w:szCs w:val="22"/>
          <w:lang w:val="es-CR"/>
        </w:rPr>
        <w:t>í</w:t>
      </w:r>
      <w:r w:rsidRPr="00781B2B">
        <w:rPr>
          <w:rFonts w:cs="Arial"/>
          <w:sz w:val="22"/>
          <w:szCs w:val="22"/>
          <w:lang w:val="es-CR"/>
        </w:rPr>
        <w:t>nimos de</w:t>
      </w:r>
      <w:r>
        <w:rPr>
          <w:rFonts w:cs="Arial"/>
          <w:sz w:val="22"/>
          <w:szCs w:val="22"/>
          <w:lang w:val="es-CR"/>
        </w:rPr>
        <w:t xml:space="preserve"> </w:t>
      </w:r>
      <w:r w:rsidRPr="00781B2B">
        <w:rPr>
          <w:rFonts w:cs="Arial"/>
          <w:sz w:val="22"/>
          <w:szCs w:val="22"/>
          <w:lang w:val="es-CR"/>
        </w:rPr>
        <w:t>experiencia profesional.</w:t>
      </w:r>
    </w:p>
    <w:p w:rsidR="0048769B" w:rsidRDefault="0048769B" w:rsidP="0048769B">
      <w:pPr>
        <w:spacing w:line="360" w:lineRule="auto"/>
        <w:jc w:val="both"/>
        <w:rPr>
          <w:rFonts w:cs="Arial"/>
          <w:sz w:val="22"/>
          <w:szCs w:val="22"/>
          <w:lang w:val="es-CR"/>
        </w:rPr>
      </w:pPr>
    </w:p>
    <w:p w:rsidR="0048769B" w:rsidRDefault="0048769B" w:rsidP="0048769B">
      <w:pPr>
        <w:spacing w:line="360" w:lineRule="auto"/>
        <w:jc w:val="both"/>
        <w:rPr>
          <w:rFonts w:cs="Arial"/>
          <w:sz w:val="22"/>
          <w:lang w:val="es-CR"/>
        </w:rPr>
      </w:pPr>
      <w:r w:rsidRPr="0048769B">
        <w:rPr>
          <w:rFonts w:cs="Arial"/>
          <w:b/>
          <w:sz w:val="22"/>
          <w:szCs w:val="22"/>
          <w:lang w:val="es-CR"/>
        </w:rPr>
        <w:t>Tercero:</w:t>
      </w:r>
      <w:r>
        <w:rPr>
          <w:rFonts w:cs="Arial"/>
          <w:sz w:val="22"/>
          <w:szCs w:val="22"/>
          <w:lang w:val="es-CR"/>
        </w:rPr>
        <w:t xml:space="preserve"> Que conocida y suficientemente discutida la propuesta de la </w:t>
      </w:r>
      <w:r w:rsidRPr="0048769B">
        <w:rPr>
          <w:rFonts w:cs="Arial"/>
          <w:sz w:val="22"/>
          <w:szCs w:val="22"/>
          <w:lang w:val="es-CR"/>
        </w:rPr>
        <w:t>Administración</w:t>
      </w:r>
      <w:r>
        <w:rPr>
          <w:rFonts w:cs="Arial"/>
          <w:sz w:val="22"/>
          <w:szCs w:val="22"/>
          <w:lang w:val="es-CR"/>
        </w:rPr>
        <w:t xml:space="preserve">, esta </w:t>
      </w:r>
      <w:r w:rsidRPr="0048769B">
        <w:rPr>
          <w:rFonts w:cs="Arial"/>
          <w:sz w:val="22"/>
          <w:szCs w:val="22"/>
          <w:lang w:val="es-CR"/>
        </w:rPr>
        <w:t xml:space="preserve">Junta Directiva </w:t>
      </w:r>
      <w:r>
        <w:rPr>
          <w:rFonts w:cs="Arial"/>
          <w:sz w:val="22"/>
          <w:szCs w:val="22"/>
          <w:lang w:val="es-CR"/>
        </w:rPr>
        <w:t xml:space="preserve"> estima pertinente dejar sin efecto </w:t>
      </w:r>
      <w:r w:rsidRPr="00781B2B">
        <w:rPr>
          <w:rFonts w:cs="Arial"/>
          <w:sz w:val="22"/>
          <w:szCs w:val="22"/>
          <w:lang w:val="es-CR"/>
        </w:rPr>
        <w:t xml:space="preserve">el </w:t>
      </w:r>
      <w:r>
        <w:rPr>
          <w:rFonts w:cs="Arial"/>
          <w:sz w:val="22"/>
          <w:szCs w:val="22"/>
          <w:lang w:val="es-CR"/>
        </w:rPr>
        <w:t xml:space="preserve">citado </w:t>
      </w:r>
      <w:r w:rsidRPr="00781B2B">
        <w:rPr>
          <w:rFonts w:cs="Arial"/>
          <w:sz w:val="22"/>
          <w:szCs w:val="22"/>
          <w:lang w:val="es-CR"/>
        </w:rPr>
        <w:t xml:space="preserve">acuerdo N° 5 de </w:t>
      </w:r>
      <w:r>
        <w:rPr>
          <w:rFonts w:cs="Arial"/>
          <w:sz w:val="22"/>
          <w:szCs w:val="22"/>
          <w:lang w:val="es-CR"/>
        </w:rPr>
        <w:t>la</w:t>
      </w:r>
      <w:r w:rsidRPr="00781B2B">
        <w:rPr>
          <w:rFonts w:cs="Arial"/>
          <w:sz w:val="22"/>
          <w:szCs w:val="22"/>
          <w:lang w:val="es-CR"/>
        </w:rPr>
        <w:t xml:space="preserve"> sesi</w:t>
      </w:r>
      <w:r>
        <w:rPr>
          <w:rFonts w:cs="Arial"/>
          <w:sz w:val="22"/>
          <w:szCs w:val="22"/>
          <w:lang w:val="es-CR"/>
        </w:rPr>
        <w:t>ón</w:t>
      </w:r>
      <w:r w:rsidRPr="00781B2B">
        <w:rPr>
          <w:rFonts w:cs="Arial"/>
          <w:sz w:val="22"/>
          <w:szCs w:val="22"/>
          <w:lang w:val="es-CR"/>
        </w:rPr>
        <w:t xml:space="preserve"> 51-2018</w:t>
      </w:r>
      <w:r>
        <w:rPr>
          <w:rFonts w:cs="Arial"/>
          <w:sz w:val="22"/>
          <w:szCs w:val="22"/>
          <w:lang w:val="es-CR"/>
        </w:rPr>
        <w:t xml:space="preserve">, estableciendo </w:t>
      </w:r>
      <w:r>
        <w:rPr>
          <w:rFonts w:cs="Arial"/>
          <w:sz w:val="22"/>
          <w:lang w:val="es-ES_tradnl"/>
        </w:rPr>
        <w:t xml:space="preserve">que en los casos </w:t>
      </w:r>
      <w:r w:rsidRPr="00781B2B">
        <w:rPr>
          <w:rFonts w:cs="Arial"/>
          <w:sz w:val="22"/>
          <w:lang w:val="es-CR"/>
        </w:rPr>
        <w:t xml:space="preserve">de </w:t>
      </w:r>
      <w:r>
        <w:rPr>
          <w:rFonts w:cs="Arial"/>
          <w:sz w:val="22"/>
          <w:lang w:val="es-CR"/>
        </w:rPr>
        <w:t xml:space="preserve">proyectos de </w:t>
      </w:r>
      <w:r w:rsidRPr="00781B2B">
        <w:rPr>
          <w:rFonts w:cs="Arial"/>
          <w:sz w:val="22"/>
          <w:lang w:val="es-CR"/>
        </w:rPr>
        <w:t>Bono Colectivo</w:t>
      </w:r>
      <w:r>
        <w:rPr>
          <w:rFonts w:cs="Arial"/>
          <w:sz w:val="22"/>
          <w:lang w:val="es-CR"/>
        </w:rPr>
        <w:t>,</w:t>
      </w:r>
      <w:r w:rsidRPr="00781B2B">
        <w:rPr>
          <w:rFonts w:cs="Arial"/>
          <w:sz w:val="22"/>
          <w:lang w:val="es-CR"/>
        </w:rPr>
        <w:t xml:space="preserve"> cuyo dise</w:t>
      </w:r>
      <w:r>
        <w:rPr>
          <w:rFonts w:cs="Arial"/>
          <w:sz w:val="22"/>
          <w:lang w:val="es-CR"/>
        </w:rPr>
        <w:t>ñ</w:t>
      </w:r>
      <w:r w:rsidRPr="00781B2B">
        <w:rPr>
          <w:rFonts w:cs="Arial"/>
          <w:sz w:val="22"/>
          <w:lang w:val="es-CR"/>
        </w:rPr>
        <w:t xml:space="preserve">o sea donado por </w:t>
      </w:r>
      <w:r>
        <w:rPr>
          <w:rFonts w:cs="Arial"/>
          <w:sz w:val="22"/>
          <w:lang w:val="es-CR"/>
        </w:rPr>
        <w:t xml:space="preserve">la municipalidad que se va a beneficiar de las obras, </w:t>
      </w:r>
      <w:r w:rsidRPr="00781B2B">
        <w:rPr>
          <w:rFonts w:cs="Arial"/>
          <w:sz w:val="22"/>
          <w:lang w:val="es-CR"/>
        </w:rPr>
        <w:t>que cualquier omisi</w:t>
      </w:r>
      <w:r>
        <w:rPr>
          <w:rFonts w:cs="Arial"/>
          <w:sz w:val="22"/>
          <w:lang w:val="es-CR"/>
        </w:rPr>
        <w:t>ón</w:t>
      </w:r>
      <w:r w:rsidRPr="00781B2B">
        <w:rPr>
          <w:rFonts w:cs="Arial"/>
          <w:sz w:val="22"/>
          <w:lang w:val="es-CR"/>
        </w:rPr>
        <w:t xml:space="preserve"> o error de dise</w:t>
      </w:r>
      <w:r>
        <w:rPr>
          <w:rFonts w:cs="Arial"/>
          <w:sz w:val="22"/>
          <w:lang w:val="es-CR"/>
        </w:rPr>
        <w:t>ñ</w:t>
      </w:r>
      <w:r w:rsidRPr="00781B2B">
        <w:rPr>
          <w:rFonts w:cs="Arial"/>
          <w:sz w:val="22"/>
          <w:lang w:val="es-CR"/>
        </w:rPr>
        <w:t xml:space="preserve">o </w:t>
      </w:r>
      <w:r w:rsidR="00955385">
        <w:rPr>
          <w:rFonts w:cs="Arial"/>
          <w:sz w:val="22"/>
          <w:lang w:val="es-CR"/>
        </w:rPr>
        <w:t>que genere la necesidad de ejecutar obras adicionales, éstas deberán ser cubiertas</w:t>
      </w:r>
      <w:r w:rsidRPr="00781B2B">
        <w:rPr>
          <w:rFonts w:cs="Arial"/>
          <w:sz w:val="22"/>
          <w:lang w:val="es-CR"/>
        </w:rPr>
        <w:t xml:space="preserve"> por </w:t>
      </w:r>
      <w:r w:rsidR="00955385">
        <w:rPr>
          <w:rFonts w:cs="Arial"/>
          <w:sz w:val="22"/>
          <w:lang w:val="es-CR"/>
        </w:rPr>
        <w:t xml:space="preserve">la municipalidad </w:t>
      </w:r>
      <w:r w:rsidRPr="00781B2B">
        <w:rPr>
          <w:rFonts w:cs="Arial"/>
          <w:sz w:val="22"/>
          <w:lang w:val="es-CR"/>
        </w:rPr>
        <w:t>que dona los dise</w:t>
      </w:r>
      <w:r>
        <w:rPr>
          <w:rFonts w:cs="Arial"/>
          <w:sz w:val="22"/>
          <w:lang w:val="es-CR"/>
        </w:rPr>
        <w:t>ñ</w:t>
      </w:r>
      <w:r w:rsidRPr="00781B2B">
        <w:rPr>
          <w:rFonts w:cs="Arial"/>
          <w:sz w:val="22"/>
          <w:lang w:val="es-CR"/>
        </w:rPr>
        <w:t>os</w:t>
      </w:r>
      <w:r>
        <w:rPr>
          <w:rFonts w:cs="Arial"/>
          <w:sz w:val="22"/>
          <w:lang w:val="es-CR"/>
        </w:rPr>
        <w:t>.</w:t>
      </w:r>
      <w:r w:rsidR="00955385">
        <w:rPr>
          <w:rFonts w:cs="Arial"/>
          <w:sz w:val="22"/>
          <w:lang w:val="es-CR"/>
        </w:rPr>
        <w:t xml:space="preserve">  Adicionalmente, la </w:t>
      </w:r>
      <w:r w:rsidR="00955385" w:rsidRPr="00955385">
        <w:rPr>
          <w:rFonts w:cs="Arial"/>
          <w:sz w:val="22"/>
          <w:szCs w:val="22"/>
          <w:lang w:val="es-CR"/>
        </w:rPr>
        <w:t>Administración</w:t>
      </w:r>
      <w:r w:rsidR="00955385">
        <w:rPr>
          <w:rFonts w:cs="Arial"/>
          <w:sz w:val="22"/>
          <w:szCs w:val="22"/>
          <w:lang w:val="es-CR"/>
        </w:rPr>
        <w:t xml:space="preserve"> </w:t>
      </w:r>
      <w:r w:rsidR="00955385">
        <w:rPr>
          <w:rFonts w:cs="Arial"/>
          <w:sz w:val="22"/>
          <w:lang w:val="es-CR"/>
        </w:rPr>
        <w:t xml:space="preserve">deberá presentar a esta </w:t>
      </w:r>
      <w:r w:rsidR="00955385">
        <w:rPr>
          <w:rFonts w:cs="Arial"/>
          <w:sz w:val="22"/>
          <w:szCs w:val="22"/>
          <w:lang w:val="es-CR"/>
        </w:rPr>
        <w:t xml:space="preserve">Junta Directiva, </w:t>
      </w:r>
      <w:r w:rsidR="00955385">
        <w:rPr>
          <w:rFonts w:cs="Arial"/>
          <w:sz w:val="22"/>
          <w:lang w:val="es-CR"/>
        </w:rPr>
        <w:t xml:space="preserve">una propuesta para incorporar a la normativa de los proyectos de vivienda tramitados </w:t>
      </w:r>
      <w:r w:rsidR="00955385" w:rsidRPr="00955385">
        <w:rPr>
          <w:rFonts w:cs="Arial"/>
          <w:sz w:val="22"/>
          <w:lang w:val="es-ES_tradnl"/>
        </w:rPr>
        <w:t>en la modalidad de compra de terreno en verde, construcción de obras de infraestructura y viviendas (formulario S-001)</w:t>
      </w:r>
      <w:r w:rsidR="00955385">
        <w:rPr>
          <w:rFonts w:cs="Arial"/>
          <w:sz w:val="22"/>
          <w:lang w:val="es-ES_tradnl"/>
        </w:rPr>
        <w:t xml:space="preserve">, una disposición para que </w:t>
      </w:r>
      <w:r w:rsidR="00955385">
        <w:rPr>
          <w:rFonts w:cs="Arial"/>
          <w:sz w:val="22"/>
          <w:lang w:val="es-CR"/>
        </w:rPr>
        <w:t>las obras adicionales que se generen por errores en los diseños, deberán ser cubiertas por el desarrollador del proyecto.</w:t>
      </w:r>
    </w:p>
    <w:p w:rsidR="00955385" w:rsidRDefault="00955385" w:rsidP="0048769B">
      <w:pPr>
        <w:spacing w:line="360" w:lineRule="auto"/>
        <w:jc w:val="both"/>
        <w:rPr>
          <w:rFonts w:cs="Arial"/>
          <w:sz w:val="22"/>
          <w:lang w:val="es-CR"/>
        </w:rPr>
      </w:pPr>
    </w:p>
    <w:p w:rsidR="00955385" w:rsidRPr="00955385" w:rsidRDefault="00955385" w:rsidP="0048769B">
      <w:pPr>
        <w:spacing w:line="360" w:lineRule="auto"/>
        <w:jc w:val="both"/>
        <w:rPr>
          <w:rFonts w:cs="Arial"/>
          <w:b/>
          <w:sz w:val="22"/>
          <w:lang w:val="es-CR"/>
        </w:rPr>
      </w:pPr>
      <w:r w:rsidRPr="00955385">
        <w:rPr>
          <w:rFonts w:cs="Arial"/>
          <w:b/>
          <w:sz w:val="22"/>
          <w:lang w:val="es-CR"/>
        </w:rPr>
        <w:t>Por tanto, se acuerda:</w:t>
      </w:r>
    </w:p>
    <w:p w:rsidR="00955385" w:rsidRDefault="005D58E6" w:rsidP="0048769B">
      <w:pPr>
        <w:spacing w:line="360" w:lineRule="auto"/>
        <w:jc w:val="both"/>
        <w:rPr>
          <w:rFonts w:cs="Arial"/>
          <w:sz w:val="22"/>
          <w:lang w:val="es-CR"/>
        </w:rPr>
      </w:pPr>
      <w:r w:rsidRPr="00FC2E5E">
        <w:rPr>
          <w:rFonts w:cs="Arial"/>
          <w:b/>
          <w:sz w:val="22"/>
          <w:szCs w:val="22"/>
          <w:lang w:val="es-ES_tradnl"/>
        </w:rPr>
        <w:t>1)</w:t>
      </w:r>
      <w:r>
        <w:rPr>
          <w:rFonts w:cs="Arial"/>
          <w:sz w:val="22"/>
          <w:szCs w:val="22"/>
          <w:lang w:val="es-ES_tradnl"/>
        </w:rPr>
        <w:t xml:space="preserve"> </w:t>
      </w:r>
      <w:r w:rsidR="00955385">
        <w:rPr>
          <w:rFonts w:cs="Arial"/>
          <w:sz w:val="22"/>
          <w:szCs w:val="22"/>
          <w:lang w:val="es-ES_tradnl"/>
        </w:rPr>
        <w:t xml:space="preserve">Derogar el </w:t>
      </w:r>
      <w:r w:rsidR="00955385" w:rsidRPr="00781B2B">
        <w:rPr>
          <w:rFonts w:cs="Arial"/>
          <w:sz w:val="22"/>
          <w:szCs w:val="22"/>
          <w:lang w:val="es-CR"/>
        </w:rPr>
        <w:t xml:space="preserve">acuerdo N° 5 de </w:t>
      </w:r>
      <w:r w:rsidR="00955385">
        <w:rPr>
          <w:rFonts w:cs="Arial"/>
          <w:sz w:val="22"/>
          <w:szCs w:val="22"/>
          <w:lang w:val="es-CR"/>
        </w:rPr>
        <w:t>la</w:t>
      </w:r>
      <w:r w:rsidR="00955385" w:rsidRPr="00781B2B">
        <w:rPr>
          <w:rFonts w:cs="Arial"/>
          <w:sz w:val="22"/>
          <w:szCs w:val="22"/>
          <w:lang w:val="es-CR"/>
        </w:rPr>
        <w:t xml:space="preserve"> sesi</w:t>
      </w:r>
      <w:r w:rsidR="00955385">
        <w:rPr>
          <w:rFonts w:cs="Arial"/>
          <w:sz w:val="22"/>
          <w:szCs w:val="22"/>
          <w:lang w:val="es-CR"/>
        </w:rPr>
        <w:t>ón</w:t>
      </w:r>
      <w:r w:rsidR="00955385" w:rsidRPr="00781B2B">
        <w:rPr>
          <w:rFonts w:cs="Arial"/>
          <w:sz w:val="22"/>
          <w:szCs w:val="22"/>
          <w:lang w:val="es-CR"/>
        </w:rPr>
        <w:t xml:space="preserve"> 51-2018</w:t>
      </w:r>
      <w:r w:rsidR="00955385">
        <w:rPr>
          <w:rFonts w:cs="Arial"/>
          <w:sz w:val="22"/>
          <w:szCs w:val="22"/>
          <w:lang w:val="es-CR"/>
        </w:rPr>
        <w:t>,</w:t>
      </w:r>
      <w:r w:rsidR="00955385" w:rsidRPr="00781B2B">
        <w:rPr>
          <w:rFonts w:cs="Arial"/>
          <w:sz w:val="22"/>
          <w:szCs w:val="22"/>
          <w:lang w:val="es-CR"/>
        </w:rPr>
        <w:t xml:space="preserve"> d</w:t>
      </w:r>
      <w:r w:rsidR="00955385">
        <w:rPr>
          <w:rFonts w:cs="Arial"/>
          <w:sz w:val="22"/>
          <w:szCs w:val="22"/>
          <w:lang w:val="es-CR"/>
        </w:rPr>
        <w:t xml:space="preserve">el 13 de setiembre de 2018, dejando sin efecto la obligación </w:t>
      </w:r>
      <w:r>
        <w:rPr>
          <w:rFonts w:cs="Arial"/>
          <w:sz w:val="22"/>
          <w:szCs w:val="22"/>
          <w:lang w:val="es-CR"/>
        </w:rPr>
        <w:t>de que los</w:t>
      </w:r>
      <w:r w:rsidR="00955385" w:rsidRPr="004F208D">
        <w:rPr>
          <w:rFonts w:cs="Arial"/>
          <w:sz w:val="22"/>
          <w:szCs w:val="22"/>
          <w:lang w:val="es-CR"/>
        </w:rPr>
        <w:t xml:space="preserve"> profesionales </w:t>
      </w:r>
      <w:r>
        <w:rPr>
          <w:rFonts w:cs="Arial"/>
          <w:sz w:val="22"/>
          <w:szCs w:val="22"/>
          <w:lang w:val="es-CR"/>
        </w:rPr>
        <w:t>responsables del diseño de los</w:t>
      </w:r>
      <w:r w:rsidR="00955385" w:rsidRPr="004F208D">
        <w:rPr>
          <w:rFonts w:cs="Arial"/>
          <w:sz w:val="22"/>
          <w:szCs w:val="22"/>
          <w:lang w:val="es-CR"/>
        </w:rPr>
        <w:t xml:space="preserve"> proyecto</w:t>
      </w:r>
      <w:r>
        <w:rPr>
          <w:rFonts w:cs="Arial"/>
          <w:sz w:val="22"/>
          <w:szCs w:val="22"/>
          <w:lang w:val="es-CR"/>
        </w:rPr>
        <w:t>s</w:t>
      </w:r>
      <w:r w:rsidR="00955385" w:rsidRPr="004F208D">
        <w:rPr>
          <w:rFonts w:cs="Arial"/>
          <w:sz w:val="22"/>
          <w:szCs w:val="22"/>
          <w:lang w:val="es-CR"/>
        </w:rPr>
        <w:t xml:space="preserve">, </w:t>
      </w:r>
      <w:r>
        <w:rPr>
          <w:rFonts w:cs="Arial"/>
          <w:sz w:val="22"/>
          <w:szCs w:val="22"/>
          <w:lang w:val="es-CR"/>
        </w:rPr>
        <w:t xml:space="preserve">cuenten con </w:t>
      </w:r>
      <w:r w:rsidR="00955385" w:rsidRPr="004F208D">
        <w:rPr>
          <w:rFonts w:cs="Arial"/>
          <w:sz w:val="22"/>
          <w:szCs w:val="22"/>
          <w:lang w:val="es-CR"/>
        </w:rPr>
        <w:t>el Seguro de Responsabilidad Civil</w:t>
      </w:r>
      <w:r w:rsidR="00955385">
        <w:rPr>
          <w:rFonts w:cs="Arial"/>
          <w:sz w:val="22"/>
          <w:szCs w:val="22"/>
          <w:lang w:val="es-CR"/>
        </w:rPr>
        <w:t xml:space="preserve"> </w:t>
      </w:r>
      <w:r w:rsidR="00955385" w:rsidRPr="004F208D">
        <w:rPr>
          <w:rFonts w:cs="Arial"/>
          <w:sz w:val="22"/>
          <w:szCs w:val="22"/>
          <w:lang w:val="es-CR"/>
        </w:rPr>
        <w:t>Profesional por el diseño</w:t>
      </w:r>
      <w:r w:rsidR="00955385">
        <w:rPr>
          <w:rFonts w:cs="Arial"/>
          <w:sz w:val="22"/>
          <w:szCs w:val="22"/>
          <w:lang w:val="es-CR"/>
        </w:rPr>
        <w:t>.</w:t>
      </w:r>
    </w:p>
    <w:p w:rsidR="00955385" w:rsidRDefault="00955385" w:rsidP="0048769B">
      <w:pPr>
        <w:spacing w:line="360" w:lineRule="auto"/>
        <w:jc w:val="both"/>
        <w:rPr>
          <w:rFonts w:cs="Arial"/>
          <w:sz w:val="22"/>
          <w:lang w:val="es-ES_tradnl"/>
        </w:rPr>
      </w:pPr>
    </w:p>
    <w:p w:rsidR="00955385" w:rsidRDefault="005D58E6" w:rsidP="0048769B">
      <w:pPr>
        <w:spacing w:line="360" w:lineRule="auto"/>
        <w:jc w:val="both"/>
        <w:rPr>
          <w:rFonts w:cs="Arial"/>
          <w:sz w:val="22"/>
          <w:lang w:val="es-CR"/>
        </w:rPr>
      </w:pPr>
      <w:r w:rsidRPr="00FC2E5E">
        <w:rPr>
          <w:rFonts w:cs="Arial"/>
          <w:b/>
          <w:sz w:val="22"/>
          <w:lang w:val="es-ES_tradnl"/>
        </w:rPr>
        <w:t>2)</w:t>
      </w:r>
      <w:r>
        <w:rPr>
          <w:rFonts w:cs="Arial"/>
          <w:sz w:val="22"/>
          <w:lang w:val="es-ES_tradnl"/>
        </w:rPr>
        <w:t xml:space="preserve"> </w:t>
      </w:r>
      <w:r w:rsidR="00955385">
        <w:rPr>
          <w:rFonts w:cs="Arial"/>
          <w:sz w:val="22"/>
          <w:lang w:val="es-ES_tradnl"/>
        </w:rPr>
        <w:t xml:space="preserve">Establecer </w:t>
      </w:r>
      <w:r w:rsidR="0048769B">
        <w:rPr>
          <w:rFonts w:cs="Arial"/>
          <w:sz w:val="22"/>
          <w:lang w:val="es-ES_tradnl"/>
        </w:rPr>
        <w:t xml:space="preserve">que </w:t>
      </w:r>
      <w:r w:rsidR="00955385">
        <w:rPr>
          <w:rFonts w:cs="Arial"/>
          <w:sz w:val="22"/>
          <w:lang w:val="es-ES_tradnl"/>
        </w:rPr>
        <w:t xml:space="preserve">en </w:t>
      </w:r>
      <w:r w:rsidR="0048769B">
        <w:rPr>
          <w:rFonts w:cs="Arial"/>
          <w:sz w:val="22"/>
          <w:lang w:val="es-ES_tradnl"/>
        </w:rPr>
        <w:t xml:space="preserve">los </w:t>
      </w:r>
      <w:r w:rsidR="0048769B" w:rsidRPr="00781B2B">
        <w:rPr>
          <w:rFonts w:cs="Arial"/>
          <w:sz w:val="22"/>
          <w:lang w:val="es-CR"/>
        </w:rPr>
        <w:t>caso</w:t>
      </w:r>
      <w:r w:rsidR="0048769B">
        <w:rPr>
          <w:rFonts w:cs="Arial"/>
          <w:sz w:val="22"/>
          <w:lang w:val="es-CR"/>
        </w:rPr>
        <w:t>s</w:t>
      </w:r>
      <w:r w:rsidR="0048769B" w:rsidRPr="00781B2B">
        <w:rPr>
          <w:rFonts w:cs="Arial"/>
          <w:sz w:val="22"/>
          <w:lang w:val="es-CR"/>
        </w:rPr>
        <w:t xml:space="preserve"> de </w:t>
      </w:r>
      <w:r w:rsidR="0048769B">
        <w:rPr>
          <w:rFonts w:cs="Arial"/>
          <w:sz w:val="22"/>
          <w:lang w:val="es-CR"/>
        </w:rPr>
        <w:t xml:space="preserve">proyectos de </w:t>
      </w:r>
      <w:r w:rsidR="0048769B" w:rsidRPr="00781B2B">
        <w:rPr>
          <w:rFonts w:cs="Arial"/>
          <w:sz w:val="22"/>
          <w:lang w:val="es-CR"/>
        </w:rPr>
        <w:t>Bono Colectivo</w:t>
      </w:r>
      <w:r w:rsidR="0048769B">
        <w:rPr>
          <w:rFonts w:cs="Arial"/>
          <w:sz w:val="22"/>
          <w:lang w:val="es-CR"/>
        </w:rPr>
        <w:t>,</w:t>
      </w:r>
      <w:r w:rsidR="0048769B" w:rsidRPr="00781B2B">
        <w:rPr>
          <w:rFonts w:cs="Arial"/>
          <w:sz w:val="22"/>
          <w:lang w:val="es-CR"/>
        </w:rPr>
        <w:t xml:space="preserve"> cuyo dise</w:t>
      </w:r>
      <w:r w:rsidR="0048769B">
        <w:rPr>
          <w:rFonts w:cs="Arial"/>
          <w:sz w:val="22"/>
          <w:lang w:val="es-CR"/>
        </w:rPr>
        <w:t>ñ</w:t>
      </w:r>
      <w:r w:rsidR="0048769B" w:rsidRPr="00781B2B">
        <w:rPr>
          <w:rFonts w:cs="Arial"/>
          <w:sz w:val="22"/>
          <w:lang w:val="es-CR"/>
        </w:rPr>
        <w:t xml:space="preserve">o sea donado por </w:t>
      </w:r>
      <w:r w:rsidR="0048769B">
        <w:rPr>
          <w:rFonts w:cs="Arial"/>
          <w:sz w:val="22"/>
          <w:lang w:val="es-CR"/>
        </w:rPr>
        <w:t xml:space="preserve">la municipalidad que </w:t>
      </w:r>
      <w:r>
        <w:rPr>
          <w:rFonts w:cs="Arial"/>
          <w:sz w:val="22"/>
          <w:lang w:val="es-CR"/>
        </w:rPr>
        <w:t xml:space="preserve">será beneficiada con </w:t>
      </w:r>
      <w:r w:rsidR="0048769B">
        <w:rPr>
          <w:rFonts w:cs="Arial"/>
          <w:sz w:val="22"/>
          <w:lang w:val="es-CR"/>
        </w:rPr>
        <w:t xml:space="preserve">las obras, </w:t>
      </w:r>
      <w:r w:rsidR="0048769B" w:rsidRPr="00781B2B">
        <w:rPr>
          <w:rFonts w:cs="Arial"/>
          <w:sz w:val="22"/>
          <w:lang w:val="es-CR"/>
        </w:rPr>
        <w:t>cualquier omisi</w:t>
      </w:r>
      <w:r w:rsidR="0048769B">
        <w:rPr>
          <w:rFonts w:cs="Arial"/>
          <w:sz w:val="22"/>
          <w:lang w:val="es-CR"/>
        </w:rPr>
        <w:t>ón</w:t>
      </w:r>
      <w:r w:rsidR="0048769B" w:rsidRPr="00781B2B">
        <w:rPr>
          <w:rFonts w:cs="Arial"/>
          <w:sz w:val="22"/>
          <w:lang w:val="es-CR"/>
        </w:rPr>
        <w:t xml:space="preserve"> o error de dise</w:t>
      </w:r>
      <w:r w:rsidR="0048769B">
        <w:rPr>
          <w:rFonts w:cs="Arial"/>
          <w:sz w:val="22"/>
          <w:lang w:val="es-CR"/>
        </w:rPr>
        <w:t>ñ</w:t>
      </w:r>
      <w:r w:rsidR="0048769B" w:rsidRPr="00781B2B">
        <w:rPr>
          <w:rFonts w:cs="Arial"/>
          <w:sz w:val="22"/>
          <w:lang w:val="es-CR"/>
        </w:rPr>
        <w:t xml:space="preserve">o </w:t>
      </w:r>
      <w:r w:rsidR="00955385">
        <w:rPr>
          <w:rFonts w:cs="Arial"/>
          <w:sz w:val="22"/>
          <w:lang w:val="es-CR"/>
        </w:rPr>
        <w:t xml:space="preserve">que genere la necesidad de ejecutar obras adicionales, </w:t>
      </w:r>
      <w:r>
        <w:rPr>
          <w:rFonts w:cs="Arial"/>
          <w:sz w:val="22"/>
          <w:lang w:val="es-CR"/>
        </w:rPr>
        <w:t xml:space="preserve">los costos de dichas obras </w:t>
      </w:r>
      <w:r w:rsidR="00955385">
        <w:rPr>
          <w:rFonts w:cs="Arial"/>
          <w:sz w:val="22"/>
          <w:lang w:val="es-CR"/>
        </w:rPr>
        <w:t>deber</w:t>
      </w:r>
      <w:r>
        <w:rPr>
          <w:rFonts w:cs="Arial"/>
          <w:sz w:val="22"/>
          <w:lang w:val="es-CR"/>
        </w:rPr>
        <w:t>án ser cubierto</w:t>
      </w:r>
      <w:r w:rsidR="00955385">
        <w:rPr>
          <w:rFonts w:cs="Arial"/>
          <w:sz w:val="22"/>
          <w:lang w:val="es-CR"/>
        </w:rPr>
        <w:t>s</w:t>
      </w:r>
      <w:r w:rsidR="00955385" w:rsidRPr="00781B2B">
        <w:rPr>
          <w:rFonts w:cs="Arial"/>
          <w:sz w:val="22"/>
          <w:lang w:val="es-CR"/>
        </w:rPr>
        <w:t xml:space="preserve"> por </w:t>
      </w:r>
      <w:r w:rsidR="00955385">
        <w:rPr>
          <w:rFonts w:cs="Arial"/>
          <w:sz w:val="22"/>
          <w:lang w:val="es-CR"/>
        </w:rPr>
        <w:t xml:space="preserve">la municipalidad </w:t>
      </w:r>
      <w:r w:rsidR="00955385" w:rsidRPr="00781B2B">
        <w:rPr>
          <w:rFonts w:cs="Arial"/>
          <w:sz w:val="22"/>
          <w:lang w:val="es-CR"/>
        </w:rPr>
        <w:t>que dona los dise</w:t>
      </w:r>
      <w:r w:rsidR="00955385">
        <w:rPr>
          <w:rFonts w:cs="Arial"/>
          <w:sz w:val="22"/>
          <w:lang w:val="es-CR"/>
        </w:rPr>
        <w:t>ñ</w:t>
      </w:r>
      <w:r w:rsidR="00955385" w:rsidRPr="00781B2B">
        <w:rPr>
          <w:rFonts w:cs="Arial"/>
          <w:sz w:val="22"/>
          <w:lang w:val="es-CR"/>
        </w:rPr>
        <w:t>os</w:t>
      </w:r>
      <w:r w:rsidR="00955385">
        <w:rPr>
          <w:rFonts w:cs="Arial"/>
          <w:sz w:val="22"/>
          <w:lang w:val="es-CR"/>
        </w:rPr>
        <w:t>.</w:t>
      </w:r>
    </w:p>
    <w:p w:rsidR="00955385" w:rsidRDefault="00955385" w:rsidP="0048769B">
      <w:pPr>
        <w:spacing w:line="360" w:lineRule="auto"/>
        <w:jc w:val="both"/>
        <w:rPr>
          <w:rFonts w:cs="Arial"/>
          <w:sz w:val="22"/>
          <w:lang w:val="es-CR"/>
        </w:rPr>
      </w:pPr>
    </w:p>
    <w:p w:rsidR="002B71CC" w:rsidRDefault="005D58E6" w:rsidP="002B71CC">
      <w:pPr>
        <w:spacing w:line="360" w:lineRule="auto"/>
        <w:jc w:val="both"/>
        <w:rPr>
          <w:rFonts w:cs="Arial"/>
          <w:sz w:val="22"/>
          <w:szCs w:val="22"/>
        </w:rPr>
      </w:pPr>
      <w:r w:rsidRPr="00FC2E5E">
        <w:rPr>
          <w:rFonts w:cs="Arial"/>
          <w:b/>
          <w:sz w:val="22"/>
          <w:lang w:val="es-CR"/>
        </w:rPr>
        <w:t>3)</w:t>
      </w:r>
      <w:r>
        <w:rPr>
          <w:rFonts w:cs="Arial"/>
          <w:sz w:val="22"/>
          <w:lang w:val="es-CR"/>
        </w:rPr>
        <w:t xml:space="preserve"> La </w:t>
      </w:r>
      <w:r w:rsidRPr="00955385">
        <w:rPr>
          <w:rFonts w:cs="Arial"/>
          <w:sz w:val="22"/>
          <w:szCs w:val="22"/>
          <w:lang w:val="es-CR"/>
        </w:rPr>
        <w:t>Administración</w:t>
      </w:r>
      <w:r>
        <w:rPr>
          <w:rFonts w:cs="Arial"/>
          <w:sz w:val="22"/>
          <w:szCs w:val="22"/>
          <w:lang w:val="es-CR"/>
        </w:rPr>
        <w:t xml:space="preserve"> </w:t>
      </w:r>
      <w:r>
        <w:rPr>
          <w:rFonts w:cs="Arial"/>
          <w:sz w:val="22"/>
          <w:lang w:val="es-CR"/>
        </w:rPr>
        <w:t xml:space="preserve">deberá presentar a esta </w:t>
      </w:r>
      <w:r>
        <w:rPr>
          <w:rFonts w:cs="Arial"/>
          <w:sz w:val="22"/>
          <w:szCs w:val="22"/>
          <w:lang w:val="es-CR"/>
        </w:rPr>
        <w:t xml:space="preserve">Junta Directiva, </w:t>
      </w:r>
      <w:r w:rsidR="00103A18">
        <w:rPr>
          <w:rFonts w:cs="Arial"/>
          <w:sz w:val="22"/>
          <w:szCs w:val="22"/>
          <w:lang w:val="es-CR"/>
        </w:rPr>
        <w:t xml:space="preserve">a más tardar el próximo 12 de setiembre, </w:t>
      </w:r>
      <w:r>
        <w:rPr>
          <w:rFonts w:cs="Arial"/>
          <w:sz w:val="22"/>
          <w:lang w:val="es-CR"/>
        </w:rPr>
        <w:t xml:space="preserve">una propuesta para incorporar a la normativa de los proyectos de vivienda tramitados </w:t>
      </w:r>
      <w:r w:rsidRPr="00955385">
        <w:rPr>
          <w:rFonts w:cs="Arial"/>
          <w:sz w:val="22"/>
          <w:lang w:val="es-ES_tradnl"/>
        </w:rPr>
        <w:t>en la modalidad de compra de terreno en verde, construcción de obras de infraestructura y viviendas (formulario S-001)</w:t>
      </w:r>
      <w:r>
        <w:rPr>
          <w:rFonts w:cs="Arial"/>
          <w:sz w:val="22"/>
          <w:lang w:val="es-ES_tradnl"/>
        </w:rPr>
        <w:t xml:space="preserve">, una disposición para que </w:t>
      </w:r>
      <w:r>
        <w:rPr>
          <w:rFonts w:cs="Arial"/>
          <w:sz w:val="22"/>
          <w:lang w:val="es-CR"/>
        </w:rPr>
        <w:t>las obras adicionales que se generen por errores en los diseños, deberán ser cubiertas por el desarrollador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Pr="005B223A" w:rsidRDefault="005B223A" w:rsidP="002B71CC">
      <w:pPr>
        <w:spacing w:line="360" w:lineRule="auto"/>
        <w:jc w:val="both"/>
        <w:rPr>
          <w:rFonts w:cs="Arial"/>
          <w:b/>
          <w:sz w:val="22"/>
          <w:szCs w:val="22"/>
        </w:rPr>
      </w:pPr>
      <w:r w:rsidRPr="005B223A">
        <w:rPr>
          <w:rFonts w:cs="Arial"/>
          <w:b/>
          <w:sz w:val="22"/>
          <w:szCs w:val="22"/>
        </w:rPr>
        <w:t>Considerando:</w:t>
      </w:r>
    </w:p>
    <w:p w:rsidR="005B223A" w:rsidRDefault="005B223A" w:rsidP="002B71CC">
      <w:pPr>
        <w:spacing w:line="360" w:lineRule="auto"/>
        <w:jc w:val="both"/>
        <w:rPr>
          <w:rFonts w:cs="Arial"/>
          <w:sz w:val="22"/>
          <w:szCs w:val="22"/>
        </w:rPr>
      </w:pPr>
      <w:r w:rsidRPr="005B223A">
        <w:rPr>
          <w:rFonts w:cs="Arial"/>
          <w:b/>
          <w:sz w:val="22"/>
          <w:szCs w:val="22"/>
        </w:rPr>
        <w:t>Primero:</w:t>
      </w:r>
      <w:r>
        <w:rPr>
          <w:rFonts w:cs="Arial"/>
          <w:sz w:val="22"/>
          <w:szCs w:val="22"/>
        </w:rPr>
        <w:t xml:space="preserve"> Que mediante el </w:t>
      </w:r>
      <w:r>
        <w:rPr>
          <w:rFonts w:cs="Arial"/>
          <w:sz w:val="22"/>
          <w:szCs w:val="22"/>
          <w:lang w:val="es-ES_tradnl"/>
        </w:rPr>
        <w:t xml:space="preserve">acuerdo N° 1 de la sesión 78-2018, esta </w:t>
      </w:r>
      <w:r w:rsidRPr="005B223A">
        <w:rPr>
          <w:rFonts w:cs="Arial"/>
          <w:sz w:val="22"/>
          <w:szCs w:val="22"/>
          <w:lang w:val="es-ES_tradnl"/>
        </w:rPr>
        <w:t xml:space="preserve">Junta Directiva </w:t>
      </w:r>
      <w:r w:rsidRPr="005B223A">
        <w:rPr>
          <w:rFonts w:cs="Arial"/>
          <w:iCs/>
          <w:sz w:val="22"/>
          <w:szCs w:val="22"/>
          <w:lang w:val="es-CR"/>
        </w:rPr>
        <w:t>autorizó la renovación del contrato de Fideicomiso 001-2010 con Grupo Mutual Alajuela - La Vivienda</w:t>
      </w:r>
      <w:r>
        <w:rPr>
          <w:rFonts w:cs="Arial"/>
          <w:iCs/>
          <w:sz w:val="22"/>
          <w:szCs w:val="22"/>
          <w:lang w:val="es-CR"/>
        </w:rPr>
        <w:t xml:space="preserve"> </w:t>
      </w:r>
      <w:r w:rsidRPr="005B223A">
        <w:rPr>
          <w:rFonts w:cs="Arial"/>
          <w:iCs/>
          <w:sz w:val="22"/>
          <w:szCs w:val="22"/>
          <w:lang w:val="es-ES_tradnl"/>
        </w:rPr>
        <w:t>de Ahorro y Préstamo</w:t>
      </w:r>
      <w:r>
        <w:rPr>
          <w:rFonts w:cs="Arial"/>
          <w:iCs/>
          <w:sz w:val="22"/>
          <w:szCs w:val="22"/>
          <w:lang w:val="es-ES_tradnl"/>
        </w:rPr>
        <w:t xml:space="preserve"> (Grupo Mutual)</w:t>
      </w:r>
      <w:r>
        <w:rPr>
          <w:rFonts w:cs="Arial"/>
          <w:iCs/>
          <w:sz w:val="22"/>
          <w:szCs w:val="22"/>
          <w:lang w:val="es-CR"/>
        </w:rPr>
        <w:t xml:space="preserve">, bajo las siguientes condiciones: a) plazo </w:t>
      </w:r>
      <w:r w:rsidRPr="005B223A">
        <w:rPr>
          <w:rFonts w:cs="Arial"/>
          <w:iCs/>
          <w:sz w:val="22"/>
          <w:szCs w:val="22"/>
        </w:rPr>
        <w:t>de tres meses contados a partir de la firma del documento</w:t>
      </w:r>
      <w:r>
        <w:rPr>
          <w:rFonts w:cs="Arial"/>
          <w:iCs/>
          <w:sz w:val="22"/>
          <w:szCs w:val="22"/>
        </w:rPr>
        <w:t xml:space="preserve">; b) realizar la </w:t>
      </w:r>
      <w:r w:rsidRPr="005B223A">
        <w:rPr>
          <w:rFonts w:cs="Arial"/>
          <w:iCs/>
          <w:sz w:val="22"/>
          <w:szCs w:val="22"/>
        </w:rPr>
        <w:t xml:space="preserve">exclusión de la cartera de crédito en cobro judicial y bienes readquirido individuales y efectuar las cesiones a favor del </w:t>
      </w:r>
      <w:r>
        <w:rPr>
          <w:rFonts w:cs="Arial"/>
          <w:iCs/>
          <w:sz w:val="22"/>
          <w:szCs w:val="22"/>
        </w:rPr>
        <w:t xml:space="preserve">BANHVI; c) mantener </w:t>
      </w:r>
      <w:r w:rsidRPr="005B223A">
        <w:rPr>
          <w:rFonts w:cs="Arial"/>
          <w:iCs/>
          <w:sz w:val="22"/>
          <w:szCs w:val="22"/>
        </w:rPr>
        <w:t xml:space="preserve">en el Fideicomiso las </w:t>
      </w:r>
      <w:r>
        <w:rPr>
          <w:rFonts w:cs="Arial"/>
          <w:iCs/>
          <w:sz w:val="22"/>
          <w:szCs w:val="22"/>
        </w:rPr>
        <w:t>cuatro</w:t>
      </w:r>
      <w:r w:rsidRPr="005B223A">
        <w:rPr>
          <w:rFonts w:cs="Arial"/>
          <w:iCs/>
          <w:sz w:val="22"/>
          <w:szCs w:val="22"/>
        </w:rPr>
        <w:t xml:space="preserve"> operaciones en recuperación con servicio de recaudación</w:t>
      </w:r>
      <w:r>
        <w:rPr>
          <w:rFonts w:cs="Arial"/>
          <w:iCs/>
          <w:sz w:val="22"/>
          <w:szCs w:val="22"/>
        </w:rPr>
        <w:t xml:space="preserve">; y d) aplicar </w:t>
      </w:r>
      <w:r w:rsidRPr="005B223A">
        <w:rPr>
          <w:rFonts w:cs="Arial"/>
          <w:iCs/>
          <w:sz w:val="22"/>
          <w:szCs w:val="22"/>
        </w:rPr>
        <w:t>una comisión de ¢3</w:t>
      </w:r>
      <w:r>
        <w:rPr>
          <w:rFonts w:cs="Arial"/>
          <w:iCs/>
          <w:sz w:val="22"/>
          <w:szCs w:val="22"/>
        </w:rPr>
        <w:t xml:space="preserve"> millones</w:t>
      </w:r>
      <w:r w:rsidRPr="005B223A">
        <w:rPr>
          <w:rFonts w:cs="Arial"/>
          <w:iCs/>
          <w:sz w:val="22"/>
          <w:szCs w:val="22"/>
        </w:rPr>
        <w:t xml:space="preserve"> </w:t>
      </w:r>
      <w:r>
        <w:rPr>
          <w:rFonts w:cs="Arial"/>
          <w:iCs/>
          <w:sz w:val="22"/>
          <w:szCs w:val="22"/>
        </w:rPr>
        <w:t xml:space="preserve">mensuales </w:t>
      </w:r>
      <w:r w:rsidRPr="005B223A">
        <w:rPr>
          <w:rFonts w:cs="Arial"/>
          <w:iCs/>
          <w:sz w:val="22"/>
          <w:szCs w:val="22"/>
        </w:rPr>
        <w:t>por la administración del Fideicomiso.</w:t>
      </w:r>
    </w:p>
    <w:p w:rsidR="005B223A" w:rsidRDefault="005B223A" w:rsidP="002B71CC">
      <w:pPr>
        <w:spacing w:line="360" w:lineRule="auto"/>
        <w:jc w:val="both"/>
        <w:rPr>
          <w:rFonts w:cs="Arial"/>
          <w:sz w:val="22"/>
          <w:szCs w:val="22"/>
        </w:rPr>
      </w:pPr>
      <w:bookmarkStart w:id="0" w:name="_GoBack"/>
      <w:bookmarkEnd w:id="0"/>
    </w:p>
    <w:p w:rsidR="005B223A" w:rsidRPr="005B223A" w:rsidRDefault="005B223A" w:rsidP="005B223A">
      <w:pPr>
        <w:spacing w:line="360" w:lineRule="auto"/>
        <w:jc w:val="both"/>
        <w:rPr>
          <w:rFonts w:cs="Arial"/>
          <w:sz w:val="22"/>
          <w:szCs w:val="22"/>
          <w:lang w:val="es-CR"/>
        </w:rPr>
      </w:pPr>
      <w:r w:rsidRPr="005B223A">
        <w:rPr>
          <w:rFonts w:cs="Arial"/>
          <w:b/>
          <w:sz w:val="22"/>
          <w:szCs w:val="22"/>
        </w:rPr>
        <w:t>Segundo:</w:t>
      </w:r>
      <w:r>
        <w:rPr>
          <w:rFonts w:cs="Arial"/>
          <w:sz w:val="22"/>
          <w:szCs w:val="22"/>
        </w:rPr>
        <w:t xml:space="preserve"> Que </w:t>
      </w:r>
      <w:r w:rsidR="006246F4">
        <w:rPr>
          <w:rFonts w:cs="Arial"/>
          <w:sz w:val="22"/>
          <w:szCs w:val="22"/>
        </w:rPr>
        <w:t xml:space="preserve">según lo expuesto por la Dirección FONAVI en el informe </w:t>
      </w:r>
      <w:r w:rsidR="006246F4">
        <w:rPr>
          <w:rFonts w:cs="Arial"/>
          <w:sz w:val="22"/>
          <w:szCs w:val="22"/>
          <w:lang w:val="es-ES_tradnl"/>
        </w:rPr>
        <w:t xml:space="preserve">DFNV-ME-0301-2019 –el cual es avalado por la </w:t>
      </w:r>
      <w:r w:rsidR="006246F4" w:rsidRPr="006246F4">
        <w:rPr>
          <w:rFonts w:cs="Arial"/>
          <w:sz w:val="22"/>
          <w:szCs w:val="22"/>
          <w:lang w:val="es-ES_tradnl"/>
        </w:rPr>
        <w:t>Gerencia General</w:t>
      </w:r>
      <w:r w:rsidR="006246F4">
        <w:rPr>
          <w:rFonts w:cs="Arial"/>
          <w:sz w:val="22"/>
          <w:szCs w:val="22"/>
          <w:lang w:val="es-ES_tradnl"/>
        </w:rPr>
        <w:t xml:space="preserve"> con la nota GG-ME-0772-2019 del 23 de julio de 2019– en </w:t>
      </w:r>
      <w:r w:rsidRPr="005B223A">
        <w:rPr>
          <w:rFonts w:cs="Arial"/>
          <w:iCs/>
          <w:sz w:val="22"/>
          <w:szCs w:val="22"/>
        </w:rPr>
        <w:t xml:space="preserve">coordinación con la Asesoría Legal del BANHVI, se elaboró </w:t>
      </w:r>
      <w:r>
        <w:rPr>
          <w:rFonts w:cs="Arial"/>
          <w:iCs/>
          <w:sz w:val="22"/>
          <w:szCs w:val="22"/>
        </w:rPr>
        <w:t xml:space="preserve">el </w:t>
      </w:r>
      <w:r w:rsidRPr="005B223A">
        <w:rPr>
          <w:rFonts w:cs="Arial"/>
          <w:iCs/>
          <w:sz w:val="22"/>
          <w:szCs w:val="22"/>
        </w:rPr>
        <w:t xml:space="preserve">documento para la renovación del </w:t>
      </w:r>
      <w:r>
        <w:rPr>
          <w:rFonts w:cs="Arial"/>
          <w:iCs/>
          <w:sz w:val="22"/>
          <w:szCs w:val="22"/>
        </w:rPr>
        <w:t xml:space="preserve">respectivo </w:t>
      </w:r>
      <w:r w:rsidRPr="005B223A">
        <w:rPr>
          <w:rFonts w:cs="Arial"/>
          <w:iCs/>
          <w:sz w:val="22"/>
          <w:szCs w:val="22"/>
        </w:rPr>
        <w:t>Contrato de Fideicomiso y se remitió a Grupo Mutual el 18 de enero 2019</w:t>
      </w:r>
      <w:r>
        <w:rPr>
          <w:rFonts w:cs="Arial"/>
          <w:iCs/>
          <w:sz w:val="22"/>
          <w:szCs w:val="22"/>
        </w:rPr>
        <w:t xml:space="preserve">, estableciéndose el </w:t>
      </w:r>
      <w:r w:rsidRPr="005B223A">
        <w:rPr>
          <w:rFonts w:cs="Arial"/>
          <w:iCs/>
          <w:sz w:val="22"/>
          <w:szCs w:val="22"/>
        </w:rPr>
        <w:t>18</w:t>
      </w:r>
      <w:r>
        <w:rPr>
          <w:rFonts w:cs="Arial"/>
          <w:iCs/>
          <w:sz w:val="22"/>
          <w:szCs w:val="22"/>
        </w:rPr>
        <w:t xml:space="preserve"> de abril de </w:t>
      </w:r>
      <w:r w:rsidRPr="005B223A">
        <w:rPr>
          <w:rFonts w:cs="Arial"/>
          <w:iCs/>
          <w:sz w:val="22"/>
          <w:szCs w:val="22"/>
        </w:rPr>
        <w:t>2019</w:t>
      </w:r>
      <w:r>
        <w:rPr>
          <w:rFonts w:cs="Arial"/>
          <w:iCs/>
          <w:sz w:val="22"/>
          <w:szCs w:val="22"/>
        </w:rPr>
        <w:t>, como la</w:t>
      </w:r>
      <w:r w:rsidRPr="005B223A">
        <w:rPr>
          <w:rFonts w:cs="Arial"/>
          <w:iCs/>
          <w:sz w:val="22"/>
          <w:szCs w:val="22"/>
        </w:rPr>
        <w:t xml:space="preserve"> fecha de vencimiento del Contrato</w:t>
      </w:r>
      <w:r>
        <w:rPr>
          <w:rFonts w:cs="Arial"/>
          <w:iCs/>
          <w:sz w:val="22"/>
          <w:szCs w:val="22"/>
        </w:rPr>
        <w:t xml:space="preserve">.  </w:t>
      </w:r>
      <w:r w:rsidRPr="005B223A">
        <w:rPr>
          <w:rFonts w:cs="Arial"/>
          <w:iCs/>
          <w:sz w:val="22"/>
          <w:szCs w:val="22"/>
        </w:rPr>
        <w:t xml:space="preserve">Grupo Mutual solicito ajustes en cláusulas asociadas al pago de comisiones por venta de proyectos; los </w:t>
      </w:r>
      <w:r w:rsidR="007130EA">
        <w:rPr>
          <w:rFonts w:cs="Arial"/>
          <w:iCs/>
          <w:sz w:val="22"/>
          <w:szCs w:val="22"/>
        </w:rPr>
        <w:t xml:space="preserve">cuales no formaron </w:t>
      </w:r>
      <w:r w:rsidRPr="005B223A">
        <w:rPr>
          <w:rFonts w:cs="Arial"/>
          <w:iCs/>
          <w:sz w:val="22"/>
          <w:szCs w:val="22"/>
        </w:rPr>
        <w:t>parte de las negociaciones realizadas y, en virtud del desacuerdo, no fue factible la firma del Contrato en la fecha prevista.</w:t>
      </w:r>
      <w:r w:rsidR="007130EA">
        <w:rPr>
          <w:rFonts w:cs="Arial"/>
          <w:iCs/>
          <w:sz w:val="22"/>
          <w:szCs w:val="22"/>
        </w:rPr>
        <w:t xml:space="preserve">  No obstante, la entidad </w:t>
      </w:r>
      <w:r w:rsidRPr="005B223A">
        <w:rPr>
          <w:rFonts w:cs="Arial"/>
          <w:iCs/>
          <w:sz w:val="22"/>
          <w:szCs w:val="22"/>
        </w:rPr>
        <w:t xml:space="preserve">continuó ejecutando las funciones de administración fiduciaria previstas y las comisiones establecidas en el </w:t>
      </w:r>
      <w:r w:rsidRPr="005B223A">
        <w:rPr>
          <w:rFonts w:cs="Arial"/>
          <w:iCs/>
          <w:sz w:val="22"/>
          <w:szCs w:val="22"/>
          <w:lang w:val="es-CR"/>
        </w:rPr>
        <w:t>acuerdo N°1, de la sesión 78-2018, fueron devengadas</w:t>
      </w:r>
      <w:r w:rsidR="007130EA">
        <w:rPr>
          <w:rFonts w:cs="Arial"/>
          <w:iCs/>
          <w:sz w:val="22"/>
          <w:szCs w:val="22"/>
          <w:lang w:val="es-CR"/>
        </w:rPr>
        <w:t xml:space="preserve">, por lo que el </w:t>
      </w:r>
      <w:r w:rsidR="007130EA">
        <w:rPr>
          <w:rFonts w:cs="Arial"/>
          <w:iCs/>
          <w:sz w:val="22"/>
          <w:szCs w:val="22"/>
        </w:rPr>
        <w:t>contrato s</w:t>
      </w:r>
      <w:r w:rsidRPr="005B223A">
        <w:rPr>
          <w:rFonts w:cs="Arial"/>
          <w:iCs/>
          <w:sz w:val="22"/>
          <w:szCs w:val="22"/>
        </w:rPr>
        <w:t>e prorrogó tácitamente</w:t>
      </w:r>
      <w:r w:rsidR="007130EA">
        <w:rPr>
          <w:rFonts w:cs="Arial"/>
          <w:iCs/>
          <w:sz w:val="22"/>
          <w:szCs w:val="22"/>
        </w:rPr>
        <w:t xml:space="preserve"> y a la </w:t>
      </w:r>
      <w:r w:rsidRPr="005B223A">
        <w:rPr>
          <w:rFonts w:cs="Arial"/>
          <w:iCs/>
          <w:sz w:val="22"/>
          <w:szCs w:val="22"/>
        </w:rPr>
        <w:t>fecha no es factible ejecutar la firma del Contrato con las fechas originalmente previstas, debido al cambio en la representación legal del</w:t>
      </w:r>
      <w:r w:rsidR="007130EA">
        <w:rPr>
          <w:rFonts w:cs="Arial"/>
          <w:iCs/>
          <w:sz w:val="22"/>
          <w:szCs w:val="22"/>
        </w:rPr>
        <w:t xml:space="preserve"> BANHVI</w:t>
      </w:r>
      <w:r w:rsidRPr="005B223A">
        <w:rPr>
          <w:rFonts w:cs="Arial"/>
          <w:iCs/>
          <w:sz w:val="22"/>
          <w:szCs w:val="22"/>
        </w:rPr>
        <w:t>.</w:t>
      </w:r>
    </w:p>
    <w:p w:rsidR="005B223A" w:rsidRDefault="005B223A" w:rsidP="002B71CC">
      <w:pPr>
        <w:spacing w:line="360" w:lineRule="auto"/>
        <w:jc w:val="both"/>
        <w:rPr>
          <w:rFonts w:cs="Arial"/>
          <w:sz w:val="22"/>
          <w:szCs w:val="22"/>
        </w:rPr>
      </w:pPr>
    </w:p>
    <w:p w:rsidR="007130EA" w:rsidRPr="007130EA" w:rsidRDefault="005B223A" w:rsidP="007130EA">
      <w:pPr>
        <w:spacing w:line="360" w:lineRule="auto"/>
        <w:jc w:val="both"/>
        <w:rPr>
          <w:rFonts w:cs="Arial"/>
          <w:sz w:val="22"/>
          <w:szCs w:val="22"/>
          <w:lang w:val="es-CR"/>
        </w:rPr>
      </w:pPr>
      <w:r w:rsidRPr="005B223A">
        <w:rPr>
          <w:rFonts w:cs="Arial"/>
          <w:b/>
          <w:sz w:val="22"/>
          <w:szCs w:val="22"/>
        </w:rPr>
        <w:t>Tercero:</w:t>
      </w:r>
      <w:r>
        <w:rPr>
          <w:rFonts w:cs="Arial"/>
          <w:sz w:val="22"/>
          <w:szCs w:val="22"/>
        </w:rPr>
        <w:t xml:space="preserve"> Que </w:t>
      </w:r>
      <w:r w:rsidR="007130EA">
        <w:rPr>
          <w:rFonts w:cs="Arial"/>
          <w:sz w:val="22"/>
          <w:szCs w:val="22"/>
        </w:rPr>
        <w:t xml:space="preserve">en razón de lo anterior, la </w:t>
      </w:r>
      <w:r w:rsidR="007130EA" w:rsidRPr="007130EA">
        <w:rPr>
          <w:rFonts w:cs="Arial"/>
          <w:sz w:val="22"/>
          <w:szCs w:val="22"/>
        </w:rPr>
        <w:t>Administración</w:t>
      </w:r>
      <w:r w:rsidR="007130EA">
        <w:rPr>
          <w:rFonts w:cs="Arial"/>
          <w:sz w:val="22"/>
          <w:szCs w:val="22"/>
        </w:rPr>
        <w:t xml:space="preserve"> </w:t>
      </w:r>
      <w:r w:rsidR="007130EA" w:rsidRPr="007130EA">
        <w:rPr>
          <w:rFonts w:cs="Arial"/>
          <w:sz w:val="22"/>
          <w:szCs w:val="22"/>
        </w:rPr>
        <w:t xml:space="preserve">solicita la autorización de </w:t>
      </w:r>
      <w:r w:rsidR="007130EA">
        <w:rPr>
          <w:rFonts w:cs="Arial"/>
          <w:sz w:val="22"/>
          <w:szCs w:val="22"/>
        </w:rPr>
        <w:t>esta</w:t>
      </w:r>
      <w:r w:rsidR="007130EA" w:rsidRPr="007130EA">
        <w:rPr>
          <w:rFonts w:cs="Arial"/>
          <w:sz w:val="22"/>
          <w:szCs w:val="22"/>
        </w:rPr>
        <w:t xml:space="preserve"> Junta Directiva para </w:t>
      </w:r>
      <w:r w:rsidR="007130EA" w:rsidRPr="007130EA">
        <w:rPr>
          <w:rFonts w:cs="Arial"/>
          <w:bCs/>
          <w:sz w:val="22"/>
          <w:szCs w:val="22"/>
        </w:rPr>
        <w:t>proceder al pago de las comisiones fiduciarias por un monto de ¢9,0 millones</w:t>
      </w:r>
      <w:r w:rsidR="007130EA" w:rsidRPr="007130EA">
        <w:rPr>
          <w:rFonts w:cs="Arial"/>
          <w:sz w:val="22"/>
          <w:szCs w:val="22"/>
        </w:rPr>
        <w:t xml:space="preserve">, correspondientes a los tres meses (18/01/2019 a 18/04/2019) de administración del Fideicomiso por parte de Grupo Mutual, según lo establecido en el acuerdo N°1 de la sesión 78-2018, </w:t>
      </w:r>
      <w:r w:rsidR="007130EA" w:rsidRPr="007130EA">
        <w:rPr>
          <w:rFonts w:cs="Arial"/>
          <w:bCs/>
          <w:sz w:val="22"/>
          <w:szCs w:val="22"/>
        </w:rPr>
        <w:t>sin la firma del Contrato de renovación que fue previsto</w:t>
      </w:r>
      <w:r w:rsidR="007130EA" w:rsidRPr="007130EA">
        <w:rPr>
          <w:rFonts w:cs="Arial"/>
          <w:sz w:val="22"/>
          <w:szCs w:val="22"/>
        </w:rPr>
        <w:t xml:space="preserve">. Y a partir de lo anterior, se estará procediendo con la firma del Finiquito del Fideicomiso 01-2010 con Grupo Mutual. </w:t>
      </w:r>
    </w:p>
    <w:p w:rsidR="005B223A" w:rsidRDefault="005B223A" w:rsidP="002B71CC">
      <w:pPr>
        <w:spacing w:line="360" w:lineRule="auto"/>
        <w:jc w:val="both"/>
        <w:rPr>
          <w:rFonts w:cs="Arial"/>
          <w:sz w:val="22"/>
          <w:szCs w:val="22"/>
        </w:rPr>
      </w:pPr>
    </w:p>
    <w:p w:rsidR="005B223A" w:rsidRDefault="005B223A" w:rsidP="002B71CC">
      <w:pPr>
        <w:spacing w:line="360" w:lineRule="auto"/>
        <w:jc w:val="both"/>
        <w:rPr>
          <w:rFonts w:cs="Arial"/>
          <w:sz w:val="22"/>
          <w:szCs w:val="22"/>
        </w:rPr>
      </w:pPr>
      <w:r w:rsidRPr="005B223A">
        <w:rPr>
          <w:rFonts w:cs="Arial"/>
          <w:b/>
          <w:sz w:val="22"/>
          <w:szCs w:val="22"/>
        </w:rPr>
        <w:t>Cuarto:</w:t>
      </w:r>
      <w:r>
        <w:rPr>
          <w:rFonts w:cs="Arial"/>
          <w:sz w:val="22"/>
          <w:szCs w:val="22"/>
        </w:rPr>
        <w:t xml:space="preserve"> Que </w:t>
      </w:r>
      <w:r w:rsidR="007130EA">
        <w:rPr>
          <w:rFonts w:cs="Arial"/>
          <w:sz w:val="22"/>
          <w:szCs w:val="22"/>
        </w:rPr>
        <w:t xml:space="preserve">esta </w:t>
      </w:r>
      <w:r w:rsidR="007130EA" w:rsidRPr="007130EA">
        <w:rPr>
          <w:rFonts w:cs="Arial"/>
          <w:sz w:val="22"/>
          <w:szCs w:val="22"/>
        </w:rPr>
        <w:t xml:space="preserve">Junta Directiva </w:t>
      </w:r>
      <w:r w:rsidR="007130EA">
        <w:rPr>
          <w:rFonts w:cs="Arial"/>
          <w:sz w:val="22"/>
          <w:szCs w:val="22"/>
        </w:rPr>
        <w:t xml:space="preserve">no encuentra objeción en actuar de la forma que recomienda la </w:t>
      </w:r>
      <w:r w:rsidR="007130EA" w:rsidRPr="007130EA">
        <w:rPr>
          <w:rFonts w:cs="Arial"/>
          <w:sz w:val="22"/>
          <w:szCs w:val="22"/>
        </w:rPr>
        <w:t>Administración</w:t>
      </w:r>
      <w:r w:rsidR="009E7FF0">
        <w:rPr>
          <w:rFonts w:cs="Arial"/>
          <w:sz w:val="22"/>
          <w:szCs w:val="22"/>
        </w:rPr>
        <w:t xml:space="preserve"> en el documento adjunto al </w:t>
      </w:r>
      <w:r w:rsidR="009E7FF0">
        <w:rPr>
          <w:rFonts w:cs="Arial"/>
          <w:sz w:val="22"/>
          <w:lang w:val="es-ES_tradnl"/>
        </w:rPr>
        <w:t xml:space="preserve">oficio GG-ME-0772-2019 de la </w:t>
      </w:r>
      <w:r w:rsidR="009E7FF0" w:rsidRPr="009E7FF0">
        <w:rPr>
          <w:rFonts w:cs="Arial"/>
          <w:sz w:val="22"/>
          <w:szCs w:val="22"/>
          <w:lang w:val="es-ES_tradnl"/>
        </w:rPr>
        <w:t>Gerencia General</w:t>
      </w:r>
      <w:r w:rsidR="007130EA">
        <w:rPr>
          <w:rFonts w:cs="Arial"/>
          <w:sz w:val="22"/>
          <w:szCs w:val="22"/>
        </w:rPr>
        <w:t xml:space="preserve">, en el tanto </w:t>
      </w:r>
      <w:r w:rsidR="006246F4">
        <w:rPr>
          <w:rFonts w:cs="Arial"/>
          <w:sz w:val="22"/>
          <w:szCs w:val="22"/>
        </w:rPr>
        <w:t xml:space="preserve">–según se ha documentado– la </w:t>
      </w:r>
      <w:r w:rsidR="007130EA">
        <w:rPr>
          <w:rFonts w:cs="Arial"/>
          <w:iCs/>
          <w:sz w:val="22"/>
          <w:szCs w:val="22"/>
        </w:rPr>
        <w:t xml:space="preserve">entidad ha venido </w:t>
      </w:r>
      <w:r w:rsidR="007130EA" w:rsidRPr="005B223A">
        <w:rPr>
          <w:rFonts w:cs="Arial"/>
          <w:iCs/>
          <w:sz w:val="22"/>
          <w:szCs w:val="22"/>
        </w:rPr>
        <w:t>ejecutando las funciones de administración fiduciaria previstas y las comisiones establecidas</w:t>
      </w:r>
      <w:r w:rsidR="007130EA">
        <w:rPr>
          <w:rFonts w:cs="Arial"/>
          <w:iCs/>
          <w:sz w:val="22"/>
          <w:szCs w:val="22"/>
        </w:rPr>
        <w:t xml:space="preserve"> </w:t>
      </w:r>
      <w:r w:rsidR="007130EA" w:rsidRPr="005B223A">
        <w:rPr>
          <w:rFonts w:cs="Arial"/>
          <w:iCs/>
          <w:sz w:val="22"/>
          <w:szCs w:val="22"/>
          <w:lang w:val="es-CR"/>
        </w:rPr>
        <w:t>fueron devengadas</w:t>
      </w:r>
      <w:r w:rsidR="007130EA">
        <w:rPr>
          <w:rFonts w:cs="Arial"/>
          <w:iCs/>
          <w:sz w:val="22"/>
          <w:szCs w:val="22"/>
          <w:lang w:val="es-CR"/>
        </w:rPr>
        <w:t xml:space="preserve">, por lo que </w:t>
      </w:r>
      <w:r w:rsidR="006246F4">
        <w:rPr>
          <w:rFonts w:cs="Arial"/>
          <w:iCs/>
          <w:sz w:val="22"/>
          <w:szCs w:val="22"/>
          <w:lang w:val="es-CR"/>
        </w:rPr>
        <w:t>conforme</w:t>
      </w:r>
      <w:r w:rsidR="007130EA">
        <w:rPr>
          <w:rFonts w:cs="Arial"/>
          <w:sz w:val="22"/>
          <w:szCs w:val="22"/>
        </w:rPr>
        <w:t xml:space="preserve"> lo afirmado por la </w:t>
      </w:r>
      <w:r w:rsidR="007130EA" w:rsidRPr="007130EA">
        <w:rPr>
          <w:rFonts w:cs="Arial"/>
          <w:sz w:val="22"/>
          <w:szCs w:val="22"/>
        </w:rPr>
        <w:t>Asesoría Legal</w:t>
      </w:r>
      <w:r w:rsidR="007130EA">
        <w:rPr>
          <w:rFonts w:cs="Arial"/>
          <w:sz w:val="22"/>
          <w:szCs w:val="22"/>
        </w:rPr>
        <w:t xml:space="preserve">, el </w:t>
      </w:r>
      <w:r w:rsidR="007130EA">
        <w:rPr>
          <w:rFonts w:cs="Arial"/>
          <w:iCs/>
          <w:sz w:val="22"/>
          <w:szCs w:val="22"/>
        </w:rPr>
        <w:t>contrato s</w:t>
      </w:r>
      <w:r w:rsidR="007130EA" w:rsidRPr="005B223A">
        <w:rPr>
          <w:rFonts w:cs="Arial"/>
          <w:iCs/>
          <w:sz w:val="22"/>
          <w:szCs w:val="22"/>
        </w:rPr>
        <w:t>e prorrogó tácitamente</w:t>
      </w:r>
      <w:r w:rsidR="007130EA">
        <w:rPr>
          <w:rFonts w:cs="Arial"/>
          <w:iCs/>
          <w:sz w:val="22"/>
          <w:szCs w:val="22"/>
        </w:rPr>
        <w:t xml:space="preserve">. </w:t>
      </w:r>
    </w:p>
    <w:p w:rsidR="005B223A" w:rsidRDefault="005B223A" w:rsidP="002B71CC">
      <w:pPr>
        <w:spacing w:line="360" w:lineRule="auto"/>
        <w:jc w:val="both"/>
        <w:rPr>
          <w:rFonts w:cs="Arial"/>
          <w:sz w:val="22"/>
          <w:szCs w:val="22"/>
        </w:rPr>
      </w:pPr>
    </w:p>
    <w:p w:rsidR="005B223A" w:rsidRPr="005B223A" w:rsidRDefault="005B223A" w:rsidP="002B71CC">
      <w:pPr>
        <w:spacing w:line="360" w:lineRule="auto"/>
        <w:jc w:val="both"/>
        <w:rPr>
          <w:rFonts w:cs="Arial"/>
          <w:b/>
          <w:sz w:val="22"/>
          <w:szCs w:val="22"/>
        </w:rPr>
      </w:pPr>
      <w:r w:rsidRPr="005B223A">
        <w:rPr>
          <w:rFonts w:cs="Arial"/>
          <w:b/>
          <w:sz w:val="22"/>
          <w:szCs w:val="22"/>
        </w:rPr>
        <w:t>Por tanto, se acuerda:</w:t>
      </w:r>
    </w:p>
    <w:p w:rsidR="007130EA" w:rsidRDefault="006246F4" w:rsidP="007130EA">
      <w:pPr>
        <w:spacing w:line="360" w:lineRule="auto"/>
        <w:jc w:val="both"/>
        <w:rPr>
          <w:rFonts w:cs="Arial"/>
          <w:sz w:val="22"/>
          <w:szCs w:val="22"/>
        </w:rPr>
      </w:pPr>
      <w:r>
        <w:rPr>
          <w:rFonts w:cs="Arial"/>
          <w:sz w:val="22"/>
          <w:szCs w:val="22"/>
        </w:rPr>
        <w:t xml:space="preserve">Autorizar el </w:t>
      </w:r>
      <w:r w:rsidR="007130EA" w:rsidRPr="006246F4">
        <w:rPr>
          <w:rFonts w:cs="Arial"/>
          <w:bCs/>
          <w:sz w:val="22"/>
          <w:szCs w:val="22"/>
        </w:rPr>
        <w:t>pago de las comisiones fiduciarias</w:t>
      </w:r>
      <w:r>
        <w:rPr>
          <w:rFonts w:cs="Arial"/>
          <w:bCs/>
          <w:sz w:val="22"/>
          <w:szCs w:val="22"/>
        </w:rPr>
        <w:t>,</w:t>
      </w:r>
      <w:r w:rsidR="007130EA" w:rsidRPr="006246F4">
        <w:rPr>
          <w:rFonts w:cs="Arial"/>
          <w:bCs/>
          <w:sz w:val="22"/>
          <w:szCs w:val="22"/>
        </w:rPr>
        <w:t xml:space="preserve"> por un monto de ¢9 millones</w:t>
      </w:r>
      <w:r w:rsidR="007130EA" w:rsidRPr="006246F4">
        <w:rPr>
          <w:rFonts w:cs="Arial"/>
          <w:sz w:val="22"/>
          <w:szCs w:val="22"/>
        </w:rPr>
        <w:t>, correspondientes a los tres meses (18/01/2019 a 18/04/2019) de administración del Fideicomiso por parte de Grupo Mutual</w:t>
      </w:r>
      <w:r>
        <w:rPr>
          <w:rFonts w:cs="Arial"/>
          <w:sz w:val="22"/>
          <w:szCs w:val="22"/>
        </w:rPr>
        <w:t xml:space="preserve"> Alajuela – La Vivienda </w:t>
      </w:r>
      <w:r w:rsidRPr="006246F4">
        <w:rPr>
          <w:rFonts w:cs="Arial"/>
          <w:sz w:val="22"/>
          <w:szCs w:val="22"/>
          <w:lang w:val="es-ES_tradnl"/>
        </w:rPr>
        <w:t>de Ahorro y Préstamo</w:t>
      </w:r>
      <w:r w:rsidR="007130EA" w:rsidRPr="006246F4">
        <w:rPr>
          <w:rFonts w:cs="Arial"/>
          <w:sz w:val="22"/>
          <w:szCs w:val="22"/>
        </w:rPr>
        <w:t xml:space="preserve">, según lo establecido en el acuerdo N°1 de la sesión 78-2018, </w:t>
      </w:r>
      <w:r w:rsidR="007130EA" w:rsidRPr="006246F4">
        <w:rPr>
          <w:rFonts w:cs="Arial"/>
          <w:bCs/>
          <w:sz w:val="22"/>
          <w:szCs w:val="22"/>
        </w:rPr>
        <w:t>sin la firma del Contrato de renovación que fue previsto</w:t>
      </w:r>
      <w:r w:rsidR="007130EA" w:rsidRPr="006246F4">
        <w:rPr>
          <w:rFonts w:cs="Arial"/>
          <w:sz w:val="22"/>
          <w:szCs w:val="22"/>
        </w:rPr>
        <w:t>.</w:t>
      </w:r>
    </w:p>
    <w:p w:rsidR="006246F4" w:rsidRPr="006246F4" w:rsidRDefault="006246F4" w:rsidP="007130EA">
      <w:pPr>
        <w:spacing w:line="360" w:lineRule="auto"/>
        <w:jc w:val="both"/>
        <w:rPr>
          <w:rFonts w:cs="Arial"/>
          <w:sz w:val="22"/>
          <w:szCs w:val="22"/>
          <w:lang w:val="es-CR"/>
        </w:rPr>
      </w:pPr>
    </w:p>
    <w:p w:rsidR="007130EA" w:rsidRDefault="007130EA" w:rsidP="007130EA">
      <w:pPr>
        <w:spacing w:line="360" w:lineRule="auto"/>
        <w:jc w:val="both"/>
        <w:rPr>
          <w:rFonts w:cs="Arial"/>
          <w:sz w:val="22"/>
          <w:szCs w:val="22"/>
        </w:rPr>
      </w:pPr>
      <w:r w:rsidRPr="007130EA">
        <w:rPr>
          <w:rFonts w:cs="Arial"/>
          <w:sz w:val="22"/>
          <w:szCs w:val="22"/>
        </w:rPr>
        <w:t xml:space="preserve">A partir de lo anterior, </w:t>
      </w:r>
      <w:r w:rsidR="006246F4">
        <w:rPr>
          <w:rFonts w:cs="Arial"/>
          <w:sz w:val="22"/>
          <w:szCs w:val="22"/>
        </w:rPr>
        <w:t xml:space="preserve">deberá </w:t>
      </w:r>
      <w:r w:rsidRPr="007130EA">
        <w:rPr>
          <w:rFonts w:cs="Arial"/>
          <w:sz w:val="22"/>
          <w:szCs w:val="22"/>
        </w:rPr>
        <w:t>proced</w:t>
      </w:r>
      <w:r w:rsidR="006246F4">
        <w:rPr>
          <w:rFonts w:cs="Arial"/>
          <w:sz w:val="22"/>
          <w:szCs w:val="22"/>
        </w:rPr>
        <w:t xml:space="preserve">erse </w:t>
      </w:r>
      <w:r w:rsidRPr="007130EA">
        <w:rPr>
          <w:rFonts w:cs="Arial"/>
          <w:sz w:val="22"/>
          <w:szCs w:val="22"/>
        </w:rPr>
        <w:t xml:space="preserve">con la firma del </w:t>
      </w:r>
      <w:r w:rsidR="006246F4">
        <w:rPr>
          <w:rFonts w:cs="Arial"/>
          <w:sz w:val="22"/>
          <w:szCs w:val="22"/>
        </w:rPr>
        <w:t>f</w:t>
      </w:r>
      <w:r w:rsidRPr="007130EA">
        <w:rPr>
          <w:rFonts w:cs="Arial"/>
          <w:sz w:val="22"/>
          <w:szCs w:val="22"/>
        </w:rPr>
        <w:t>iniquito del Fideicomiso 01-2010 con Grupo Mutual</w:t>
      </w:r>
      <w:r w:rsidR="006246F4">
        <w:rPr>
          <w:rFonts w:cs="Arial"/>
          <w:sz w:val="22"/>
          <w:szCs w:val="22"/>
        </w:rPr>
        <w:t xml:space="preserve"> Alajuela – La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Pr="00180177" w:rsidRDefault="00180177" w:rsidP="002B71CC">
      <w:pPr>
        <w:spacing w:line="360" w:lineRule="auto"/>
        <w:jc w:val="both"/>
        <w:rPr>
          <w:rFonts w:cs="Arial"/>
          <w:b/>
          <w:sz w:val="22"/>
          <w:szCs w:val="22"/>
        </w:rPr>
      </w:pPr>
      <w:r w:rsidRPr="00180177">
        <w:rPr>
          <w:rFonts w:cs="Arial"/>
          <w:b/>
          <w:sz w:val="22"/>
          <w:szCs w:val="22"/>
        </w:rPr>
        <w:t>Considerando:</w:t>
      </w:r>
    </w:p>
    <w:p w:rsidR="00AF3D76" w:rsidRPr="00BF6CA7" w:rsidRDefault="00180177" w:rsidP="00AF3D76">
      <w:pPr>
        <w:spacing w:line="360" w:lineRule="auto"/>
        <w:jc w:val="both"/>
        <w:rPr>
          <w:rFonts w:cs="Arial"/>
          <w:sz w:val="22"/>
          <w:szCs w:val="22"/>
        </w:rPr>
      </w:pPr>
      <w:r w:rsidRPr="00180177">
        <w:rPr>
          <w:rFonts w:cs="Arial"/>
          <w:b/>
          <w:sz w:val="22"/>
          <w:szCs w:val="22"/>
        </w:rPr>
        <w:t>Primero:</w:t>
      </w:r>
      <w:r>
        <w:rPr>
          <w:rFonts w:cs="Arial"/>
          <w:sz w:val="22"/>
          <w:szCs w:val="22"/>
        </w:rPr>
        <w:t xml:space="preserve"> Que </w:t>
      </w:r>
      <w:r w:rsidR="00AF3D76">
        <w:rPr>
          <w:rFonts w:cs="Arial"/>
          <w:sz w:val="22"/>
          <w:szCs w:val="22"/>
        </w:rPr>
        <w:t xml:space="preserve">mediante el acuerdo N° 3 de la sesión 06-2019, del 24 de enero de 2019, esta </w:t>
      </w:r>
      <w:r w:rsidR="00AF3D76" w:rsidRPr="00AF3D76">
        <w:rPr>
          <w:rFonts w:cs="Arial"/>
          <w:sz w:val="22"/>
          <w:szCs w:val="22"/>
        </w:rPr>
        <w:t xml:space="preserve">Junta Directiva </w:t>
      </w:r>
      <w:r w:rsidR="00AF3D76">
        <w:rPr>
          <w:rFonts w:cs="Arial"/>
          <w:sz w:val="22"/>
          <w:szCs w:val="22"/>
        </w:rPr>
        <w:t xml:space="preserve">aprobó el </w:t>
      </w:r>
      <w:r w:rsidR="00AF3D76" w:rsidRPr="007E7AA0">
        <w:rPr>
          <w:rFonts w:cs="Arial"/>
          <w:sz w:val="22"/>
          <w:szCs w:val="22"/>
        </w:rPr>
        <w:t xml:space="preserve">crédito </w:t>
      </w:r>
      <w:r w:rsidR="00AF3D76">
        <w:rPr>
          <w:rFonts w:cs="Arial"/>
          <w:sz w:val="22"/>
          <w:szCs w:val="22"/>
        </w:rPr>
        <w:t xml:space="preserve">de largo plazo en colones, </w:t>
      </w:r>
      <w:r w:rsidR="00AF3D76" w:rsidRPr="007E7AA0">
        <w:rPr>
          <w:rFonts w:cs="Arial"/>
          <w:sz w:val="22"/>
          <w:szCs w:val="22"/>
        </w:rPr>
        <w:t>solicitad</w:t>
      </w:r>
      <w:r w:rsidR="00AF3D76">
        <w:rPr>
          <w:rFonts w:cs="Arial"/>
          <w:sz w:val="22"/>
          <w:szCs w:val="22"/>
        </w:rPr>
        <w:t>o por la Fundación para la Vivienda Rural Costa Rica – Canadá,</w:t>
      </w:r>
      <w:r w:rsidR="00AF3D76" w:rsidRPr="007E7AA0">
        <w:rPr>
          <w:rFonts w:cs="Arial"/>
          <w:sz w:val="22"/>
          <w:szCs w:val="22"/>
        </w:rPr>
        <w:t xml:space="preserve"> </w:t>
      </w:r>
      <w:r w:rsidR="00AF3D76">
        <w:rPr>
          <w:rFonts w:cs="Arial"/>
          <w:sz w:val="22"/>
          <w:szCs w:val="22"/>
        </w:rPr>
        <w:t xml:space="preserve">por un monto de ¢600,0 millones, </w:t>
      </w:r>
      <w:r w:rsidR="00AF3D76" w:rsidRPr="00BF6CA7">
        <w:rPr>
          <w:rFonts w:cs="Arial"/>
          <w:color w:val="000000"/>
          <w:sz w:val="22"/>
          <w:szCs w:val="22"/>
        </w:rPr>
        <w:t xml:space="preserve">al amparo del </w:t>
      </w:r>
      <w:r w:rsidR="00AF3D76" w:rsidRPr="00BF6CA7">
        <w:rPr>
          <w:rFonts w:cs="Arial"/>
          <w:i/>
          <w:sz w:val="22"/>
          <w:szCs w:val="22"/>
        </w:rPr>
        <w:t xml:space="preserve">Programa de Crédito de Largo Plazo </w:t>
      </w:r>
      <w:r w:rsidR="00AF3D76">
        <w:rPr>
          <w:rFonts w:cs="Arial"/>
          <w:i/>
          <w:sz w:val="22"/>
          <w:szCs w:val="22"/>
        </w:rPr>
        <w:t xml:space="preserve">en Colones </w:t>
      </w:r>
      <w:r w:rsidR="00AF3D76" w:rsidRPr="00BF6CA7">
        <w:rPr>
          <w:rFonts w:cs="Arial"/>
          <w:i/>
          <w:sz w:val="22"/>
          <w:szCs w:val="22"/>
        </w:rPr>
        <w:t>del FONAVI.</w:t>
      </w:r>
    </w:p>
    <w:p w:rsidR="00AF3D76" w:rsidRDefault="00AF3D76" w:rsidP="00AF3D76">
      <w:pPr>
        <w:spacing w:line="360" w:lineRule="auto"/>
        <w:jc w:val="both"/>
        <w:rPr>
          <w:rFonts w:cs="Arial"/>
          <w:sz w:val="22"/>
          <w:szCs w:val="22"/>
        </w:rPr>
      </w:pPr>
    </w:p>
    <w:p w:rsidR="00AF3D76" w:rsidRDefault="00AF3D76" w:rsidP="00AF3D76">
      <w:pPr>
        <w:spacing w:line="360" w:lineRule="auto"/>
        <w:jc w:val="both"/>
        <w:rPr>
          <w:rFonts w:cs="Arial"/>
          <w:sz w:val="22"/>
          <w:szCs w:val="22"/>
        </w:rPr>
      </w:pPr>
      <w:r w:rsidRPr="00AF3D76">
        <w:rPr>
          <w:rFonts w:cs="Arial"/>
          <w:b/>
          <w:sz w:val="22"/>
          <w:szCs w:val="22"/>
        </w:rPr>
        <w:t>Segundo:</w:t>
      </w:r>
      <w:r>
        <w:rPr>
          <w:rFonts w:cs="Arial"/>
          <w:sz w:val="22"/>
          <w:szCs w:val="22"/>
        </w:rPr>
        <w:t xml:space="preserve"> Que en el inciso a. del punto 1) de dicho acuerdo, se establece que el monto del crédito sería desembolsado en </w:t>
      </w:r>
      <w:r w:rsidRPr="00751335">
        <w:rPr>
          <w:rFonts w:cs="Arial"/>
          <w:b/>
          <w:sz w:val="22"/>
          <w:szCs w:val="22"/>
        </w:rPr>
        <w:t>dos tractos</w:t>
      </w:r>
      <w:r>
        <w:rPr>
          <w:rFonts w:cs="Arial"/>
          <w:sz w:val="22"/>
          <w:szCs w:val="22"/>
        </w:rPr>
        <w:t xml:space="preserve"> durante el año 2019.</w:t>
      </w:r>
    </w:p>
    <w:p w:rsidR="00AF3D76" w:rsidRDefault="00AF3D76" w:rsidP="00AF3D76">
      <w:pPr>
        <w:spacing w:line="360" w:lineRule="auto"/>
        <w:jc w:val="both"/>
        <w:rPr>
          <w:rFonts w:cs="Arial"/>
          <w:sz w:val="22"/>
          <w:szCs w:val="22"/>
        </w:rPr>
      </w:pPr>
    </w:p>
    <w:p w:rsidR="00AF3D76" w:rsidRDefault="00AF3D76" w:rsidP="00AF3D76">
      <w:pPr>
        <w:spacing w:line="360" w:lineRule="auto"/>
        <w:jc w:val="both"/>
        <w:rPr>
          <w:rFonts w:cs="Arial"/>
          <w:sz w:val="22"/>
          <w:szCs w:val="22"/>
        </w:rPr>
      </w:pPr>
      <w:r w:rsidRPr="00AF3D76">
        <w:rPr>
          <w:rFonts w:cs="Arial"/>
          <w:b/>
          <w:sz w:val="22"/>
          <w:szCs w:val="22"/>
        </w:rPr>
        <w:t>Tercero:</w:t>
      </w:r>
      <w:r>
        <w:rPr>
          <w:rFonts w:cs="Arial"/>
          <w:sz w:val="22"/>
          <w:szCs w:val="22"/>
        </w:rPr>
        <w:t xml:space="preserve"> Que </w:t>
      </w:r>
      <w:r w:rsidR="0040018F">
        <w:rPr>
          <w:rFonts w:cs="Arial"/>
          <w:sz w:val="22"/>
          <w:szCs w:val="22"/>
        </w:rPr>
        <w:t xml:space="preserve">por medio del oficio GG-ME-0782-2019 del 24 de julio de 2019, la </w:t>
      </w:r>
      <w:r w:rsidR="0040018F" w:rsidRPr="00874A6C">
        <w:rPr>
          <w:rFonts w:cs="Arial"/>
          <w:sz w:val="22"/>
          <w:szCs w:val="22"/>
        </w:rPr>
        <w:t>Gerencia General</w:t>
      </w:r>
      <w:r w:rsidR="0040018F">
        <w:rPr>
          <w:rFonts w:cs="Arial"/>
          <w:sz w:val="22"/>
          <w:szCs w:val="22"/>
        </w:rPr>
        <w:t xml:space="preserve"> remite y avala el informe DFNV-ME-0323-2019 de la Dirección FONAVI, que contiene una propuesta para </w:t>
      </w:r>
      <w:r w:rsidR="00E76B69">
        <w:rPr>
          <w:rFonts w:cs="Arial"/>
          <w:sz w:val="22"/>
          <w:szCs w:val="22"/>
        </w:rPr>
        <w:t xml:space="preserve">modificar el referido inciso a., con el propósito de consignar que </w:t>
      </w:r>
      <w:r w:rsidR="00E76B69" w:rsidRPr="0040018F">
        <w:rPr>
          <w:rFonts w:cs="Arial"/>
          <w:sz w:val="22"/>
          <w:szCs w:val="22"/>
          <w:lang w:val="es-CR"/>
        </w:rPr>
        <w:t>el monto del cr</w:t>
      </w:r>
      <w:r w:rsidR="00E76B69">
        <w:rPr>
          <w:rFonts w:cs="Arial"/>
          <w:sz w:val="22"/>
          <w:szCs w:val="22"/>
          <w:lang w:val="es-CR"/>
        </w:rPr>
        <w:t>édito serí</w:t>
      </w:r>
      <w:r w:rsidR="00E76B69" w:rsidRPr="0040018F">
        <w:rPr>
          <w:rFonts w:cs="Arial"/>
          <w:sz w:val="22"/>
          <w:szCs w:val="22"/>
          <w:lang w:val="es-CR"/>
        </w:rPr>
        <w:t>a desembolsado</w:t>
      </w:r>
      <w:r w:rsidR="00E76B69">
        <w:rPr>
          <w:rFonts w:cs="Arial"/>
          <w:sz w:val="22"/>
          <w:szCs w:val="22"/>
          <w:lang w:val="es-CR"/>
        </w:rPr>
        <w:t xml:space="preserve"> en tres tractos durante el año </w:t>
      </w:r>
      <w:r w:rsidR="00E76B69" w:rsidRPr="0040018F">
        <w:rPr>
          <w:rFonts w:cs="Arial"/>
          <w:sz w:val="22"/>
          <w:szCs w:val="22"/>
          <w:lang w:val="es-CR"/>
        </w:rPr>
        <w:t>2019.</w:t>
      </w:r>
      <w:r w:rsidR="00E76B69">
        <w:rPr>
          <w:rFonts w:cs="Arial"/>
          <w:sz w:val="22"/>
          <w:szCs w:val="22"/>
          <w:lang w:val="es-CR"/>
        </w:rPr>
        <w:t xml:space="preserve">  Lo anterior, dado que al momento de ejecutar el segundo desembolso de recursos, por ¢300 millones, la entidad no disponía de garantía suficiente (operaciones de cré</w:t>
      </w:r>
      <w:r w:rsidR="00E76B69" w:rsidRPr="0040018F">
        <w:rPr>
          <w:rFonts w:cs="Arial"/>
          <w:sz w:val="22"/>
          <w:szCs w:val="22"/>
          <w:lang w:val="es-CR"/>
        </w:rPr>
        <w:t>dito hipotecario no</w:t>
      </w:r>
      <w:r w:rsidR="00E76B69">
        <w:rPr>
          <w:rFonts w:cs="Arial"/>
          <w:sz w:val="22"/>
          <w:szCs w:val="22"/>
          <w:lang w:val="es-CR"/>
        </w:rPr>
        <w:t xml:space="preserve"> </w:t>
      </w:r>
      <w:r w:rsidR="00E76B69" w:rsidRPr="0040018F">
        <w:rPr>
          <w:rFonts w:cs="Arial"/>
          <w:sz w:val="22"/>
          <w:szCs w:val="22"/>
          <w:lang w:val="es-CR"/>
        </w:rPr>
        <w:t>constituidas con Bono Fami</w:t>
      </w:r>
      <w:r w:rsidR="00E76B69">
        <w:rPr>
          <w:rFonts w:cs="Arial"/>
          <w:sz w:val="22"/>
          <w:szCs w:val="22"/>
          <w:lang w:val="es-CR"/>
        </w:rPr>
        <w:t>li</w:t>
      </w:r>
      <w:r w:rsidR="00E76B69" w:rsidRPr="0040018F">
        <w:rPr>
          <w:rFonts w:cs="Arial"/>
          <w:sz w:val="22"/>
          <w:szCs w:val="22"/>
          <w:lang w:val="es-CR"/>
        </w:rPr>
        <w:t>ar de Vivienda</w:t>
      </w:r>
      <w:r w:rsidR="00E76B69">
        <w:rPr>
          <w:rFonts w:cs="Arial"/>
          <w:sz w:val="22"/>
          <w:szCs w:val="22"/>
          <w:lang w:val="es-CR"/>
        </w:rPr>
        <w:t xml:space="preserve">), por lo que </w:t>
      </w:r>
      <w:r w:rsidR="00E76B69" w:rsidRPr="0040018F">
        <w:rPr>
          <w:rFonts w:cs="Arial"/>
          <w:sz w:val="22"/>
          <w:szCs w:val="22"/>
          <w:lang w:val="es-CR"/>
        </w:rPr>
        <w:t>fue necesario a</w:t>
      </w:r>
      <w:r w:rsidR="00E76B69">
        <w:rPr>
          <w:rFonts w:cs="Arial"/>
          <w:sz w:val="22"/>
          <w:szCs w:val="22"/>
          <w:lang w:val="es-CR"/>
        </w:rPr>
        <w:t>j</w:t>
      </w:r>
      <w:r w:rsidR="00E76B69" w:rsidRPr="0040018F">
        <w:rPr>
          <w:rFonts w:cs="Arial"/>
          <w:sz w:val="22"/>
          <w:szCs w:val="22"/>
          <w:lang w:val="es-CR"/>
        </w:rPr>
        <w:t>ustar el</w:t>
      </w:r>
      <w:r w:rsidR="00E76B69">
        <w:rPr>
          <w:rFonts w:cs="Arial"/>
          <w:sz w:val="22"/>
          <w:szCs w:val="22"/>
          <w:lang w:val="es-CR"/>
        </w:rPr>
        <w:t xml:space="preserve"> </w:t>
      </w:r>
      <w:r w:rsidR="00E76B69" w:rsidRPr="0040018F">
        <w:rPr>
          <w:rFonts w:cs="Arial"/>
          <w:sz w:val="22"/>
          <w:szCs w:val="22"/>
          <w:lang w:val="es-CR"/>
        </w:rPr>
        <w:t xml:space="preserve">monto del desembolso a </w:t>
      </w:r>
      <w:r w:rsidR="00E76B69">
        <w:rPr>
          <w:rFonts w:cs="Arial"/>
          <w:sz w:val="22"/>
          <w:szCs w:val="22"/>
          <w:lang w:val="es-CR"/>
        </w:rPr>
        <w:t>¢</w:t>
      </w:r>
      <w:r w:rsidR="00E76B69" w:rsidRPr="0040018F">
        <w:rPr>
          <w:rFonts w:cs="Arial"/>
          <w:sz w:val="22"/>
          <w:szCs w:val="22"/>
          <w:lang w:val="es-CR"/>
        </w:rPr>
        <w:t>200 millones</w:t>
      </w:r>
      <w:r w:rsidR="00E76B69">
        <w:rPr>
          <w:rFonts w:cs="Arial"/>
          <w:sz w:val="22"/>
          <w:szCs w:val="22"/>
          <w:lang w:val="es-CR"/>
        </w:rPr>
        <w:t xml:space="preserve"> y todavía quedaría pendiente un tercer desembolso de recursos por la suma de ¢100 millones.</w:t>
      </w:r>
    </w:p>
    <w:p w:rsidR="00AF3D76" w:rsidRDefault="00AF3D76" w:rsidP="00AF3D76">
      <w:pPr>
        <w:spacing w:line="360" w:lineRule="auto"/>
        <w:jc w:val="both"/>
        <w:rPr>
          <w:rFonts w:cs="Arial"/>
          <w:sz w:val="22"/>
          <w:szCs w:val="22"/>
        </w:rPr>
      </w:pPr>
    </w:p>
    <w:p w:rsidR="0040018F" w:rsidRDefault="00E76B69" w:rsidP="0040018F">
      <w:pPr>
        <w:spacing w:line="360" w:lineRule="auto"/>
        <w:jc w:val="both"/>
        <w:rPr>
          <w:rFonts w:cs="Arial"/>
          <w:sz w:val="22"/>
          <w:szCs w:val="22"/>
        </w:rPr>
      </w:pPr>
      <w:r w:rsidRPr="00E76B69">
        <w:rPr>
          <w:rFonts w:cs="Arial"/>
          <w:b/>
          <w:sz w:val="22"/>
          <w:szCs w:val="22"/>
          <w:lang w:val="es-CR"/>
        </w:rPr>
        <w:t>Cuarto:</w:t>
      </w:r>
      <w:r>
        <w:rPr>
          <w:rFonts w:cs="Arial"/>
          <w:sz w:val="22"/>
          <w:szCs w:val="22"/>
          <w:lang w:val="es-CR"/>
        </w:rPr>
        <w:t xml:space="preserve"> Que esta </w:t>
      </w:r>
      <w:r w:rsidRPr="00E76B69">
        <w:rPr>
          <w:rFonts w:cs="Arial"/>
          <w:sz w:val="22"/>
          <w:szCs w:val="22"/>
          <w:lang w:val="es-CR"/>
        </w:rPr>
        <w:t xml:space="preserve">Junta Directiva </w:t>
      </w:r>
      <w:r>
        <w:rPr>
          <w:rFonts w:cs="Arial"/>
          <w:sz w:val="22"/>
          <w:szCs w:val="22"/>
          <w:lang w:val="es-CR"/>
        </w:rPr>
        <w:t xml:space="preserve">no encuentra objeción en actuar de la forma que recomienda la </w:t>
      </w:r>
      <w:r w:rsidRPr="00E76B69">
        <w:rPr>
          <w:rFonts w:cs="Arial"/>
          <w:sz w:val="22"/>
          <w:szCs w:val="22"/>
          <w:lang w:val="es-CR"/>
        </w:rPr>
        <w:t>Administración</w:t>
      </w:r>
      <w:r>
        <w:rPr>
          <w:rFonts w:cs="Arial"/>
          <w:sz w:val="22"/>
          <w:szCs w:val="22"/>
          <w:lang w:val="es-CR"/>
        </w:rPr>
        <w:t>, en el oficio DFNV-ME-0323-2019 de la Dirección FONAVI.</w:t>
      </w:r>
    </w:p>
    <w:p w:rsidR="0040018F" w:rsidRDefault="0040018F" w:rsidP="00AF3D76">
      <w:pPr>
        <w:spacing w:line="360" w:lineRule="auto"/>
        <w:jc w:val="both"/>
        <w:rPr>
          <w:rFonts w:cs="Arial"/>
          <w:sz w:val="22"/>
          <w:szCs w:val="22"/>
        </w:rPr>
      </w:pPr>
    </w:p>
    <w:p w:rsidR="00180177" w:rsidRPr="00AF3D76" w:rsidRDefault="00AF3D76" w:rsidP="002B71CC">
      <w:pPr>
        <w:spacing w:line="360" w:lineRule="auto"/>
        <w:jc w:val="both"/>
        <w:rPr>
          <w:rFonts w:cs="Arial"/>
          <w:b/>
          <w:sz w:val="22"/>
          <w:szCs w:val="22"/>
        </w:rPr>
      </w:pPr>
      <w:r w:rsidRPr="00AF3D76">
        <w:rPr>
          <w:rFonts w:cs="Arial"/>
          <w:b/>
          <w:sz w:val="22"/>
          <w:szCs w:val="22"/>
        </w:rPr>
        <w:t>Por tanto, se acuerda:</w:t>
      </w:r>
    </w:p>
    <w:p w:rsidR="00180177" w:rsidRDefault="00E76B69" w:rsidP="002B71CC">
      <w:pPr>
        <w:spacing w:line="360" w:lineRule="auto"/>
        <w:jc w:val="both"/>
        <w:rPr>
          <w:rFonts w:cs="Arial"/>
          <w:sz w:val="22"/>
          <w:szCs w:val="22"/>
        </w:rPr>
      </w:pPr>
      <w:r>
        <w:rPr>
          <w:rFonts w:cs="Arial"/>
          <w:sz w:val="22"/>
          <w:szCs w:val="22"/>
        </w:rPr>
        <w:t>Modificar el inciso a., punto 1, del acuerdo N° 3 de la sesión 06-2019, del 24 de enero de 2019, para que se lea de la siguiente forma:</w:t>
      </w:r>
    </w:p>
    <w:p w:rsidR="00E76B69" w:rsidRDefault="00E76B69" w:rsidP="002B71CC">
      <w:pPr>
        <w:spacing w:line="360" w:lineRule="auto"/>
        <w:jc w:val="both"/>
        <w:rPr>
          <w:rFonts w:cs="Arial"/>
          <w:sz w:val="22"/>
          <w:szCs w:val="22"/>
        </w:rPr>
      </w:pPr>
      <w:r>
        <w:rPr>
          <w:rFonts w:cs="Arial"/>
          <w:sz w:val="22"/>
          <w:szCs w:val="22"/>
        </w:rPr>
        <w:t>“</w:t>
      </w:r>
      <w:r w:rsidRPr="00E76B69">
        <w:rPr>
          <w:rFonts w:cs="Arial"/>
          <w:b/>
          <w:sz w:val="22"/>
          <w:szCs w:val="22"/>
        </w:rPr>
        <w:t>a. Monto del financiamiento:</w:t>
      </w:r>
      <w:r w:rsidRPr="00E76B69">
        <w:rPr>
          <w:rFonts w:cs="Arial"/>
          <w:sz w:val="22"/>
          <w:szCs w:val="22"/>
        </w:rPr>
        <w:t xml:space="preserve"> </w:t>
      </w:r>
      <w:r>
        <w:rPr>
          <w:rFonts w:cs="Arial"/>
          <w:sz w:val="22"/>
          <w:szCs w:val="22"/>
        </w:rPr>
        <w:t>Seiscientos</w:t>
      </w:r>
      <w:r w:rsidRPr="00844FB5">
        <w:rPr>
          <w:rFonts w:cs="Arial"/>
          <w:sz w:val="22"/>
          <w:szCs w:val="22"/>
        </w:rPr>
        <w:t xml:space="preserve"> millones de colones, desembolsados en </w:t>
      </w:r>
      <w:r>
        <w:rPr>
          <w:rFonts w:cs="Arial"/>
          <w:sz w:val="22"/>
          <w:szCs w:val="22"/>
        </w:rPr>
        <w:t>tres</w:t>
      </w:r>
      <w:r w:rsidRPr="00844FB5">
        <w:rPr>
          <w:rFonts w:cs="Arial"/>
          <w:sz w:val="22"/>
          <w:szCs w:val="22"/>
        </w:rPr>
        <w:t xml:space="preserve"> tracto</w:t>
      </w:r>
      <w:r>
        <w:rPr>
          <w:rFonts w:cs="Arial"/>
          <w:sz w:val="22"/>
          <w:szCs w:val="22"/>
        </w:rPr>
        <w:t>s</w:t>
      </w:r>
      <w:r w:rsidRPr="00844FB5">
        <w:rPr>
          <w:rFonts w:cs="Arial"/>
          <w:sz w:val="22"/>
          <w:szCs w:val="22"/>
        </w:rPr>
        <w:t xml:space="preserve"> durante el año 201</w:t>
      </w:r>
      <w:r>
        <w:rPr>
          <w:rFonts w:cs="Arial"/>
          <w:sz w:val="22"/>
          <w:szCs w:val="22"/>
        </w:rPr>
        <w:t>9</w:t>
      </w:r>
      <w:r w:rsidRPr="00844FB5">
        <w:rPr>
          <w:rFonts w:cs="Arial"/>
          <w:sz w:val="22"/>
          <w:szCs w:val="22"/>
        </w:rPr>
        <w:t>.</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525381" w:rsidRDefault="00525381" w:rsidP="00525381">
      <w:pPr>
        <w:tabs>
          <w:tab w:val="left" w:pos="6096"/>
        </w:tabs>
        <w:spacing w:line="360" w:lineRule="auto"/>
        <w:jc w:val="both"/>
        <w:rPr>
          <w:rFonts w:cs="Arial"/>
          <w:sz w:val="22"/>
          <w:szCs w:val="22"/>
          <w:lang w:val="es-ES_tradnl"/>
        </w:rPr>
      </w:pPr>
      <w:r>
        <w:rPr>
          <w:rFonts w:cs="Arial"/>
          <w:sz w:val="22"/>
          <w:szCs w:val="22"/>
        </w:rPr>
        <w:t xml:space="preserve">Conocido el </w:t>
      </w:r>
      <w:r>
        <w:rPr>
          <w:rFonts w:cs="Arial"/>
          <w:sz w:val="22"/>
          <w:lang w:val="es-ES_tradnl"/>
        </w:rPr>
        <w:t xml:space="preserve">oficio </w:t>
      </w:r>
      <w:r w:rsidRPr="00D574AE">
        <w:rPr>
          <w:rFonts w:cs="Arial"/>
          <w:sz w:val="22"/>
          <w:szCs w:val="22"/>
        </w:rPr>
        <w:t>GG-ME-</w:t>
      </w:r>
      <w:r>
        <w:rPr>
          <w:rFonts w:cs="Arial"/>
          <w:sz w:val="22"/>
          <w:szCs w:val="22"/>
        </w:rPr>
        <w:t>0</w:t>
      </w:r>
      <w:r w:rsidR="007D0DFF">
        <w:rPr>
          <w:rFonts w:cs="Arial"/>
          <w:sz w:val="22"/>
          <w:szCs w:val="22"/>
        </w:rPr>
        <w:t>801</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w:t>
      </w:r>
      <w:r>
        <w:rPr>
          <w:rFonts w:cs="Arial"/>
          <w:sz w:val="22"/>
          <w:szCs w:val="22"/>
        </w:rPr>
        <w:t xml:space="preserve"> la </w:t>
      </w:r>
      <w:r w:rsidRPr="0013797B">
        <w:rPr>
          <w:rFonts w:cs="Arial"/>
          <w:sz w:val="22"/>
          <w:szCs w:val="22"/>
        </w:rPr>
        <w:t>Gerencia General</w:t>
      </w:r>
      <w:r w:rsidRPr="00D574AE">
        <w:rPr>
          <w:rFonts w:cs="Arial"/>
          <w:sz w:val="22"/>
          <w:szCs w:val="22"/>
        </w:rPr>
        <w:t xml:space="preserve">, </w:t>
      </w:r>
      <w:r>
        <w:rPr>
          <w:rFonts w:cs="Arial"/>
          <w:sz w:val="22"/>
          <w:szCs w:val="22"/>
        </w:rPr>
        <w:t xml:space="preserve">respecto al </w:t>
      </w:r>
      <w:r w:rsidRPr="00D574AE">
        <w:rPr>
          <w:rFonts w:cs="Arial"/>
          <w:sz w:val="22"/>
          <w:szCs w:val="22"/>
        </w:rPr>
        <w:t xml:space="preserve">proyecto de </w:t>
      </w:r>
      <w:r w:rsidR="007D0DFF">
        <w:rPr>
          <w:rFonts w:cs="Arial"/>
          <w:sz w:val="22"/>
          <w:szCs w:val="22"/>
        </w:rPr>
        <w:t>“</w:t>
      </w:r>
      <w:r w:rsidR="007D0DFF" w:rsidRPr="00AE5E4F">
        <w:rPr>
          <w:rFonts w:cs="Arial"/>
          <w:i/>
          <w:sz w:val="22"/>
          <w:szCs w:val="22"/>
        </w:rPr>
        <w:t>Ley que otorga competencia a las municipalidades para desarrollar proyectos de erradicación de tugurios, asentamientos consolidados o en precario, gestión de proyectos de vivienda de interés social y reubicación de familias residentes en zonas de alto riesgo a deslizamientos, vulnerabilidad por inundación e invasión de zonas de protección ambiental</w:t>
      </w:r>
      <w:r w:rsidR="007D0DFF">
        <w:rPr>
          <w:rFonts w:cs="Arial"/>
          <w:sz w:val="22"/>
          <w:szCs w:val="22"/>
        </w:rPr>
        <w:t>”,</w:t>
      </w:r>
      <w:r>
        <w:rPr>
          <w:rFonts w:cs="Arial"/>
          <w:sz w:val="22"/>
          <w:szCs w:val="22"/>
          <w:lang w:val="es-ES_tradnl"/>
        </w:rPr>
        <w:t xml:space="preserve"> tramitado en el expediente </w:t>
      </w:r>
      <w:r w:rsidRPr="00C95CD9">
        <w:rPr>
          <w:rFonts w:cs="Arial"/>
          <w:sz w:val="22"/>
          <w:szCs w:val="22"/>
          <w:lang w:val="es-ES_tradnl"/>
        </w:rPr>
        <w:t>legislativo N° 2</w:t>
      </w:r>
      <w:r w:rsidR="007D0DFF">
        <w:rPr>
          <w:rFonts w:cs="Arial"/>
          <w:sz w:val="22"/>
          <w:szCs w:val="22"/>
          <w:lang w:val="es-ES_tradnl"/>
        </w:rPr>
        <w:t>0</w:t>
      </w:r>
      <w:r w:rsidRPr="00C95CD9">
        <w:rPr>
          <w:rFonts w:cs="Arial"/>
          <w:sz w:val="22"/>
          <w:szCs w:val="22"/>
          <w:lang w:val="es-ES_tradnl"/>
        </w:rPr>
        <w:t>.</w:t>
      </w:r>
      <w:r w:rsidR="007D0DFF">
        <w:rPr>
          <w:rFonts w:cs="Arial"/>
          <w:sz w:val="22"/>
          <w:szCs w:val="22"/>
          <w:lang w:val="es-ES_tradnl"/>
        </w:rPr>
        <w:t>201</w:t>
      </w:r>
      <w:r>
        <w:rPr>
          <w:rFonts w:cs="Arial"/>
          <w:sz w:val="22"/>
          <w:szCs w:val="22"/>
          <w:lang w:val="es-ES_tradnl"/>
        </w:rPr>
        <w:t>, se acuerda:</w:t>
      </w:r>
    </w:p>
    <w:p w:rsidR="00525381" w:rsidRDefault="00525381" w:rsidP="00525381">
      <w:pPr>
        <w:tabs>
          <w:tab w:val="left" w:pos="6096"/>
        </w:tabs>
        <w:spacing w:line="360" w:lineRule="auto"/>
        <w:jc w:val="both"/>
        <w:rPr>
          <w:rFonts w:cs="Arial"/>
          <w:sz w:val="22"/>
          <w:szCs w:val="22"/>
        </w:rPr>
      </w:pPr>
      <w:r>
        <w:rPr>
          <w:rFonts w:cs="Arial"/>
          <w:sz w:val="22"/>
          <w:szCs w:val="22"/>
          <w:lang w:val="es-ES_tradnl"/>
        </w:rPr>
        <w:t xml:space="preserve">Instruir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para que tomando en consideración las observaciones realizadas en la presente sesión</w:t>
      </w:r>
      <w:r w:rsidR="003172C0">
        <w:rPr>
          <w:rFonts w:cs="Arial"/>
          <w:sz w:val="22"/>
          <w:szCs w:val="22"/>
        </w:rPr>
        <w:t xml:space="preserve"> y según lo indicado en el oficio </w:t>
      </w:r>
      <w:r w:rsidR="003172C0" w:rsidRPr="00D574AE">
        <w:rPr>
          <w:rFonts w:cs="Arial"/>
          <w:sz w:val="22"/>
          <w:szCs w:val="22"/>
        </w:rPr>
        <w:t>GG-ME-</w:t>
      </w:r>
      <w:r w:rsidR="003172C0">
        <w:rPr>
          <w:rFonts w:cs="Arial"/>
          <w:sz w:val="22"/>
          <w:szCs w:val="22"/>
        </w:rPr>
        <w:t>0801-2</w:t>
      </w:r>
      <w:r w:rsidR="003172C0" w:rsidRPr="00D574AE">
        <w:rPr>
          <w:rFonts w:cs="Arial"/>
          <w:sz w:val="22"/>
          <w:szCs w:val="22"/>
        </w:rPr>
        <w:t>01</w:t>
      </w:r>
      <w:r w:rsidR="003172C0">
        <w:rPr>
          <w:rFonts w:cs="Arial"/>
          <w:sz w:val="22"/>
          <w:szCs w:val="22"/>
        </w:rPr>
        <w:t>9</w:t>
      </w:r>
      <w:r>
        <w:rPr>
          <w:rFonts w:cs="Arial"/>
          <w:sz w:val="22"/>
          <w:szCs w:val="22"/>
        </w:rPr>
        <w:t xml:space="preserve">, comunique a la </w:t>
      </w:r>
      <w:r>
        <w:rPr>
          <w:rFonts w:cs="Arial"/>
          <w:sz w:val="22"/>
          <w:szCs w:val="22"/>
          <w:lang w:val="es-ES_tradnl"/>
        </w:rPr>
        <w:t xml:space="preserve">Comisión Permanente de Asuntos </w:t>
      </w:r>
      <w:r w:rsidR="003172C0">
        <w:rPr>
          <w:rFonts w:cs="Arial"/>
          <w:sz w:val="22"/>
          <w:szCs w:val="22"/>
          <w:lang w:val="es-ES_tradnl"/>
        </w:rPr>
        <w:t xml:space="preserve">Municipales y Desarrollo Local Participativo de </w:t>
      </w:r>
      <w:r>
        <w:rPr>
          <w:rFonts w:cs="Arial"/>
          <w:sz w:val="22"/>
          <w:szCs w:val="22"/>
          <w:lang w:val="es-ES_tradnl"/>
        </w:rPr>
        <w:t xml:space="preserve">la Asamblea Legislativa, el criterio </w:t>
      </w:r>
      <w:r w:rsidR="003172C0">
        <w:rPr>
          <w:rFonts w:cs="Arial"/>
          <w:sz w:val="22"/>
          <w:szCs w:val="22"/>
          <w:lang w:val="es-ES_tradnl"/>
        </w:rPr>
        <w:t xml:space="preserve">formal </w:t>
      </w:r>
      <w:r>
        <w:rPr>
          <w:rFonts w:cs="Arial"/>
          <w:sz w:val="22"/>
          <w:szCs w:val="22"/>
          <w:lang w:val="es-ES_tradnl"/>
        </w:rPr>
        <w:t xml:space="preserve">de este Banco sobre dicho </w:t>
      </w:r>
      <w:r w:rsidRPr="00D574AE">
        <w:rPr>
          <w:rFonts w:cs="Arial"/>
          <w:sz w:val="22"/>
          <w:szCs w:val="22"/>
        </w:rPr>
        <w:t xml:space="preserve">proyecto de </w:t>
      </w:r>
      <w:r>
        <w:rPr>
          <w:rFonts w:cs="Arial"/>
          <w:sz w:val="22"/>
          <w:szCs w:val="22"/>
        </w:rPr>
        <w:t>ley.</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3A" w:rsidRDefault="005B223A">
      <w:r>
        <w:separator/>
      </w:r>
    </w:p>
  </w:endnote>
  <w:endnote w:type="continuationSeparator" w:id="0">
    <w:p w:rsidR="005B223A" w:rsidRDefault="005B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3A" w:rsidRDefault="005B223A">
      <w:r>
        <w:separator/>
      </w:r>
    </w:p>
  </w:footnote>
  <w:footnote w:type="continuationSeparator" w:id="0">
    <w:p w:rsidR="005B223A" w:rsidRDefault="005B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3A" w:rsidRDefault="005B223A">
    <w:pPr>
      <w:pStyle w:val="Encabezado"/>
      <w:rPr>
        <w:lang w:val="es-ES"/>
      </w:rPr>
    </w:pPr>
  </w:p>
  <w:p w:rsidR="005B223A" w:rsidRDefault="005B223A">
    <w:pPr>
      <w:pStyle w:val="Encabezado"/>
      <w:rPr>
        <w:rStyle w:val="Nmerodepgina"/>
        <w:sz w:val="18"/>
      </w:rPr>
    </w:pPr>
    <w:r>
      <w:rPr>
        <w:sz w:val="18"/>
        <w:lang w:val="es-ES"/>
      </w:rPr>
      <w:t xml:space="preserve">    Minuta de la sesión Nº 59-2019                   01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F831A6">
      <w:rPr>
        <w:rStyle w:val="Nmerodepgina"/>
        <w:noProof/>
        <w:sz w:val="18"/>
      </w:rPr>
      <w:t>14</w:t>
    </w:r>
    <w:r>
      <w:rPr>
        <w:rStyle w:val="Nmerodepgina"/>
        <w:sz w:val="18"/>
      </w:rPr>
      <w:fldChar w:fldCharType="end"/>
    </w:r>
  </w:p>
  <w:p w:rsidR="005B223A" w:rsidRDefault="005B223A">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385B24"/>
    <w:multiLevelType w:val="hybridMultilevel"/>
    <w:tmpl w:val="5E240FAE"/>
    <w:lvl w:ilvl="0" w:tplc="C688CEEC">
      <w:start w:val="1"/>
      <w:numFmt w:val="bullet"/>
      <w:lvlText w:val=""/>
      <w:lvlJc w:val="left"/>
      <w:pPr>
        <w:tabs>
          <w:tab w:val="num" w:pos="720"/>
        </w:tabs>
        <w:ind w:left="720" w:hanging="360"/>
      </w:pPr>
      <w:rPr>
        <w:rFonts w:ascii="Wingdings" w:hAnsi="Wingdings" w:hint="default"/>
      </w:rPr>
    </w:lvl>
    <w:lvl w:ilvl="1" w:tplc="ABC406E8" w:tentative="1">
      <w:start w:val="1"/>
      <w:numFmt w:val="bullet"/>
      <w:lvlText w:val=""/>
      <w:lvlJc w:val="left"/>
      <w:pPr>
        <w:tabs>
          <w:tab w:val="num" w:pos="1440"/>
        </w:tabs>
        <w:ind w:left="1440" w:hanging="360"/>
      </w:pPr>
      <w:rPr>
        <w:rFonts w:ascii="Wingdings" w:hAnsi="Wingdings" w:hint="default"/>
      </w:rPr>
    </w:lvl>
    <w:lvl w:ilvl="2" w:tplc="41B66398" w:tentative="1">
      <w:start w:val="1"/>
      <w:numFmt w:val="bullet"/>
      <w:lvlText w:val=""/>
      <w:lvlJc w:val="left"/>
      <w:pPr>
        <w:tabs>
          <w:tab w:val="num" w:pos="2160"/>
        </w:tabs>
        <w:ind w:left="2160" w:hanging="360"/>
      </w:pPr>
      <w:rPr>
        <w:rFonts w:ascii="Wingdings" w:hAnsi="Wingdings" w:hint="default"/>
      </w:rPr>
    </w:lvl>
    <w:lvl w:ilvl="3" w:tplc="55340EB8" w:tentative="1">
      <w:start w:val="1"/>
      <w:numFmt w:val="bullet"/>
      <w:lvlText w:val=""/>
      <w:lvlJc w:val="left"/>
      <w:pPr>
        <w:tabs>
          <w:tab w:val="num" w:pos="2880"/>
        </w:tabs>
        <w:ind w:left="2880" w:hanging="360"/>
      </w:pPr>
      <w:rPr>
        <w:rFonts w:ascii="Wingdings" w:hAnsi="Wingdings" w:hint="default"/>
      </w:rPr>
    </w:lvl>
    <w:lvl w:ilvl="4" w:tplc="F518294C" w:tentative="1">
      <w:start w:val="1"/>
      <w:numFmt w:val="bullet"/>
      <w:lvlText w:val=""/>
      <w:lvlJc w:val="left"/>
      <w:pPr>
        <w:tabs>
          <w:tab w:val="num" w:pos="3600"/>
        </w:tabs>
        <w:ind w:left="3600" w:hanging="360"/>
      </w:pPr>
      <w:rPr>
        <w:rFonts w:ascii="Wingdings" w:hAnsi="Wingdings" w:hint="default"/>
      </w:rPr>
    </w:lvl>
    <w:lvl w:ilvl="5" w:tplc="C400D212" w:tentative="1">
      <w:start w:val="1"/>
      <w:numFmt w:val="bullet"/>
      <w:lvlText w:val=""/>
      <w:lvlJc w:val="left"/>
      <w:pPr>
        <w:tabs>
          <w:tab w:val="num" w:pos="4320"/>
        </w:tabs>
        <w:ind w:left="4320" w:hanging="360"/>
      </w:pPr>
      <w:rPr>
        <w:rFonts w:ascii="Wingdings" w:hAnsi="Wingdings" w:hint="default"/>
      </w:rPr>
    </w:lvl>
    <w:lvl w:ilvl="6" w:tplc="9FB0B818" w:tentative="1">
      <w:start w:val="1"/>
      <w:numFmt w:val="bullet"/>
      <w:lvlText w:val=""/>
      <w:lvlJc w:val="left"/>
      <w:pPr>
        <w:tabs>
          <w:tab w:val="num" w:pos="5040"/>
        </w:tabs>
        <w:ind w:left="5040" w:hanging="360"/>
      </w:pPr>
      <w:rPr>
        <w:rFonts w:ascii="Wingdings" w:hAnsi="Wingdings" w:hint="default"/>
      </w:rPr>
    </w:lvl>
    <w:lvl w:ilvl="7" w:tplc="E2CC51B8" w:tentative="1">
      <w:start w:val="1"/>
      <w:numFmt w:val="bullet"/>
      <w:lvlText w:val=""/>
      <w:lvlJc w:val="left"/>
      <w:pPr>
        <w:tabs>
          <w:tab w:val="num" w:pos="5760"/>
        </w:tabs>
        <w:ind w:left="5760" w:hanging="360"/>
      </w:pPr>
      <w:rPr>
        <w:rFonts w:ascii="Wingdings" w:hAnsi="Wingdings" w:hint="default"/>
      </w:rPr>
    </w:lvl>
    <w:lvl w:ilvl="8" w:tplc="8D461DD8" w:tentative="1">
      <w:start w:val="1"/>
      <w:numFmt w:val="bullet"/>
      <w:lvlText w:val=""/>
      <w:lvlJc w:val="left"/>
      <w:pPr>
        <w:tabs>
          <w:tab w:val="num" w:pos="6480"/>
        </w:tabs>
        <w:ind w:left="6480" w:hanging="360"/>
      </w:pPr>
      <w:rPr>
        <w:rFonts w:ascii="Wingdings" w:hAnsi="Wingdings" w:hint="default"/>
      </w:r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E90825"/>
    <w:multiLevelType w:val="hybridMultilevel"/>
    <w:tmpl w:val="4DD076B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DCA3B03"/>
    <w:multiLevelType w:val="hybridMultilevel"/>
    <w:tmpl w:val="4F46B858"/>
    <w:lvl w:ilvl="0" w:tplc="97C61130">
      <w:start w:val="1"/>
      <w:numFmt w:val="bullet"/>
      <w:lvlText w:val=""/>
      <w:lvlJc w:val="left"/>
      <w:pPr>
        <w:tabs>
          <w:tab w:val="num" w:pos="720"/>
        </w:tabs>
        <w:ind w:left="720" w:hanging="360"/>
      </w:pPr>
      <w:rPr>
        <w:rFonts w:ascii="Wingdings" w:hAnsi="Wingdings" w:hint="default"/>
      </w:rPr>
    </w:lvl>
    <w:lvl w:ilvl="1" w:tplc="9B8E1262" w:tentative="1">
      <w:start w:val="1"/>
      <w:numFmt w:val="bullet"/>
      <w:lvlText w:val=""/>
      <w:lvlJc w:val="left"/>
      <w:pPr>
        <w:tabs>
          <w:tab w:val="num" w:pos="1440"/>
        </w:tabs>
        <w:ind w:left="1440" w:hanging="360"/>
      </w:pPr>
      <w:rPr>
        <w:rFonts w:ascii="Wingdings" w:hAnsi="Wingdings" w:hint="default"/>
      </w:rPr>
    </w:lvl>
    <w:lvl w:ilvl="2" w:tplc="77768FE6" w:tentative="1">
      <w:start w:val="1"/>
      <w:numFmt w:val="bullet"/>
      <w:lvlText w:val=""/>
      <w:lvlJc w:val="left"/>
      <w:pPr>
        <w:tabs>
          <w:tab w:val="num" w:pos="2160"/>
        </w:tabs>
        <w:ind w:left="2160" w:hanging="360"/>
      </w:pPr>
      <w:rPr>
        <w:rFonts w:ascii="Wingdings" w:hAnsi="Wingdings" w:hint="default"/>
      </w:rPr>
    </w:lvl>
    <w:lvl w:ilvl="3" w:tplc="E81E4D32" w:tentative="1">
      <w:start w:val="1"/>
      <w:numFmt w:val="bullet"/>
      <w:lvlText w:val=""/>
      <w:lvlJc w:val="left"/>
      <w:pPr>
        <w:tabs>
          <w:tab w:val="num" w:pos="2880"/>
        </w:tabs>
        <w:ind w:left="2880" w:hanging="360"/>
      </w:pPr>
      <w:rPr>
        <w:rFonts w:ascii="Wingdings" w:hAnsi="Wingdings" w:hint="default"/>
      </w:rPr>
    </w:lvl>
    <w:lvl w:ilvl="4" w:tplc="DD9077E8" w:tentative="1">
      <w:start w:val="1"/>
      <w:numFmt w:val="bullet"/>
      <w:lvlText w:val=""/>
      <w:lvlJc w:val="left"/>
      <w:pPr>
        <w:tabs>
          <w:tab w:val="num" w:pos="3600"/>
        </w:tabs>
        <w:ind w:left="3600" w:hanging="360"/>
      </w:pPr>
      <w:rPr>
        <w:rFonts w:ascii="Wingdings" w:hAnsi="Wingdings" w:hint="default"/>
      </w:rPr>
    </w:lvl>
    <w:lvl w:ilvl="5" w:tplc="95369D20" w:tentative="1">
      <w:start w:val="1"/>
      <w:numFmt w:val="bullet"/>
      <w:lvlText w:val=""/>
      <w:lvlJc w:val="left"/>
      <w:pPr>
        <w:tabs>
          <w:tab w:val="num" w:pos="4320"/>
        </w:tabs>
        <w:ind w:left="4320" w:hanging="360"/>
      </w:pPr>
      <w:rPr>
        <w:rFonts w:ascii="Wingdings" w:hAnsi="Wingdings" w:hint="default"/>
      </w:rPr>
    </w:lvl>
    <w:lvl w:ilvl="6" w:tplc="583C588C" w:tentative="1">
      <w:start w:val="1"/>
      <w:numFmt w:val="bullet"/>
      <w:lvlText w:val=""/>
      <w:lvlJc w:val="left"/>
      <w:pPr>
        <w:tabs>
          <w:tab w:val="num" w:pos="5040"/>
        </w:tabs>
        <w:ind w:left="5040" w:hanging="360"/>
      </w:pPr>
      <w:rPr>
        <w:rFonts w:ascii="Wingdings" w:hAnsi="Wingdings" w:hint="default"/>
      </w:rPr>
    </w:lvl>
    <w:lvl w:ilvl="7" w:tplc="8988BC90" w:tentative="1">
      <w:start w:val="1"/>
      <w:numFmt w:val="bullet"/>
      <w:lvlText w:val=""/>
      <w:lvlJc w:val="left"/>
      <w:pPr>
        <w:tabs>
          <w:tab w:val="num" w:pos="5760"/>
        </w:tabs>
        <w:ind w:left="5760" w:hanging="360"/>
      </w:pPr>
      <w:rPr>
        <w:rFonts w:ascii="Wingdings" w:hAnsi="Wingdings" w:hint="default"/>
      </w:rPr>
    </w:lvl>
    <w:lvl w:ilvl="8" w:tplc="83A6E0A8" w:tentative="1">
      <w:start w:val="1"/>
      <w:numFmt w:val="bullet"/>
      <w:lvlText w:val=""/>
      <w:lvlJc w:val="left"/>
      <w:pPr>
        <w:tabs>
          <w:tab w:val="num" w:pos="6480"/>
        </w:tabs>
        <w:ind w:left="6480" w:hanging="360"/>
      </w:pPr>
      <w:rPr>
        <w:rFonts w:ascii="Wingdings" w:hAnsi="Wingdings"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1"/>
  </w:num>
  <w:num w:numId="5">
    <w:abstractNumId w:val="0"/>
  </w:num>
  <w:num w:numId="6">
    <w:abstractNumId w:val="14"/>
  </w:num>
  <w:num w:numId="7">
    <w:abstractNumId w:val="19"/>
  </w:num>
  <w:num w:numId="8">
    <w:abstractNumId w:val="11"/>
  </w:num>
  <w:num w:numId="9">
    <w:abstractNumId w:val="6"/>
  </w:num>
  <w:num w:numId="10">
    <w:abstractNumId w:val="3"/>
  </w:num>
  <w:num w:numId="11">
    <w:abstractNumId w:val="4"/>
  </w:num>
  <w:num w:numId="12">
    <w:abstractNumId w:val="20"/>
  </w:num>
  <w:num w:numId="13">
    <w:abstractNumId w:val="18"/>
  </w:num>
  <w:num w:numId="14">
    <w:abstractNumId w:val="16"/>
  </w:num>
  <w:num w:numId="15">
    <w:abstractNumId w:val="12"/>
  </w:num>
  <w:num w:numId="16">
    <w:abstractNumId w:val="15"/>
  </w:num>
  <w:num w:numId="17">
    <w:abstractNumId w:val="7"/>
  </w:num>
  <w:num w:numId="18">
    <w:abstractNumId w:val="9"/>
  </w:num>
  <w:num w:numId="19">
    <w:abstractNumId w:val="10"/>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rODkYbkKdDOrAF/ozjGenhjbJyw=" w:salt="hh2rcYB/1yuEzxPykXXmo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37"/>
    <w:rsid w:val="0000085A"/>
    <w:rsid w:val="00011DC1"/>
    <w:rsid w:val="0001401F"/>
    <w:rsid w:val="00026DCA"/>
    <w:rsid w:val="00027E78"/>
    <w:rsid w:val="0003318B"/>
    <w:rsid w:val="00036A8B"/>
    <w:rsid w:val="000423E1"/>
    <w:rsid w:val="00053A32"/>
    <w:rsid w:val="000547A2"/>
    <w:rsid w:val="00067B32"/>
    <w:rsid w:val="00075172"/>
    <w:rsid w:val="00076A47"/>
    <w:rsid w:val="00081BB0"/>
    <w:rsid w:val="00085DF1"/>
    <w:rsid w:val="0009389D"/>
    <w:rsid w:val="000A6259"/>
    <w:rsid w:val="000B0F7B"/>
    <w:rsid w:val="000C4E35"/>
    <w:rsid w:val="000C5661"/>
    <w:rsid w:val="000F5F31"/>
    <w:rsid w:val="00103A18"/>
    <w:rsid w:val="00105CCE"/>
    <w:rsid w:val="0011401E"/>
    <w:rsid w:val="001147C3"/>
    <w:rsid w:val="00117E78"/>
    <w:rsid w:val="001227FE"/>
    <w:rsid w:val="00154E36"/>
    <w:rsid w:val="00177FF9"/>
    <w:rsid w:val="00180177"/>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1D80"/>
    <w:rsid w:val="00243275"/>
    <w:rsid w:val="00243461"/>
    <w:rsid w:val="00253CA2"/>
    <w:rsid w:val="00253D8D"/>
    <w:rsid w:val="00260325"/>
    <w:rsid w:val="00261C88"/>
    <w:rsid w:val="00262DC0"/>
    <w:rsid w:val="00264EE9"/>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23B4"/>
    <w:rsid w:val="002F3D41"/>
    <w:rsid w:val="003004E7"/>
    <w:rsid w:val="0030131C"/>
    <w:rsid w:val="003156CD"/>
    <w:rsid w:val="003172C0"/>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6C08"/>
    <w:rsid w:val="003A70CE"/>
    <w:rsid w:val="003B0676"/>
    <w:rsid w:val="003B1738"/>
    <w:rsid w:val="003B1AFE"/>
    <w:rsid w:val="003B20EA"/>
    <w:rsid w:val="003C6FEB"/>
    <w:rsid w:val="0040018F"/>
    <w:rsid w:val="00407CC4"/>
    <w:rsid w:val="00421BEA"/>
    <w:rsid w:val="004225F9"/>
    <w:rsid w:val="00432126"/>
    <w:rsid w:val="00445673"/>
    <w:rsid w:val="004755F8"/>
    <w:rsid w:val="0047593B"/>
    <w:rsid w:val="0048086A"/>
    <w:rsid w:val="0048746C"/>
    <w:rsid w:val="0048769B"/>
    <w:rsid w:val="004930AA"/>
    <w:rsid w:val="00496B93"/>
    <w:rsid w:val="00497711"/>
    <w:rsid w:val="004A0704"/>
    <w:rsid w:val="004B373F"/>
    <w:rsid w:val="004B7456"/>
    <w:rsid w:val="004C5B22"/>
    <w:rsid w:val="004C724E"/>
    <w:rsid w:val="004E10F9"/>
    <w:rsid w:val="004E1777"/>
    <w:rsid w:val="004E5D21"/>
    <w:rsid w:val="005011AD"/>
    <w:rsid w:val="00513B4F"/>
    <w:rsid w:val="00525381"/>
    <w:rsid w:val="00530A8B"/>
    <w:rsid w:val="00531B93"/>
    <w:rsid w:val="005459D0"/>
    <w:rsid w:val="005504E6"/>
    <w:rsid w:val="00555E37"/>
    <w:rsid w:val="0057519A"/>
    <w:rsid w:val="00585347"/>
    <w:rsid w:val="00595395"/>
    <w:rsid w:val="0059625B"/>
    <w:rsid w:val="00596AB4"/>
    <w:rsid w:val="005A32C2"/>
    <w:rsid w:val="005B223A"/>
    <w:rsid w:val="005B45E6"/>
    <w:rsid w:val="005B67A2"/>
    <w:rsid w:val="005C18D2"/>
    <w:rsid w:val="005C6147"/>
    <w:rsid w:val="005D58E6"/>
    <w:rsid w:val="005E7559"/>
    <w:rsid w:val="00607F12"/>
    <w:rsid w:val="00615FBF"/>
    <w:rsid w:val="00623D36"/>
    <w:rsid w:val="006246F4"/>
    <w:rsid w:val="006321F4"/>
    <w:rsid w:val="00646C5C"/>
    <w:rsid w:val="0066494B"/>
    <w:rsid w:val="0066756A"/>
    <w:rsid w:val="00670DE7"/>
    <w:rsid w:val="00681878"/>
    <w:rsid w:val="00683504"/>
    <w:rsid w:val="006A1253"/>
    <w:rsid w:val="006A474B"/>
    <w:rsid w:val="006A779D"/>
    <w:rsid w:val="006B7846"/>
    <w:rsid w:val="006C0086"/>
    <w:rsid w:val="006C1542"/>
    <w:rsid w:val="006C1D3B"/>
    <w:rsid w:val="006C1F07"/>
    <w:rsid w:val="006C768D"/>
    <w:rsid w:val="006C772C"/>
    <w:rsid w:val="006D5482"/>
    <w:rsid w:val="006E31FB"/>
    <w:rsid w:val="006E7C0F"/>
    <w:rsid w:val="006F7DB3"/>
    <w:rsid w:val="007062BD"/>
    <w:rsid w:val="00711E6C"/>
    <w:rsid w:val="007130EA"/>
    <w:rsid w:val="00723211"/>
    <w:rsid w:val="00735384"/>
    <w:rsid w:val="00737234"/>
    <w:rsid w:val="00751002"/>
    <w:rsid w:val="00751335"/>
    <w:rsid w:val="007605D2"/>
    <w:rsid w:val="00765327"/>
    <w:rsid w:val="007749FC"/>
    <w:rsid w:val="00781B2B"/>
    <w:rsid w:val="00797660"/>
    <w:rsid w:val="007B2EB9"/>
    <w:rsid w:val="007B5EDF"/>
    <w:rsid w:val="007C2929"/>
    <w:rsid w:val="007C3229"/>
    <w:rsid w:val="007D0DFF"/>
    <w:rsid w:val="007D6EF8"/>
    <w:rsid w:val="007E31DD"/>
    <w:rsid w:val="007E5342"/>
    <w:rsid w:val="007F614F"/>
    <w:rsid w:val="007F66D6"/>
    <w:rsid w:val="00804D4E"/>
    <w:rsid w:val="008110AA"/>
    <w:rsid w:val="00811427"/>
    <w:rsid w:val="00825856"/>
    <w:rsid w:val="008343A2"/>
    <w:rsid w:val="00834957"/>
    <w:rsid w:val="00834A2F"/>
    <w:rsid w:val="008430C2"/>
    <w:rsid w:val="00846281"/>
    <w:rsid w:val="00851373"/>
    <w:rsid w:val="00854DE9"/>
    <w:rsid w:val="00870163"/>
    <w:rsid w:val="00874A6C"/>
    <w:rsid w:val="00895A5D"/>
    <w:rsid w:val="00896BC6"/>
    <w:rsid w:val="008D35D8"/>
    <w:rsid w:val="008D6E0F"/>
    <w:rsid w:val="008F38A8"/>
    <w:rsid w:val="008F6C96"/>
    <w:rsid w:val="00911F06"/>
    <w:rsid w:val="009243CC"/>
    <w:rsid w:val="00940420"/>
    <w:rsid w:val="00955385"/>
    <w:rsid w:val="009669CF"/>
    <w:rsid w:val="00972D12"/>
    <w:rsid w:val="00982183"/>
    <w:rsid w:val="00982E91"/>
    <w:rsid w:val="00986348"/>
    <w:rsid w:val="009A0F16"/>
    <w:rsid w:val="009A3F60"/>
    <w:rsid w:val="009B5852"/>
    <w:rsid w:val="009B7A9B"/>
    <w:rsid w:val="009C11C0"/>
    <w:rsid w:val="009C2A51"/>
    <w:rsid w:val="009C48B7"/>
    <w:rsid w:val="009D03FE"/>
    <w:rsid w:val="009D70A8"/>
    <w:rsid w:val="009D78B0"/>
    <w:rsid w:val="009E1B07"/>
    <w:rsid w:val="009E7FF0"/>
    <w:rsid w:val="009F2788"/>
    <w:rsid w:val="009F62A9"/>
    <w:rsid w:val="00A3146D"/>
    <w:rsid w:val="00A330FA"/>
    <w:rsid w:val="00A41151"/>
    <w:rsid w:val="00A536DE"/>
    <w:rsid w:val="00A57ECD"/>
    <w:rsid w:val="00A70A82"/>
    <w:rsid w:val="00A73DC5"/>
    <w:rsid w:val="00A775DD"/>
    <w:rsid w:val="00A837EB"/>
    <w:rsid w:val="00AA4E2A"/>
    <w:rsid w:val="00AB15C1"/>
    <w:rsid w:val="00AB1E41"/>
    <w:rsid w:val="00AB2826"/>
    <w:rsid w:val="00AB4B39"/>
    <w:rsid w:val="00AD4F06"/>
    <w:rsid w:val="00AE5E4F"/>
    <w:rsid w:val="00AE7AB3"/>
    <w:rsid w:val="00AF19AB"/>
    <w:rsid w:val="00AF3D76"/>
    <w:rsid w:val="00AF4C49"/>
    <w:rsid w:val="00B00832"/>
    <w:rsid w:val="00B019A0"/>
    <w:rsid w:val="00B2152C"/>
    <w:rsid w:val="00B34414"/>
    <w:rsid w:val="00B3640B"/>
    <w:rsid w:val="00B36CE6"/>
    <w:rsid w:val="00B40EB7"/>
    <w:rsid w:val="00B45E4E"/>
    <w:rsid w:val="00B5583C"/>
    <w:rsid w:val="00B56F87"/>
    <w:rsid w:val="00B64449"/>
    <w:rsid w:val="00B66D8C"/>
    <w:rsid w:val="00BA3517"/>
    <w:rsid w:val="00BA3C35"/>
    <w:rsid w:val="00BA51DA"/>
    <w:rsid w:val="00BA58F6"/>
    <w:rsid w:val="00BA7805"/>
    <w:rsid w:val="00BB034D"/>
    <w:rsid w:val="00BB2E32"/>
    <w:rsid w:val="00BC1E08"/>
    <w:rsid w:val="00BD11AC"/>
    <w:rsid w:val="00BD1BD3"/>
    <w:rsid w:val="00BE0F52"/>
    <w:rsid w:val="00BE452A"/>
    <w:rsid w:val="00BF0C80"/>
    <w:rsid w:val="00BF124E"/>
    <w:rsid w:val="00BF2084"/>
    <w:rsid w:val="00C0084E"/>
    <w:rsid w:val="00C01425"/>
    <w:rsid w:val="00C12152"/>
    <w:rsid w:val="00C308C3"/>
    <w:rsid w:val="00C36F84"/>
    <w:rsid w:val="00C42332"/>
    <w:rsid w:val="00C4730D"/>
    <w:rsid w:val="00C50AAF"/>
    <w:rsid w:val="00C65F2B"/>
    <w:rsid w:val="00C676D8"/>
    <w:rsid w:val="00C80B39"/>
    <w:rsid w:val="00C865A7"/>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46DD2"/>
    <w:rsid w:val="00D509A7"/>
    <w:rsid w:val="00D54758"/>
    <w:rsid w:val="00D60482"/>
    <w:rsid w:val="00D61F89"/>
    <w:rsid w:val="00D72C3B"/>
    <w:rsid w:val="00D7334B"/>
    <w:rsid w:val="00D87E7E"/>
    <w:rsid w:val="00DA156E"/>
    <w:rsid w:val="00DA4C56"/>
    <w:rsid w:val="00DB38FB"/>
    <w:rsid w:val="00DC32CD"/>
    <w:rsid w:val="00DE0BBA"/>
    <w:rsid w:val="00DE7715"/>
    <w:rsid w:val="00E0071B"/>
    <w:rsid w:val="00E2143B"/>
    <w:rsid w:val="00E31F79"/>
    <w:rsid w:val="00E47196"/>
    <w:rsid w:val="00E6222D"/>
    <w:rsid w:val="00E63068"/>
    <w:rsid w:val="00E63BC8"/>
    <w:rsid w:val="00E646C7"/>
    <w:rsid w:val="00E76B69"/>
    <w:rsid w:val="00E76C46"/>
    <w:rsid w:val="00E8788A"/>
    <w:rsid w:val="00E979D2"/>
    <w:rsid w:val="00EA53B9"/>
    <w:rsid w:val="00EC02B6"/>
    <w:rsid w:val="00EC6324"/>
    <w:rsid w:val="00EC7E01"/>
    <w:rsid w:val="00EE139E"/>
    <w:rsid w:val="00EE228C"/>
    <w:rsid w:val="00EE4383"/>
    <w:rsid w:val="00EE491C"/>
    <w:rsid w:val="00F00FF1"/>
    <w:rsid w:val="00F041BB"/>
    <w:rsid w:val="00F16E81"/>
    <w:rsid w:val="00F30531"/>
    <w:rsid w:val="00F31891"/>
    <w:rsid w:val="00F343EA"/>
    <w:rsid w:val="00F357CB"/>
    <w:rsid w:val="00F35E92"/>
    <w:rsid w:val="00F41073"/>
    <w:rsid w:val="00F42278"/>
    <w:rsid w:val="00F44721"/>
    <w:rsid w:val="00F541D9"/>
    <w:rsid w:val="00F831A6"/>
    <w:rsid w:val="00F83C00"/>
    <w:rsid w:val="00F9130B"/>
    <w:rsid w:val="00F97718"/>
    <w:rsid w:val="00FA1809"/>
    <w:rsid w:val="00FA2104"/>
    <w:rsid w:val="00FA4CCB"/>
    <w:rsid w:val="00FB145D"/>
    <w:rsid w:val="00FB29D6"/>
    <w:rsid w:val="00FC257F"/>
    <w:rsid w:val="00FC2E5E"/>
    <w:rsid w:val="00FC5F4C"/>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6820">
      <w:bodyDiv w:val="1"/>
      <w:marLeft w:val="0"/>
      <w:marRight w:val="0"/>
      <w:marTop w:val="0"/>
      <w:marBottom w:val="0"/>
      <w:divBdr>
        <w:top w:val="none" w:sz="0" w:space="0" w:color="auto"/>
        <w:left w:val="none" w:sz="0" w:space="0" w:color="auto"/>
        <w:bottom w:val="none" w:sz="0" w:space="0" w:color="auto"/>
        <w:right w:val="none" w:sz="0" w:space="0" w:color="auto"/>
      </w:divBdr>
    </w:div>
    <w:div w:id="619650000">
      <w:bodyDiv w:val="1"/>
      <w:marLeft w:val="0"/>
      <w:marRight w:val="0"/>
      <w:marTop w:val="0"/>
      <w:marBottom w:val="0"/>
      <w:divBdr>
        <w:top w:val="none" w:sz="0" w:space="0" w:color="auto"/>
        <w:left w:val="none" w:sz="0" w:space="0" w:color="auto"/>
        <w:bottom w:val="none" w:sz="0" w:space="0" w:color="auto"/>
        <w:right w:val="none" w:sz="0" w:space="0" w:color="auto"/>
      </w:divBdr>
      <w:divsChild>
        <w:div w:id="2034962720">
          <w:marLeft w:val="547"/>
          <w:marRight w:val="0"/>
          <w:marTop w:val="0"/>
          <w:marBottom w:val="0"/>
          <w:divBdr>
            <w:top w:val="none" w:sz="0" w:space="0" w:color="auto"/>
            <w:left w:val="none" w:sz="0" w:space="0" w:color="auto"/>
            <w:bottom w:val="none" w:sz="0" w:space="0" w:color="auto"/>
            <w:right w:val="none" w:sz="0" w:space="0" w:color="auto"/>
          </w:divBdr>
        </w:div>
        <w:div w:id="2053189410">
          <w:marLeft w:val="547"/>
          <w:marRight w:val="0"/>
          <w:marTop w:val="0"/>
          <w:marBottom w:val="0"/>
          <w:divBdr>
            <w:top w:val="none" w:sz="0" w:space="0" w:color="auto"/>
            <w:left w:val="none" w:sz="0" w:space="0" w:color="auto"/>
            <w:bottom w:val="none" w:sz="0" w:space="0" w:color="auto"/>
            <w:right w:val="none" w:sz="0" w:space="0" w:color="auto"/>
          </w:divBdr>
        </w:div>
        <w:div w:id="81685787">
          <w:marLeft w:val="547"/>
          <w:marRight w:val="0"/>
          <w:marTop w:val="0"/>
          <w:marBottom w:val="0"/>
          <w:divBdr>
            <w:top w:val="none" w:sz="0" w:space="0" w:color="auto"/>
            <w:left w:val="none" w:sz="0" w:space="0" w:color="auto"/>
            <w:bottom w:val="none" w:sz="0" w:space="0" w:color="auto"/>
            <w:right w:val="none" w:sz="0" w:space="0" w:color="auto"/>
          </w:divBdr>
        </w:div>
        <w:div w:id="587272561">
          <w:marLeft w:val="547"/>
          <w:marRight w:val="0"/>
          <w:marTop w:val="0"/>
          <w:marBottom w:val="0"/>
          <w:divBdr>
            <w:top w:val="none" w:sz="0" w:space="0" w:color="auto"/>
            <w:left w:val="none" w:sz="0" w:space="0" w:color="auto"/>
            <w:bottom w:val="none" w:sz="0" w:space="0" w:color="auto"/>
            <w:right w:val="none" w:sz="0" w:space="0" w:color="auto"/>
          </w:divBdr>
        </w:div>
      </w:divsChild>
    </w:div>
    <w:div w:id="817116276">
      <w:bodyDiv w:val="1"/>
      <w:marLeft w:val="0"/>
      <w:marRight w:val="0"/>
      <w:marTop w:val="0"/>
      <w:marBottom w:val="0"/>
      <w:divBdr>
        <w:top w:val="none" w:sz="0" w:space="0" w:color="auto"/>
        <w:left w:val="none" w:sz="0" w:space="0" w:color="auto"/>
        <w:bottom w:val="none" w:sz="0" w:space="0" w:color="auto"/>
        <w:right w:val="none" w:sz="0" w:space="0" w:color="auto"/>
      </w:divBdr>
      <w:divsChild>
        <w:div w:id="137116092">
          <w:marLeft w:val="547"/>
          <w:marRight w:val="0"/>
          <w:marTop w:val="0"/>
          <w:marBottom w:val="0"/>
          <w:divBdr>
            <w:top w:val="none" w:sz="0" w:space="0" w:color="auto"/>
            <w:left w:val="none" w:sz="0" w:space="0" w:color="auto"/>
            <w:bottom w:val="none" w:sz="0" w:space="0" w:color="auto"/>
            <w:right w:val="none" w:sz="0" w:space="0" w:color="auto"/>
          </w:divBdr>
        </w:div>
        <w:div w:id="1299922680">
          <w:marLeft w:val="547"/>
          <w:marRight w:val="0"/>
          <w:marTop w:val="0"/>
          <w:marBottom w:val="0"/>
          <w:divBdr>
            <w:top w:val="none" w:sz="0" w:space="0" w:color="auto"/>
            <w:left w:val="none" w:sz="0" w:space="0" w:color="auto"/>
            <w:bottom w:val="none" w:sz="0" w:space="0" w:color="auto"/>
            <w:right w:val="none" w:sz="0" w:space="0" w:color="auto"/>
          </w:divBdr>
        </w:div>
        <w:div w:id="1835949195">
          <w:marLeft w:val="547"/>
          <w:marRight w:val="0"/>
          <w:marTop w:val="0"/>
          <w:marBottom w:val="0"/>
          <w:divBdr>
            <w:top w:val="none" w:sz="0" w:space="0" w:color="auto"/>
            <w:left w:val="none" w:sz="0" w:space="0" w:color="auto"/>
            <w:bottom w:val="none" w:sz="0" w:space="0" w:color="auto"/>
            <w:right w:val="none" w:sz="0" w:space="0" w:color="auto"/>
          </w:divBdr>
        </w:div>
        <w:div w:id="328218804">
          <w:marLeft w:val="547"/>
          <w:marRight w:val="0"/>
          <w:marTop w:val="0"/>
          <w:marBottom w:val="0"/>
          <w:divBdr>
            <w:top w:val="none" w:sz="0" w:space="0" w:color="auto"/>
            <w:left w:val="none" w:sz="0" w:space="0" w:color="auto"/>
            <w:bottom w:val="none" w:sz="0" w:space="0" w:color="auto"/>
            <w:right w:val="none" w:sz="0" w:space="0" w:color="auto"/>
          </w:divBdr>
        </w:div>
        <w:div w:id="916785070">
          <w:marLeft w:val="547"/>
          <w:marRight w:val="0"/>
          <w:marTop w:val="0"/>
          <w:marBottom w:val="0"/>
          <w:divBdr>
            <w:top w:val="none" w:sz="0" w:space="0" w:color="auto"/>
            <w:left w:val="none" w:sz="0" w:space="0" w:color="auto"/>
            <w:bottom w:val="none" w:sz="0" w:space="0" w:color="auto"/>
            <w:right w:val="none" w:sz="0" w:space="0" w:color="auto"/>
          </w:divBdr>
        </w:div>
      </w:divsChild>
    </w:div>
    <w:div w:id="21361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546</TotalTime>
  <Pages>14</Pages>
  <Words>3976</Words>
  <Characters>21230</Characters>
  <Application>Microsoft Office Word</Application>
  <DocSecurity>8</DocSecurity>
  <Lines>176</Lines>
  <Paragraphs>50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101</cp:revision>
  <cp:lastPrinted>2011-09-07T16:03:00Z</cp:lastPrinted>
  <dcterms:created xsi:type="dcterms:W3CDTF">2019-08-05T17:48:00Z</dcterms:created>
  <dcterms:modified xsi:type="dcterms:W3CDTF">2019-08-13T14:32:00Z</dcterms:modified>
</cp:coreProperties>
</file>