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361050">
        <w:rPr>
          <w:rFonts w:cs="Arial"/>
          <w:b/>
          <w:sz w:val="22"/>
          <w:u w:val="single"/>
        </w:rPr>
        <w:t>54</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361050">
        <w:rPr>
          <w:rFonts w:cs="Arial"/>
          <w:b/>
          <w:sz w:val="22"/>
          <w:u w:val="single"/>
        </w:rPr>
        <w:t>15</w:t>
      </w:r>
      <w:r>
        <w:rPr>
          <w:rFonts w:cs="Arial"/>
          <w:b/>
          <w:sz w:val="22"/>
          <w:u w:val="single"/>
        </w:rPr>
        <w:t xml:space="preserve"> DE </w:t>
      </w:r>
      <w:r w:rsidR="00361050">
        <w:rPr>
          <w:rFonts w:cs="Arial"/>
          <w:b/>
          <w:sz w:val="22"/>
          <w:u w:val="single"/>
        </w:rPr>
        <w:t>JULIO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w:t>
      </w:r>
      <w:r w:rsidR="00D82432" w:rsidRPr="00D82432">
        <w:rPr>
          <w:rFonts w:cs="Arial"/>
          <w:sz w:val="22"/>
        </w:rPr>
        <w:t xml:space="preserve"> </w:t>
      </w:r>
      <w:r w:rsidR="00D82432">
        <w:rPr>
          <w:rFonts w:cs="Arial"/>
          <w:sz w:val="22"/>
        </w:rPr>
        <w:t xml:space="preserve">Jorge Carranza González, quien se incorpora </w:t>
      </w:r>
      <w:r w:rsidR="00A9283E">
        <w:rPr>
          <w:rFonts w:cs="Arial"/>
          <w:sz w:val="22"/>
        </w:rPr>
        <w:t xml:space="preserve">posteriormente y su asistencia consta en el </w:t>
      </w:r>
      <w:r w:rsidR="00D82432">
        <w:rPr>
          <w:rFonts w:cs="Arial"/>
          <w:sz w:val="22"/>
        </w:rPr>
        <w:t xml:space="preserve">minuto </w:t>
      </w:r>
      <w:r w:rsidR="00A9283E">
        <w:rPr>
          <w:rFonts w:cs="Arial"/>
          <w:sz w:val="22"/>
        </w:rPr>
        <w:t>71:50.</w:t>
      </w:r>
    </w:p>
    <w:p w:rsidR="008E3435" w:rsidRDefault="008E3435"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a.i.</w:t>
      </w:r>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4267A4">
        <w:rPr>
          <w:rFonts w:cs="Arial"/>
          <w:sz w:val="22"/>
        </w:rPr>
        <w:t>Marcela Alvarado Castro</w:t>
      </w:r>
      <w:r>
        <w:rPr>
          <w:rFonts w:cs="Arial"/>
          <w:sz w:val="22"/>
        </w:rPr>
        <w:t xml:space="preserve">, </w:t>
      </w:r>
      <w:r w:rsidR="004267A4">
        <w:rPr>
          <w:rFonts w:cs="Arial"/>
          <w:sz w:val="22"/>
        </w:rPr>
        <w:t xml:space="preserve">funcionaria de la </w:t>
      </w:r>
      <w:r w:rsidR="004267A4" w:rsidRPr="004267A4">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D82432" w:rsidRPr="00D82432">
        <w:rPr>
          <w:rFonts w:cs="Arial"/>
          <w:sz w:val="22"/>
        </w:rPr>
        <w:t xml:space="preserve"> </w:t>
      </w:r>
      <w:r w:rsidR="00D82432">
        <w:rPr>
          <w:rFonts w:cs="Arial"/>
          <w:sz w:val="22"/>
        </w:rPr>
        <w:t>Eloísa Ulibarri Pernús, Directora.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14667E" w:rsidRPr="004D2C73" w:rsidRDefault="0014667E" w:rsidP="004D2C73">
      <w:pPr>
        <w:pStyle w:val="Prrafodelista"/>
        <w:numPr>
          <w:ilvl w:val="0"/>
          <w:numId w:val="20"/>
        </w:numPr>
        <w:spacing w:line="360" w:lineRule="auto"/>
        <w:ind w:left="567" w:hanging="567"/>
        <w:jc w:val="both"/>
        <w:rPr>
          <w:rFonts w:cs="Arial"/>
          <w:sz w:val="22"/>
          <w:lang w:val="es-ES_tradnl"/>
        </w:rPr>
      </w:pPr>
      <w:r w:rsidRPr="004D2C73">
        <w:rPr>
          <w:rFonts w:cs="Arial"/>
          <w:sz w:val="22"/>
          <w:lang w:val="es-ES_tradnl"/>
        </w:rPr>
        <w:t>Lectura y aprobación de</w:t>
      </w:r>
      <w:r w:rsidR="0004528C" w:rsidRPr="004D2C73">
        <w:rPr>
          <w:rFonts w:cs="Arial"/>
          <w:sz w:val="22"/>
          <w:lang w:val="es-ES_tradnl"/>
        </w:rPr>
        <w:t>l</w:t>
      </w:r>
      <w:r w:rsidRPr="004D2C73">
        <w:rPr>
          <w:rFonts w:cs="Arial"/>
          <w:sz w:val="22"/>
          <w:lang w:val="es-ES_tradnl"/>
        </w:rPr>
        <w:t xml:space="preserve"> acta N° 51-2019 del 04/06/2019.</w:t>
      </w:r>
    </w:p>
    <w:p w:rsidR="0014667E" w:rsidRPr="004D2C73" w:rsidRDefault="0014667E" w:rsidP="004D2C73">
      <w:pPr>
        <w:pStyle w:val="Prrafodelista"/>
        <w:numPr>
          <w:ilvl w:val="0"/>
          <w:numId w:val="20"/>
        </w:numPr>
        <w:spacing w:line="360" w:lineRule="auto"/>
        <w:ind w:left="567" w:hanging="567"/>
        <w:jc w:val="both"/>
        <w:rPr>
          <w:rFonts w:cs="Arial"/>
          <w:sz w:val="22"/>
          <w:lang w:val="es-ES_tradnl"/>
        </w:rPr>
      </w:pPr>
      <w:r w:rsidRPr="004D2C73">
        <w:rPr>
          <w:rFonts w:cs="Arial"/>
          <w:sz w:val="22"/>
          <w:lang w:val="es-ES_tradnl"/>
        </w:rPr>
        <w:t>Exposición del CIVCO-TEC sobre el estudio realizado en los proyectos Ivannia y La Flor.</w:t>
      </w:r>
    </w:p>
    <w:p w:rsidR="00C74786" w:rsidRPr="004D2C73" w:rsidRDefault="00C74786" w:rsidP="004D2C73">
      <w:pPr>
        <w:pStyle w:val="Prrafodelista"/>
        <w:numPr>
          <w:ilvl w:val="0"/>
          <w:numId w:val="20"/>
        </w:numPr>
        <w:spacing w:line="360" w:lineRule="auto"/>
        <w:ind w:left="567" w:hanging="567"/>
        <w:jc w:val="both"/>
        <w:rPr>
          <w:rFonts w:cs="Arial"/>
          <w:sz w:val="22"/>
          <w:lang w:val="es-ES_tradnl"/>
        </w:rPr>
      </w:pPr>
      <w:r w:rsidRPr="004D2C73">
        <w:rPr>
          <w:rFonts w:cs="Arial"/>
          <w:sz w:val="22"/>
          <w:lang w:val="es-ES_tradnl"/>
        </w:rPr>
        <w:t>Propuesta de ajuste de las condiciones del Bono Familiar de Vivienda y al Tope de Vivienda de Interés Social, a efectos del “Programa integral de acceso a la vivienda para la</w:t>
      </w:r>
      <w:r w:rsidR="004E327D" w:rsidRPr="004D2C73">
        <w:rPr>
          <w:rFonts w:cs="Arial"/>
          <w:sz w:val="22"/>
          <w:lang w:val="es-ES_tradnl"/>
        </w:rPr>
        <w:t>s familias de ingresos medios”</w:t>
      </w:r>
      <w:r w:rsidR="00121ACD" w:rsidRPr="004D2C73">
        <w:rPr>
          <w:rFonts w:cs="Arial"/>
          <w:sz w:val="22"/>
          <w:lang w:val="es-ES_tradnl"/>
        </w:rPr>
        <w:t>.</w:t>
      </w:r>
    </w:p>
    <w:p w:rsidR="00C74786" w:rsidRPr="004D2C73" w:rsidRDefault="00C74786" w:rsidP="004D2C73">
      <w:pPr>
        <w:pStyle w:val="Prrafodelista"/>
        <w:numPr>
          <w:ilvl w:val="0"/>
          <w:numId w:val="20"/>
        </w:numPr>
        <w:spacing w:line="360" w:lineRule="auto"/>
        <w:ind w:left="567" w:hanging="567"/>
        <w:jc w:val="both"/>
        <w:rPr>
          <w:rFonts w:cs="Arial"/>
          <w:sz w:val="22"/>
          <w:lang w:val="es-ES_tradnl"/>
        </w:rPr>
      </w:pPr>
      <w:r w:rsidRPr="004D2C73">
        <w:rPr>
          <w:rFonts w:cs="Arial"/>
          <w:sz w:val="22"/>
          <w:lang w:val="es-ES_tradnl"/>
        </w:rPr>
        <w:t>Propuesta de reducción de las tasas de interés del crédito otorgado con recursos del FONAVI a efectos del “Programa integral de acceso a la vivienda para las familias de ingresos medios</w:t>
      </w:r>
      <w:r w:rsidR="00121ACD" w:rsidRPr="004D2C73">
        <w:rPr>
          <w:rFonts w:cs="Arial"/>
          <w:sz w:val="22"/>
          <w:lang w:val="es-ES_tradnl"/>
        </w:rPr>
        <w:t>”</w:t>
      </w:r>
      <w:r w:rsidRPr="004D2C73">
        <w:rPr>
          <w:rFonts w:cs="Arial"/>
          <w:sz w:val="22"/>
          <w:lang w:val="es-ES_tradnl"/>
        </w:rPr>
        <w:t>.</w:t>
      </w:r>
    </w:p>
    <w:p w:rsidR="0014667E" w:rsidRPr="004D2C73" w:rsidRDefault="0014667E" w:rsidP="004D2C73">
      <w:pPr>
        <w:pStyle w:val="Prrafodelista"/>
        <w:numPr>
          <w:ilvl w:val="0"/>
          <w:numId w:val="20"/>
        </w:numPr>
        <w:spacing w:line="360" w:lineRule="auto"/>
        <w:ind w:left="567" w:hanging="567"/>
        <w:jc w:val="both"/>
        <w:rPr>
          <w:rFonts w:cs="Arial"/>
          <w:sz w:val="22"/>
          <w:lang w:val="es-ES_tradnl"/>
        </w:rPr>
      </w:pPr>
      <w:r w:rsidRPr="004D2C73">
        <w:rPr>
          <w:rFonts w:cs="Arial"/>
          <w:sz w:val="22"/>
          <w:lang w:val="es-ES_tradnl"/>
        </w:rPr>
        <w:t>Solicitud de aprobación de ocho bonos extraordinarios en el proyecto Santa Rosa de Pocosol</w:t>
      </w:r>
      <w:r w:rsidRPr="004D2C73">
        <w:rPr>
          <w:rFonts w:cs="Arial"/>
          <w:sz w:val="22"/>
        </w:rPr>
        <w:t>.</w:t>
      </w:r>
    </w:p>
    <w:p w:rsidR="0014667E" w:rsidRPr="004D2C73" w:rsidRDefault="0014667E" w:rsidP="004D2C73">
      <w:pPr>
        <w:pStyle w:val="Prrafodelista"/>
        <w:numPr>
          <w:ilvl w:val="0"/>
          <w:numId w:val="20"/>
        </w:numPr>
        <w:spacing w:line="360" w:lineRule="auto"/>
        <w:ind w:left="567" w:hanging="567"/>
        <w:jc w:val="both"/>
        <w:rPr>
          <w:rFonts w:cs="Arial"/>
          <w:sz w:val="22"/>
          <w:lang w:val="es-ES_tradnl"/>
        </w:rPr>
      </w:pPr>
      <w:r w:rsidRPr="004D2C73">
        <w:rPr>
          <w:rFonts w:cs="Arial"/>
          <w:sz w:val="22"/>
          <w:lang w:val="es-ES_tradnl"/>
        </w:rPr>
        <w:lastRenderedPageBreak/>
        <w:t>Solicitud de financiamiento adicional del proyecto Las Brisas II.</w:t>
      </w:r>
    </w:p>
    <w:p w:rsidR="0014667E" w:rsidRPr="004D2C73" w:rsidRDefault="0014667E" w:rsidP="004D2C73">
      <w:pPr>
        <w:pStyle w:val="Prrafodelista"/>
        <w:numPr>
          <w:ilvl w:val="0"/>
          <w:numId w:val="20"/>
        </w:numPr>
        <w:spacing w:line="360" w:lineRule="auto"/>
        <w:ind w:left="567" w:hanging="567"/>
        <w:jc w:val="both"/>
        <w:rPr>
          <w:rFonts w:cs="Arial"/>
          <w:sz w:val="22"/>
          <w:lang w:val="es-ES_tradnl"/>
        </w:rPr>
      </w:pPr>
      <w:r w:rsidRPr="004D2C73">
        <w:rPr>
          <w:rFonts w:cs="Arial"/>
          <w:sz w:val="22"/>
          <w:lang w:val="es-ES_tradnl"/>
        </w:rPr>
        <w:t>Solicitud de financiamiento adicional y ampliación de plazo del contrato de administración de recursos del proyecto Hojancha.</w:t>
      </w:r>
    </w:p>
    <w:p w:rsidR="0014667E" w:rsidRPr="004D2C73" w:rsidRDefault="0014667E" w:rsidP="004D2C73">
      <w:pPr>
        <w:pStyle w:val="Prrafodelista"/>
        <w:numPr>
          <w:ilvl w:val="0"/>
          <w:numId w:val="20"/>
        </w:numPr>
        <w:spacing w:line="360" w:lineRule="auto"/>
        <w:ind w:left="567" w:hanging="567"/>
        <w:jc w:val="both"/>
        <w:rPr>
          <w:rFonts w:cs="Arial"/>
          <w:sz w:val="22"/>
          <w:lang w:val="es-ES_tradnl"/>
        </w:rPr>
      </w:pPr>
      <w:r w:rsidRPr="004D2C73">
        <w:rPr>
          <w:rFonts w:cs="Arial"/>
          <w:sz w:val="22"/>
          <w:lang w:val="es-ES_tradnl"/>
        </w:rPr>
        <w:t>Solicitud de reajuste de precios del proyecto El Rodeo.</w:t>
      </w:r>
    </w:p>
    <w:p w:rsidR="0014667E" w:rsidRPr="004D2C73" w:rsidRDefault="0014667E" w:rsidP="004D2C73">
      <w:pPr>
        <w:pStyle w:val="Prrafodelista"/>
        <w:numPr>
          <w:ilvl w:val="0"/>
          <w:numId w:val="20"/>
        </w:numPr>
        <w:spacing w:line="360" w:lineRule="auto"/>
        <w:ind w:left="567" w:hanging="567"/>
        <w:jc w:val="both"/>
        <w:rPr>
          <w:rFonts w:cs="Arial"/>
          <w:sz w:val="22"/>
          <w:lang w:val="es-ES_tradnl"/>
        </w:rPr>
      </w:pPr>
      <w:r w:rsidRPr="004D2C73">
        <w:rPr>
          <w:rFonts w:cs="Arial"/>
          <w:sz w:val="22"/>
          <w:lang w:val="es-ES_tradnl"/>
        </w:rPr>
        <w:t>Solicitud de ampliación del plazo del contrato de administración de recursos del proyecto Cartagena.</w:t>
      </w:r>
    </w:p>
    <w:p w:rsidR="0014667E" w:rsidRPr="004D2C73" w:rsidRDefault="0014667E" w:rsidP="004D2C73">
      <w:pPr>
        <w:pStyle w:val="Prrafodelista"/>
        <w:numPr>
          <w:ilvl w:val="0"/>
          <w:numId w:val="20"/>
        </w:numPr>
        <w:spacing w:line="360" w:lineRule="auto"/>
        <w:ind w:left="567" w:hanging="567"/>
        <w:jc w:val="both"/>
        <w:rPr>
          <w:rFonts w:cs="Arial"/>
          <w:sz w:val="22"/>
          <w:lang w:val="es-ES_tradnl"/>
        </w:rPr>
      </w:pPr>
      <w:r w:rsidRPr="004D2C73">
        <w:rPr>
          <w:rFonts w:cs="Arial"/>
          <w:sz w:val="22"/>
          <w:lang w:val="es-ES_tradnl"/>
        </w:rPr>
        <w:t>Solicitud de aprobación de 17 bonos extraordinarios individuales.</w:t>
      </w:r>
    </w:p>
    <w:p w:rsidR="007B52E1" w:rsidRPr="004D2C73" w:rsidRDefault="009412AB" w:rsidP="004D2C73">
      <w:pPr>
        <w:pStyle w:val="Prrafodelista"/>
        <w:numPr>
          <w:ilvl w:val="0"/>
          <w:numId w:val="20"/>
        </w:numPr>
        <w:spacing w:line="360" w:lineRule="auto"/>
        <w:ind w:left="567" w:hanging="567"/>
        <w:jc w:val="both"/>
        <w:rPr>
          <w:rFonts w:cs="Arial"/>
          <w:sz w:val="22"/>
        </w:rPr>
      </w:pPr>
      <w:r w:rsidRPr="004D2C73">
        <w:rPr>
          <w:rFonts w:cs="Arial"/>
          <w:sz w:val="22"/>
        </w:rPr>
        <w:t xml:space="preserve">Solicitud con respecto </w:t>
      </w:r>
      <w:r w:rsidR="007B52E1" w:rsidRPr="004D2C73">
        <w:rPr>
          <w:rFonts w:cs="Arial"/>
          <w:sz w:val="22"/>
        </w:rPr>
        <w:t>a los temas de la acometida eléctrica y las garantías de las operaciones de Bono.</w:t>
      </w:r>
    </w:p>
    <w:p w:rsidR="007749FC" w:rsidRPr="004D2C73" w:rsidRDefault="007B52E1" w:rsidP="004D2C73">
      <w:pPr>
        <w:pStyle w:val="Prrafodelista"/>
        <w:numPr>
          <w:ilvl w:val="0"/>
          <w:numId w:val="20"/>
        </w:numPr>
        <w:spacing w:line="360" w:lineRule="auto"/>
        <w:ind w:left="567" w:hanging="567"/>
        <w:jc w:val="both"/>
        <w:rPr>
          <w:rFonts w:cs="Arial"/>
          <w:sz w:val="22"/>
          <w:lang w:val="es-CR"/>
        </w:rPr>
      </w:pPr>
      <w:r w:rsidRPr="004D2C73">
        <w:rPr>
          <w:rFonts w:cs="Arial"/>
          <w:sz w:val="22"/>
        </w:rPr>
        <w:t xml:space="preserve">Consultas sobre el desembolso de los bonos de vivienda y la aplicación de la norma </w:t>
      </w:r>
      <w:r w:rsidRPr="004D2C73">
        <w:rPr>
          <w:rFonts w:cs="Arial"/>
          <w:sz w:val="22"/>
          <w:lang w:val="es-CR"/>
        </w:rPr>
        <w:t>INTECO sobre elementos prefabricados para sistemas de baldosas horizontales.</w:t>
      </w:r>
    </w:p>
    <w:p w:rsidR="007B52E1" w:rsidRPr="004D2C73" w:rsidRDefault="007B52E1" w:rsidP="004D2C73">
      <w:pPr>
        <w:pStyle w:val="Prrafodelista"/>
        <w:numPr>
          <w:ilvl w:val="0"/>
          <w:numId w:val="20"/>
        </w:numPr>
        <w:spacing w:line="360" w:lineRule="auto"/>
        <w:ind w:left="567" w:hanging="567"/>
        <w:jc w:val="both"/>
        <w:rPr>
          <w:rFonts w:cs="Arial"/>
          <w:sz w:val="22"/>
          <w:lang w:val="es-CR"/>
        </w:rPr>
      </w:pPr>
      <w:r w:rsidRPr="004D2C73">
        <w:rPr>
          <w:rFonts w:cs="Arial"/>
          <w:sz w:val="22"/>
          <w:lang w:val="es-CR"/>
        </w:rPr>
        <w:t xml:space="preserve">Consulta sobre el proceso de nombramiento del asesor jurídico para la </w:t>
      </w:r>
      <w:r w:rsidRPr="004D2C73">
        <w:rPr>
          <w:rFonts w:cs="Arial"/>
          <w:sz w:val="22"/>
          <w:szCs w:val="22"/>
          <w:lang w:val="es-CR"/>
        </w:rPr>
        <w:t>Junta Directiva.</w:t>
      </w:r>
    </w:p>
    <w:p w:rsidR="007B52E1" w:rsidRPr="004D2C73" w:rsidRDefault="007B52E1" w:rsidP="004D2C73">
      <w:pPr>
        <w:pStyle w:val="Prrafodelista"/>
        <w:numPr>
          <w:ilvl w:val="0"/>
          <w:numId w:val="20"/>
        </w:numPr>
        <w:spacing w:line="360" w:lineRule="auto"/>
        <w:ind w:left="567" w:hanging="567"/>
        <w:jc w:val="both"/>
        <w:rPr>
          <w:rFonts w:cs="Arial"/>
          <w:sz w:val="22"/>
          <w:lang w:val="es-CR"/>
        </w:rPr>
      </w:pPr>
      <w:r w:rsidRPr="004D2C73">
        <w:rPr>
          <w:rFonts w:cs="Arial"/>
          <w:sz w:val="22"/>
          <w:lang w:val="es-CR"/>
        </w:rPr>
        <w:t>Solicitud de información sobre la situación del proyecto Vistas del Miravalles.</w:t>
      </w:r>
    </w:p>
    <w:p w:rsidR="007B52E1" w:rsidRPr="004D2C73" w:rsidRDefault="007B52E1" w:rsidP="004D2C73">
      <w:pPr>
        <w:pStyle w:val="Prrafodelista"/>
        <w:numPr>
          <w:ilvl w:val="0"/>
          <w:numId w:val="20"/>
        </w:numPr>
        <w:spacing w:line="360" w:lineRule="auto"/>
        <w:ind w:left="567" w:hanging="567"/>
        <w:jc w:val="both"/>
        <w:rPr>
          <w:rFonts w:cs="Arial"/>
          <w:sz w:val="22"/>
          <w:lang w:val="es-CR"/>
        </w:rPr>
      </w:pPr>
      <w:r w:rsidRPr="004D2C73">
        <w:rPr>
          <w:rFonts w:cs="Arial"/>
          <w:sz w:val="22"/>
          <w:lang w:val="es-CR"/>
        </w:rPr>
        <w:t>Propuesta con respecto a las redes sociales del BANHVI.</w:t>
      </w:r>
    </w:p>
    <w:p w:rsidR="007B52E1" w:rsidRPr="004D2C73" w:rsidRDefault="007B52E1" w:rsidP="004D2C73">
      <w:pPr>
        <w:pStyle w:val="Prrafodelista"/>
        <w:numPr>
          <w:ilvl w:val="0"/>
          <w:numId w:val="20"/>
        </w:numPr>
        <w:spacing w:line="360" w:lineRule="auto"/>
        <w:ind w:left="567" w:hanging="567"/>
        <w:jc w:val="both"/>
        <w:rPr>
          <w:rFonts w:cs="Arial"/>
          <w:sz w:val="22"/>
        </w:rPr>
      </w:pPr>
      <w:r w:rsidRPr="004D2C73">
        <w:rPr>
          <w:rFonts w:cs="Arial"/>
          <w:sz w:val="22"/>
          <w:lang w:val="es-CR"/>
        </w:rPr>
        <w:t xml:space="preserve">Comentarios sobre el </w:t>
      </w:r>
      <w:r w:rsidR="00992746" w:rsidRPr="004D2C73">
        <w:rPr>
          <w:rFonts w:cs="Arial"/>
          <w:sz w:val="22"/>
        </w:rPr>
        <w:t>programa de "Riesgos financieros y operativos para miembros de juntas directivas y comités de riesgos (PJD)".</w:t>
      </w:r>
    </w:p>
    <w:p w:rsidR="00992746" w:rsidRPr="004D2C73" w:rsidRDefault="00992746" w:rsidP="004D2C73">
      <w:pPr>
        <w:pStyle w:val="Prrafodelista"/>
        <w:numPr>
          <w:ilvl w:val="0"/>
          <w:numId w:val="20"/>
        </w:numPr>
        <w:spacing w:line="360" w:lineRule="auto"/>
        <w:ind w:left="567" w:hanging="567"/>
        <w:jc w:val="both"/>
        <w:rPr>
          <w:rFonts w:cs="Arial"/>
          <w:sz w:val="22"/>
        </w:rPr>
      </w:pPr>
      <w:r w:rsidRPr="004D2C73">
        <w:rPr>
          <w:rFonts w:cs="Arial"/>
          <w:sz w:val="22"/>
        </w:rPr>
        <w:t>Información sobre demanda del Colegio de Profesionales en Ciencias Económicas, con respecto al nombramiento del Gerente General.</w:t>
      </w:r>
    </w:p>
    <w:p w:rsidR="00992746" w:rsidRPr="004D2C73" w:rsidRDefault="00992746" w:rsidP="004D2C73">
      <w:pPr>
        <w:pStyle w:val="Prrafodelista"/>
        <w:numPr>
          <w:ilvl w:val="0"/>
          <w:numId w:val="20"/>
        </w:numPr>
        <w:spacing w:line="360" w:lineRule="auto"/>
        <w:ind w:left="567" w:hanging="567"/>
        <w:jc w:val="both"/>
        <w:rPr>
          <w:rFonts w:cs="Arial"/>
          <w:sz w:val="22"/>
          <w:lang w:val="es-ES_tradnl"/>
        </w:rPr>
      </w:pPr>
      <w:r w:rsidRPr="004D2C73">
        <w:rPr>
          <w:rFonts w:cs="Arial"/>
          <w:sz w:val="22"/>
        </w:rPr>
        <w:t xml:space="preserve">Informe sobre entrega de datos complementarios al estudio de la Auditoría Interna, referido a la </w:t>
      </w:r>
      <w:r w:rsidRPr="004D2C73">
        <w:rPr>
          <w:rFonts w:cs="Arial"/>
          <w:sz w:val="22"/>
          <w:lang w:val="es-ES_tradnl"/>
        </w:rPr>
        <w:t>ejecución presupuestaria de los recursos comprometidos FOSUVI, periodo 2018.</w:t>
      </w:r>
    </w:p>
    <w:p w:rsidR="007749FC" w:rsidRPr="004D2C73" w:rsidRDefault="00C33D63" w:rsidP="004D2C73">
      <w:pPr>
        <w:pStyle w:val="Prrafodelista"/>
        <w:numPr>
          <w:ilvl w:val="0"/>
          <w:numId w:val="20"/>
        </w:numPr>
        <w:spacing w:line="360" w:lineRule="auto"/>
        <w:ind w:left="567" w:hanging="567"/>
        <w:jc w:val="both"/>
        <w:rPr>
          <w:rFonts w:cs="Arial"/>
          <w:sz w:val="22"/>
          <w:szCs w:val="22"/>
        </w:rPr>
      </w:pPr>
      <w:r w:rsidRPr="004D2C73">
        <w:rPr>
          <w:rFonts w:cs="Arial"/>
          <w:sz w:val="22"/>
        </w:rPr>
        <w:t xml:space="preserve">Dictamen de la </w:t>
      </w:r>
      <w:r w:rsidRPr="004D2C73">
        <w:rPr>
          <w:rFonts w:cs="Arial"/>
          <w:sz w:val="22"/>
          <w:szCs w:val="22"/>
        </w:rPr>
        <w:t>Asesoría Legal, con respecto a las competencias de la Junta Directiva.</w:t>
      </w:r>
    </w:p>
    <w:p w:rsidR="00C33D63" w:rsidRPr="004D2C73" w:rsidRDefault="00C33D63" w:rsidP="004D2C73">
      <w:pPr>
        <w:pStyle w:val="Prrafodelista"/>
        <w:numPr>
          <w:ilvl w:val="0"/>
          <w:numId w:val="20"/>
        </w:numPr>
        <w:spacing w:line="360" w:lineRule="auto"/>
        <w:ind w:left="567" w:hanging="567"/>
        <w:jc w:val="both"/>
        <w:rPr>
          <w:rFonts w:cs="Arial"/>
          <w:sz w:val="22"/>
        </w:rPr>
      </w:pPr>
      <w:r w:rsidRPr="004D2C73">
        <w:rPr>
          <w:rFonts w:cs="Arial"/>
          <w:sz w:val="22"/>
          <w:szCs w:val="22"/>
        </w:rPr>
        <w:t xml:space="preserve">Copia de oficio remitido por el Comité Pro-Ayuda Comunitaria de Llanos de Santa Lucía, solicitando colaboración para </w:t>
      </w:r>
      <w:r w:rsidRPr="004D2C73">
        <w:rPr>
          <w:rFonts w:cs="Arial"/>
          <w:sz w:val="22"/>
          <w:szCs w:val="22"/>
          <w:lang w:val="es-CR"/>
        </w:rPr>
        <w:t>formalizar nueve casos de bono pendientes en el sector Mi Casa del proyecto Llanos de Santa Lucía.</w:t>
      </w:r>
    </w:p>
    <w:p w:rsidR="007749FC" w:rsidRPr="004D2C73" w:rsidRDefault="00C33D63" w:rsidP="004D2C73">
      <w:pPr>
        <w:pStyle w:val="Prrafodelista"/>
        <w:numPr>
          <w:ilvl w:val="0"/>
          <w:numId w:val="20"/>
        </w:numPr>
        <w:spacing w:line="360" w:lineRule="auto"/>
        <w:ind w:left="567" w:hanging="567"/>
        <w:jc w:val="both"/>
        <w:rPr>
          <w:rFonts w:cs="Arial"/>
          <w:sz w:val="22"/>
        </w:rPr>
      </w:pPr>
      <w:r w:rsidRPr="004D2C73">
        <w:rPr>
          <w:rFonts w:cs="Arial"/>
          <w:sz w:val="22"/>
        </w:rPr>
        <w:t xml:space="preserve">Oficio de la </w:t>
      </w:r>
      <w:r w:rsidRPr="004D2C73">
        <w:rPr>
          <w:rFonts w:cs="Arial"/>
          <w:sz w:val="22"/>
          <w:szCs w:val="22"/>
        </w:rPr>
        <w:t xml:space="preserve">Gerencia General, remitiendo información sobre el </w:t>
      </w:r>
      <w:r w:rsidRPr="004D2C73">
        <w:rPr>
          <w:rFonts w:cs="Arial"/>
          <w:sz w:val="22"/>
          <w:szCs w:val="22"/>
          <w:lang w:val="es-CR"/>
        </w:rPr>
        <w:t>cumplimiento del cronograma de informes para Junta Directiva, del Sistema de Información Gerencial.</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483C65" w:rsidRPr="00483C65">
        <w:rPr>
          <w:rFonts w:cs="Arial"/>
          <w:b/>
          <w:sz w:val="22"/>
          <w:u w:val="single"/>
          <w:lang w:val="es-ES_tradnl"/>
        </w:rPr>
        <w:t>Lectura y aprobación del acta N° 51-2019 del 04/06/2019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Minuto 0</w:t>
      </w:r>
      <w:r>
        <w:rPr>
          <w:rFonts w:cs="Arial"/>
          <w:sz w:val="22"/>
          <w:u w:val="single"/>
          <w:lang w:val="es-ES_tradnl"/>
        </w:rPr>
        <w:t>0</w:t>
      </w:r>
      <w:r w:rsidR="006D3C9E">
        <w:rPr>
          <w:rFonts w:cs="Arial"/>
          <w:sz w:val="22"/>
          <w:u w:val="single"/>
          <w:lang w:val="es-ES_tradnl"/>
        </w:rPr>
        <w:t>:46</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F41073">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6D3C9E">
        <w:rPr>
          <w:rFonts w:cs="Arial"/>
          <w:sz w:val="22"/>
          <w:lang w:val="es-ES_tradnl"/>
        </w:rPr>
        <w:t>extra</w:t>
      </w:r>
      <w:r>
        <w:rPr>
          <w:rFonts w:cs="Arial"/>
          <w:sz w:val="22"/>
          <w:lang w:val="es-ES_tradnl"/>
        </w:rPr>
        <w:t xml:space="preserve">ordinaria N° </w:t>
      </w:r>
      <w:r w:rsidR="006D3C9E">
        <w:rPr>
          <w:rFonts w:cs="Arial"/>
          <w:sz w:val="22"/>
          <w:lang w:val="es-ES_tradnl"/>
        </w:rPr>
        <w:t>51</w:t>
      </w:r>
      <w:r>
        <w:rPr>
          <w:rFonts w:cs="Arial"/>
          <w:sz w:val="22"/>
          <w:lang w:val="es-ES_tradnl"/>
        </w:rPr>
        <w:t>-201</w:t>
      </w:r>
      <w:r w:rsidR="00F41073">
        <w:rPr>
          <w:rFonts w:cs="Arial"/>
          <w:sz w:val="22"/>
          <w:lang w:val="es-ES_tradnl"/>
        </w:rPr>
        <w:t>9</w:t>
      </w:r>
      <w:r>
        <w:rPr>
          <w:rFonts w:cs="Arial"/>
          <w:sz w:val="22"/>
          <w:lang w:val="es-ES_tradnl"/>
        </w:rPr>
        <w:t xml:space="preserve">, celebrada el </w:t>
      </w:r>
      <w:r w:rsidR="006D3C9E">
        <w:rPr>
          <w:rFonts w:cs="Arial"/>
          <w:sz w:val="22"/>
          <w:lang w:val="es-ES_tradnl"/>
        </w:rPr>
        <w:t>04</w:t>
      </w:r>
      <w:r>
        <w:rPr>
          <w:rFonts w:cs="Arial"/>
          <w:sz w:val="22"/>
          <w:lang w:val="es-ES_tradnl"/>
        </w:rPr>
        <w:t xml:space="preserve"> de </w:t>
      </w:r>
      <w:r w:rsidR="006D3C9E">
        <w:rPr>
          <w:rFonts w:cs="Arial"/>
          <w:sz w:val="22"/>
          <w:lang w:val="es-ES_tradnl"/>
        </w:rPr>
        <w:t>julio</w:t>
      </w:r>
      <w:r>
        <w:rPr>
          <w:rFonts w:cs="Arial"/>
          <w:sz w:val="22"/>
          <w:lang w:val="es-ES_tradnl"/>
        </w:rPr>
        <w:t xml:space="preserve"> de 201</w:t>
      </w:r>
      <w:r w:rsidR="00F41073">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D3C9E">
        <w:rPr>
          <w:rFonts w:cs="Arial"/>
          <w:sz w:val="22"/>
          <w:u w:val="single"/>
          <w:lang w:val="es-ES_tradnl"/>
        </w:rPr>
        <w:t>01</w:t>
      </w:r>
      <w:r w:rsidRPr="00A25DB7">
        <w:rPr>
          <w:rFonts w:cs="Arial"/>
          <w:sz w:val="22"/>
          <w:u w:val="single"/>
          <w:lang w:val="es-ES_tradnl"/>
        </w:rPr>
        <w:t>:</w:t>
      </w:r>
      <w:r w:rsidR="006D3C9E">
        <w:rPr>
          <w:rFonts w:cs="Arial"/>
          <w:sz w:val="22"/>
          <w:u w:val="single"/>
          <w:lang w:val="es-ES_tradnl"/>
        </w:rPr>
        <w:t>30</w:t>
      </w:r>
      <w:r>
        <w:rPr>
          <w:rFonts w:cs="Arial"/>
          <w:sz w:val="22"/>
          <w:lang w:val="es-ES_tradnl"/>
        </w:rPr>
        <w:t xml:space="preserve"> </w:t>
      </w:r>
      <w:r w:rsidR="006D3C9E">
        <w:rPr>
          <w:rFonts w:cs="Arial"/>
          <w:sz w:val="22"/>
          <w:lang w:val="es-ES_tradnl"/>
        </w:rPr>
        <w:t xml:space="preserve">No habiendo </w:t>
      </w:r>
      <w:r>
        <w:rPr>
          <w:rFonts w:cs="Arial"/>
          <w:sz w:val="22"/>
          <w:lang w:val="es-ES_tradnl"/>
        </w:rPr>
        <w:t>enmiendas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483C65" w:rsidRPr="00483C65">
        <w:rPr>
          <w:rFonts w:cs="Arial"/>
          <w:b/>
          <w:sz w:val="22"/>
          <w:u w:val="single"/>
          <w:lang w:val="es-ES_tradnl"/>
        </w:rPr>
        <w:t>Exposición del CIVCO-TEC sobre el estudio realizado en los proyectos Ivannia y La Flor</w:t>
      </w:r>
    </w:p>
    <w:p w:rsidR="009D03FE" w:rsidRDefault="009D03FE" w:rsidP="009D03FE">
      <w:pPr>
        <w:spacing w:line="360" w:lineRule="auto"/>
        <w:jc w:val="both"/>
        <w:rPr>
          <w:rFonts w:cs="Arial"/>
          <w:sz w:val="22"/>
          <w:szCs w:val="22"/>
        </w:rPr>
      </w:pPr>
    </w:p>
    <w:p w:rsidR="0058266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525EB">
        <w:rPr>
          <w:rFonts w:cs="Arial"/>
          <w:sz w:val="22"/>
          <w:u w:val="single"/>
          <w:lang w:val="es-ES_tradnl"/>
        </w:rPr>
        <w:t>01</w:t>
      </w:r>
      <w:r w:rsidRPr="0039311E">
        <w:rPr>
          <w:rFonts w:cs="Arial"/>
          <w:sz w:val="22"/>
          <w:u w:val="single"/>
          <w:lang w:val="es-ES_tradnl"/>
        </w:rPr>
        <w:t>:</w:t>
      </w:r>
      <w:r w:rsidR="003525EB">
        <w:rPr>
          <w:rFonts w:cs="Arial"/>
          <w:sz w:val="22"/>
          <w:u w:val="single"/>
          <w:lang w:val="es-ES_tradnl"/>
        </w:rPr>
        <w:t>44</w:t>
      </w:r>
      <w:r>
        <w:rPr>
          <w:rFonts w:cs="Arial"/>
          <w:sz w:val="22"/>
          <w:lang w:val="es-ES_tradnl"/>
        </w:rPr>
        <w:t xml:space="preserve"> </w:t>
      </w:r>
      <w:r w:rsidR="003525EB">
        <w:rPr>
          <w:rFonts w:cs="Arial"/>
          <w:sz w:val="22"/>
          <w:lang w:val="es-ES_tradnl"/>
        </w:rPr>
        <w:t xml:space="preserve">De conformidad con lo </w:t>
      </w:r>
      <w:r w:rsidR="0058266E">
        <w:rPr>
          <w:rFonts w:cs="Arial"/>
          <w:sz w:val="22"/>
          <w:lang w:val="es-ES_tradnl"/>
        </w:rPr>
        <w:t xml:space="preserve">indicado en la sesión 44-2019 del 10 de junio de 2019 y según lo dispuesto en </w:t>
      </w:r>
      <w:r w:rsidR="003525EB">
        <w:rPr>
          <w:rFonts w:cs="Arial"/>
          <w:sz w:val="22"/>
          <w:lang w:val="es-ES_tradnl"/>
        </w:rPr>
        <w:t xml:space="preserve">el acuerdo N° </w:t>
      </w:r>
      <w:r w:rsidR="0058266E">
        <w:rPr>
          <w:rFonts w:cs="Arial"/>
          <w:sz w:val="22"/>
          <w:lang w:val="es-ES_tradnl"/>
        </w:rPr>
        <w:t>12 de la sesión 50-2019 del pasado 1° de julio, se procede a conocer el oficio GG-ME-0563-2019 del 28 de mayo de 2019, mediante el cual, la Gerencia General somete a la consideración de este Órgano Colegiado, los informes del Banco de Costa Rica y del Centro de Investigaci</w:t>
      </w:r>
      <w:r w:rsidR="00CF0D81">
        <w:rPr>
          <w:rFonts w:cs="Arial"/>
          <w:sz w:val="22"/>
          <w:lang w:val="es-ES_tradnl"/>
        </w:rPr>
        <w:t>ones</w:t>
      </w:r>
      <w:r w:rsidR="0058266E">
        <w:rPr>
          <w:rFonts w:cs="Arial"/>
          <w:sz w:val="22"/>
          <w:lang w:val="es-ES_tradnl"/>
        </w:rPr>
        <w:t xml:space="preserve"> en Vivienda y Construcción (CIVCO</w:t>
      </w:r>
      <w:r w:rsidR="00CF0D81">
        <w:rPr>
          <w:rFonts w:cs="Arial"/>
          <w:sz w:val="22"/>
          <w:lang w:val="es-ES_tradnl"/>
        </w:rPr>
        <w:t>-TEC</w:t>
      </w:r>
      <w:r w:rsidR="0058266E">
        <w:rPr>
          <w:rFonts w:cs="Arial"/>
          <w:sz w:val="22"/>
          <w:lang w:val="es-ES_tradnl"/>
        </w:rPr>
        <w:t xml:space="preserve">), sobre </w:t>
      </w:r>
      <w:r w:rsidR="003D66EA">
        <w:rPr>
          <w:rFonts w:cs="Arial"/>
          <w:sz w:val="22"/>
          <w:lang w:val="es-ES_tradnl"/>
        </w:rPr>
        <w:t xml:space="preserve">el </w:t>
      </w:r>
      <w:r w:rsidR="0058266E">
        <w:rPr>
          <w:rFonts w:cs="Arial"/>
          <w:sz w:val="22"/>
          <w:lang w:val="es-ES_tradnl"/>
        </w:rPr>
        <w:t>estudio realizado en los proyectos Ivannia y La Flor</w:t>
      </w:r>
      <w:r w:rsidR="003D66EA">
        <w:rPr>
          <w:rFonts w:cs="Arial"/>
          <w:sz w:val="22"/>
          <w:lang w:val="es-ES_tradnl"/>
        </w:rPr>
        <w:t>, denominado “Diagnóstico y propuestas de solución a problemas en proyectos habitacionales La Flor e Ivannia”</w:t>
      </w:r>
      <w:r w:rsidR="00CF0D81">
        <w:rPr>
          <w:rFonts w:cs="Arial"/>
          <w:sz w:val="22"/>
          <w:lang w:val="es-ES_tradnl"/>
        </w:rPr>
        <w:t>.  Dichos documentos se adjuntan al expediente del acta.</w:t>
      </w:r>
    </w:p>
    <w:p w:rsidR="00CF0D81" w:rsidRDefault="00CF0D81" w:rsidP="009D03FE">
      <w:pPr>
        <w:spacing w:line="360" w:lineRule="auto"/>
        <w:jc w:val="both"/>
        <w:rPr>
          <w:rFonts w:cs="Arial"/>
          <w:sz w:val="22"/>
          <w:lang w:val="es-ES_tradnl"/>
        </w:rPr>
      </w:pPr>
    </w:p>
    <w:p w:rsidR="00E967ED" w:rsidRDefault="00CF0D81" w:rsidP="00E967ED">
      <w:pPr>
        <w:spacing w:line="360" w:lineRule="auto"/>
        <w:jc w:val="both"/>
        <w:rPr>
          <w:rFonts w:cs="Arial"/>
          <w:sz w:val="22"/>
          <w:lang w:val="es-ES_tradnl"/>
        </w:rPr>
      </w:pPr>
      <w:r>
        <w:rPr>
          <w:rFonts w:cs="Arial"/>
          <w:sz w:val="22"/>
          <w:lang w:val="es-ES_tradnl"/>
        </w:rPr>
        <w:t>Para exponer el contenido de dichos informes, se incorporan a la sesión</w:t>
      </w:r>
      <w:r w:rsidR="00E967ED">
        <w:rPr>
          <w:rFonts w:cs="Arial"/>
          <w:sz w:val="22"/>
          <w:lang w:val="es-ES_tradnl"/>
        </w:rPr>
        <w:t xml:space="preserve"> las siguientes personas: </w:t>
      </w:r>
      <w:r w:rsidR="00E967ED" w:rsidRPr="00253664">
        <w:rPr>
          <w:rFonts w:cs="Arial"/>
          <w:iCs/>
          <w:sz w:val="22"/>
        </w:rPr>
        <w:t>Alfredo Chavarría Torres</w:t>
      </w:r>
      <w:r w:rsidR="00E967ED">
        <w:rPr>
          <w:rFonts w:cs="Arial"/>
          <w:iCs/>
          <w:sz w:val="22"/>
        </w:rPr>
        <w:t xml:space="preserve">, Gerente del Área de Ingeniería y Valuación del Banco de Costa Rica; </w:t>
      </w:r>
      <w:r w:rsidR="00E967ED" w:rsidRPr="00253664">
        <w:rPr>
          <w:rFonts w:cs="Arial"/>
          <w:iCs/>
          <w:sz w:val="22"/>
        </w:rPr>
        <w:t>Tamara Becerra Cotti</w:t>
      </w:r>
      <w:r w:rsidR="00E967ED">
        <w:rPr>
          <w:rFonts w:cs="Arial"/>
          <w:iCs/>
          <w:sz w:val="22"/>
        </w:rPr>
        <w:t xml:space="preserve">, </w:t>
      </w:r>
      <w:r w:rsidR="00CE0936">
        <w:rPr>
          <w:rFonts w:cs="Arial"/>
          <w:iCs/>
          <w:sz w:val="22"/>
        </w:rPr>
        <w:t>j</w:t>
      </w:r>
      <w:r w:rsidR="00E967ED">
        <w:rPr>
          <w:rFonts w:cs="Arial"/>
          <w:iCs/>
          <w:sz w:val="22"/>
        </w:rPr>
        <w:t>efa de Ingeniería y Valuación del Banco de Costa Rica</w:t>
      </w:r>
      <w:r w:rsidR="00CE0936">
        <w:rPr>
          <w:rFonts w:cs="Arial"/>
          <w:iCs/>
          <w:sz w:val="22"/>
        </w:rPr>
        <w:t xml:space="preserve"> (BCR)</w:t>
      </w:r>
      <w:r w:rsidR="00E967ED">
        <w:rPr>
          <w:rFonts w:cs="Arial"/>
          <w:iCs/>
          <w:sz w:val="22"/>
        </w:rPr>
        <w:t xml:space="preserve">; </w:t>
      </w:r>
      <w:r w:rsidR="00CE0936">
        <w:rPr>
          <w:rFonts w:cs="Arial"/>
          <w:iCs/>
          <w:sz w:val="22"/>
        </w:rPr>
        <w:t>Sonia Vargas Calderón, Israel Monge Leiva y</w:t>
      </w:r>
      <w:r w:rsidR="00BD75B9">
        <w:rPr>
          <w:rFonts w:cs="Arial"/>
          <w:iCs/>
          <w:sz w:val="22"/>
        </w:rPr>
        <w:t xml:space="preserve"> Gian</w:t>
      </w:r>
      <w:r w:rsidR="00885006">
        <w:rPr>
          <w:rFonts w:cs="Arial"/>
          <w:iCs/>
          <w:sz w:val="22"/>
        </w:rPr>
        <w:t>n</w:t>
      </w:r>
      <w:r w:rsidR="00BD75B9">
        <w:rPr>
          <w:rFonts w:cs="Arial"/>
          <w:iCs/>
          <w:sz w:val="22"/>
        </w:rPr>
        <w:t>ina Ortiz Quesada</w:t>
      </w:r>
      <w:r w:rsidR="00CE0936">
        <w:rPr>
          <w:rFonts w:cs="Arial"/>
          <w:iCs/>
          <w:sz w:val="22"/>
        </w:rPr>
        <w:t xml:space="preserve">, representantes </w:t>
      </w:r>
      <w:r w:rsidR="00E967ED">
        <w:rPr>
          <w:rFonts w:cs="Arial"/>
          <w:iCs/>
          <w:sz w:val="22"/>
        </w:rPr>
        <w:t>del CIV</w:t>
      </w:r>
      <w:r w:rsidR="003D66EA">
        <w:rPr>
          <w:rFonts w:cs="Arial"/>
          <w:iCs/>
          <w:sz w:val="22"/>
        </w:rPr>
        <w:t>C</w:t>
      </w:r>
      <w:r w:rsidR="00E967ED">
        <w:rPr>
          <w:rFonts w:cs="Arial"/>
          <w:iCs/>
          <w:sz w:val="22"/>
        </w:rPr>
        <w:t xml:space="preserve">O; Martha Camacho Murillo, Directora del FOSUVI; Mariela </w:t>
      </w:r>
      <w:r w:rsidR="008B3713">
        <w:rPr>
          <w:rFonts w:cs="Arial"/>
          <w:iCs/>
          <w:sz w:val="22"/>
        </w:rPr>
        <w:t>Salas Rodríguez, jefa a.i. del Departamento Técnico; y Franco Mendoza Alfaro, asistente de la Dirección FOSUVI.</w:t>
      </w:r>
      <w:r w:rsidR="00E967ED">
        <w:rPr>
          <w:rFonts w:cs="Arial"/>
          <w:iCs/>
          <w:sz w:val="22"/>
        </w:rPr>
        <w:t xml:space="preserve"> </w:t>
      </w:r>
    </w:p>
    <w:p w:rsidR="00CF0D81" w:rsidRDefault="00CF0D81" w:rsidP="009D03FE">
      <w:pPr>
        <w:spacing w:line="360" w:lineRule="auto"/>
        <w:jc w:val="both"/>
        <w:rPr>
          <w:rFonts w:cs="Arial"/>
          <w:sz w:val="22"/>
          <w:lang w:val="es-ES_tradnl"/>
        </w:rPr>
      </w:pPr>
    </w:p>
    <w:p w:rsidR="0058266E" w:rsidRDefault="008B3713" w:rsidP="009D03FE">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0</w:t>
      </w:r>
      <w:r w:rsidR="003D66EA">
        <w:rPr>
          <w:rFonts w:cs="Arial"/>
          <w:sz w:val="22"/>
          <w:u w:val="single"/>
          <w:lang w:val="es-ES_tradnl"/>
        </w:rPr>
        <w:t>7</w:t>
      </w:r>
      <w:r w:rsidRPr="0039311E">
        <w:rPr>
          <w:rFonts w:cs="Arial"/>
          <w:sz w:val="22"/>
          <w:u w:val="single"/>
          <w:lang w:val="es-ES_tradnl"/>
        </w:rPr>
        <w:t>:</w:t>
      </w:r>
      <w:r w:rsidR="003D66EA">
        <w:rPr>
          <w:rFonts w:cs="Arial"/>
          <w:sz w:val="22"/>
          <w:u w:val="single"/>
          <w:lang w:val="es-ES_tradnl"/>
        </w:rPr>
        <w:t>10</w:t>
      </w:r>
      <w:r>
        <w:rPr>
          <w:rFonts w:cs="Arial"/>
          <w:sz w:val="22"/>
          <w:lang w:val="es-ES_tradnl"/>
        </w:rPr>
        <w:t xml:space="preserve"> </w:t>
      </w:r>
      <w:r w:rsidR="00CE0936">
        <w:rPr>
          <w:rFonts w:cs="Arial"/>
          <w:sz w:val="22"/>
          <w:lang w:val="es-ES_tradnl"/>
        </w:rPr>
        <w:t xml:space="preserve">El </w:t>
      </w:r>
      <w:r w:rsidR="00F54BA4">
        <w:rPr>
          <w:rFonts w:cs="Arial"/>
          <w:sz w:val="22"/>
          <w:lang w:val="es-ES_tradnl"/>
        </w:rPr>
        <w:t>licenciado</w:t>
      </w:r>
      <w:r w:rsidR="00CE0936">
        <w:rPr>
          <w:rFonts w:cs="Arial"/>
          <w:sz w:val="22"/>
          <w:lang w:val="es-ES_tradnl"/>
        </w:rPr>
        <w:t xml:space="preserve"> Chavarría Torres introduce el tema, señalando que el estudio realizado por el CIVCO se enmarca en el convenio suscrito entre el BANHVI y el BCR para atender la problemática de los referidos proyectos de vivienda; y acto seguido el señor </w:t>
      </w:r>
      <w:r w:rsidR="00192AC3">
        <w:rPr>
          <w:rFonts w:cs="Arial"/>
          <w:iCs/>
          <w:sz w:val="22"/>
        </w:rPr>
        <w:t>Monge Leiva procede a presentar los resultados del citado estudio, iniciando con la descripción de los proyectos, así como con la información del sistema constructivo y de aguas residuales empleados en cada proyecto.</w:t>
      </w:r>
    </w:p>
    <w:p w:rsidR="0058266E" w:rsidRDefault="0058266E" w:rsidP="009D03FE">
      <w:pPr>
        <w:spacing w:line="360" w:lineRule="auto"/>
        <w:jc w:val="both"/>
        <w:rPr>
          <w:rFonts w:cs="Arial"/>
          <w:sz w:val="22"/>
          <w:lang w:val="es-CR"/>
        </w:rPr>
      </w:pPr>
    </w:p>
    <w:p w:rsidR="0058266E" w:rsidRDefault="00A93C36" w:rsidP="009D03FE">
      <w:pPr>
        <w:spacing w:line="360" w:lineRule="auto"/>
        <w:jc w:val="both"/>
        <w:rPr>
          <w:rFonts w:cs="Arial"/>
          <w:sz w:val="22"/>
          <w:lang w:val="es-ES_tradnl"/>
        </w:rPr>
      </w:pPr>
      <w:r>
        <w:rPr>
          <w:rFonts w:cs="Arial"/>
          <w:sz w:val="22"/>
          <w:lang w:val="es-ES_tradnl"/>
        </w:rPr>
        <w:t xml:space="preserve">Posteriormente presenta el detalle, con el apoyo de las ingenieras </w:t>
      </w:r>
      <w:r>
        <w:rPr>
          <w:rFonts w:cs="Arial"/>
          <w:iCs/>
          <w:sz w:val="22"/>
        </w:rPr>
        <w:t xml:space="preserve">Vargas Calderón y </w:t>
      </w:r>
      <w:r>
        <w:rPr>
          <w:rFonts w:cs="Arial"/>
          <w:sz w:val="22"/>
          <w:lang w:val="es-ES_tradnl"/>
        </w:rPr>
        <w:t xml:space="preserve"> </w:t>
      </w:r>
      <w:r w:rsidR="00885006">
        <w:rPr>
          <w:rFonts w:cs="Arial"/>
          <w:iCs/>
          <w:sz w:val="22"/>
        </w:rPr>
        <w:t>Ortiz Quesada</w:t>
      </w:r>
      <w:r>
        <w:rPr>
          <w:rFonts w:cs="Arial"/>
          <w:iCs/>
          <w:sz w:val="22"/>
        </w:rPr>
        <w:t>,</w:t>
      </w:r>
      <w:r>
        <w:rPr>
          <w:rFonts w:cs="Arial"/>
          <w:sz w:val="22"/>
          <w:lang w:val="es-ES_tradnl"/>
        </w:rPr>
        <w:t xml:space="preserve"> de los elementos evaluados, la calificación de los daños, el análisis de la vida útil de las viviendas, las conclusiones del diagnóstico y las alternativas para la solución de los problemas identificados en cada proyecto, atendiendo las consultas que al respecto van planteando los señores Directores; y </w:t>
      </w:r>
      <w:r w:rsidR="0046032D">
        <w:rPr>
          <w:rFonts w:cs="Arial"/>
          <w:sz w:val="22"/>
          <w:lang w:val="es-ES_tradnl"/>
        </w:rPr>
        <w:t xml:space="preserve">finalmente </w:t>
      </w:r>
      <w:r>
        <w:rPr>
          <w:rFonts w:cs="Arial"/>
          <w:sz w:val="22"/>
          <w:lang w:val="es-ES_tradnl"/>
        </w:rPr>
        <w:t>concluyen, en resumen, lo siguiente:</w:t>
      </w:r>
    </w:p>
    <w:p w:rsidR="007470B4" w:rsidRPr="007470B4" w:rsidRDefault="007470B4" w:rsidP="007470B4">
      <w:pPr>
        <w:spacing w:line="360" w:lineRule="auto"/>
        <w:jc w:val="both"/>
        <w:rPr>
          <w:rFonts w:cs="Arial"/>
          <w:sz w:val="22"/>
          <w:lang w:val="es-CR"/>
        </w:rPr>
      </w:pPr>
      <w:r>
        <w:rPr>
          <w:rFonts w:cs="Arial"/>
          <w:sz w:val="22"/>
          <w:lang w:val="es-CR"/>
        </w:rPr>
        <w:t xml:space="preserve">a) </w:t>
      </w:r>
      <w:r w:rsidRPr="007470B4">
        <w:rPr>
          <w:rFonts w:cs="Arial"/>
          <w:sz w:val="22"/>
          <w:lang w:val="es-CR"/>
        </w:rPr>
        <w:t>El nivel de daño presente en elementos primarios para la seguridad de la vivienda como los pilotes, el entrepiso y los cerramientos hacen que su posible intervención sea riesgosa.</w:t>
      </w:r>
    </w:p>
    <w:p w:rsidR="007470B4" w:rsidRPr="007470B4" w:rsidRDefault="007470B4" w:rsidP="007470B4">
      <w:pPr>
        <w:spacing w:line="360" w:lineRule="auto"/>
        <w:jc w:val="both"/>
        <w:rPr>
          <w:rFonts w:cs="Arial"/>
          <w:sz w:val="22"/>
          <w:lang w:val="es-CR"/>
        </w:rPr>
      </w:pPr>
      <w:r>
        <w:rPr>
          <w:rFonts w:cs="Arial"/>
          <w:sz w:val="22"/>
          <w:lang w:val="es-CR"/>
        </w:rPr>
        <w:t xml:space="preserve">b) </w:t>
      </w:r>
      <w:r w:rsidRPr="007470B4">
        <w:rPr>
          <w:rFonts w:cs="Arial"/>
          <w:sz w:val="22"/>
          <w:lang w:val="es-CR"/>
        </w:rPr>
        <w:t>Los elementos del sistema constructivo que presentan mayor calificación de daño y mayor peso ponderado sobre las viviendas son: pilotes, cerramientos, instalaciones eléctricas,</w:t>
      </w:r>
      <w:r>
        <w:rPr>
          <w:rFonts w:cs="Arial"/>
          <w:sz w:val="22"/>
          <w:lang w:val="es-CR"/>
        </w:rPr>
        <w:t xml:space="preserve"> </w:t>
      </w:r>
      <w:r w:rsidRPr="007470B4">
        <w:rPr>
          <w:rFonts w:cs="Arial"/>
          <w:sz w:val="22"/>
          <w:lang w:val="es-CR"/>
        </w:rPr>
        <w:t>entrepiso, sistema de tratamiento de aguas residuales, cubierta e instalaciones mecánicas.</w:t>
      </w:r>
    </w:p>
    <w:p w:rsidR="007470B4" w:rsidRPr="007470B4" w:rsidRDefault="007470B4" w:rsidP="007470B4">
      <w:pPr>
        <w:spacing w:line="360" w:lineRule="auto"/>
        <w:jc w:val="both"/>
        <w:rPr>
          <w:rFonts w:cs="Arial"/>
          <w:sz w:val="22"/>
          <w:lang w:val="es-CR"/>
        </w:rPr>
      </w:pPr>
      <w:r>
        <w:rPr>
          <w:rFonts w:cs="Arial"/>
          <w:sz w:val="22"/>
          <w:lang w:val="es-CR"/>
        </w:rPr>
        <w:t xml:space="preserve">c) </w:t>
      </w:r>
      <w:r w:rsidRPr="007470B4">
        <w:rPr>
          <w:rFonts w:cs="Arial"/>
          <w:sz w:val="22"/>
          <w:lang w:val="es-CR"/>
        </w:rPr>
        <w:t>Los elementos de acero presentan</w:t>
      </w:r>
      <w:r>
        <w:rPr>
          <w:rFonts w:cs="Arial"/>
          <w:sz w:val="22"/>
          <w:lang w:val="es-CR"/>
        </w:rPr>
        <w:t>,</w:t>
      </w:r>
      <w:r w:rsidRPr="007470B4">
        <w:rPr>
          <w:rFonts w:cs="Arial"/>
          <w:sz w:val="22"/>
          <w:lang w:val="es-CR"/>
        </w:rPr>
        <w:t xml:space="preserve"> en general</w:t>
      </w:r>
      <w:r>
        <w:rPr>
          <w:rFonts w:cs="Arial"/>
          <w:sz w:val="22"/>
          <w:lang w:val="es-CR"/>
        </w:rPr>
        <w:t>,</w:t>
      </w:r>
      <w:r w:rsidRPr="007470B4">
        <w:rPr>
          <w:rFonts w:cs="Arial"/>
          <w:sz w:val="22"/>
          <w:lang w:val="es-CR"/>
        </w:rPr>
        <w:t xml:space="preserve"> daños debido a la oxidación y corrosión; producto de la alta humedad relativa, el tratamiento inadecuado de los elementos y la presencia de contaminantes (agroquímicos) en la atmósfera.</w:t>
      </w:r>
    </w:p>
    <w:p w:rsidR="007470B4" w:rsidRDefault="007470B4" w:rsidP="009D03FE">
      <w:pPr>
        <w:spacing w:line="360" w:lineRule="auto"/>
        <w:jc w:val="both"/>
        <w:rPr>
          <w:rFonts w:cs="Arial"/>
          <w:sz w:val="22"/>
          <w:lang w:val="es-CR"/>
        </w:rPr>
      </w:pPr>
      <w:r>
        <w:rPr>
          <w:rFonts w:cs="Arial"/>
          <w:sz w:val="22"/>
          <w:lang w:val="es-CR"/>
        </w:rPr>
        <w:t xml:space="preserve">d) </w:t>
      </w:r>
      <w:r w:rsidRPr="007470B4">
        <w:rPr>
          <w:rFonts w:cs="Arial"/>
          <w:sz w:val="22"/>
          <w:lang w:val="es-CR"/>
        </w:rPr>
        <w:t xml:space="preserve">Conforme aumenten los años de </w:t>
      </w:r>
      <w:r>
        <w:rPr>
          <w:rFonts w:cs="Arial"/>
          <w:sz w:val="22"/>
          <w:lang w:val="es-CR"/>
        </w:rPr>
        <w:t>uso</w:t>
      </w:r>
      <w:r w:rsidRPr="007470B4">
        <w:rPr>
          <w:rFonts w:cs="Arial"/>
          <w:sz w:val="22"/>
          <w:lang w:val="es-CR"/>
        </w:rPr>
        <w:t>, el deterioro en las viviendas se dará de manera más acelerado, y cualquier opción de intervención implicará costos mayores y será menos efectiva.</w:t>
      </w:r>
    </w:p>
    <w:p w:rsidR="00887330" w:rsidRPr="00887330" w:rsidRDefault="007470B4" w:rsidP="00887330">
      <w:pPr>
        <w:spacing w:line="360" w:lineRule="auto"/>
        <w:jc w:val="both"/>
        <w:rPr>
          <w:rFonts w:cs="Arial"/>
          <w:sz w:val="22"/>
          <w:lang w:val="es-CR"/>
        </w:rPr>
      </w:pPr>
      <w:r>
        <w:rPr>
          <w:rFonts w:cs="Arial"/>
          <w:sz w:val="22"/>
          <w:lang w:val="es-CR"/>
        </w:rPr>
        <w:t xml:space="preserve">e) </w:t>
      </w:r>
      <w:r w:rsidR="00887330" w:rsidRPr="00887330">
        <w:rPr>
          <w:rFonts w:cs="Arial"/>
          <w:sz w:val="22"/>
          <w:lang w:val="es-CR"/>
        </w:rPr>
        <w:t>Los daños en el sistema de tratamiento de aguas</w:t>
      </w:r>
      <w:r w:rsidR="00887330">
        <w:rPr>
          <w:rFonts w:cs="Arial"/>
          <w:sz w:val="22"/>
          <w:lang w:val="es-CR"/>
        </w:rPr>
        <w:t>,</w:t>
      </w:r>
      <w:r w:rsidR="00887330" w:rsidRPr="00887330">
        <w:rPr>
          <w:rFonts w:cs="Arial"/>
          <w:sz w:val="22"/>
          <w:lang w:val="es-CR"/>
        </w:rPr>
        <w:t xml:space="preserve"> se deben a </w:t>
      </w:r>
      <w:r w:rsidR="00887330">
        <w:rPr>
          <w:rFonts w:cs="Arial"/>
          <w:sz w:val="22"/>
          <w:lang w:val="es-CR"/>
        </w:rPr>
        <w:t xml:space="preserve">la </w:t>
      </w:r>
      <w:r w:rsidR="00887330" w:rsidRPr="00887330">
        <w:rPr>
          <w:rFonts w:cs="Arial"/>
          <w:sz w:val="22"/>
          <w:lang w:val="es-CR"/>
        </w:rPr>
        <w:t xml:space="preserve">acumulación de materia orgánica en </w:t>
      </w:r>
      <w:r w:rsidR="00887330">
        <w:rPr>
          <w:rFonts w:cs="Arial"/>
          <w:sz w:val="22"/>
          <w:lang w:val="es-CR"/>
        </w:rPr>
        <w:t xml:space="preserve">las </w:t>
      </w:r>
      <w:r w:rsidR="00887330" w:rsidRPr="00887330">
        <w:rPr>
          <w:rFonts w:cs="Arial"/>
          <w:sz w:val="22"/>
          <w:lang w:val="es-CR"/>
        </w:rPr>
        <w:t>cajas de registro, a la falta de limpieza de los mismos y a modificaciones improvisadas.</w:t>
      </w:r>
    </w:p>
    <w:p w:rsidR="00887330" w:rsidRPr="00887330" w:rsidRDefault="007470B4" w:rsidP="00887330">
      <w:pPr>
        <w:spacing w:line="360" w:lineRule="auto"/>
        <w:jc w:val="both"/>
        <w:rPr>
          <w:rFonts w:cs="Arial"/>
          <w:sz w:val="22"/>
          <w:lang w:val="es-CR"/>
        </w:rPr>
      </w:pPr>
      <w:r>
        <w:rPr>
          <w:rFonts w:cs="Arial"/>
          <w:sz w:val="22"/>
          <w:lang w:val="es-CR"/>
        </w:rPr>
        <w:t>f</w:t>
      </w:r>
      <w:r w:rsidR="00887330">
        <w:rPr>
          <w:rFonts w:cs="Arial"/>
          <w:sz w:val="22"/>
          <w:lang w:val="es-CR"/>
        </w:rPr>
        <w:t xml:space="preserve">) </w:t>
      </w:r>
      <w:r w:rsidR="00887330" w:rsidRPr="00887330">
        <w:rPr>
          <w:rFonts w:cs="Arial"/>
          <w:sz w:val="22"/>
          <w:lang w:val="es-CR"/>
        </w:rPr>
        <w:t>Las aguas negras empozadas</w:t>
      </w:r>
      <w:r w:rsidR="00887330">
        <w:rPr>
          <w:rFonts w:cs="Arial"/>
          <w:sz w:val="22"/>
          <w:lang w:val="es-CR"/>
        </w:rPr>
        <w:t>,</w:t>
      </w:r>
      <w:r w:rsidR="00887330" w:rsidRPr="00887330">
        <w:rPr>
          <w:rFonts w:cs="Arial"/>
          <w:sz w:val="22"/>
          <w:lang w:val="es-CR"/>
        </w:rPr>
        <w:t xml:space="preserve"> producto de</w:t>
      </w:r>
      <w:r w:rsidR="00887330">
        <w:rPr>
          <w:rFonts w:cs="Arial"/>
          <w:sz w:val="22"/>
          <w:lang w:val="es-CR"/>
        </w:rPr>
        <w:t xml:space="preserve"> su </w:t>
      </w:r>
      <w:r w:rsidR="00887330" w:rsidRPr="00887330">
        <w:rPr>
          <w:rFonts w:cs="Arial"/>
          <w:sz w:val="22"/>
          <w:lang w:val="es-CR"/>
        </w:rPr>
        <w:t xml:space="preserve">desbordamiento </w:t>
      </w:r>
      <w:r w:rsidR="001304B4">
        <w:rPr>
          <w:rFonts w:cs="Arial"/>
          <w:sz w:val="22"/>
          <w:lang w:val="es-CR"/>
        </w:rPr>
        <w:t xml:space="preserve">en las cajas de registro y en </w:t>
      </w:r>
      <w:r w:rsidR="00887330" w:rsidRPr="00887330">
        <w:rPr>
          <w:rFonts w:cs="Arial"/>
          <w:sz w:val="22"/>
          <w:lang w:val="es-CR"/>
        </w:rPr>
        <w:t>los canales que atraviesan el proyecto, representan un peligro para la salud debido a la posible formación de microorganismos e insectos.</w:t>
      </w:r>
    </w:p>
    <w:p w:rsidR="00887330" w:rsidRPr="00887330" w:rsidRDefault="007470B4" w:rsidP="00887330">
      <w:pPr>
        <w:spacing w:line="360" w:lineRule="auto"/>
        <w:jc w:val="both"/>
        <w:rPr>
          <w:rFonts w:cs="Arial"/>
          <w:sz w:val="22"/>
          <w:lang w:val="es-CR"/>
        </w:rPr>
      </w:pPr>
      <w:r>
        <w:rPr>
          <w:rFonts w:cs="Arial"/>
          <w:sz w:val="22"/>
          <w:lang w:val="es-CR"/>
        </w:rPr>
        <w:t>g</w:t>
      </w:r>
      <w:r w:rsidR="001304B4">
        <w:rPr>
          <w:rFonts w:cs="Arial"/>
          <w:sz w:val="22"/>
          <w:lang w:val="es-CR"/>
        </w:rPr>
        <w:t xml:space="preserve">) </w:t>
      </w:r>
      <w:r w:rsidR="00887330" w:rsidRPr="00887330">
        <w:rPr>
          <w:rFonts w:cs="Arial"/>
          <w:sz w:val="22"/>
          <w:lang w:val="es-CR"/>
        </w:rPr>
        <w:t>Se incumplen muchos parámetros físicos y químicos en agua potable y aguas residuales</w:t>
      </w:r>
      <w:r w:rsidR="001304B4">
        <w:rPr>
          <w:rFonts w:cs="Arial"/>
          <w:sz w:val="22"/>
          <w:lang w:val="es-CR"/>
        </w:rPr>
        <w:t>.</w:t>
      </w:r>
    </w:p>
    <w:p w:rsidR="00A93C36" w:rsidRPr="00A93C36" w:rsidRDefault="007470B4" w:rsidP="00A93C36">
      <w:pPr>
        <w:spacing w:line="360" w:lineRule="auto"/>
        <w:jc w:val="both"/>
        <w:rPr>
          <w:rFonts w:cs="Arial"/>
          <w:sz w:val="22"/>
          <w:lang w:val="es-CR"/>
        </w:rPr>
      </w:pPr>
      <w:r>
        <w:rPr>
          <w:rFonts w:cs="Arial"/>
          <w:sz w:val="22"/>
          <w:lang w:val="es-CR"/>
        </w:rPr>
        <w:t>h</w:t>
      </w:r>
      <w:r w:rsidR="0046032D">
        <w:rPr>
          <w:rFonts w:cs="Arial"/>
          <w:sz w:val="22"/>
          <w:lang w:val="es-CR"/>
        </w:rPr>
        <w:t xml:space="preserve">) </w:t>
      </w:r>
      <w:r w:rsidR="00A93C36" w:rsidRPr="00A93C36">
        <w:rPr>
          <w:rFonts w:cs="Arial"/>
          <w:sz w:val="22"/>
          <w:lang w:val="es-CR"/>
        </w:rPr>
        <w:t>Para</w:t>
      </w:r>
      <w:r w:rsidR="00A93C36">
        <w:rPr>
          <w:rFonts w:cs="Arial"/>
          <w:sz w:val="22"/>
          <w:lang w:val="es-CR"/>
        </w:rPr>
        <w:t xml:space="preserve"> </w:t>
      </w:r>
      <w:r w:rsidR="00A93C36" w:rsidRPr="00A93C36">
        <w:rPr>
          <w:rFonts w:cs="Arial"/>
          <w:sz w:val="22"/>
          <w:lang w:val="es-CR"/>
        </w:rPr>
        <w:t>el</w:t>
      </w:r>
      <w:r w:rsidR="00A93C36">
        <w:rPr>
          <w:rFonts w:cs="Arial"/>
          <w:sz w:val="22"/>
          <w:lang w:val="es-CR"/>
        </w:rPr>
        <w:t xml:space="preserve"> </w:t>
      </w:r>
      <w:r w:rsidR="0046032D">
        <w:rPr>
          <w:rFonts w:cs="Arial"/>
          <w:sz w:val="22"/>
          <w:lang w:val="es-CR"/>
        </w:rPr>
        <w:t>p</w:t>
      </w:r>
      <w:r w:rsidR="00A93C36" w:rsidRPr="00A93C36">
        <w:rPr>
          <w:rFonts w:cs="Arial"/>
          <w:sz w:val="22"/>
          <w:lang w:val="es-CR"/>
        </w:rPr>
        <w:t>royecto</w:t>
      </w:r>
      <w:r w:rsidR="00A93C36">
        <w:rPr>
          <w:rFonts w:cs="Arial"/>
          <w:sz w:val="22"/>
          <w:lang w:val="es-CR"/>
        </w:rPr>
        <w:t xml:space="preserve"> </w:t>
      </w:r>
      <w:r w:rsidR="00A93C36" w:rsidRPr="00A93C36">
        <w:rPr>
          <w:rFonts w:cs="Arial"/>
          <w:sz w:val="22"/>
          <w:lang w:val="es-CR"/>
        </w:rPr>
        <w:t>La</w:t>
      </w:r>
      <w:r w:rsidR="00A93C36">
        <w:rPr>
          <w:rFonts w:cs="Arial"/>
          <w:sz w:val="22"/>
          <w:lang w:val="es-CR"/>
        </w:rPr>
        <w:t xml:space="preserve"> </w:t>
      </w:r>
      <w:r w:rsidR="00A93C36" w:rsidRPr="00A93C36">
        <w:rPr>
          <w:rFonts w:cs="Arial"/>
          <w:sz w:val="22"/>
          <w:lang w:val="es-CR"/>
        </w:rPr>
        <w:t>Flor</w:t>
      </w:r>
      <w:r w:rsidR="0046032D">
        <w:rPr>
          <w:rFonts w:cs="Arial"/>
          <w:sz w:val="22"/>
          <w:lang w:val="es-CR"/>
        </w:rPr>
        <w:t>,</w:t>
      </w:r>
      <w:r w:rsidR="00A93C36">
        <w:rPr>
          <w:rFonts w:cs="Arial"/>
          <w:sz w:val="22"/>
          <w:lang w:val="es-CR"/>
        </w:rPr>
        <w:t xml:space="preserve"> </w:t>
      </w:r>
      <w:r w:rsidR="00A93C36" w:rsidRPr="00A93C36">
        <w:rPr>
          <w:rFonts w:cs="Arial"/>
          <w:sz w:val="22"/>
          <w:lang w:val="es-CR"/>
        </w:rPr>
        <w:t>la</w:t>
      </w:r>
      <w:r w:rsidR="00A93C36">
        <w:rPr>
          <w:rFonts w:cs="Arial"/>
          <w:sz w:val="22"/>
          <w:lang w:val="es-CR"/>
        </w:rPr>
        <w:t xml:space="preserve"> </w:t>
      </w:r>
      <w:r w:rsidR="00A93C36" w:rsidRPr="00A93C36">
        <w:rPr>
          <w:rFonts w:cs="Arial"/>
          <w:sz w:val="22"/>
          <w:lang w:val="es-CR"/>
        </w:rPr>
        <w:t>mejor</w:t>
      </w:r>
      <w:r w:rsidR="00A93C36">
        <w:rPr>
          <w:rFonts w:cs="Arial"/>
          <w:sz w:val="22"/>
          <w:lang w:val="es-CR"/>
        </w:rPr>
        <w:t xml:space="preserve"> </w:t>
      </w:r>
      <w:r w:rsidR="00A93C36" w:rsidRPr="00A93C36">
        <w:rPr>
          <w:rFonts w:cs="Arial"/>
          <w:sz w:val="22"/>
          <w:lang w:val="es-CR"/>
        </w:rPr>
        <w:t>alternativa</w:t>
      </w:r>
      <w:r w:rsidR="00A93C36">
        <w:rPr>
          <w:rFonts w:cs="Arial"/>
          <w:sz w:val="22"/>
          <w:lang w:val="es-CR"/>
        </w:rPr>
        <w:t xml:space="preserve"> </w:t>
      </w:r>
      <w:r w:rsidR="00A93C36" w:rsidRPr="00A93C36">
        <w:rPr>
          <w:rFonts w:cs="Arial"/>
          <w:sz w:val="22"/>
          <w:lang w:val="es-CR"/>
        </w:rPr>
        <w:t>de</w:t>
      </w:r>
      <w:r w:rsidR="00A93C36">
        <w:rPr>
          <w:rFonts w:cs="Arial"/>
          <w:sz w:val="22"/>
          <w:lang w:val="es-CR"/>
        </w:rPr>
        <w:t xml:space="preserve"> </w:t>
      </w:r>
      <w:r w:rsidR="00A93C36" w:rsidRPr="00A93C36">
        <w:rPr>
          <w:rFonts w:cs="Arial"/>
          <w:sz w:val="22"/>
          <w:lang w:val="es-CR"/>
        </w:rPr>
        <w:t>solución</w:t>
      </w:r>
      <w:r w:rsidR="00A93C36">
        <w:rPr>
          <w:rFonts w:cs="Arial"/>
          <w:sz w:val="22"/>
          <w:lang w:val="es-CR"/>
        </w:rPr>
        <w:t xml:space="preserve"> </w:t>
      </w:r>
      <w:r w:rsidR="00A93C36" w:rsidRPr="00A93C36">
        <w:rPr>
          <w:rFonts w:cs="Arial"/>
          <w:sz w:val="22"/>
          <w:lang w:val="es-CR"/>
        </w:rPr>
        <w:t>es</w:t>
      </w:r>
      <w:r w:rsidR="00A93C36">
        <w:rPr>
          <w:rFonts w:cs="Arial"/>
          <w:sz w:val="22"/>
          <w:lang w:val="es-CR"/>
        </w:rPr>
        <w:t xml:space="preserve"> </w:t>
      </w:r>
      <w:r w:rsidR="00A93C36" w:rsidRPr="00A93C36">
        <w:rPr>
          <w:rFonts w:cs="Arial"/>
          <w:sz w:val="22"/>
          <w:lang w:val="es-CR"/>
        </w:rPr>
        <w:t>la</w:t>
      </w:r>
      <w:r w:rsidR="0046032D">
        <w:rPr>
          <w:rFonts w:cs="Arial"/>
          <w:sz w:val="22"/>
          <w:lang w:val="es-CR"/>
        </w:rPr>
        <w:t xml:space="preserve"> </w:t>
      </w:r>
      <w:r w:rsidR="00A93C36" w:rsidRPr="00A93C36">
        <w:rPr>
          <w:rFonts w:cs="Arial"/>
          <w:sz w:val="22"/>
          <w:lang w:val="es-CR"/>
        </w:rPr>
        <w:t>construcción</w:t>
      </w:r>
      <w:r w:rsidR="00A93C36">
        <w:rPr>
          <w:rFonts w:cs="Arial"/>
          <w:sz w:val="22"/>
          <w:lang w:val="es-CR"/>
        </w:rPr>
        <w:t xml:space="preserve"> </w:t>
      </w:r>
      <w:r w:rsidR="00A93C36" w:rsidRPr="00A93C36">
        <w:rPr>
          <w:rFonts w:cs="Arial"/>
          <w:sz w:val="22"/>
          <w:lang w:val="es-CR"/>
        </w:rPr>
        <w:t>de</w:t>
      </w:r>
      <w:r w:rsidR="00A93C36">
        <w:rPr>
          <w:rFonts w:cs="Arial"/>
          <w:sz w:val="22"/>
          <w:lang w:val="es-CR"/>
        </w:rPr>
        <w:t xml:space="preserve"> </w:t>
      </w:r>
      <w:r w:rsidR="00A93C36" w:rsidRPr="00A93C36">
        <w:rPr>
          <w:rFonts w:cs="Arial"/>
          <w:sz w:val="22"/>
          <w:lang w:val="es-CR"/>
        </w:rPr>
        <w:t>viviendas</w:t>
      </w:r>
      <w:r w:rsidR="00A93C36">
        <w:rPr>
          <w:rFonts w:cs="Arial"/>
          <w:sz w:val="22"/>
          <w:lang w:val="es-CR"/>
        </w:rPr>
        <w:t xml:space="preserve"> </w:t>
      </w:r>
      <w:r w:rsidR="00A93C36" w:rsidRPr="00A93C36">
        <w:rPr>
          <w:rFonts w:cs="Arial"/>
          <w:sz w:val="22"/>
          <w:lang w:val="es-CR"/>
        </w:rPr>
        <w:t>nuevas</w:t>
      </w:r>
      <w:r w:rsidR="00A93C36">
        <w:rPr>
          <w:rFonts w:cs="Arial"/>
          <w:sz w:val="22"/>
          <w:lang w:val="es-CR"/>
        </w:rPr>
        <w:t xml:space="preserve"> </w:t>
      </w:r>
      <w:r w:rsidR="00A93C36" w:rsidRPr="00A93C36">
        <w:rPr>
          <w:rFonts w:cs="Arial"/>
          <w:sz w:val="22"/>
          <w:lang w:val="es-CR"/>
        </w:rPr>
        <w:t>en</w:t>
      </w:r>
      <w:r w:rsidR="00A93C36">
        <w:rPr>
          <w:rFonts w:cs="Arial"/>
          <w:sz w:val="22"/>
          <w:lang w:val="es-CR"/>
        </w:rPr>
        <w:t xml:space="preserve"> </w:t>
      </w:r>
      <w:r w:rsidR="00A93C36" w:rsidRPr="00A93C36">
        <w:rPr>
          <w:rFonts w:cs="Arial"/>
          <w:sz w:val="22"/>
          <w:lang w:val="es-CR"/>
        </w:rPr>
        <w:t>el</w:t>
      </w:r>
      <w:r w:rsidR="00A93C36">
        <w:rPr>
          <w:rFonts w:cs="Arial"/>
          <w:sz w:val="22"/>
          <w:lang w:val="es-CR"/>
        </w:rPr>
        <w:t xml:space="preserve"> </w:t>
      </w:r>
      <w:r w:rsidR="00A93C36" w:rsidRPr="00A93C36">
        <w:rPr>
          <w:rFonts w:cs="Arial"/>
          <w:sz w:val="22"/>
          <w:lang w:val="es-CR"/>
        </w:rPr>
        <w:t>mismo</w:t>
      </w:r>
      <w:r w:rsidR="00A93C36">
        <w:rPr>
          <w:rFonts w:cs="Arial"/>
          <w:sz w:val="22"/>
          <w:lang w:val="es-CR"/>
        </w:rPr>
        <w:t xml:space="preserve"> </w:t>
      </w:r>
      <w:r w:rsidR="00A93C36" w:rsidRPr="00A93C36">
        <w:rPr>
          <w:rFonts w:cs="Arial"/>
          <w:sz w:val="22"/>
          <w:lang w:val="es-CR"/>
        </w:rPr>
        <w:t>sitio.</w:t>
      </w:r>
      <w:r w:rsidR="00A93C36">
        <w:rPr>
          <w:rFonts w:cs="Arial"/>
          <w:sz w:val="22"/>
          <w:lang w:val="es-CR"/>
        </w:rPr>
        <w:t xml:space="preserve">  </w:t>
      </w:r>
      <w:r w:rsidR="00A93C36" w:rsidRPr="00A93C36">
        <w:rPr>
          <w:rFonts w:cs="Arial"/>
          <w:sz w:val="22"/>
          <w:lang w:val="es-CR"/>
        </w:rPr>
        <w:t>Sin</w:t>
      </w:r>
      <w:r w:rsidR="00A93C36">
        <w:rPr>
          <w:rFonts w:cs="Arial"/>
          <w:sz w:val="22"/>
          <w:lang w:val="es-CR"/>
        </w:rPr>
        <w:t xml:space="preserve"> </w:t>
      </w:r>
      <w:r w:rsidR="00A93C36" w:rsidRPr="00A93C36">
        <w:rPr>
          <w:rFonts w:cs="Arial"/>
          <w:sz w:val="22"/>
          <w:lang w:val="es-CR"/>
        </w:rPr>
        <w:t>embargo,</w:t>
      </w:r>
      <w:r w:rsidR="00A93C36">
        <w:rPr>
          <w:rFonts w:cs="Arial"/>
          <w:sz w:val="22"/>
          <w:lang w:val="es-CR"/>
        </w:rPr>
        <w:t xml:space="preserve"> </w:t>
      </w:r>
      <w:r w:rsidR="00A93C36" w:rsidRPr="00A93C36">
        <w:rPr>
          <w:rFonts w:cs="Arial"/>
          <w:sz w:val="22"/>
          <w:lang w:val="es-CR"/>
        </w:rPr>
        <w:t>debe</w:t>
      </w:r>
      <w:r w:rsidR="00A93C36">
        <w:rPr>
          <w:rFonts w:cs="Arial"/>
          <w:sz w:val="22"/>
          <w:lang w:val="es-CR"/>
        </w:rPr>
        <w:t xml:space="preserve"> </w:t>
      </w:r>
      <w:r w:rsidR="00A93C36" w:rsidRPr="00A93C36">
        <w:rPr>
          <w:rFonts w:cs="Arial"/>
          <w:sz w:val="22"/>
          <w:lang w:val="es-CR"/>
        </w:rPr>
        <w:t>resolverse</w:t>
      </w:r>
      <w:r w:rsidR="00A93C36">
        <w:rPr>
          <w:rFonts w:cs="Arial"/>
          <w:sz w:val="22"/>
          <w:lang w:val="es-CR"/>
        </w:rPr>
        <w:t xml:space="preserve"> </w:t>
      </w:r>
      <w:r w:rsidR="00A93C36" w:rsidRPr="00A93C36">
        <w:rPr>
          <w:rFonts w:cs="Arial"/>
          <w:sz w:val="22"/>
          <w:lang w:val="es-CR"/>
        </w:rPr>
        <w:t>el</w:t>
      </w:r>
      <w:r w:rsidR="00A93C36">
        <w:rPr>
          <w:rFonts w:cs="Arial"/>
          <w:sz w:val="22"/>
          <w:lang w:val="es-CR"/>
        </w:rPr>
        <w:t xml:space="preserve"> </w:t>
      </w:r>
      <w:r w:rsidR="00A93C36" w:rsidRPr="00A93C36">
        <w:rPr>
          <w:rFonts w:cs="Arial"/>
          <w:sz w:val="22"/>
          <w:lang w:val="es-CR"/>
        </w:rPr>
        <w:t>problema</w:t>
      </w:r>
      <w:r w:rsidR="00A93C36">
        <w:rPr>
          <w:rFonts w:cs="Arial"/>
          <w:sz w:val="22"/>
          <w:lang w:val="es-CR"/>
        </w:rPr>
        <w:t xml:space="preserve"> </w:t>
      </w:r>
      <w:r w:rsidR="00A93C36" w:rsidRPr="00A93C36">
        <w:rPr>
          <w:rFonts w:cs="Arial"/>
          <w:sz w:val="22"/>
          <w:lang w:val="es-CR"/>
        </w:rPr>
        <w:t>de</w:t>
      </w:r>
      <w:r w:rsidR="00A93C36">
        <w:rPr>
          <w:rFonts w:cs="Arial"/>
          <w:sz w:val="22"/>
          <w:lang w:val="es-CR"/>
        </w:rPr>
        <w:t xml:space="preserve"> </w:t>
      </w:r>
      <w:r w:rsidR="00A93C36" w:rsidRPr="00A93C36">
        <w:rPr>
          <w:rFonts w:cs="Arial"/>
          <w:sz w:val="22"/>
          <w:lang w:val="es-CR"/>
        </w:rPr>
        <w:t>administración</w:t>
      </w:r>
      <w:r w:rsidR="00A93C36">
        <w:rPr>
          <w:rFonts w:cs="Arial"/>
          <w:sz w:val="22"/>
          <w:lang w:val="es-CR"/>
        </w:rPr>
        <w:t xml:space="preserve"> </w:t>
      </w:r>
      <w:r w:rsidR="00A93C36" w:rsidRPr="00A93C36">
        <w:rPr>
          <w:rFonts w:cs="Arial"/>
          <w:sz w:val="22"/>
          <w:lang w:val="es-CR"/>
        </w:rPr>
        <w:t>de</w:t>
      </w:r>
      <w:r w:rsidR="00A93C36">
        <w:rPr>
          <w:rFonts w:cs="Arial"/>
          <w:sz w:val="22"/>
          <w:lang w:val="es-CR"/>
        </w:rPr>
        <w:t xml:space="preserve"> </w:t>
      </w:r>
      <w:r w:rsidR="00A93C36" w:rsidRPr="00A93C36">
        <w:rPr>
          <w:rFonts w:cs="Arial"/>
          <w:sz w:val="22"/>
          <w:lang w:val="es-CR"/>
        </w:rPr>
        <w:t>la</w:t>
      </w:r>
      <w:r w:rsidR="00A93C36">
        <w:rPr>
          <w:rFonts w:cs="Arial"/>
          <w:sz w:val="22"/>
          <w:lang w:val="es-CR"/>
        </w:rPr>
        <w:t xml:space="preserve"> </w:t>
      </w:r>
      <w:r w:rsidR="00A93C36" w:rsidRPr="00A93C36">
        <w:rPr>
          <w:rFonts w:cs="Arial"/>
          <w:sz w:val="22"/>
          <w:lang w:val="es-CR"/>
        </w:rPr>
        <w:t>planta</w:t>
      </w:r>
      <w:r w:rsidR="00A93C36">
        <w:rPr>
          <w:rFonts w:cs="Arial"/>
          <w:sz w:val="22"/>
          <w:lang w:val="es-CR"/>
        </w:rPr>
        <w:t xml:space="preserve"> </w:t>
      </w:r>
      <w:r w:rsidR="00A93C36" w:rsidRPr="00A93C36">
        <w:rPr>
          <w:rFonts w:cs="Arial"/>
          <w:sz w:val="22"/>
          <w:lang w:val="es-CR"/>
        </w:rPr>
        <w:t>de</w:t>
      </w:r>
      <w:r w:rsidR="00A93C36">
        <w:rPr>
          <w:rFonts w:cs="Arial"/>
          <w:sz w:val="22"/>
          <w:lang w:val="es-CR"/>
        </w:rPr>
        <w:t xml:space="preserve"> </w:t>
      </w:r>
      <w:r w:rsidR="00A93C36" w:rsidRPr="00A93C36">
        <w:rPr>
          <w:rFonts w:cs="Arial"/>
          <w:sz w:val="22"/>
          <w:lang w:val="es-CR"/>
        </w:rPr>
        <w:t>tratamiento</w:t>
      </w:r>
      <w:r w:rsidR="00A93C36">
        <w:rPr>
          <w:rFonts w:cs="Arial"/>
          <w:sz w:val="22"/>
          <w:lang w:val="es-CR"/>
        </w:rPr>
        <w:t xml:space="preserve"> </w:t>
      </w:r>
      <w:r w:rsidR="00A93C36" w:rsidRPr="00A93C36">
        <w:rPr>
          <w:rFonts w:cs="Arial"/>
          <w:sz w:val="22"/>
          <w:lang w:val="es-CR"/>
        </w:rPr>
        <w:t>y</w:t>
      </w:r>
      <w:r w:rsidR="00A93C36">
        <w:rPr>
          <w:rFonts w:cs="Arial"/>
          <w:sz w:val="22"/>
          <w:lang w:val="es-CR"/>
        </w:rPr>
        <w:t xml:space="preserve"> </w:t>
      </w:r>
      <w:r w:rsidR="00A93C36" w:rsidRPr="00A93C36">
        <w:rPr>
          <w:rFonts w:cs="Arial"/>
          <w:sz w:val="22"/>
          <w:lang w:val="es-CR"/>
        </w:rPr>
        <w:t>el</w:t>
      </w:r>
      <w:r w:rsidR="00A93C36">
        <w:rPr>
          <w:rFonts w:cs="Arial"/>
          <w:sz w:val="22"/>
          <w:lang w:val="es-CR"/>
        </w:rPr>
        <w:t xml:space="preserve"> </w:t>
      </w:r>
      <w:r w:rsidR="00A93C36" w:rsidRPr="00A93C36">
        <w:rPr>
          <w:rFonts w:cs="Arial"/>
          <w:sz w:val="22"/>
          <w:lang w:val="es-CR"/>
        </w:rPr>
        <w:t>traspaso</w:t>
      </w:r>
      <w:r w:rsidR="00A93C36">
        <w:rPr>
          <w:rFonts w:cs="Arial"/>
          <w:sz w:val="22"/>
          <w:lang w:val="es-CR"/>
        </w:rPr>
        <w:t xml:space="preserve"> </w:t>
      </w:r>
      <w:r w:rsidR="00A93C36" w:rsidRPr="00A93C36">
        <w:rPr>
          <w:rFonts w:cs="Arial"/>
          <w:sz w:val="22"/>
          <w:lang w:val="es-CR"/>
        </w:rPr>
        <w:t>de</w:t>
      </w:r>
      <w:r w:rsidR="00A93C36">
        <w:rPr>
          <w:rFonts w:cs="Arial"/>
          <w:sz w:val="22"/>
          <w:lang w:val="es-CR"/>
        </w:rPr>
        <w:t xml:space="preserve"> </w:t>
      </w:r>
      <w:r w:rsidR="00A93C36" w:rsidRPr="00A93C36">
        <w:rPr>
          <w:rFonts w:cs="Arial"/>
          <w:sz w:val="22"/>
          <w:lang w:val="es-CR"/>
        </w:rPr>
        <w:t>estos</w:t>
      </w:r>
      <w:r w:rsidR="00A93C36">
        <w:rPr>
          <w:rFonts w:cs="Arial"/>
          <w:sz w:val="22"/>
          <w:lang w:val="es-CR"/>
        </w:rPr>
        <w:t xml:space="preserve"> </w:t>
      </w:r>
      <w:r w:rsidR="00A93C36" w:rsidRPr="00A93C36">
        <w:rPr>
          <w:rFonts w:cs="Arial"/>
          <w:sz w:val="22"/>
          <w:lang w:val="es-CR"/>
        </w:rPr>
        <w:t>terrenos</w:t>
      </w:r>
      <w:r w:rsidR="00A93C36">
        <w:rPr>
          <w:rFonts w:cs="Arial"/>
          <w:sz w:val="22"/>
          <w:lang w:val="es-CR"/>
        </w:rPr>
        <w:t xml:space="preserve"> </w:t>
      </w:r>
      <w:r w:rsidR="00A93C36" w:rsidRPr="00A93C36">
        <w:rPr>
          <w:rFonts w:cs="Arial"/>
          <w:sz w:val="22"/>
          <w:lang w:val="es-CR"/>
        </w:rPr>
        <w:t>a</w:t>
      </w:r>
      <w:r w:rsidR="00A93C36">
        <w:rPr>
          <w:rFonts w:cs="Arial"/>
          <w:sz w:val="22"/>
          <w:lang w:val="es-CR"/>
        </w:rPr>
        <w:t xml:space="preserve"> </w:t>
      </w:r>
      <w:r w:rsidR="00A93C36" w:rsidRPr="00A93C36">
        <w:rPr>
          <w:rFonts w:cs="Arial"/>
          <w:sz w:val="22"/>
          <w:lang w:val="es-CR"/>
        </w:rPr>
        <w:t>la</w:t>
      </w:r>
      <w:r w:rsidR="00A93C36">
        <w:rPr>
          <w:rFonts w:cs="Arial"/>
          <w:sz w:val="22"/>
          <w:lang w:val="es-CR"/>
        </w:rPr>
        <w:t xml:space="preserve"> </w:t>
      </w:r>
      <w:r w:rsidR="00A93C36" w:rsidRPr="00A93C36">
        <w:rPr>
          <w:rFonts w:cs="Arial"/>
          <w:sz w:val="22"/>
          <w:lang w:val="es-CR"/>
        </w:rPr>
        <w:t>municipalidad</w:t>
      </w:r>
      <w:r w:rsidR="00A93C36">
        <w:rPr>
          <w:rFonts w:cs="Arial"/>
          <w:sz w:val="22"/>
          <w:lang w:val="es-CR"/>
        </w:rPr>
        <w:t xml:space="preserve"> </w:t>
      </w:r>
      <w:r w:rsidR="00A93C36" w:rsidRPr="00A93C36">
        <w:rPr>
          <w:rFonts w:cs="Arial"/>
          <w:sz w:val="22"/>
          <w:lang w:val="es-CR"/>
        </w:rPr>
        <w:t>correspondiente.</w:t>
      </w:r>
    </w:p>
    <w:p w:rsidR="00A93C36" w:rsidRPr="00A93C36" w:rsidRDefault="007470B4" w:rsidP="00A93C36">
      <w:pPr>
        <w:spacing w:line="360" w:lineRule="auto"/>
        <w:jc w:val="both"/>
        <w:rPr>
          <w:rFonts w:cs="Arial"/>
          <w:sz w:val="22"/>
          <w:lang w:val="es-CR"/>
        </w:rPr>
      </w:pPr>
      <w:r>
        <w:rPr>
          <w:rFonts w:cs="Arial"/>
          <w:sz w:val="22"/>
          <w:lang w:val="es-CR"/>
        </w:rPr>
        <w:t>i</w:t>
      </w:r>
      <w:r w:rsidR="0046032D">
        <w:rPr>
          <w:rFonts w:cs="Arial"/>
          <w:sz w:val="22"/>
          <w:lang w:val="es-CR"/>
        </w:rPr>
        <w:t xml:space="preserve">) </w:t>
      </w:r>
      <w:r w:rsidR="00A93C36" w:rsidRPr="00A93C36">
        <w:rPr>
          <w:rFonts w:cs="Arial"/>
          <w:sz w:val="22"/>
          <w:lang w:val="es-CR"/>
        </w:rPr>
        <w:t>Para</w:t>
      </w:r>
      <w:r w:rsidR="00A93C36">
        <w:rPr>
          <w:rFonts w:cs="Arial"/>
          <w:sz w:val="22"/>
          <w:lang w:val="es-CR"/>
        </w:rPr>
        <w:t xml:space="preserve"> </w:t>
      </w:r>
      <w:r w:rsidR="00A93C36" w:rsidRPr="00A93C36">
        <w:rPr>
          <w:rFonts w:cs="Arial"/>
          <w:sz w:val="22"/>
          <w:lang w:val="es-CR"/>
        </w:rPr>
        <w:t>el</w:t>
      </w:r>
      <w:r w:rsidR="00A93C36">
        <w:rPr>
          <w:rFonts w:cs="Arial"/>
          <w:sz w:val="22"/>
          <w:lang w:val="es-CR"/>
        </w:rPr>
        <w:t xml:space="preserve"> </w:t>
      </w:r>
      <w:r w:rsidR="0046032D">
        <w:rPr>
          <w:rFonts w:cs="Arial"/>
          <w:sz w:val="22"/>
          <w:lang w:val="es-CR"/>
        </w:rPr>
        <w:t>p</w:t>
      </w:r>
      <w:r w:rsidR="00A93C36" w:rsidRPr="00A93C36">
        <w:rPr>
          <w:rFonts w:cs="Arial"/>
          <w:sz w:val="22"/>
          <w:lang w:val="es-CR"/>
        </w:rPr>
        <w:t>royecto</w:t>
      </w:r>
      <w:r w:rsidR="00A93C36">
        <w:rPr>
          <w:rFonts w:cs="Arial"/>
          <w:sz w:val="22"/>
          <w:lang w:val="es-CR"/>
        </w:rPr>
        <w:t xml:space="preserve"> </w:t>
      </w:r>
      <w:r w:rsidR="00A93C36" w:rsidRPr="00A93C36">
        <w:rPr>
          <w:rFonts w:cs="Arial"/>
          <w:sz w:val="22"/>
          <w:lang w:val="es-CR"/>
        </w:rPr>
        <w:t>Ivannia</w:t>
      </w:r>
      <w:r w:rsidR="0046032D">
        <w:rPr>
          <w:rFonts w:cs="Arial"/>
          <w:sz w:val="22"/>
          <w:lang w:val="es-CR"/>
        </w:rPr>
        <w:t>,</w:t>
      </w:r>
      <w:r w:rsidR="00A93C36">
        <w:rPr>
          <w:rFonts w:cs="Arial"/>
          <w:sz w:val="22"/>
          <w:lang w:val="es-CR"/>
        </w:rPr>
        <w:t xml:space="preserve"> </w:t>
      </w:r>
      <w:r w:rsidR="00A93C36" w:rsidRPr="00A93C36">
        <w:rPr>
          <w:rFonts w:cs="Arial"/>
          <w:sz w:val="22"/>
          <w:lang w:val="es-CR"/>
        </w:rPr>
        <w:t>la</w:t>
      </w:r>
      <w:r w:rsidR="00A93C36">
        <w:rPr>
          <w:rFonts w:cs="Arial"/>
          <w:sz w:val="22"/>
          <w:lang w:val="es-CR"/>
        </w:rPr>
        <w:t xml:space="preserve"> </w:t>
      </w:r>
      <w:r w:rsidR="00A93C36" w:rsidRPr="00A93C36">
        <w:rPr>
          <w:rFonts w:cs="Arial"/>
          <w:sz w:val="22"/>
          <w:lang w:val="es-CR"/>
        </w:rPr>
        <w:t>mejor</w:t>
      </w:r>
      <w:r w:rsidR="00A93C36">
        <w:rPr>
          <w:rFonts w:cs="Arial"/>
          <w:sz w:val="22"/>
          <w:lang w:val="es-CR"/>
        </w:rPr>
        <w:t xml:space="preserve"> </w:t>
      </w:r>
      <w:r w:rsidR="00A93C36" w:rsidRPr="00A93C36">
        <w:rPr>
          <w:rFonts w:cs="Arial"/>
          <w:sz w:val="22"/>
          <w:lang w:val="es-CR"/>
        </w:rPr>
        <w:t>alternativa</w:t>
      </w:r>
      <w:r w:rsidR="00A93C36">
        <w:rPr>
          <w:rFonts w:cs="Arial"/>
          <w:sz w:val="22"/>
          <w:lang w:val="es-CR"/>
        </w:rPr>
        <w:t xml:space="preserve"> </w:t>
      </w:r>
      <w:r w:rsidR="00A93C36" w:rsidRPr="00A93C36">
        <w:rPr>
          <w:rFonts w:cs="Arial"/>
          <w:sz w:val="22"/>
          <w:lang w:val="es-CR"/>
        </w:rPr>
        <w:t>de</w:t>
      </w:r>
      <w:r w:rsidR="00A93C36">
        <w:rPr>
          <w:rFonts w:cs="Arial"/>
          <w:sz w:val="22"/>
          <w:lang w:val="es-CR"/>
        </w:rPr>
        <w:t xml:space="preserve"> </w:t>
      </w:r>
      <w:r w:rsidR="00A93C36" w:rsidRPr="00A93C36">
        <w:rPr>
          <w:rFonts w:cs="Arial"/>
          <w:sz w:val="22"/>
          <w:lang w:val="es-CR"/>
        </w:rPr>
        <w:t>solución</w:t>
      </w:r>
      <w:r w:rsidR="00A93C36">
        <w:rPr>
          <w:rFonts w:cs="Arial"/>
          <w:sz w:val="22"/>
          <w:lang w:val="es-CR"/>
        </w:rPr>
        <w:t xml:space="preserve"> </w:t>
      </w:r>
      <w:r w:rsidR="00A93C36" w:rsidRPr="00A93C36">
        <w:rPr>
          <w:rFonts w:cs="Arial"/>
          <w:sz w:val="22"/>
          <w:lang w:val="es-CR"/>
        </w:rPr>
        <w:t>es</w:t>
      </w:r>
      <w:r w:rsidR="00A93C36">
        <w:rPr>
          <w:rFonts w:cs="Arial"/>
          <w:sz w:val="22"/>
          <w:lang w:val="es-CR"/>
        </w:rPr>
        <w:t xml:space="preserve"> </w:t>
      </w:r>
      <w:r w:rsidR="00A93C36" w:rsidRPr="00A93C36">
        <w:rPr>
          <w:rFonts w:cs="Arial"/>
          <w:sz w:val="22"/>
          <w:lang w:val="es-CR"/>
        </w:rPr>
        <w:t>la</w:t>
      </w:r>
      <w:r w:rsidR="00A93C36">
        <w:rPr>
          <w:rFonts w:cs="Arial"/>
          <w:sz w:val="22"/>
          <w:lang w:val="es-CR"/>
        </w:rPr>
        <w:t xml:space="preserve"> </w:t>
      </w:r>
      <w:r w:rsidR="00A93C36" w:rsidRPr="00A93C36">
        <w:rPr>
          <w:rFonts w:cs="Arial"/>
          <w:sz w:val="22"/>
          <w:lang w:val="es-CR"/>
        </w:rPr>
        <w:t>construcción</w:t>
      </w:r>
      <w:r w:rsidR="00A93C36">
        <w:rPr>
          <w:rFonts w:cs="Arial"/>
          <w:sz w:val="22"/>
          <w:lang w:val="es-CR"/>
        </w:rPr>
        <w:t xml:space="preserve"> </w:t>
      </w:r>
      <w:r w:rsidR="00A93C36" w:rsidRPr="00A93C36">
        <w:rPr>
          <w:rFonts w:cs="Arial"/>
          <w:sz w:val="22"/>
          <w:lang w:val="es-CR"/>
        </w:rPr>
        <w:t>de</w:t>
      </w:r>
      <w:r w:rsidR="00A93C36">
        <w:rPr>
          <w:rFonts w:cs="Arial"/>
          <w:sz w:val="22"/>
          <w:lang w:val="es-CR"/>
        </w:rPr>
        <w:t xml:space="preserve"> </w:t>
      </w:r>
      <w:r w:rsidR="00A93C36" w:rsidRPr="00A93C36">
        <w:rPr>
          <w:rFonts w:cs="Arial"/>
          <w:sz w:val="22"/>
          <w:lang w:val="es-CR"/>
        </w:rPr>
        <w:t>vivienda</w:t>
      </w:r>
      <w:r w:rsidR="00A93C36">
        <w:rPr>
          <w:rFonts w:cs="Arial"/>
          <w:sz w:val="22"/>
          <w:lang w:val="es-CR"/>
        </w:rPr>
        <w:t xml:space="preserve"> </w:t>
      </w:r>
      <w:r w:rsidR="00A93C36" w:rsidRPr="00A93C36">
        <w:rPr>
          <w:rFonts w:cs="Arial"/>
          <w:sz w:val="22"/>
          <w:lang w:val="es-CR"/>
        </w:rPr>
        <w:t>nueva</w:t>
      </w:r>
      <w:r w:rsidR="00A93C36">
        <w:rPr>
          <w:rFonts w:cs="Arial"/>
          <w:sz w:val="22"/>
          <w:lang w:val="es-CR"/>
        </w:rPr>
        <w:t xml:space="preserve"> </w:t>
      </w:r>
      <w:r w:rsidR="00A93C36" w:rsidRPr="00A93C36">
        <w:rPr>
          <w:rFonts w:cs="Arial"/>
          <w:sz w:val="22"/>
          <w:lang w:val="es-CR"/>
        </w:rPr>
        <w:t>en</w:t>
      </w:r>
      <w:r w:rsidR="00A93C36">
        <w:rPr>
          <w:rFonts w:cs="Arial"/>
          <w:sz w:val="22"/>
          <w:lang w:val="es-CR"/>
        </w:rPr>
        <w:t xml:space="preserve"> </w:t>
      </w:r>
      <w:r w:rsidR="00A93C36" w:rsidRPr="00A93C36">
        <w:rPr>
          <w:rFonts w:cs="Arial"/>
          <w:sz w:val="22"/>
          <w:lang w:val="es-CR"/>
        </w:rPr>
        <w:t>el</w:t>
      </w:r>
      <w:r w:rsidR="00A93C36">
        <w:rPr>
          <w:rFonts w:cs="Arial"/>
          <w:sz w:val="22"/>
          <w:lang w:val="es-CR"/>
        </w:rPr>
        <w:t xml:space="preserve"> </w:t>
      </w:r>
      <w:r w:rsidR="00A93C36" w:rsidRPr="00A93C36">
        <w:rPr>
          <w:rFonts w:cs="Arial"/>
          <w:sz w:val="22"/>
          <w:lang w:val="es-CR"/>
        </w:rPr>
        <w:t>mismo</w:t>
      </w:r>
      <w:r w:rsidR="00A93C36">
        <w:rPr>
          <w:rFonts w:cs="Arial"/>
          <w:sz w:val="22"/>
          <w:lang w:val="es-CR"/>
        </w:rPr>
        <w:t xml:space="preserve"> </w:t>
      </w:r>
      <w:r w:rsidR="00A93C36" w:rsidRPr="00A93C36">
        <w:rPr>
          <w:rFonts w:cs="Arial"/>
          <w:sz w:val="22"/>
          <w:lang w:val="es-CR"/>
        </w:rPr>
        <w:t>sitio.</w:t>
      </w:r>
      <w:r w:rsidR="00A93C36">
        <w:rPr>
          <w:rFonts w:cs="Arial"/>
          <w:sz w:val="22"/>
          <w:lang w:val="es-CR"/>
        </w:rPr>
        <w:t xml:space="preserve">  </w:t>
      </w:r>
      <w:r w:rsidR="00A93C36" w:rsidRPr="00A93C36">
        <w:rPr>
          <w:rFonts w:cs="Arial"/>
          <w:sz w:val="22"/>
          <w:lang w:val="es-CR"/>
        </w:rPr>
        <w:t>Además</w:t>
      </w:r>
      <w:r w:rsidR="0046032D">
        <w:rPr>
          <w:rFonts w:cs="Arial"/>
          <w:sz w:val="22"/>
          <w:lang w:val="es-CR"/>
        </w:rPr>
        <w:t>,</w:t>
      </w:r>
      <w:r w:rsidR="00A93C36">
        <w:rPr>
          <w:rFonts w:cs="Arial"/>
          <w:sz w:val="22"/>
          <w:lang w:val="es-CR"/>
        </w:rPr>
        <w:t xml:space="preserve"> </w:t>
      </w:r>
      <w:r w:rsidR="00A93C36" w:rsidRPr="00A93C36">
        <w:rPr>
          <w:rFonts w:cs="Arial"/>
          <w:sz w:val="22"/>
          <w:lang w:val="es-CR"/>
        </w:rPr>
        <w:t>debe</w:t>
      </w:r>
      <w:r w:rsidR="00A93C36">
        <w:rPr>
          <w:rFonts w:cs="Arial"/>
          <w:sz w:val="22"/>
          <w:lang w:val="es-CR"/>
        </w:rPr>
        <w:t xml:space="preserve"> </w:t>
      </w:r>
      <w:r w:rsidR="00A93C36" w:rsidRPr="00A93C36">
        <w:rPr>
          <w:rFonts w:cs="Arial"/>
          <w:sz w:val="22"/>
          <w:lang w:val="es-CR"/>
        </w:rPr>
        <w:t>asegurarse</w:t>
      </w:r>
      <w:r w:rsidR="00A93C36">
        <w:rPr>
          <w:rFonts w:cs="Arial"/>
          <w:sz w:val="22"/>
          <w:lang w:val="es-CR"/>
        </w:rPr>
        <w:t xml:space="preserve"> </w:t>
      </w:r>
      <w:r w:rsidR="00A93C36" w:rsidRPr="00A93C36">
        <w:rPr>
          <w:rFonts w:cs="Arial"/>
          <w:sz w:val="22"/>
          <w:lang w:val="es-CR"/>
        </w:rPr>
        <w:t>un</w:t>
      </w:r>
      <w:r w:rsidR="00A93C36">
        <w:rPr>
          <w:rFonts w:cs="Arial"/>
          <w:sz w:val="22"/>
          <w:lang w:val="es-CR"/>
        </w:rPr>
        <w:t xml:space="preserve"> </w:t>
      </w:r>
      <w:r w:rsidR="00A93C36" w:rsidRPr="00A93C36">
        <w:rPr>
          <w:rFonts w:cs="Arial"/>
          <w:sz w:val="22"/>
          <w:lang w:val="es-CR"/>
        </w:rPr>
        <w:t>espacio</w:t>
      </w:r>
      <w:r w:rsidR="00A93C36">
        <w:rPr>
          <w:rFonts w:cs="Arial"/>
          <w:sz w:val="22"/>
          <w:lang w:val="es-CR"/>
        </w:rPr>
        <w:t xml:space="preserve"> </w:t>
      </w:r>
      <w:r w:rsidR="00A93C36" w:rsidRPr="00A93C36">
        <w:rPr>
          <w:rFonts w:cs="Arial"/>
          <w:sz w:val="22"/>
          <w:lang w:val="es-CR"/>
        </w:rPr>
        <w:t>para</w:t>
      </w:r>
      <w:r w:rsidR="00A93C36">
        <w:rPr>
          <w:rFonts w:cs="Arial"/>
          <w:sz w:val="22"/>
          <w:lang w:val="es-CR"/>
        </w:rPr>
        <w:t xml:space="preserve"> </w:t>
      </w:r>
      <w:r w:rsidR="00A93C36" w:rsidRPr="00A93C36">
        <w:rPr>
          <w:rFonts w:cs="Arial"/>
          <w:sz w:val="22"/>
          <w:lang w:val="es-CR"/>
        </w:rPr>
        <w:t>la</w:t>
      </w:r>
      <w:r w:rsidR="00A93C36">
        <w:rPr>
          <w:rFonts w:cs="Arial"/>
          <w:sz w:val="22"/>
          <w:lang w:val="es-CR"/>
        </w:rPr>
        <w:t xml:space="preserve"> </w:t>
      </w:r>
      <w:r w:rsidR="00A93C36" w:rsidRPr="00A93C36">
        <w:rPr>
          <w:rFonts w:cs="Arial"/>
          <w:sz w:val="22"/>
          <w:lang w:val="es-CR"/>
        </w:rPr>
        <w:t>construcción</w:t>
      </w:r>
      <w:r w:rsidR="00A93C36">
        <w:rPr>
          <w:rFonts w:cs="Arial"/>
          <w:sz w:val="22"/>
          <w:lang w:val="es-CR"/>
        </w:rPr>
        <w:t xml:space="preserve"> </w:t>
      </w:r>
      <w:r w:rsidR="00A93C36" w:rsidRPr="00A93C36">
        <w:rPr>
          <w:rFonts w:cs="Arial"/>
          <w:sz w:val="22"/>
          <w:lang w:val="es-CR"/>
        </w:rPr>
        <w:t>de</w:t>
      </w:r>
      <w:r w:rsidR="00A93C36">
        <w:rPr>
          <w:rFonts w:cs="Arial"/>
          <w:sz w:val="22"/>
          <w:lang w:val="es-CR"/>
        </w:rPr>
        <w:t xml:space="preserve"> </w:t>
      </w:r>
      <w:r w:rsidR="00A93C36" w:rsidRPr="00A93C36">
        <w:rPr>
          <w:rFonts w:cs="Arial"/>
          <w:sz w:val="22"/>
          <w:lang w:val="es-CR"/>
        </w:rPr>
        <w:t>la</w:t>
      </w:r>
      <w:r w:rsidR="00A93C36">
        <w:rPr>
          <w:rFonts w:cs="Arial"/>
          <w:sz w:val="22"/>
          <w:lang w:val="es-CR"/>
        </w:rPr>
        <w:t xml:space="preserve"> </w:t>
      </w:r>
      <w:r w:rsidR="00A93C36" w:rsidRPr="00A93C36">
        <w:rPr>
          <w:rFonts w:cs="Arial"/>
          <w:sz w:val="22"/>
          <w:lang w:val="es-CR"/>
        </w:rPr>
        <w:t>planta</w:t>
      </w:r>
      <w:r w:rsidR="00A93C36">
        <w:rPr>
          <w:rFonts w:cs="Arial"/>
          <w:sz w:val="22"/>
          <w:lang w:val="es-CR"/>
        </w:rPr>
        <w:t xml:space="preserve"> </w:t>
      </w:r>
      <w:r w:rsidR="00A93C36" w:rsidRPr="00A93C36">
        <w:rPr>
          <w:rFonts w:cs="Arial"/>
          <w:sz w:val="22"/>
          <w:lang w:val="es-CR"/>
        </w:rPr>
        <w:t>de</w:t>
      </w:r>
      <w:r w:rsidR="00A93C36">
        <w:rPr>
          <w:rFonts w:cs="Arial"/>
          <w:sz w:val="22"/>
          <w:lang w:val="es-CR"/>
        </w:rPr>
        <w:t xml:space="preserve"> </w:t>
      </w:r>
      <w:r w:rsidR="00A93C36" w:rsidRPr="00A93C36">
        <w:rPr>
          <w:rFonts w:cs="Arial"/>
          <w:sz w:val="22"/>
          <w:lang w:val="es-CR"/>
        </w:rPr>
        <w:t>tratamiento</w:t>
      </w:r>
      <w:r w:rsidR="00A93C36">
        <w:rPr>
          <w:rFonts w:cs="Arial"/>
          <w:sz w:val="22"/>
          <w:lang w:val="es-CR"/>
        </w:rPr>
        <w:t xml:space="preserve"> </w:t>
      </w:r>
      <w:r w:rsidR="00A93C36" w:rsidRPr="00A93C36">
        <w:rPr>
          <w:rFonts w:cs="Arial"/>
          <w:sz w:val="22"/>
          <w:lang w:val="es-CR"/>
        </w:rPr>
        <w:t>y</w:t>
      </w:r>
      <w:r w:rsidR="00A93C36">
        <w:rPr>
          <w:rFonts w:cs="Arial"/>
          <w:sz w:val="22"/>
          <w:lang w:val="es-CR"/>
        </w:rPr>
        <w:t xml:space="preserve"> </w:t>
      </w:r>
      <w:r w:rsidR="00A93C36" w:rsidRPr="00A93C36">
        <w:rPr>
          <w:rFonts w:cs="Arial"/>
          <w:sz w:val="22"/>
          <w:lang w:val="es-CR"/>
        </w:rPr>
        <w:t>su</w:t>
      </w:r>
      <w:r w:rsidR="00A93C36">
        <w:rPr>
          <w:rFonts w:cs="Arial"/>
          <w:sz w:val="22"/>
          <w:lang w:val="es-CR"/>
        </w:rPr>
        <w:t xml:space="preserve"> </w:t>
      </w:r>
      <w:r w:rsidR="00A93C36" w:rsidRPr="00A93C36">
        <w:rPr>
          <w:rFonts w:cs="Arial"/>
          <w:sz w:val="22"/>
          <w:lang w:val="es-CR"/>
        </w:rPr>
        <w:t>administración</w:t>
      </w:r>
      <w:r w:rsidR="00A93C36">
        <w:rPr>
          <w:rFonts w:cs="Arial"/>
          <w:sz w:val="22"/>
          <w:lang w:val="es-CR"/>
        </w:rPr>
        <w:t xml:space="preserve"> </w:t>
      </w:r>
      <w:r w:rsidR="00A93C36" w:rsidRPr="00A93C36">
        <w:rPr>
          <w:rFonts w:cs="Arial"/>
          <w:sz w:val="22"/>
          <w:lang w:val="es-CR"/>
        </w:rPr>
        <w:t>en</w:t>
      </w:r>
      <w:r w:rsidR="00A93C36">
        <w:rPr>
          <w:rFonts w:cs="Arial"/>
          <w:sz w:val="22"/>
          <w:lang w:val="es-CR"/>
        </w:rPr>
        <w:t xml:space="preserve"> </w:t>
      </w:r>
      <w:r w:rsidR="00A93C36" w:rsidRPr="00A93C36">
        <w:rPr>
          <w:rFonts w:cs="Arial"/>
          <w:sz w:val="22"/>
          <w:lang w:val="es-CR"/>
        </w:rPr>
        <w:t>el</w:t>
      </w:r>
      <w:r w:rsidR="00A93C36">
        <w:rPr>
          <w:rFonts w:cs="Arial"/>
          <w:sz w:val="22"/>
          <w:lang w:val="es-CR"/>
        </w:rPr>
        <w:t xml:space="preserve"> </w:t>
      </w:r>
      <w:r w:rsidR="00A93C36" w:rsidRPr="00A93C36">
        <w:rPr>
          <w:rFonts w:cs="Arial"/>
          <w:sz w:val="22"/>
          <w:lang w:val="es-CR"/>
        </w:rPr>
        <w:t>tiempo.</w:t>
      </w:r>
    </w:p>
    <w:p w:rsidR="00885006" w:rsidRPr="00A93C36" w:rsidRDefault="007470B4" w:rsidP="00885006">
      <w:pPr>
        <w:spacing w:line="360" w:lineRule="auto"/>
        <w:jc w:val="both"/>
        <w:rPr>
          <w:rFonts w:cs="Arial"/>
          <w:sz w:val="22"/>
          <w:lang w:val="es-CR"/>
        </w:rPr>
      </w:pPr>
      <w:r>
        <w:rPr>
          <w:rFonts w:cs="Arial"/>
          <w:sz w:val="22"/>
          <w:lang w:val="es-CR"/>
        </w:rPr>
        <w:t>j</w:t>
      </w:r>
      <w:r w:rsidR="00885006">
        <w:rPr>
          <w:rFonts w:cs="Arial"/>
          <w:sz w:val="22"/>
          <w:lang w:val="es-CR"/>
        </w:rPr>
        <w:t xml:space="preserve">) </w:t>
      </w:r>
      <w:r w:rsidR="00885006" w:rsidRPr="00A93C36">
        <w:rPr>
          <w:rFonts w:cs="Arial"/>
          <w:sz w:val="22"/>
          <w:lang w:val="es-CR"/>
        </w:rPr>
        <w:t>Para</w:t>
      </w:r>
      <w:r w:rsidR="00885006">
        <w:rPr>
          <w:rFonts w:cs="Arial"/>
          <w:sz w:val="22"/>
          <w:lang w:val="es-CR"/>
        </w:rPr>
        <w:t xml:space="preserve"> a</w:t>
      </w:r>
      <w:r w:rsidR="00885006" w:rsidRPr="00A93C36">
        <w:rPr>
          <w:rFonts w:cs="Arial"/>
          <w:sz w:val="22"/>
          <w:lang w:val="es-CR"/>
        </w:rPr>
        <w:t>mbos</w:t>
      </w:r>
      <w:r w:rsidR="00885006">
        <w:rPr>
          <w:rFonts w:cs="Arial"/>
          <w:sz w:val="22"/>
          <w:lang w:val="es-CR"/>
        </w:rPr>
        <w:t xml:space="preserve"> </w:t>
      </w:r>
      <w:r w:rsidR="00885006" w:rsidRPr="00A93C36">
        <w:rPr>
          <w:rFonts w:cs="Arial"/>
          <w:sz w:val="22"/>
          <w:lang w:val="es-CR"/>
        </w:rPr>
        <w:t>proyectos,</w:t>
      </w:r>
      <w:r w:rsidR="00885006">
        <w:rPr>
          <w:rFonts w:cs="Arial"/>
          <w:sz w:val="22"/>
          <w:lang w:val="es-CR"/>
        </w:rPr>
        <w:t xml:space="preserve"> </w:t>
      </w:r>
      <w:r w:rsidR="00885006" w:rsidRPr="00A93C36">
        <w:rPr>
          <w:rFonts w:cs="Arial"/>
          <w:sz w:val="22"/>
          <w:lang w:val="es-CR"/>
        </w:rPr>
        <w:t>las</w:t>
      </w:r>
      <w:r w:rsidR="00885006">
        <w:rPr>
          <w:rFonts w:cs="Arial"/>
          <w:sz w:val="22"/>
          <w:lang w:val="es-CR"/>
        </w:rPr>
        <w:t xml:space="preserve"> </w:t>
      </w:r>
      <w:r w:rsidR="00885006" w:rsidRPr="00A93C36">
        <w:rPr>
          <w:rFonts w:cs="Arial"/>
          <w:sz w:val="22"/>
          <w:lang w:val="es-CR"/>
        </w:rPr>
        <w:t>opciones</w:t>
      </w:r>
      <w:r w:rsidR="00885006">
        <w:rPr>
          <w:rFonts w:cs="Arial"/>
          <w:sz w:val="22"/>
          <w:lang w:val="es-CR"/>
        </w:rPr>
        <w:t xml:space="preserve"> </w:t>
      </w:r>
      <w:r w:rsidR="00885006" w:rsidRPr="00A93C36">
        <w:rPr>
          <w:rFonts w:cs="Arial"/>
          <w:sz w:val="22"/>
          <w:lang w:val="es-CR"/>
        </w:rPr>
        <w:t>que</w:t>
      </w:r>
      <w:r w:rsidR="00885006">
        <w:rPr>
          <w:rFonts w:cs="Arial"/>
          <w:sz w:val="22"/>
          <w:lang w:val="es-CR"/>
        </w:rPr>
        <w:t xml:space="preserve"> </w:t>
      </w:r>
      <w:r w:rsidR="00885006" w:rsidRPr="00A93C36">
        <w:rPr>
          <w:rFonts w:cs="Arial"/>
          <w:sz w:val="22"/>
          <w:lang w:val="es-CR"/>
        </w:rPr>
        <w:t>más</w:t>
      </w:r>
      <w:r w:rsidR="00885006">
        <w:rPr>
          <w:rFonts w:cs="Arial"/>
          <w:sz w:val="22"/>
          <w:lang w:val="es-CR"/>
        </w:rPr>
        <w:t xml:space="preserve"> </w:t>
      </w:r>
      <w:r w:rsidR="00885006" w:rsidRPr="00A93C36">
        <w:rPr>
          <w:rFonts w:cs="Arial"/>
          <w:sz w:val="22"/>
          <w:lang w:val="es-CR"/>
        </w:rPr>
        <w:t>aptas</w:t>
      </w:r>
      <w:r w:rsidR="00885006">
        <w:rPr>
          <w:rFonts w:cs="Arial"/>
          <w:sz w:val="22"/>
          <w:lang w:val="es-CR"/>
        </w:rPr>
        <w:t xml:space="preserve">, </w:t>
      </w:r>
      <w:r w:rsidR="00885006" w:rsidRPr="00A93C36">
        <w:rPr>
          <w:rFonts w:cs="Arial"/>
          <w:sz w:val="22"/>
          <w:lang w:val="es-CR"/>
        </w:rPr>
        <w:t>según</w:t>
      </w:r>
      <w:r w:rsidR="00885006">
        <w:rPr>
          <w:rFonts w:cs="Arial"/>
          <w:sz w:val="22"/>
          <w:lang w:val="es-CR"/>
        </w:rPr>
        <w:t xml:space="preserve"> </w:t>
      </w:r>
      <w:r w:rsidR="00885006" w:rsidRPr="00A93C36">
        <w:rPr>
          <w:rFonts w:cs="Arial"/>
          <w:sz w:val="22"/>
          <w:lang w:val="es-CR"/>
        </w:rPr>
        <w:t>los</w:t>
      </w:r>
      <w:r w:rsidR="00885006">
        <w:rPr>
          <w:rFonts w:cs="Arial"/>
          <w:sz w:val="22"/>
          <w:lang w:val="es-CR"/>
        </w:rPr>
        <w:t xml:space="preserve"> </w:t>
      </w:r>
      <w:r w:rsidR="00885006" w:rsidRPr="00A93C36">
        <w:rPr>
          <w:rFonts w:cs="Arial"/>
          <w:sz w:val="22"/>
          <w:lang w:val="es-CR"/>
        </w:rPr>
        <w:t>criterios</w:t>
      </w:r>
      <w:r w:rsidR="00885006">
        <w:rPr>
          <w:rFonts w:cs="Arial"/>
          <w:sz w:val="22"/>
          <w:lang w:val="es-CR"/>
        </w:rPr>
        <w:t xml:space="preserve"> </w:t>
      </w:r>
      <w:r w:rsidR="00885006" w:rsidRPr="00A93C36">
        <w:rPr>
          <w:rFonts w:cs="Arial"/>
          <w:sz w:val="22"/>
          <w:lang w:val="es-CR"/>
        </w:rPr>
        <w:t>analizados</w:t>
      </w:r>
      <w:r w:rsidR="00885006">
        <w:rPr>
          <w:rFonts w:cs="Arial"/>
          <w:sz w:val="22"/>
          <w:lang w:val="es-CR"/>
        </w:rPr>
        <w:t xml:space="preserve">, </w:t>
      </w:r>
      <w:r w:rsidR="00885006" w:rsidRPr="00A93C36">
        <w:rPr>
          <w:rFonts w:cs="Arial"/>
          <w:sz w:val="22"/>
          <w:lang w:val="es-CR"/>
        </w:rPr>
        <w:t>son</w:t>
      </w:r>
      <w:r w:rsidR="00885006">
        <w:rPr>
          <w:rFonts w:cs="Arial"/>
          <w:sz w:val="22"/>
          <w:lang w:val="es-CR"/>
        </w:rPr>
        <w:t xml:space="preserve"> los sistemas constructivos </w:t>
      </w:r>
      <w:r w:rsidR="00885006" w:rsidRPr="00A93C36">
        <w:rPr>
          <w:rFonts w:cs="Arial"/>
          <w:sz w:val="22"/>
          <w:lang w:val="es-CR"/>
        </w:rPr>
        <w:t>Plyrock,</w:t>
      </w:r>
      <w:r w:rsidR="00885006" w:rsidRPr="0046032D">
        <w:rPr>
          <w:rFonts w:cs="Arial"/>
          <w:sz w:val="22"/>
          <w:lang w:val="es-CR"/>
        </w:rPr>
        <w:t xml:space="preserve"> </w:t>
      </w:r>
      <w:r w:rsidR="00885006" w:rsidRPr="00A93C36">
        <w:rPr>
          <w:rFonts w:cs="Arial"/>
          <w:sz w:val="22"/>
          <w:lang w:val="es-CR"/>
        </w:rPr>
        <w:t>Durock</w:t>
      </w:r>
      <w:r w:rsidR="00885006">
        <w:rPr>
          <w:rFonts w:cs="Arial"/>
          <w:sz w:val="22"/>
          <w:lang w:val="es-CR"/>
        </w:rPr>
        <w:t>,</w:t>
      </w:r>
      <w:r w:rsidR="00885006" w:rsidRPr="0046032D">
        <w:rPr>
          <w:rFonts w:cs="Arial"/>
          <w:sz w:val="22"/>
          <w:lang w:val="es-CR"/>
        </w:rPr>
        <w:t xml:space="preserve"> </w:t>
      </w:r>
      <w:r w:rsidR="00885006" w:rsidRPr="00A93C36">
        <w:rPr>
          <w:rFonts w:cs="Arial"/>
          <w:sz w:val="22"/>
          <w:lang w:val="es-CR"/>
        </w:rPr>
        <w:t>Denglass</w:t>
      </w:r>
      <w:r w:rsidR="00885006">
        <w:rPr>
          <w:rFonts w:cs="Arial"/>
          <w:sz w:val="22"/>
          <w:lang w:val="es-CR"/>
        </w:rPr>
        <w:t xml:space="preserve"> y </w:t>
      </w:r>
      <w:r w:rsidR="00885006" w:rsidRPr="00A93C36">
        <w:rPr>
          <w:rFonts w:cs="Arial"/>
          <w:sz w:val="22"/>
          <w:lang w:val="es-CR"/>
        </w:rPr>
        <w:t>el</w:t>
      </w:r>
      <w:r w:rsidR="00885006">
        <w:rPr>
          <w:rFonts w:cs="Arial"/>
          <w:sz w:val="22"/>
          <w:lang w:val="es-CR"/>
        </w:rPr>
        <w:t xml:space="preserve"> </w:t>
      </w:r>
      <w:r w:rsidR="00885006" w:rsidRPr="00A93C36">
        <w:rPr>
          <w:rFonts w:cs="Arial"/>
          <w:sz w:val="22"/>
          <w:lang w:val="es-CR"/>
        </w:rPr>
        <w:t>sistema</w:t>
      </w:r>
      <w:r w:rsidR="00885006">
        <w:rPr>
          <w:rFonts w:cs="Arial"/>
          <w:sz w:val="22"/>
          <w:lang w:val="es-CR"/>
        </w:rPr>
        <w:t xml:space="preserve"> de paredes de concreto reforzado</w:t>
      </w:r>
      <w:r w:rsidR="00885006" w:rsidRPr="00A93C36">
        <w:rPr>
          <w:rFonts w:cs="Arial"/>
          <w:sz w:val="22"/>
          <w:lang w:val="es-CR"/>
        </w:rPr>
        <w:t>.</w:t>
      </w:r>
    </w:p>
    <w:p w:rsidR="00A93C36" w:rsidRDefault="00A93C36"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470B4">
        <w:rPr>
          <w:rFonts w:cs="Arial"/>
          <w:sz w:val="22"/>
          <w:u w:val="single"/>
          <w:lang w:val="es-ES_tradnl"/>
        </w:rPr>
        <w:t>61</w:t>
      </w:r>
      <w:r w:rsidRPr="00A25DB7">
        <w:rPr>
          <w:rFonts w:cs="Arial"/>
          <w:sz w:val="22"/>
          <w:u w:val="single"/>
          <w:lang w:val="es-ES_tradnl"/>
        </w:rPr>
        <w:t>:</w:t>
      </w:r>
      <w:r w:rsidR="007470B4">
        <w:rPr>
          <w:rFonts w:cs="Arial"/>
          <w:sz w:val="22"/>
          <w:u w:val="single"/>
          <w:lang w:val="es-ES_tradnl"/>
        </w:rPr>
        <w:t>20</w:t>
      </w:r>
      <w:r>
        <w:rPr>
          <w:rFonts w:cs="Arial"/>
          <w:sz w:val="22"/>
          <w:lang w:val="es-ES_tradnl"/>
        </w:rPr>
        <w:t xml:space="preserve"> </w:t>
      </w:r>
      <w:r w:rsidR="007470B4">
        <w:rPr>
          <w:rFonts w:cs="Arial"/>
          <w:sz w:val="22"/>
          <w:lang w:val="es-ES_tradnl"/>
        </w:rPr>
        <w:t>Los representantes del CIVCO</w:t>
      </w:r>
      <w:r w:rsidR="007470B4">
        <w:rPr>
          <w:rFonts w:cs="Arial"/>
          <w:iCs/>
          <w:sz w:val="22"/>
        </w:rPr>
        <w:t xml:space="preserve"> atienden una consulta de la Directora Presidenta, sobre las posibles causas de los daños observados durante la inspección.</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7470B4">
        <w:rPr>
          <w:rFonts w:cs="Arial"/>
          <w:sz w:val="22"/>
          <w:u w:val="single"/>
          <w:lang w:val="es-ES_tradnl"/>
        </w:rPr>
        <w:t>64</w:t>
      </w:r>
      <w:r w:rsidRPr="0039311E">
        <w:rPr>
          <w:rFonts w:cs="Arial"/>
          <w:sz w:val="22"/>
          <w:u w:val="single"/>
          <w:lang w:val="es-ES_tradnl"/>
        </w:rPr>
        <w:t>:</w:t>
      </w:r>
      <w:r w:rsidR="007470B4">
        <w:rPr>
          <w:rFonts w:cs="Arial"/>
          <w:sz w:val="22"/>
          <w:u w:val="single"/>
          <w:lang w:val="es-ES_tradnl"/>
        </w:rPr>
        <w:t>20</w:t>
      </w:r>
      <w:r>
        <w:rPr>
          <w:rFonts w:cs="Arial"/>
          <w:sz w:val="22"/>
          <w:lang w:val="es-ES_tradnl"/>
        </w:rPr>
        <w:t xml:space="preserve"> </w:t>
      </w:r>
      <w:r w:rsidR="007470B4">
        <w:rPr>
          <w:rFonts w:cs="Arial"/>
          <w:sz w:val="22"/>
          <w:lang w:val="es-ES_tradnl"/>
        </w:rPr>
        <w:t xml:space="preserve">El licenciado </w:t>
      </w:r>
      <w:r w:rsidR="00F54BA4">
        <w:rPr>
          <w:rFonts w:cs="Arial"/>
          <w:sz w:val="22"/>
          <w:lang w:val="es-ES_tradnl"/>
        </w:rPr>
        <w:t xml:space="preserve">Chavarría Torres señala que </w:t>
      </w:r>
      <w:r w:rsidR="001E79E0">
        <w:rPr>
          <w:rFonts w:cs="Arial"/>
          <w:sz w:val="22"/>
          <w:lang w:val="es-ES_tradnl"/>
        </w:rPr>
        <w:t xml:space="preserve">a partir de este estudio, </w:t>
      </w:r>
      <w:r w:rsidR="007470B4">
        <w:rPr>
          <w:rFonts w:cs="Arial"/>
          <w:sz w:val="22"/>
          <w:lang w:val="es-ES_tradnl"/>
        </w:rPr>
        <w:t xml:space="preserve">el paso a seguir es que el BANHVI se pronuncie sobre la propuesta que plantea el CIVCO, de forma tal que si </w:t>
      </w:r>
      <w:r w:rsidR="001E79E0">
        <w:rPr>
          <w:rFonts w:cs="Arial"/>
          <w:sz w:val="22"/>
          <w:lang w:val="es-ES_tradnl"/>
        </w:rPr>
        <w:t xml:space="preserve">se </w:t>
      </w:r>
      <w:r w:rsidR="007470B4">
        <w:rPr>
          <w:rFonts w:cs="Arial"/>
          <w:sz w:val="22"/>
          <w:szCs w:val="22"/>
          <w:lang w:val="es-ES_tradnl"/>
        </w:rPr>
        <w:t>avala</w:t>
      </w:r>
      <w:r w:rsidR="001E79E0">
        <w:rPr>
          <w:rFonts w:cs="Arial"/>
          <w:sz w:val="22"/>
          <w:szCs w:val="22"/>
          <w:lang w:val="es-ES_tradnl"/>
        </w:rPr>
        <w:t>n</w:t>
      </w:r>
      <w:r w:rsidR="007470B4">
        <w:rPr>
          <w:rFonts w:cs="Arial"/>
          <w:sz w:val="22"/>
          <w:szCs w:val="22"/>
          <w:lang w:val="es-ES_tradnl"/>
        </w:rPr>
        <w:t xml:space="preserve"> las recomendaciones, el Banco de Costa Rica procedería a </w:t>
      </w:r>
      <w:r w:rsidR="001E79E0">
        <w:rPr>
          <w:rFonts w:cs="Arial"/>
          <w:sz w:val="22"/>
          <w:lang w:val="es-ES_tradnl"/>
        </w:rPr>
        <w:t>contratar los servicios de consultoría del diseño y construcción de las obras.</w:t>
      </w:r>
    </w:p>
    <w:p w:rsidR="009D03FE" w:rsidRDefault="009D03FE" w:rsidP="009D03FE">
      <w:pPr>
        <w:spacing w:line="360" w:lineRule="auto"/>
        <w:jc w:val="both"/>
        <w:rPr>
          <w:rFonts w:cs="Arial"/>
          <w:sz w:val="22"/>
          <w:lang w:val="es-ES_tradnl"/>
        </w:rPr>
      </w:pPr>
    </w:p>
    <w:p w:rsidR="00AD542C"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32B86">
        <w:rPr>
          <w:rFonts w:cs="Arial"/>
          <w:sz w:val="22"/>
          <w:u w:val="single"/>
          <w:lang w:val="es-ES_tradnl"/>
        </w:rPr>
        <w:t>70</w:t>
      </w:r>
      <w:r w:rsidRPr="00A25DB7">
        <w:rPr>
          <w:rFonts w:cs="Arial"/>
          <w:sz w:val="22"/>
          <w:u w:val="single"/>
          <w:lang w:val="es-ES_tradnl"/>
        </w:rPr>
        <w:t>:</w:t>
      </w:r>
      <w:r w:rsidR="00F32B86">
        <w:rPr>
          <w:rFonts w:cs="Arial"/>
          <w:sz w:val="22"/>
          <w:u w:val="single"/>
          <w:lang w:val="es-ES_tradnl"/>
        </w:rPr>
        <w:t>45</w:t>
      </w:r>
      <w:r>
        <w:rPr>
          <w:rFonts w:cs="Arial"/>
          <w:sz w:val="22"/>
          <w:lang w:val="es-ES_tradnl"/>
        </w:rPr>
        <w:t xml:space="preserve"> </w:t>
      </w:r>
      <w:r w:rsidR="00AD542C">
        <w:rPr>
          <w:rFonts w:cs="Arial"/>
          <w:sz w:val="22"/>
          <w:lang w:val="es-ES_tradnl"/>
        </w:rPr>
        <w:t xml:space="preserve">Se retiran de la sesión los señores </w:t>
      </w:r>
      <w:r w:rsidR="00AD542C" w:rsidRPr="00253664">
        <w:rPr>
          <w:rFonts w:cs="Arial"/>
          <w:iCs/>
          <w:sz w:val="22"/>
        </w:rPr>
        <w:t>Chavarría Torres</w:t>
      </w:r>
      <w:r w:rsidR="00AD542C">
        <w:rPr>
          <w:rFonts w:cs="Arial"/>
          <w:iCs/>
          <w:sz w:val="22"/>
        </w:rPr>
        <w:t>,</w:t>
      </w:r>
      <w:r w:rsidR="00AD542C" w:rsidRPr="00253664">
        <w:rPr>
          <w:rFonts w:cs="Arial"/>
          <w:iCs/>
          <w:sz w:val="22"/>
        </w:rPr>
        <w:t xml:space="preserve"> Becerra Cotti</w:t>
      </w:r>
      <w:r w:rsidR="00AD542C">
        <w:rPr>
          <w:rFonts w:cs="Arial"/>
          <w:iCs/>
          <w:sz w:val="22"/>
        </w:rPr>
        <w:t>, Vargas Calderón, Monge Leiva, Ortiz Quesada, Salas Rodríguez y Mendoza Alfaro</w:t>
      </w:r>
      <w:r w:rsidR="00F32B86">
        <w:rPr>
          <w:rFonts w:cs="Arial"/>
          <w:iCs/>
          <w:sz w:val="22"/>
        </w:rPr>
        <w:t xml:space="preserve">; y considerando la complejidad del tema, la </w:t>
      </w:r>
      <w:r w:rsidR="00F32B86">
        <w:rPr>
          <w:rFonts w:cs="Arial"/>
          <w:iCs/>
          <w:sz w:val="22"/>
          <w:szCs w:val="22"/>
        </w:rPr>
        <w:t>Junta Directiva resuelve retomar la discusión de este asunto en la sesión del próximo jueves 18 de julio.</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483C65" w:rsidRPr="00483C65">
        <w:rPr>
          <w:rFonts w:cs="Arial"/>
          <w:b/>
          <w:sz w:val="22"/>
          <w:u w:val="single"/>
          <w:lang w:val="es-ES_tradnl"/>
        </w:rPr>
        <w:t>Propuesta de ajuste de las condiciones del Bono Familiar de Vivienda y al Tope de Vivienda de Interés Social, a efectos del “Programa integral de acceso a la vivienda para las familias de ingresos medios”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67C0B">
        <w:rPr>
          <w:rFonts w:cs="Arial"/>
          <w:sz w:val="22"/>
          <w:u w:val="single"/>
          <w:lang w:val="es-ES_tradnl"/>
        </w:rPr>
        <w:t>73</w:t>
      </w:r>
      <w:r w:rsidRPr="0039311E">
        <w:rPr>
          <w:rFonts w:cs="Arial"/>
          <w:sz w:val="22"/>
          <w:u w:val="single"/>
          <w:lang w:val="es-ES_tradnl"/>
        </w:rPr>
        <w:t>:</w:t>
      </w:r>
      <w:r w:rsidR="00667C0B">
        <w:rPr>
          <w:rFonts w:cs="Arial"/>
          <w:sz w:val="22"/>
          <w:u w:val="single"/>
          <w:lang w:val="es-ES_tradnl"/>
        </w:rPr>
        <w:t>05</w:t>
      </w:r>
      <w:r>
        <w:rPr>
          <w:rFonts w:cs="Arial"/>
          <w:sz w:val="22"/>
          <w:lang w:val="es-ES_tradnl"/>
        </w:rPr>
        <w:t xml:space="preserve"> Se conoce el oficio </w:t>
      </w:r>
      <w:r w:rsidR="00C52DCF">
        <w:rPr>
          <w:rFonts w:cs="Arial"/>
          <w:sz w:val="22"/>
          <w:lang w:val="es-ES_tradnl"/>
        </w:rPr>
        <w:t xml:space="preserve">GG-ME-0736-2019 del 12 de julio de 2019, mediante el cual, atendiendo lo dispuesto en el acuerdo N° 12 de la sesión 46-2019 del 17 de junio de 2019, la </w:t>
      </w:r>
      <w:r w:rsidR="00C52DCF" w:rsidRPr="00C52DCF">
        <w:rPr>
          <w:rFonts w:cs="Arial"/>
          <w:sz w:val="22"/>
          <w:szCs w:val="22"/>
          <w:lang w:val="es-ES_tradnl"/>
        </w:rPr>
        <w:t>Gerencia General</w:t>
      </w:r>
      <w:r w:rsidR="00C52DCF">
        <w:rPr>
          <w:rFonts w:cs="Arial"/>
          <w:sz w:val="22"/>
          <w:szCs w:val="22"/>
          <w:lang w:val="es-ES_tradnl"/>
        </w:rPr>
        <w:t xml:space="preserve"> remite y avala el informe DF-OF-0800-2019 de la Dirección FOSUVI, que </w:t>
      </w:r>
      <w:r w:rsidR="001F2665">
        <w:rPr>
          <w:rFonts w:cs="Arial"/>
          <w:sz w:val="22"/>
          <w:szCs w:val="22"/>
          <w:lang w:val="es-ES_tradnl"/>
        </w:rPr>
        <w:t xml:space="preserve">contiene una propuesta </w:t>
      </w:r>
      <w:r w:rsidR="001F2665">
        <w:rPr>
          <w:rFonts w:cs="Arial"/>
          <w:sz w:val="22"/>
          <w:szCs w:val="22"/>
        </w:rPr>
        <w:t xml:space="preserve">de ajuste al monto del </w:t>
      </w:r>
      <w:r w:rsidR="001F2665" w:rsidRPr="001C27B6">
        <w:rPr>
          <w:rFonts w:cs="Arial"/>
          <w:color w:val="000000"/>
          <w:sz w:val="22"/>
          <w:szCs w:val="22"/>
          <w:lang w:val="es-CR"/>
        </w:rPr>
        <w:t>Bono Familiar de Vivienda</w:t>
      </w:r>
      <w:r w:rsidR="001F2665">
        <w:rPr>
          <w:rFonts w:cs="Arial"/>
          <w:color w:val="000000"/>
          <w:sz w:val="22"/>
          <w:szCs w:val="22"/>
          <w:lang w:val="es-CR"/>
        </w:rPr>
        <w:t>, así como al tope de vivienda de interés social, orientada a que las familias de los estratos comprendidos entre el 2 y 6, según</w:t>
      </w:r>
      <w:r w:rsidR="001F2665">
        <w:rPr>
          <w:rFonts w:cs="Arial"/>
          <w:sz w:val="22"/>
          <w:szCs w:val="22"/>
          <w:lang w:val="es-ES_tradnl"/>
        </w:rPr>
        <w:t xml:space="preserve"> se establecen en la Ley 7052, cuenten con un incentivo y mayores facilidades para adquirir una soluci</w:t>
      </w:r>
      <w:r w:rsidR="007F67FA">
        <w:rPr>
          <w:rFonts w:cs="Arial"/>
          <w:sz w:val="22"/>
          <w:szCs w:val="22"/>
          <w:lang w:val="es-ES_tradnl"/>
        </w:rPr>
        <w:t>ón habitacional</w:t>
      </w:r>
      <w:r w:rsidR="001F2665">
        <w:rPr>
          <w:rFonts w:cs="Arial"/>
          <w:sz w:val="22"/>
          <w:szCs w:val="22"/>
          <w:lang w:val="es-ES_tradnl"/>
        </w:rPr>
        <w:t>.</w:t>
      </w:r>
      <w:r w:rsidR="007F67FA">
        <w:rPr>
          <w:rFonts w:cs="Arial"/>
          <w:sz w:val="22"/>
          <w:szCs w:val="22"/>
          <w:lang w:val="es-ES_tradnl"/>
        </w:rPr>
        <w:t xml:space="preserve">  Dichos documentos se adjuntan al expediente del acta.</w:t>
      </w:r>
    </w:p>
    <w:p w:rsidR="009D03FE" w:rsidRDefault="009D03FE" w:rsidP="009D03FE">
      <w:pPr>
        <w:spacing w:line="360" w:lineRule="auto"/>
        <w:jc w:val="both"/>
        <w:rPr>
          <w:rFonts w:cs="Arial"/>
          <w:sz w:val="22"/>
          <w:szCs w:val="22"/>
        </w:rPr>
      </w:pPr>
    </w:p>
    <w:p w:rsidR="007F67FA" w:rsidRDefault="007F67FA" w:rsidP="009D03FE">
      <w:pPr>
        <w:spacing w:line="360" w:lineRule="auto"/>
        <w:jc w:val="both"/>
        <w:rPr>
          <w:rFonts w:cs="Arial"/>
          <w:sz w:val="22"/>
          <w:szCs w:val="22"/>
        </w:rPr>
      </w:pPr>
      <w:r>
        <w:rPr>
          <w:rFonts w:cs="Arial"/>
          <w:sz w:val="22"/>
          <w:szCs w:val="22"/>
        </w:rPr>
        <w:t xml:space="preserve">Para atender eventuales consultas de carácter técnico sobre éste y el siguiente tema, se incorporan a la sesión los </w:t>
      </w:r>
      <w:r w:rsidR="003E4528">
        <w:rPr>
          <w:rFonts w:cs="Arial"/>
          <w:sz w:val="22"/>
          <w:szCs w:val="22"/>
        </w:rPr>
        <w:t>funcionarios Alexis Solano Montero, jefe del Departamento de Análisis y Control; y Tricia Hernández Brenes, Directora del FONAVI.</w:t>
      </w:r>
    </w:p>
    <w:p w:rsidR="007F67FA" w:rsidRDefault="007F67FA" w:rsidP="009D03FE">
      <w:pPr>
        <w:spacing w:line="360" w:lineRule="auto"/>
        <w:jc w:val="both"/>
        <w:rPr>
          <w:rFonts w:cs="Arial"/>
          <w:sz w:val="22"/>
          <w:szCs w:val="22"/>
        </w:rPr>
      </w:pPr>
    </w:p>
    <w:p w:rsidR="007F67FA" w:rsidRDefault="003E4528" w:rsidP="009D03FE">
      <w:pPr>
        <w:spacing w:line="360" w:lineRule="auto"/>
        <w:jc w:val="both"/>
        <w:rPr>
          <w:rFonts w:cs="Arial"/>
          <w:sz w:val="22"/>
          <w:szCs w:val="22"/>
        </w:rPr>
      </w:pPr>
      <w:r>
        <w:rPr>
          <w:rFonts w:cs="Arial"/>
          <w:sz w:val="22"/>
          <w:szCs w:val="22"/>
        </w:rPr>
        <w:t xml:space="preserve">La licenciada Camacho Murillo expone la justificación y los alcances de la referida propuesta, </w:t>
      </w:r>
      <w:r w:rsidR="0085710B">
        <w:rPr>
          <w:rFonts w:cs="Arial"/>
          <w:sz w:val="22"/>
          <w:szCs w:val="22"/>
        </w:rPr>
        <w:t>incluyendo la metodología de cálculo del nuevo monto de bono para cada estrato y el impacto presupuestario de los ajustes recomendados, así como el ajuste que se plantea al tope de vivienda de interés social.</w:t>
      </w:r>
    </w:p>
    <w:p w:rsidR="003E4528" w:rsidRDefault="003E4528" w:rsidP="009D03FE">
      <w:pPr>
        <w:spacing w:line="360" w:lineRule="auto"/>
        <w:jc w:val="both"/>
        <w:rPr>
          <w:rFonts w:cs="Arial"/>
          <w:sz w:val="22"/>
          <w:szCs w:val="22"/>
        </w:rPr>
      </w:pPr>
    </w:p>
    <w:p w:rsidR="007F62AA" w:rsidRDefault="00F5239B" w:rsidP="007F62AA">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101</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Concluida la exposición de la propuesta de la </w:t>
      </w:r>
      <w:r w:rsidRPr="00F5239B">
        <w:rPr>
          <w:rFonts w:cs="Arial"/>
          <w:sz w:val="22"/>
          <w:szCs w:val="22"/>
          <w:lang w:val="es-ES_tradnl"/>
        </w:rPr>
        <w:t>Administración</w:t>
      </w:r>
      <w:r>
        <w:rPr>
          <w:rFonts w:cs="Arial"/>
          <w:sz w:val="22"/>
          <w:szCs w:val="22"/>
          <w:lang w:val="es-ES_tradnl"/>
        </w:rPr>
        <w:t xml:space="preserve">, la </w:t>
      </w:r>
      <w:r w:rsidRPr="00F5239B">
        <w:rPr>
          <w:rFonts w:cs="Arial"/>
          <w:sz w:val="22"/>
          <w:szCs w:val="22"/>
          <w:lang w:val="es-ES_tradnl"/>
        </w:rPr>
        <w:t xml:space="preserve">Junta Directiva </w:t>
      </w:r>
      <w:r>
        <w:rPr>
          <w:rFonts w:cs="Arial"/>
          <w:sz w:val="22"/>
          <w:szCs w:val="22"/>
          <w:lang w:val="es-ES_tradnl"/>
        </w:rPr>
        <w:t xml:space="preserve">procede a analizar </w:t>
      </w:r>
      <w:r w:rsidR="00DE5F1F">
        <w:rPr>
          <w:rFonts w:cs="Arial"/>
          <w:sz w:val="22"/>
          <w:szCs w:val="22"/>
          <w:lang w:val="es-ES_tradnl"/>
        </w:rPr>
        <w:t xml:space="preserve">ampliamente </w:t>
      </w:r>
      <w:r>
        <w:rPr>
          <w:rFonts w:cs="Arial"/>
          <w:sz w:val="22"/>
          <w:szCs w:val="22"/>
          <w:lang w:val="es-ES_tradnl"/>
        </w:rPr>
        <w:t>el documento presentado, solicitando las aclaraciones que se consideran pertinentes sobre los resultados esperados</w:t>
      </w:r>
      <w:r w:rsidR="00DE5F1F">
        <w:rPr>
          <w:rFonts w:cs="Arial"/>
          <w:sz w:val="22"/>
          <w:szCs w:val="22"/>
          <w:lang w:val="es-ES_tradnl"/>
        </w:rPr>
        <w:t xml:space="preserve">, así como con respecto a </w:t>
      </w:r>
      <w:r>
        <w:rPr>
          <w:rFonts w:cs="Arial"/>
          <w:sz w:val="22"/>
          <w:szCs w:val="22"/>
          <w:lang w:val="es-ES_tradnl"/>
        </w:rPr>
        <w:t>los efectos de la propuesta para que el BANHVI no revise los casos de bono con crédito</w:t>
      </w:r>
      <w:r w:rsidR="007F62AA">
        <w:rPr>
          <w:rFonts w:cs="Arial"/>
          <w:sz w:val="22"/>
          <w:szCs w:val="22"/>
          <w:lang w:val="es-ES_tradnl"/>
        </w:rPr>
        <w:t>. Y en este sentido, se</w:t>
      </w:r>
      <w:r w:rsidR="00701E3B">
        <w:rPr>
          <w:rFonts w:cs="Arial"/>
          <w:sz w:val="22"/>
          <w:szCs w:val="22"/>
          <w:lang w:val="es-ES_tradnl"/>
        </w:rPr>
        <w:t xml:space="preserve"> </w:t>
      </w:r>
      <w:r w:rsidR="007F62AA">
        <w:rPr>
          <w:rFonts w:cs="Arial"/>
          <w:sz w:val="22"/>
          <w:szCs w:val="22"/>
          <w:lang w:val="es-ES_tradnl"/>
        </w:rPr>
        <w:t xml:space="preserve">valora además </w:t>
      </w:r>
      <w:r w:rsidR="00D70FEB">
        <w:rPr>
          <w:rFonts w:cs="Arial"/>
          <w:sz w:val="22"/>
          <w:szCs w:val="22"/>
          <w:lang w:val="es-ES_tradnl"/>
        </w:rPr>
        <w:t>la</w:t>
      </w:r>
      <w:r w:rsidR="00701E3B">
        <w:rPr>
          <w:rFonts w:cs="Arial"/>
          <w:sz w:val="22"/>
          <w:szCs w:val="22"/>
          <w:lang w:val="es-ES_tradnl"/>
        </w:rPr>
        <w:t xml:space="preserve"> </w:t>
      </w:r>
      <w:r w:rsidR="00D70FEB">
        <w:rPr>
          <w:rFonts w:cs="Arial"/>
          <w:sz w:val="22"/>
          <w:szCs w:val="22"/>
          <w:lang w:val="es-ES_tradnl"/>
        </w:rPr>
        <w:t xml:space="preserve">inquietud </w:t>
      </w:r>
      <w:r w:rsidR="007F62AA">
        <w:rPr>
          <w:rFonts w:cs="Arial"/>
          <w:sz w:val="22"/>
          <w:szCs w:val="22"/>
          <w:lang w:val="es-ES_tradnl"/>
        </w:rPr>
        <w:t>del licenciado Solano Montero</w:t>
      </w:r>
      <w:r w:rsidR="00D70FEB">
        <w:rPr>
          <w:rFonts w:cs="Arial"/>
          <w:sz w:val="22"/>
          <w:szCs w:val="22"/>
          <w:lang w:val="es-ES_tradnl"/>
        </w:rPr>
        <w:t xml:space="preserve"> sobre la revisión de casos con bono mayor al crédito</w:t>
      </w:r>
      <w:r w:rsidR="007F62AA">
        <w:rPr>
          <w:rFonts w:cs="Arial"/>
          <w:sz w:val="22"/>
          <w:szCs w:val="22"/>
          <w:lang w:val="es-ES_tradnl"/>
        </w:rPr>
        <w:t xml:space="preserve">, así como una propuesta del Director </w:t>
      </w:r>
      <w:r w:rsidR="007F62AA" w:rsidRPr="007F62AA">
        <w:rPr>
          <w:rFonts w:cs="Arial"/>
          <w:sz w:val="22"/>
          <w:szCs w:val="22"/>
          <w:lang w:val="es-CR"/>
        </w:rPr>
        <w:t>Alvarado Herrera</w:t>
      </w:r>
      <w:r w:rsidR="007F62AA">
        <w:rPr>
          <w:rFonts w:cs="Arial"/>
          <w:sz w:val="22"/>
          <w:szCs w:val="22"/>
          <w:lang w:val="es-CR"/>
        </w:rPr>
        <w:t xml:space="preserve">, para que, según las justificaciones que detalla, se suprima </w:t>
      </w:r>
      <w:r w:rsidR="007F62AA">
        <w:rPr>
          <w:rFonts w:cs="Arial"/>
          <w:sz w:val="22"/>
          <w:szCs w:val="22"/>
        </w:rPr>
        <w:t>la exigencia del aporte familiar como complemento al crédito.</w:t>
      </w:r>
    </w:p>
    <w:p w:rsidR="003E4528" w:rsidRDefault="003E4528" w:rsidP="009D03FE">
      <w:pPr>
        <w:spacing w:line="360" w:lineRule="auto"/>
        <w:jc w:val="both"/>
        <w:rPr>
          <w:rFonts w:cs="Arial"/>
          <w:sz w:val="22"/>
          <w:szCs w:val="22"/>
        </w:rPr>
      </w:pPr>
    </w:p>
    <w:p w:rsidR="0022738E" w:rsidRDefault="0022738E" w:rsidP="0022738E">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147</w:t>
      </w:r>
      <w:r w:rsidRPr="00A25DB7">
        <w:rPr>
          <w:rFonts w:cs="Arial"/>
          <w:sz w:val="22"/>
          <w:u w:val="single"/>
          <w:lang w:val="es-ES_tradnl"/>
        </w:rPr>
        <w:t>:</w:t>
      </w:r>
      <w:r>
        <w:rPr>
          <w:rFonts w:cs="Arial"/>
          <w:sz w:val="22"/>
          <w:u w:val="single"/>
          <w:lang w:val="es-ES_tradnl"/>
        </w:rPr>
        <w:t>30</w:t>
      </w:r>
      <w:r>
        <w:rPr>
          <w:rFonts w:cs="Arial"/>
          <w:sz w:val="22"/>
          <w:lang w:val="es-ES_tradnl"/>
        </w:rPr>
        <w:t xml:space="preserve"> De conformidad con el análisis efectuado, la </w:t>
      </w:r>
      <w:r>
        <w:rPr>
          <w:rFonts w:cs="Arial"/>
          <w:sz w:val="22"/>
          <w:szCs w:val="22"/>
          <w:lang w:val="es-ES_tradnl"/>
        </w:rPr>
        <w:t xml:space="preserve">Junta Directiva resuelve acoger la recomendación de la </w:t>
      </w:r>
      <w:r w:rsidRPr="0022738E">
        <w:rPr>
          <w:rFonts w:cs="Arial"/>
          <w:sz w:val="22"/>
          <w:szCs w:val="22"/>
          <w:lang w:val="es-ES_tradnl"/>
        </w:rPr>
        <w:t>Administración</w:t>
      </w:r>
      <w:r>
        <w:rPr>
          <w:rFonts w:cs="Arial"/>
          <w:sz w:val="22"/>
          <w:szCs w:val="22"/>
          <w:lang w:val="es-ES_tradnl"/>
        </w:rPr>
        <w:t>, con las siguientes modificaciones:</w:t>
      </w:r>
    </w:p>
    <w:p w:rsidR="0022738E" w:rsidRDefault="0022738E" w:rsidP="0022738E">
      <w:pPr>
        <w:spacing w:line="360" w:lineRule="auto"/>
        <w:jc w:val="both"/>
        <w:rPr>
          <w:rFonts w:cs="Arial"/>
          <w:sz w:val="22"/>
          <w:szCs w:val="22"/>
        </w:rPr>
      </w:pPr>
      <w:r>
        <w:rPr>
          <w:rFonts w:cs="Arial"/>
          <w:sz w:val="22"/>
          <w:szCs w:val="22"/>
        </w:rPr>
        <w:t>a) Establecer la obligación de revisar los expedientes de las solicitudes de subsidio cuando el monto del bono sea superior al monto del crédito, de forma tal que se garantice la verificación de las operaciones constituidas mayoritariamente con recursos del FOSUVI.</w:t>
      </w:r>
    </w:p>
    <w:p w:rsidR="0022738E" w:rsidRDefault="0022738E" w:rsidP="0022738E">
      <w:pPr>
        <w:spacing w:line="360" w:lineRule="auto"/>
        <w:jc w:val="both"/>
        <w:rPr>
          <w:rFonts w:cs="Arial"/>
          <w:sz w:val="22"/>
          <w:szCs w:val="22"/>
        </w:rPr>
      </w:pPr>
      <w:r>
        <w:rPr>
          <w:rFonts w:cs="Arial"/>
          <w:sz w:val="22"/>
          <w:szCs w:val="22"/>
        </w:rPr>
        <w:t xml:space="preserve">b) Suprimir la exigencia del aporte familiar como complemento al crédito, en el tanto este requerimiento afectaría directamente a las familias que dispongan de una opción para adquirir un inmueble y tengan capacidad para asumir el crédito complementario al bono, pero que no cuenten de forma inmediata con el monto del ahorro que se propone (que en la mayoría de los estratos supera los ¢2 millones).  No obstante, dado que el Gobierno de la República ha establecido como estrategia nacional un programa de Educación Financiera, del cual forma parte el BANHVI y que pretende promover las sanas finanzas personales y familiares, a través de este programa se incentivará la cultura del ahorro familiar y el entendimiento sobre la </w:t>
      </w:r>
      <w:r w:rsidRPr="005F05DC">
        <w:rPr>
          <w:rFonts w:cs="Arial"/>
          <w:sz w:val="22"/>
          <w:szCs w:val="22"/>
          <w:lang w:val="es-CR"/>
        </w:rPr>
        <w:t>importancia de</w:t>
      </w:r>
      <w:r>
        <w:rPr>
          <w:rFonts w:cs="Arial"/>
          <w:sz w:val="22"/>
          <w:szCs w:val="22"/>
          <w:lang w:val="es-CR"/>
        </w:rPr>
        <w:t xml:space="preserve"> la cultura de</w:t>
      </w:r>
      <w:r w:rsidRPr="005F05DC">
        <w:rPr>
          <w:rFonts w:cs="Arial"/>
          <w:sz w:val="22"/>
          <w:szCs w:val="22"/>
          <w:lang w:val="es-CR"/>
        </w:rPr>
        <w:t>l ahorro</w:t>
      </w:r>
      <w:r w:rsidRPr="00717685">
        <w:rPr>
          <w:rFonts w:cs="Arial"/>
          <w:sz w:val="22"/>
          <w:szCs w:val="22"/>
          <w:lang w:val="es-CR"/>
        </w:rPr>
        <w:t xml:space="preserve"> </w:t>
      </w:r>
      <w:r>
        <w:rPr>
          <w:rFonts w:cs="Arial"/>
          <w:sz w:val="22"/>
          <w:szCs w:val="22"/>
          <w:lang w:val="es-CR"/>
        </w:rPr>
        <w:t xml:space="preserve">familiar, entre otras cosas, </w:t>
      </w:r>
      <w:r w:rsidRPr="005F05DC">
        <w:rPr>
          <w:rFonts w:cs="Arial"/>
          <w:sz w:val="22"/>
          <w:szCs w:val="22"/>
          <w:lang w:val="es-CR"/>
        </w:rPr>
        <w:t xml:space="preserve">para </w:t>
      </w:r>
      <w:r>
        <w:rPr>
          <w:rFonts w:cs="Arial"/>
          <w:sz w:val="22"/>
          <w:szCs w:val="22"/>
          <w:lang w:val="es-CR"/>
        </w:rPr>
        <w:t xml:space="preserve">facilitar el acceso a </w:t>
      </w:r>
      <w:r w:rsidRPr="005F05DC">
        <w:rPr>
          <w:rFonts w:cs="Arial"/>
          <w:sz w:val="22"/>
          <w:szCs w:val="22"/>
          <w:lang w:val="es-CR"/>
        </w:rPr>
        <w:t>crédito</w:t>
      </w:r>
      <w:r>
        <w:rPr>
          <w:rFonts w:cs="Arial"/>
          <w:sz w:val="22"/>
          <w:szCs w:val="22"/>
          <w:lang w:val="es-CR"/>
        </w:rPr>
        <w:t>s de vivienda en condiciones más favorables.</w:t>
      </w:r>
    </w:p>
    <w:p w:rsidR="0022738E" w:rsidRDefault="0022738E" w:rsidP="0022738E">
      <w:pPr>
        <w:spacing w:line="360" w:lineRule="auto"/>
        <w:jc w:val="both"/>
        <w:rPr>
          <w:rFonts w:cs="Arial"/>
          <w:sz w:val="22"/>
          <w:szCs w:val="22"/>
        </w:rPr>
      </w:pPr>
      <w:r>
        <w:rPr>
          <w:rFonts w:cs="Arial"/>
          <w:sz w:val="22"/>
          <w:szCs w:val="22"/>
        </w:rPr>
        <w:t xml:space="preserve">c) Ajustar el monto del Tope de Vivienda de Interés Social, a la suma de hasta ¢65.801.000,00, que corresponde al monto máximo de la solución de vivienda del estrato 6, considerando un crédito a un plazo de 360 meses, con una tasa de interés del 8,50% anual y una relación cuota/ingreso del 35%. </w:t>
      </w:r>
    </w:p>
    <w:p w:rsidR="007F62AA" w:rsidRDefault="007F62AA" w:rsidP="009D03FE">
      <w:pPr>
        <w:spacing w:line="360" w:lineRule="auto"/>
        <w:jc w:val="both"/>
        <w:rPr>
          <w:rFonts w:cs="Arial"/>
          <w:sz w:val="22"/>
          <w:szCs w:val="22"/>
        </w:rPr>
      </w:pPr>
    </w:p>
    <w:p w:rsidR="005D1606" w:rsidRDefault="005D1606" w:rsidP="009D03FE">
      <w:pPr>
        <w:spacing w:line="360" w:lineRule="auto"/>
        <w:jc w:val="both"/>
        <w:rPr>
          <w:rFonts w:cs="Arial"/>
          <w:sz w:val="22"/>
          <w:szCs w:val="22"/>
        </w:rPr>
      </w:pPr>
      <w:r>
        <w:rPr>
          <w:rFonts w:cs="Arial"/>
          <w:sz w:val="22"/>
          <w:szCs w:val="22"/>
        </w:rPr>
        <w:t xml:space="preserve">Lo anterior, en los términos que se indican en el </w:t>
      </w:r>
      <w:r w:rsidRPr="005D1606">
        <w:rPr>
          <w:rFonts w:cs="Arial"/>
          <w:b/>
          <w:sz w:val="22"/>
          <w:szCs w:val="22"/>
        </w:rPr>
        <w:t>Acuerdo N° 1</w:t>
      </w:r>
      <w:r>
        <w:rPr>
          <w:rFonts w:cs="Arial"/>
          <w:sz w:val="22"/>
          <w:szCs w:val="22"/>
        </w:rPr>
        <w:t xml:space="preserve"> que se anexa a esta minuta.  Acto seguido, se retira de la sesión el licenciado Solano Montero.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483C65" w:rsidRPr="00483C65">
        <w:rPr>
          <w:rFonts w:cs="Arial"/>
          <w:b/>
          <w:sz w:val="22"/>
          <w:szCs w:val="22"/>
          <w:u w:val="single"/>
          <w:lang w:val="es-ES_tradnl"/>
        </w:rPr>
        <w:t>Propuesta de reducción de las tasas de interés del crédito otorgado con recursos del FONAVI a efectos del “Programa integral de acceso a la vivienda para las familias de ingresos medios”</w:t>
      </w:r>
    </w:p>
    <w:p w:rsidR="009D03FE" w:rsidRDefault="009D03FE" w:rsidP="009D03FE">
      <w:pPr>
        <w:spacing w:line="360" w:lineRule="auto"/>
        <w:jc w:val="both"/>
        <w:rPr>
          <w:rFonts w:cs="Arial"/>
          <w:sz w:val="22"/>
          <w:szCs w:val="22"/>
        </w:rPr>
      </w:pPr>
    </w:p>
    <w:p w:rsidR="00532851" w:rsidRDefault="009D03FE" w:rsidP="00532851">
      <w:pPr>
        <w:spacing w:line="360" w:lineRule="auto"/>
        <w:jc w:val="both"/>
        <w:rPr>
          <w:rFonts w:cs="Arial"/>
          <w:sz w:val="22"/>
          <w:szCs w:val="22"/>
        </w:rPr>
      </w:pPr>
      <w:r w:rsidRPr="0039311E">
        <w:rPr>
          <w:rFonts w:cs="Arial"/>
          <w:sz w:val="22"/>
          <w:u w:val="single"/>
          <w:lang w:val="es-ES_tradnl"/>
        </w:rPr>
        <w:t xml:space="preserve">Minuto </w:t>
      </w:r>
      <w:r w:rsidR="00532851">
        <w:rPr>
          <w:rFonts w:cs="Arial"/>
          <w:sz w:val="22"/>
          <w:u w:val="single"/>
          <w:lang w:val="es-ES_tradnl"/>
        </w:rPr>
        <w:t>150</w:t>
      </w:r>
      <w:r w:rsidRPr="0039311E">
        <w:rPr>
          <w:rFonts w:cs="Arial"/>
          <w:sz w:val="22"/>
          <w:u w:val="single"/>
          <w:lang w:val="es-ES_tradnl"/>
        </w:rPr>
        <w:t>:</w:t>
      </w:r>
      <w:r w:rsidR="00532851">
        <w:rPr>
          <w:rFonts w:cs="Arial"/>
          <w:sz w:val="22"/>
          <w:u w:val="single"/>
          <w:lang w:val="es-ES_tradnl"/>
        </w:rPr>
        <w:t>40</w:t>
      </w:r>
      <w:r>
        <w:rPr>
          <w:rFonts w:cs="Arial"/>
          <w:sz w:val="22"/>
          <w:lang w:val="es-ES_tradnl"/>
        </w:rPr>
        <w:t xml:space="preserve"> Se conoce el oficio </w:t>
      </w:r>
      <w:r w:rsidR="003951BC">
        <w:rPr>
          <w:rFonts w:cs="Arial"/>
          <w:sz w:val="22"/>
          <w:lang w:val="es-ES_tradnl"/>
        </w:rPr>
        <w:t xml:space="preserve">GG-ME-0724-2019 del 11 de julio de 2019, mediante el cual, </w:t>
      </w:r>
      <w:r w:rsidR="00532851">
        <w:rPr>
          <w:rFonts w:cs="Arial"/>
          <w:sz w:val="22"/>
          <w:szCs w:val="22"/>
        </w:rPr>
        <w:t xml:space="preserve">atendiendo lo dispuesto por esta Junta Directiva en el acuerdo N° 12 de la sesión 46-2019, celebrada el 17 de junio de 2019, la </w:t>
      </w:r>
      <w:r w:rsidR="00532851" w:rsidRPr="00A03F89">
        <w:rPr>
          <w:rFonts w:cs="Arial"/>
          <w:sz w:val="22"/>
          <w:szCs w:val="22"/>
        </w:rPr>
        <w:t>Gerencia General</w:t>
      </w:r>
      <w:r w:rsidR="00532851">
        <w:rPr>
          <w:rFonts w:cs="Arial"/>
          <w:sz w:val="22"/>
          <w:szCs w:val="22"/>
        </w:rPr>
        <w:t xml:space="preserve"> somete a la consideración de este Órgano Colegiado, una propuesta de “Programa integral de financiamiento para familias de ingresos medios, años 2019 y 2020”, elaborada por la Dirección del Fondo Nacional para Vivienda y cuyo objetivo es facilitar el acceso a una solución de vivienda para las familias de los segmentos de ingresos medios, mediante una mejora en las condiciones de los créditos para vivienda ofrecidos por las entidades autorizadas del </w:t>
      </w:r>
      <w:r w:rsidR="00532851" w:rsidRPr="006F4555">
        <w:rPr>
          <w:rFonts w:cs="Arial"/>
          <w:sz w:val="22"/>
          <w:szCs w:val="22"/>
        </w:rPr>
        <w:t>Sistema Financiero Nacional para la Vivienda</w:t>
      </w:r>
      <w:r w:rsidR="00532851">
        <w:rPr>
          <w:rFonts w:cs="Arial"/>
          <w:sz w:val="22"/>
          <w:szCs w:val="22"/>
        </w:rPr>
        <w:t>.</w:t>
      </w:r>
      <w:r w:rsidR="00B21AAB">
        <w:rPr>
          <w:rFonts w:cs="Arial"/>
          <w:sz w:val="22"/>
          <w:szCs w:val="22"/>
        </w:rPr>
        <w:t xml:space="preserve">  Dichos documentos se adjuntan al expediente del acta.</w:t>
      </w:r>
    </w:p>
    <w:p w:rsidR="00B21AAB" w:rsidRDefault="00B21AAB" w:rsidP="00532851">
      <w:pPr>
        <w:spacing w:line="360" w:lineRule="auto"/>
        <w:jc w:val="both"/>
        <w:rPr>
          <w:rFonts w:cs="Arial"/>
          <w:sz w:val="22"/>
          <w:szCs w:val="22"/>
        </w:rPr>
      </w:pPr>
    </w:p>
    <w:p w:rsidR="008B2FF9" w:rsidRDefault="00B21AAB" w:rsidP="00B21AAB">
      <w:pPr>
        <w:spacing w:line="360" w:lineRule="auto"/>
        <w:jc w:val="both"/>
        <w:rPr>
          <w:rFonts w:cs="Arial"/>
          <w:sz w:val="22"/>
          <w:szCs w:val="22"/>
        </w:rPr>
      </w:pPr>
      <w:r>
        <w:rPr>
          <w:rFonts w:cs="Arial"/>
          <w:sz w:val="22"/>
          <w:szCs w:val="22"/>
        </w:rPr>
        <w:t>La licenciada Hernández Brenes expone los alcances de la referida propuesta, presentando los datos del monto del programa, las entidades participantes, los mecanismos de ejecución, las condiciones específicas bajo las cuales se propone su implementaci</w:t>
      </w:r>
      <w:r w:rsidR="008B2FF9">
        <w:rPr>
          <w:rFonts w:cs="Arial"/>
          <w:sz w:val="22"/>
          <w:szCs w:val="22"/>
        </w:rPr>
        <w:t>ón, así como las sugerencias que respecto al programa planteó el Comité de Crédito en su sesión N° 04-2019 del pasado 10 de junio.</w:t>
      </w:r>
    </w:p>
    <w:p w:rsidR="008B2FF9" w:rsidRDefault="008B2FF9" w:rsidP="00B21AAB">
      <w:pPr>
        <w:spacing w:line="360" w:lineRule="auto"/>
        <w:jc w:val="both"/>
        <w:rPr>
          <w:rFonts w:cs="Arial"/>
          <w:sz w:val="22"/>
          <w:szCs w:val="22"/>
        </w:rPr>
      </w:pPr>
    </w:p>
    <w:p w:rsidR="00210354" w:rsidRDefault="00210354" w:rsidP="00B21AA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166</w:t>
      </w:r>
      <w:r w:rsidRPr="00A25DB7">
        <w:rPr>
          <w:rFonts w:cs="Arial"/>
          <w:sz w:val="22"/>
          <w:u w:val="single"/>
          <w:lang w:val="es-ES_tradnl"/>
        </w:rPr>
        <w:t>:</w:t>
      </w:r>
      <w:r>
        <w:rPr>
          <w:rFonts w:cs="Arial"/>
          <w:sz w:val="22"/>
          <w:u w:val="single"/>
          <w:lang w:val="es-ES_tradnl"/>
        </w:rPr>
        <w:t>30</w:t>
      </w:r>
      <w:r>
        <w:rPr>
          <w:rFonts w:cs="Arial"/>
          <w:sz w:val="22"/>
          <w:lang w:val="es-ES_tradnl"/>
        </w:rPr>
        <w:t xml:space="preserve"> La licenciada Hernández Brenes atiende varias consultas de los señores Directores sobre </w:t>
      </w:r>
      <w:r>
        <w:rPr>
          <w:rFonts w:cs="Arial"/>
          <w:sz w:val="22"/>
          <w:szCs w:val="22"/>
        </w:rPr>
        <w:t>las condiciones específicas del refe</w:t>
      </w:r>
      <w:r w:rsidR="003009BC">
        <w:rPr>
          <w:rFonts w:cs="Arial"/>
          <w:sz w:val="22"/>
          <w:szCs w:val="22"/>
        </w:rPr>
        <w:t xml:space="preserve">rido programa de financiamiento. </w:t>
      </w:r>
    </w:p>
    <w:p w:rsidR="00210354" w:rsidRDefault="00210354" w:rsidP="00B21AAB">
      <w:pPr>
        <w:spacing w:line="360" w:lineRule="auto"/>
        <w:jc w:val="both"/>
        <w:rPr>
          <w:rFonts w:cs="Arial"/>
          <w:sz w:val="22"/>
          <w:lang w:val="es-ES_tradnl"/>
        </w:rPr>
      </w:pPr>
    </w:p>
    <w:p w:rsidR="00074D21" w:rsidRDefault="00074D21" w:rsidP="00074D21">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175</w:t>
      </w:r>
      <w:r w:rsidRPr="00A25DB7">
        <w:rPr>
          <w:rFonts w:cs="Arial"/>
          <w:sz w:val="22"/>
          <w:u w:val="single"/>
          <w:lang w:val="es-ES_tradnl"/>
        </w:rPr>
        <w:t>:</w:t>
      </w:r>
      <w:r>
        <w:rPr>
          <w:rFonts w:cs="Arial"/>
          <w:sz w:val="22"/>
          <w:u w:val="single"/>
          <w:lang w:val="es-ES_tradnl"/>
        </w:rPr>
        <w:t>25</w:t>
      </w:r>
      <w:r>
        <w:rPr>
          <w:rFonts w:cs="Arial"/>
          <w:sz w:val="22"/>
          <w:lang w:val="es-ES_tradnl"/>
        </w:rPr>
        <w:t xml:space="preserve"> De conformidad con el análisis efectuado, la </w:t>
      </w:r>
      <w:r>
        <w:rPr>
          <w:rFonts w:cs="Arial"/>
          <w:sz w:val="22"/>
          <w:szCs w:val="22"/>
          <w:lang w:val="es-ES_tradnl"/>
        </w:rPr>
        <w:t xml:space="preserve">Junta Directiva resuelve acoger en todos sus extremos la recomendación de la </w:t>
      </w:r>
      <w:r w:rsidRPr="0022738E">
        <w:rPr>
          <w:rFonts w:cs="Arial"/>
          <w:sz w:val="22"/>
          <w:szCs w:val="22"/>
          <w:lang w:val="es-ES_tradnl"/>
        </w:rPr>
        <w:t>Administración</w:t>
      </w:r>
      <w:r w:rsidR="003009BC">
        <w:rPr>
          <w:rFonts w:cs="Arial"/>
          <w:sz w:val="22"/>
          <w:szCs w:val="22"/>
          <w:lang w:val="es-ES_tradnl"/>
        </w:rPr>
        <w:t xml:space="preserve"> y solicitar que </w:t>
      </w:r>
      <w:r w:rsidR="003009BC">
        <w:rPr>
          <w:rFonts w:cs="Arial"/>
          <w:sz w:val="22"/>
          <w:szCs w:val="22"/>
        </w:rPr>
        <w:t xml:space="preserve">las sugerencias planteadas por el Comité de Crédito, se sometan a la consideración de la comisión de trabajo conformada para impulsar programas dirigidos a la clase media, debiendo presentarse luego a esta Junta Directiva las recomendaciones que sean pertinentes.  Lo anterior, </w:t>
      </w:r>
      <w:r>
        <w:rPr>
          <w:rFonts w:cs="Arial"/>
          <w:sz w:val="22"/>
          <w:szCs w:val="22"/>
        </w:rPr>
        <w:t xml:space="preserve">en los términos que se indican en el </w:t>
      </w:r>
      <w:r w:rsidRPr="005D1606">
        <w:rPr>
          <w:rFonts w:cs="Arial"/>
          <w:b/>
          <w:sz w:val="22"/>
          <w:szCs w:val="22"/>
        </w:rPr>
        <w:t xml:space="preserve">Acuerdo N° </w:t>
      </w:r>
      <w:r>
        <w:rPr>
          <w:rFonts w:cs="Arial"/>
          <w:b/>
          <w:sz w:val="22"/>
          <w:szCs w:val="22"/>
        </w:rPr>
        <w:t>2</w:t>
      </w:r>
      <w:r>
        <w:rPr>
          <w:rFonts w:cs="Arial"/>
          <w:sz w:val="22"/>
          <w:szCs w:val="22"/>
        </w:rPr>
        <w:t xml:space="preserve"> que se anexa a esta minuta.  Acto seguido, se retira de la sesión la licenciada Hernández Brenes.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83C65" w:rsidRPr="00483C65">
        <w:rPr>
          <w:rFonts w:cs="Arial"/>
          <w:b/>
          <w:sz w:val="22"/>
          <w:u w:val="single"/>
          <w:lang w:val="es-ES_tradnl"/>
        </w:rPr>
        <w:t>Solicitud de aprobación de ocho bonos extraordinarios en el proyecto Santa Rosa de Pocosol</w:t>
      </w:r>
    </w:p>
    <w:p w:rsidR="009D03FE" w:rsidRDefault="009D03FE" w:rsidP="009D03FE">
      <w:pPr>
        <w:spacing w:line="360" w:lineRule="auto"/>
        <w:jc w:val="both"/>
        <w:rPr>
          <w:rFonts w:cs="Arial"/>
          <w:sz w:val="22"/>
          <w:szCs w:val="22"/>
        </w:rPr>
      </w:pPr>
    </w:p>
    <w:p w:rsidR="009B78B7" w:rsidRPr="00EF3F93" w:rsidRDefault="009B78B7" w:rsidP="009B78B7">
      <w:pPr>
        <w:spacing w:line="360" w:lineRule="auto"/>
        <w:jc w:val="both"/>
        <w:rPr>
          <w:rFonts w:cs="Arial"/>
          <w:bCs/>
          <w:sz w:val="22"/>
          <w:szCs w:val="22"/>
          <w:lang w:val="es-ES_tradnl"/>
        </w:rPr>
      </w:pPr>
      <w:r w:rsidRPr="0039311E">
        <w:rPr>
          <w:rFonts w:cs="Arial"/>
          <w:sz w:val="22"/>
          <w:u w:val="single"/>
          <w:lang w:val="es-ES_tradnl"/>
        </w:rPr>
        <w:t xml:space="preserve">Minuto </w:t>
      </w:r>
      <w:r w:rsidR="003009BC">
        <w:rPr>
          <w:rFonts w:cs="Arial"/>
          <w:sz w:val="22"/>
          <w:u w:val="single"/>
          <w:lang w:val="es-ES_tradnl"/>
        </w:rPr>
        <w:t>182</w:t>
      </w:r>
      <w:r w:rsidRPr="0039311E">
        <w:rPr>
          <w:rFonts w:cs="Arial"/>
          <w:sz w:val="22"/>
          <w:u w:val="single"/>
          <w:lang w:val="es-ES_tradnl"/>
        </w:rPr>
        <w:t>:</w:t>
      </w:r>
      <w:r w:rsidR="003009BC">
        <w:rPr>
          <w:rFonts w:cs="Arial"/>
          <w:sz w:val="22"/>
          <w:u w:val="single"/>
          <w:lang w:val="es-ES_tradnl"/>
        </w:rPr>
        <w:t>15</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0</w:t>
      </w:r>
      <w:r w:rsidR="008F60D2">
        <w:rPr>
          <w:rFonts w:cs="Arial"/>
          <w:sz w:val="22"/>
          <w:szCs w:val="22"/>
        </w:rPr>
        <w:t>730</w:t>
      </w:r>
      <w:r w:rsidRPr="001630E8">
        <w:rPr>
          <w:rFonts w:cs="Arial"/>
          <w:sz w:val="22"/>
          <w:szCs w:val="22"/>
        </w:rPr>
        <w:t>-201</w:t>
      </w:r>
      <w:r>
        <w:rPr>
          <w:rFonts w:cs="Arial"/>
          <w:sz w:val="22"/>
          <w:szCs w:val="22"/>
        </w:rPr>
        <w:t>9</w:t>
      </w:r>
      <w:r w:rsidRPr="001630E8">
        <w:rPr>
          <w:rFonts w:cs="Arial"/>
          <w:sz w:val="22"/>
          <w:szCs w:val="22"/>
        </w:rPr>
        <w:t xml:space="preserve"> del </w:t>
      </w:r>
      <w:r w:rsidR="008F60D2">
        <w:rPr>
          <w:rFonts w:cs="Arial"/>
          <w:sz w:val="22"/>
          <w:szCs w:val="22"/>
        </w:rPr>
        <w:t>12</w:t>
      </w:r>
      <w:r w:rsidRPr="001630E8">
        <w:rPr>
          <w:rFonts w:cs="Arial"/>
          <w:sz w:val="22"/>
          <w:szCs w:val="22"/>
        </w:rPr>
        <w:t xml:space="preserve"> de </w:t>
      </w:r>
      <w:r>
        <w:rPr>
          <w:rFonts w:cs="Arial"/>
          <w:sz w:val="22"/>
          <w:szCs w:val="22"/>
        </w:rPr>
        <w:t>ju</w:t>
      </w:r>
      <w:r w:rsidR="008F60D2">
        <w:rPr>
          <w:rFonts w:cs="Arial"/>
          <w:sz w:val="22"/>
          <w:szCs w:val="22"/>
        </w:rPr>
        <w:t>l</w:t>
      </w:r>
      <w:r>
        <w:rPr>
          <w:rFonts w:cs="Arial"/>
          <w:sz w:val="22"/>
          <w:szCs w:val="22"/>
        </w:rPr>
        <w:t>io</w:t>
      </w:r>
      <w:r w:rsidRPr="001630E8">
        <w:rPr>
          <w:rFonts w:cs="Arial"/>
          <w:sz w:val="22"/>
          <w:szCs w:val="22"/>
        </w:rPr>
        <w:t xml:space="preserve"> de 201</w:t>
      </w:r>
      <w:r>
        <w:rPr>
          <w:rFonts w:cs="Arial"/>
          <w:sz w:val="22"/>
          <w:szCs w:val="22"/>
        </w:rPr>
        <w:t>9</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DF-OF-0</w:t>
      </w:r>
      <w:r w:rsidR="00A23049">
        <w:rPr>
          <w:rFonts w:cs="Arial"/>
          <w:sz w:val="22"/>
          <w:szCs w:val="22"/>
        </w:rPr>
        <w:t>730</w:t>
      </w:r>
      <w:r>
        <w:rPr>
          <w:rFonts w:cs="Arial"/>
          <w:sz w:val="22"/>
          <w:szCs w:val="22"/>
        </w:rPr>
        <w:t xml:space="preserve">-2019 de la Dirección FOSUVI, </w:t>
      </w:r>
      <w:r>
        <w:rPr>
          <w:rFonts w:cs="Arial"/>
          <w:bCs/>
          <w:sz w:val="22"/>
          <w:szCs w:val="22"/>
        </w:rPr>
        <w:t>que contiene los resultados del estudio efectuado a la solicitud</w:t>
      </w:r>
      <w:r>
        <w:rPr>
          <w:rFonts w:cs="Arial"/>
          <w:sz w:val="22"/>
          <w:szCs w:val="22"/>
        </w:rPr>
        <w:t xml:space="preserve"> presentada por </w:t>
      </w:r>
      <w:r w:rsidR="00A23049">
        <w:rPr>
          <w:rFonts w:cs="Arial"/>
          <w:sz w:val="22"/>
          <w:szCs w:val="22"/>
        </w:rPr>
        <w:t>Asedemasa</w:t>
      </w:r>
      <w:r>
        <w:rPr>
          <w:rFonts w:cs="Arial"/>
          <w:sz w:val="22"/>
          <w:szCs w:val="22"/>
          <w:lang w:val="es-ES_tradnl"/>
        </w:rPr>
        <w:t>,</w:t>
      </w:r>
      <w:r>
        <w:rPr>
          <w:rFonts w:cs="Arial"/>
          <w:sz w:val="22"/>
          <w:szCs w:val="22"/>
        </w:rPr>
        <w:t xml:space="preserve"> para financiar –al amparo </w:t>
      </w:r>
      <w:r w:rsidR="00A23049" w:rsidRPr="002114E6">
        <w:rPr>
          <w:rFonts w:cs="Arial"/>
          <w:sz w:val="22"/>
          <w:szCs w:val="22"/>
        </w:rPr>
        <w:t>de</w:t>
      </w:r>
      <w:r w:rsidR="00A23049">
        <w:rPr>
          <w:rFonts w:cs="Arial"/>
          <w:sz w:val="22"/>
          <w:szCs w:val="22"/>
        </w:rPr>
        <w:t xml:space="preserve"> la modalidad de “Compra de grupo de lotes urbanizados de 5 a 10 casos y construcción de viviendas al amparo del artículo 59 de la Ley del </w:t>
      </w:r>
      <w:r w:rsidR="00A23049" w:rsidRPr="008E591D">
        <w:rPr>
          <w:rFonts w:cs="Arial"/>
          <w:sz w:val="22"/>
          <w:szCs w:val="22"/>
        </w:rPr>
        <w:t>Sistema Financiero Nacional para la Vivienda</w:t>
      </w:r>
      <w:r w:rsidR="00A23049">
        <w:rPr>
          <w:rFonts w:cs="Arial"/>
          <w:sz w:val="22"/>
          <w:szCs w:val="22"/>
        </w:rPr>
        <w:t>”</w:t>
      </w:r>
      <w:r>
        <w:rPr>
          <w:rFonts w:cs="Arial"/>
          <w:sz w:val="22"/>
          <w:szCs w:val="22"/>
        </w:rPr>
        <w:t xml:space="preserve">–, la compra de </w:t>
      </w:r>
      <w:r w:rsidR="00A23049">
        <w:rPr>
          <w:rFonts w:cs="Arial"/>
          <w:sz w:val="22"/>
          <w:szCs w:val="22"/>
        </w:rPr>
        <w:t>ocho</w:t>
      </w:r>
      <w:r>
        <w:rPr>
          <w:rFonts w:cs="Arial"/>
          <w:sz w:val="22"/>
          <w:szCs w:val="22"/>
        </w:rPr>
        <w:t xml:space="preserve"> lotes con servicios básicos y la construcción de igual número de viviendas, en el proyecto habitacional </w:t>
      </w:r>
      <w:r w:rsidR="00A23049">
        <w:rPr>
          <w:rFonts w:cs="Arial"/>
          <w:sz w:val="22"/>
          <w:szCs w:val="22"/>
        </w:rPr>
        <w:t>Santa Rosa de Pocosol</w:t>
      </w:r>
      <w:r w:rsidR="00A23049" w:rsidRPr="00EF3F93">
        <w:rPr>
          <w:rFonts w:cs="Arial"/>
          <w:sz w:val="22"/>
          <w:szCs w:val="22"/>
        </w:rPr>
        <w:t>, ubicado en el distrito</w:t>
      </w:r>
      <w:r w:rsidR="00A23049">
        <w:rPr>
          <w:rFonts w:cs="Arial"/>
          <w:sz w:val="22"/>
          <w:szCs w:val="22"/>
        </w:rPr>
        <w:t xml:space="preserve"> San Rafael del </w:t>
      </w:r>
      <w:r w:rsidR="00A23049" w:rsidRPr="00EF3F93">
        <w:rPr>
          <w:rFonts w:cs="Arial"/>
          <w:sz w:val="22"/>
          <w:szCs w:val="22"/>
        </w:rPr>
        <w:t xml:space="preserve">cantón de </w:t>
      </w:r>
      <w:r w:rsidR="00A23049">
        <w:rPr>
          <w:rFonts w:cs="Arial"/>
          <w:sz w:val="22"/>
          <w:szCs w:val="22"/>
        </w:rPr>
        <w:t>Guatuso</w:t>
      </w:r>
      <w:r w:rsidR="00A23049" w:rsidRPr="00EF3F93">
        <w:rPr>
          <w:rFonts w:cs="Arial"/>
          <w:sz w:val="22"/>
          <w:szCs w:val="22"/>
        </w:rPr>
        <w:t xml:space="preserve">, provincia de </w:t>
      </w:r>
      <w:r w:rsidR="00A23049">
        <w:rPr>
          <w:rFonts w:cs="Arial"/>
          <w:sz w:val="22"/>
          <w:szCs w:val="22"/>
        </w:rPr>
        <w:t>Alajuela</w:t>
      </w:r>
      <w:r w:rsidR="00A23049" w:rsidRPr="002114E6">
        <w:rPr>
          <w:rFonts w:cs="Arial"/>
          <w:sz w:val="22"/>
          <w:szCs w:val="22"/>
        </w:rPr>
        <w:t xml:space="preserve">, dando solución habitacional a </w:t>
      </w:r>
      <w:r w:rsidR="00A23049">
        <w:rPr>
          <w:rFonts w:cs="Arial"/>
          <w:sz w:val="22"/>
          <w:szCs w:val="22"/>
        </w:rPr>
        <w:t xml:space="preserve">ocho </w:t>
      </w:r>
      <w:r w:rsidR="00A23049" w:rsidRPr="002114E6">
        <w:rPr>
          <w:rFonts w:cs="Arial"/>
          <w:sz w:val="22"/>
          <w:szCs w:val="22"/>
        </w:rPr>
        <w:t>familias</w:t>
      </w:r>
      <w:r w:rsidR="00A23049">
        <w:rPr>
          <w:rFonts w:cs="Arial"/>
          <w:sz w:val="22"/>
          <w:szCs w:val="22"/>
        </w:rPr>
        <w:t xml:space="preserve"> que habitan en situación de extrema necesidad</w:t>
      </w:r>
      <w:r>
        <w:rPr>
          <w:rFonts w:cs="Arial"/>
          <w:sz w:val="22"/>
          <w:szCs w:val="22"/>
        </w:rPr>
        <w:t xml:space="preserve">.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rsidR="009B78B7" w:rsidRDefault="009B78B7" w:rsidP="009B78B7">
      <w:pPr>
        <w:spacing w:line="360" w:lineRule="auto"/>
        <w:jc w:val="both"/>
        <w:rPr>
          <w:rFonts w:cs="Arial"/>
          <w:sz w:val="22"/>
          <w:szCs w:val="22"/>
          <w:lang w:val="es-ES_tradnl"/>
        </w:rPr>
      </w:pPr>
    </w:p>
    <w:p w:rsidR="009B78B7" w:rsidRDefault="009B78B7" w:rsidP="009B78B7">
      <w:pPr>
        <w:spacing w:line="360" w:lineRule="auto"/>
        <w:jc w:val="both"/>
        <w:rPr>
          <w:rFonts w:cs="Arial"/>
          <w:sz w:val="22"/>
          <w:szCs w:val="22"/>
        </w:rPr>
      </w:pPr>
      <w:r>
        <w:rPr>
          <w:rFonts w:cs="Arial"/>
          <w:sz w:val="22"/>
        </w:rPr>
        <w:t xml:space="preserve">La licenciada Camacho Murillo presenta </w:t>
      </w:r>
      <w:r w:rsidRPr="00EF3F93">
        <w:rPr>
          <w:rFonts w:cs="Arial"/>
          <w:sz w:val="22"/>
          <w:szCs w:val="22"/>
        </w:rPr>
        <w:t>los aspectos más relevantes de la solicitud d</w:t>
      </w:r>
      <w:r>
        <w:rPr>
          <w:rFonts w:cs="Arial"/>
          <w:sz w:val="22"/>
          <w:szCs w:val="22"/>
        </w:rPr>
        <w:t>e</w:t>
      </w:r>
      <w:r w:rsidR="00A23049">
        <w:rPr>
          <w:rFonts w:cs="Arial"/>
          <w:sz w:val="22"/>
          <w:szCs w:val="22"/>
        </w:rPr>
        <w:t xml:space="preserve"> Asedemasa</w:t>
      </w:r>
      <w:r>
        <w:rPr>
          <w:rFonts w:cs="Arial"/>
          <w:sz w:val="22"/>
          <w:szCs w:val="22"/>
        </w:rPr>
        <w:t xml:space="preserve">, </w:t>
      </w:r>
      <w:r w:rsidRPr="00EF3F93">
        <w:rPr>
          <w:rFonts w:cs="Arial"/>
          <w:sz w:val="22"/>
          <w:szCs w:val="22"/>
        </w:rPr>
        <w:t>destacado</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xml:space="preserve">, haciendo ver que </w:t>
      </w:r>
      <w:r w:rsidR="004C7B87">
        <w:rPr>
          <w:rFonts w:cs="Arial"/>
          <w:sz w:val="22"/>
        </w:rPr>
        <w:t xml:space="preserve">se ha verificado el cumplimiento de los </w:t>
      </w:r>
      <w:r w:rsidR="00817F44">
        <w:rPr>
          <w:rFonts w:cs="Arial"/>
          <w:sz w:val="22"/>
        </w:rPr>
        <w:t>requisitos</w:t>
      </w:r>
      <w:r w:rsidR="004C7B87">
        <w:rPr>
          <w:rFonts w:cs="Arial"/>
          <w:sz w:val="22"/>
        </w:rPr>
        <w:t xml:space="preserve"> de las familias (todas ellas de la zona), y </w:t>
      </w:r>
      <w:r>
        <w:rPr>
          <w:rFonts w:cs="Arial"/>
          <w:sz w:val="22"/>
        </w:rPr>
        <w:t>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¢1</w:t>
      </w:r>
      <w:r w:rsidR="00A23049">
        <w:rPr>
          <w:rFonts w:cs="Arial"/>
          <w:sz w:val="22"/>
          <w:szCs w:val="22"/>
        </w:rPr>
        <w:t>13</w:t>
      </w:r>
      <w:r>
        <w:rPr>
          <w:rFonts w:cs="Arial"/>
          <w:sz w:val="22"/>
          <w:szCs w:val="22"/>
        </w:rPr>
        <w:t>,</w:t>
      </w:r>
      <w:r w:rsidR="00A23049">
        <w:rPr>
          <w:rFonts w:cs="Arial"/>
          <w:sz w:val="22"/>
          <w:szCs w:val="22"/>
        </w:rPr>
        <w:t>8</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w:t>
      </w:r>
      <w:r w:rsidR="00A23049">
        <w:rPr>
          <w:rFonts w:cs="Arial"/>
          <w:sz w:val="22"/>
          <w:szCs w:val="22"/>
        </w:rPr>
        <w:t xml:space="preserve">, el reconocimiento del I.V.A. para gastos legales de formalización, y </w:t>
      </w:r>
      <w:r>
        <w:rPr>
          <w:rFonts w:cs="Arial"/>
          <w:sz w:val="22"/>
          <w:szCs w:val="22"/>
        </w:rPr>
        <w:t xml:space="preserve">los gastos de formalización de las </w:t>
      </w:r>
      <w:r w:rsidR="00A23049">
        <w:rPr>
          <w:rFonts w:cs="Arial"/>
          <w:sz w:val="22"/>
          <w:szCs w:val="22"/>
        </w:rPr>
        <w:t>ocho</w:t>
      </w:r>
      <w:r>
        <w:rPr>
          <w:rFonts w:cs="Arial"/>
          <w:sz w:val="22"/>
          <w:szCs w:val="22"/>
        </w:rPr>
        <w:t xml:space="preserve"> operaciones, para un Bono promedio de ¢</w:t>
      </w:r>
      <w:r w:rsidR="00A23049">
        <w:rPr>
          <w:rFonts w:cs="Arial"/>
          <w:sz w:val="22"/>
          <w:szCs w:val="22"/>
        </w:rPr>
        <w:t>14</w:t>
      </w:r>
      <w:r>
        <w:rPr>
          <w:rFonts w:cs="Arial"/>
          <w:sz w:val="22"/>
          <w:szCs w:val="22"/>
        </w:rPr>
        <w:t>,</w:t>
      </w:r>
      <w:r w:rsidR="00A23049">
        <w:rPr>
          <w:rFonts w:cs="Arial"/>
          <w:sz w:val="22"/>
          <w:szCs w:val="22"/>
        </w:rPr>
        <w:t>2</w:t>
      </w:r>
      <w:r>
        <w:rPr>
          <w:rFonts w:cs="Arial"/>
          <w:sz w:val="22"/>
          <w:szCs w:val="22"/>
        </w:rPr>
        <w:t xml:space="preserve"> millones.</w:t>
      </w:r>
    </w:p>
    <w:p w:rsidR="009B78B7" w:rsidRDefault="009B78B7" w:rsidP="009B78B7">
      <w:pPr>
        <w:spacing w:line="360" w:lineRule="auto"/>
        <w:jc w:val="both"/>
        <w:rPr>
          <w:rFonts w:cs="Arial"/>
          <w:sz w:val="22"/>
        </w:rPr>
      </w:pPr>
    </w:p>
    <w:p w:rsidR="009B78B7" w:rsidRDefault="009B78B7" w:rsidP="009B78B7">
      <w:pPr>
        <w:autoSpaceDE w:val="0"/>
        <w:autoSpaceDN w:val="0"/>
        <w:adjustRightInd w:val="0"/>
        <w:spacing w:line="360" w:lineRule="auto"/>
        <w:jc w:val="both"/>
        <w:rPr>
          <w:rFonts w:cs="Arial"/>
          <w:sz w:val="22"/>
          <w:szCs w:val="22"/>
          <w:lang w:val="es-CR"/>
        </w:rPr>
      </w:pPr>
      <w:r w:rsidRPr="00542214">
        <w:rPr>
          <w:rFonts w:cs="Arial"/>
          <w:sz w:val="22"/>
          <w:u w:val="single"/>
          <w:lang w:val="es-ES_tradnl"/>
        </w:rPr>
        <w:t xml:space="preserve">Minuto </w:t>
      </w:r>
      <w:r w:rsidR="00622399" w:rsidRPr="00542214">
        <w:rPr>
          <w:rFonts w:cs="Arial"/>
          <w:sz w:val="22"/>
          <w:u w:val="single"/>
          <w:lang w:val="es-ES_tradnl"/>
        </w:rPr>
        <w:t>185</w:t>
      </w:r>
      <w:r w:rsidRPr="00542214">
        <w:rPr>
          <w:rFonts w:cs="Arial"/>
          <w:sz w:val="22"/>
          <w:u w:val="single"/>
          <w:lang w:val="es-ES_tradnl"/>
        </w:rPr>
        <w:t>:</w:t>
      </w:r>
      <w:r w:rsidR="00622399" w:rsidRPr="00542214">
        <w:rPr>
          <w:rFonts w:cs="Arial"/>
          <w:sz w:val="22"/>
          <w:u w:val="single"/>
          <w:lang w:val="es-ES_tradnl"/>
        </w:rPr>
        <w:t>50</w:t>
      </w:r>
      <w:r w:rsidRPr="00542214">
        <w:rPr>
          <w:rFonts w:cs="Arial"/>
          <w:sz w:val="22"/>
          <w:lang w:val="es-ES_tradnl"/>
        </w:rPr>
        <w:t xml:space="preserve"> </w:t>
      </w:r>
      <w:r w:rsidR="00622399" w:rsidRPr="00542214">
        <w:rPr>
          <w:rFonts w:cs="Arial"/>
          <w:sz w:val="22"/>
          <w:lang w:val="es-ES_tradnl"/>
        </w:rPr>
        <w:t>La</w:t>
      </w:r>
      <w:r w:rsidR="00622399">
        <w:rPr>
          <w:rFonts w:cs="Arial"/>
          <w:sz w:val="22"/>
          <w:lang w:val="es-ES_tradnl"/>
        </w:rPr>
        <w:t xml:space="preserve"> licenciada Camacho Murillo atiende varas consultas de la Directora Pérez Gutiérrez sobre la</w:t>
      </w:r>
      <w:r w:rsidR="00542214">
        <w:rPr>
          <w:rFonts w:cs="Arial"/>
          <w:sz w:val="22"/>
          <w:lang w:val="es-ES_tradnl"/>
        </w:rPr>
        <w:t xml:space="preserve">s condiciones de la </w:t>
      </w:r>
      <w:r w:rsidR="00622399">
        <w:rPr>
          <w:rFonts w:cs="Arial"/>
          <w:sz w:val="22"/>
          <w:lang w:val="es-ES_tradnl"/>
        </w:rPr>
        <w:t>calle pública del proyecto</w:t>
      </w:r>
      <w:r w:rsidR="00D8619A">
        <w:rPr>
          <w:rFonts w:cs="Arial"/>
          <w:sz w:val="22"/>
          <w:lang w:val="es-ES_tradnl"/>
        </w:rPr>
        <w:t xml:space="preserve"> y</w:t>
      </w:r>
      <w:r w:rsidR="00542214">
        <w:rPr>
          <w:rFonts w:cs="Arial"/>
          <w:sz w:val="22"/>
          <w:lang w:val="es-ES_tradnl"/>
        </w:rPr>
        <w:t xml:space="preserve"> el retiro requerido por la municipalidad local.</w:t>
      </w:r>
      <w:r w:rsidR="00D8619A">
        <w:rPr>
          <w:rFonts w:cs="Arial"/>
          <w:sz w:val="22"/>
          <w:lang w:val="es-ES_tradnl"/>
        </w:rPr>
        <w:t xml:space="preserve"> </w:t>
      </w:r>
    </w:p>
    <w:p w:rsidR="009B78B7" w:rsidRDefault="009B78B7" w:rsidP="009B78B7">
      <w:pPr>
        <w:spacing w:line="360" w:lineRule="auto"/>
        <w:jc w:val="both"/>
        <w:rPr>
          <w:rFonts w:cs="Arial"/>
          <w:sz w:val="22"/>
          <w:lang w:val="es-ES_tradnl"/>
        </w:rPr>
      </w:pPr>
    </w:p>
    <w:p w:rsidR="009B78B7" w:rsidRDefault="009B78B7" w:rsidP="009B78B7">
      <w:pPr>
        <w:tabs>
          <w:tab w:val="left" w:pos="9360"/>
        </w:tabs>
        <w:spacing w:line="360" w:lineRule="auto"/>
        <w:jc w:val="both"/>
        <w:rPr>
          <w:rFonts w:cs="Arial"/>
          <w:sz w:val="22"/>
        </w:rPr>
      </w:pPr>
      <w:r w:rsidRPr="005327EF">
        <w:rPr>
          <w:rFonts w:cs="Arial"/>
          <w:sz w:val="22"/>
          <w:u w:val="single"/>
          <w:lang w:val="es-ES_tradnl"/>
        </w:rPr>
        <w:t xml:space="preserve">Minuto </w:t>
      </w:r>
      <w:r w:rsidR="00542214">
        <w:rPr>
          <w:rFonts w:cs="Arial"/>
          <w:sz w:val="22"/>
          <w:u w:val="single"/>
          <w:lang w:val="es-ES_tradnl"/>
        </w:rPr>
        <w:t>187</w:t>
      </w:r>
      <w:r w:rsidRPr="005327EF">
        <w:rPr>
          <w:rFonts w:cs="Arial"/>
          <w:sz w:val="22"/>
          <w:u w:val="single"/>
          <w:lang w:val="es-ES_tradnl"/>
        </w:rPr>
        <w:t>:</w:t>
      </w:r>
      <w:r w:rsidR="00542214">
        <w:rPr>
          <w:rFonts w:cs="Arial"/>
          <w:sz w:val="22"/>
          <w:u w:val="single"/>
          <w:lang w:val="es-ES_tradnl"/>
        </w:rPr>
        <w:t>10</w:t>
      </w:r>
      <w:r w:rsidRPr="005327EF">
        <w:rPr>
          <w:rFonts w:cs="Arial"/>
          <w:sz w:val="22"/>
          <w:lang w:val="es-ES_tradnl"/>
        </w:rPr>
        <w:t xml:space="preserve"> </w:t>
      </w:r>
      <w:r w:rsidRPr="005327EF">
        <w:rPr>
          <w:sz w:val="22"/>
          <w:szCs w:val="22"/>
        </w:rPr>
        <w:t>Conocidos</w:t>
      </w:r>
      <w:r>
        <w:rPr>
          <w:sz w:val="22"/>
          <w:szCs w:val="22"/>
        </w:rPr>
        <w:t xml:space="preserve"> y suficientemente discutidos los informes presentados por la </w:t>
      </w:r>
      <w:r w:rsidRPr="003F06C1">
        <w:rPr>
          <w:rFonts w:cs="Arial"/>
          <w:sz w:val="22"/>
          <w:szCs w:val="22"/>
        </w:rPr>
        <w:t>Administración</w:t>
      </w:r>
      <w:r>
        <w:rPr>
          <w:rFonts w:cs="Arial"/>
          <w:sz w:val="22"/>
          <w:szCs w:val="22"/>
        </w:rPr>
        <w:t xml:space="preserve">, la Junta Directiva resuelve otorgar el financiamiento requerido, en los términos que se proponen </w:t>
      </w:r>
      <w:r w:rsidR="00542214">
        <w:rPr>
          <w:rFonts w:cs="Arial"/>
          <w:sz w:val="22"/>
          <w:szCs w:val="22"/>
        </w:rPr>
        <w:t xml:space="preserve">por parte de la </w:t>
      </w:r>
      <w:r>
        <w:rPr>
          <w:rFonts w:cs="Arial"/>
          <w:sz w:val="22"/>
          <w:szCs w:val="22"/>
        </w:rPr>
        <w:t xml:space="preserve">Dirección FOSUVI.  Lo anterior, según se consigna en el </w:t>
      </w:r>
      <w:r w:rsidRPr="003F06C1">
        <w:rPr>
          <w:rFonts w:cs="Arial"/>
          <w:b/>
          <w:sz w:val="22"/>
          <w:szCs w:val="22"/>
        </w:rPr>
        <w:t xml:space="preserve">Acuerdo N° </w:t>
      </w:r>
      <w:r>
        <w:rPr>
          <w:rFonts w:cs="Arial"/>
          <w:b/>
          <w:sz w:val="22"/>
          <w:szCs w:val="22"/>
        </w:rPr>
        <w:t>3</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83C65" w:rsidRPr="00483C65">
        <w:rPr>
          <w:rFonts w:cs="Arial"/>
          <w:b/>
          <w:sz w:val="22"/>
          <w:u w:val="single"/>
          <w:lang w:val="es-ES_tradnl"/>
        </w:rPr>
        <w:t>Solicitud de financiamiento adicional del proyecto Las Brisas II</w:t>
      </w:r>
    </w:p>
    <w:p w:rsidR="009D03FE" w:rsidRDefault="009D03FE" w:rsidP="009D03FE">
      <w:pPr>
        <w:spacing w:line="360" w:lineRule="auto"/>
        <w:jc w:val="both"/>
        <w:rPr>
          <w:rFonts w:cs="Arial"/>
          <w:sz w:val="22"/>
          <w:szCs w:val="22"/>
        </w:rPr>
      </w:pPr>
    </w:p>
    <w:p w:rsidR="007C5D7C" w:rsidRPr="00F90D90" w:rsidRDefault="007C5D7C" w:rsidP="007C5D7C">
      <w:pPr>
        <w:spacing w:line="360" w:lineRule="auto"/>
        <w:jc w:val="both"/>
        <w:rPr>
          <w:rFonts w:cs="Arial"/>
          <w:sz w:val="22"/>
          <w:szCs w:val="22"/>
        </w:rPr>
      </w:pPr>
      <w:r w:rsidRPr="0039311E">
        <w:rPr>
          <w:rFonts w:cs="Arial"/>
          <w:sz w:val="22"/>
          <w:u w:val="single"/>
          <w:lang w:val="es-ES_tradnl"/>
        </w:rPr>
        <w:t xml:space="preserve">Minuto </w:t>
      </w:r>
      <w:r w:rsidR="00542214">
        <w:rPr>
          <w:rFonts w:cs="Arial"/>
          <w:sz w:val="22"/>
          <w:u w:val="single"/>
          <w:lang w:val="es-ES_tradnl"/>
        </w:rPr>
        <w:t>187</w:t>
      </w:r>
      <w:r w:rsidRPr="0039311E">
        <w:rPr>
          <w:rFonts w:cs="Arial"/>
          <w:sz w:val="22"/>
          <w:u w:val="single"/>
          <w:lang w:val="es-ES_tradnl"/>
        </w:rPr>
        <w:t>:</w:t>
      </w:r>
      <w:r w:rsidR="00542214">
        <w:rPr>
          <w:rFonts w:cs="Arial"/>
          <w:sz w:val="22"/>
          <w:u w:val="single"/>
          <w:lang w:val="es-ES_tradnl"/>
        </w:rPr>
        <w:t>4</w:t>
      </w:r>
      <w:r>
        <w:rPr>
          <w:rFonts w:cs="Arial"/>
          <w:sz w:val="22"/>
          <w:u w:val="single"/>
          <w:lang w:val="es-ES_tradnl"/>
        </w:rPr>
        <w:t>5</w:t>
      </w:r>
      <w:r>
        <w:rPr>
          <w:rFonts w:cs="Arial"/>
          <w:sz w:val="22"/>
          <w:lang w:val="es-ES_tradnl"/>
        </w:rPr>
        <w:t xml:space="preserve"> Se conoce </w:t>
      </w:r>
      <w:r w:rsidRPr="00EA7ADB">
        <w:rPr>
          <w:rFonts w:cs="Arial"/>
          <w:sz w:val="22"/>
          <w:szCs w:val="22"/>
        </w:rPr>
        <w:t>el oficio GG-ME-</w:t>
      </w:r>
      <w:r>
        <w:rPr>
          <w:rFonts w:cs="Arial"/>
          <w:sz w:val="22"/>
          <w:szCs w:val="22"/>
        </w:rPr>
        <w:t>0</w:t>
      </w:r>
      <w:r w:rsidR="005C173D">
        <w:rPr>
          <w:rFonts w:cs="Arial"/>
          <w:sz w:val="22"/>
          <w:szCs w:val="22"/>
        </w:rPr>
        <w:t>733</w:t>
      </w:r>
      <w:r w:rsidRPr="00EA7ADB">
        <w:rPr>
          <w:rFonts w:cs="Arial"/>
          <w:sz w:val="22"/>
          <w:szCs w:val="22"/>
        </w:rPr>
        <w:t>-201</w:t>
      </w:r>
      <w:r>
        <w:rPr>
          <w:rFonts w:cs="Arial"/>
          <w:sz w:val="22"/>
          <w:szCs w:val="22"/>
        </w:rPr>
        <w:t>9</w:t>
      </w:r>
      <w:r w:rsidRPr="00EA7ADB">
        <w:rPr>
          <w:rFonts w:cs="Arial"/>
          <w:sz w:val="22"/>
          <w:szCs w:val="22"/>
        </w:rPr>
        <w:t xml:space="preserve"> del </w:t>
      </w:r>
      <w:r w:rsidR="005C173D">
        <w:rPr>
          <w:rFonts w:cs="Arial"/>
          <w:sz w:val="22"/>
          <w:szCs w:val="22"/>
        </w:rPr>
        <w:t>12</w:t>
      </w:r>
      <w:r w:rsidRPr="00EA7ADB">
        <w:rPr>
          <w:rFonts w:cs="Arial"/>
          <w:sz w:val="22"/>
          <w:szCs w:val="22"/>
        </w:rPr>
        <w:t xml:space="preserve"> de </w:t>
      </w:r>
      <w:r>
        <w:rPr>
          <w:rFonts w:cs="Arial"/>
          <w:sz w:val="22"/>
          <w:szCs w:val="22"/>
        </w:rPr>
        <w:t>ju</w:t>
      </w:r>
      <w:r w:rsidR="005C173D">
        <w:rPr>
          <w:rFonts w:cs="Arial"/>
          <w:sz w:val="22"/>
          <w:szCs w:val="22"/>
        </w:rPr>
        <w:t>l</w:t>
      </w:r>
      <w:r>
        <w:rPr>
          <w:rFonts w:cs="Arial"/>
          <w:sz w:val="22"/>
          <w:szCs w:val="22"/>
        </w:rPr>
        <w:t>io</w:t>
      </w:r>
      <w:r w:rsidRPr="00EA7ADB">
        <w:rPr>
          <w:rFonts w:cs="Arial"/>
          <w:sz w:val="22"/>
          <w:szCs w:val="22"/>
        </w:rPr>
        <w:t xml:space="preserve"> de 201</w:t>
      </w:r>
      <w:r>
        <w:rPr>
          <w:rFonts w:cs="Arial"/>
          <w:sz w:val="22"/>
          <w:szCs w:val="22"/>
        </w:rPr>
        <w:t>9</w:t>
      </w:r>
      <w:r w:rsidRPr="00EA7ADB">
        <w:rPr>
          <w:rFonts w:cs="Arial"/>
          <w:sz w:val="22"/>
          <w:szCs w:val="22"/>
        </w:rPr>
        <w:t xml:space="preserve">, </w:t>
      </w:r>
      <w:r>
        <w:rPr>
          <w:rFonts w:cs="Arial"/>
          <w:sz w:val="22"/>
          <w:szCs w:val="22"/>
        </w:rPr>
        <w:t xml:space="preserve">mediante el cual, </w:t>
      </w:r>
      <w:r w:rsidRPr="00EA7ADB">
        <w:rPr>
          <w:rFonts w:cs="Arial"/>
          <w:sz w:val="22"/>
          <w:szCs w:val="22"/>
        </w:rPr>
        <w:t>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5C173D">
        <w:rPr>
          <w:rFonts w:cs="Arial"/>
          <w:color w:val="000000"/>
          <w:sz w:val="22"/>
          <w:szCs w:val="22"/>
        </w:rPr>
        <w:t>796</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r>
        <w:rPr>
          <w:rFonts w:cs="Arial"/>
          <w:sz w:val="22"/>
          <w:lang w:val="es-ES_tradnl"/>
        </w:rPr>
        <w:t xml:space="preserve">.  </w:t>
      </w:r>
      <w:r w:rsidRPr="00F90D90">
        <w:rPr>
          <w:rFonts w:cs="Arial"/>
          <w:sz w:val="22"/>
          <w:szCs w:val="22"/>
        </w:rPr>
        <w:t xml:space="preserve">Dichos </w:t>
      </w:r>
      <w:r w:rsidRPr="00F90D90">
        <w:rPr>
          <w:rFonts w:cs="Arial"/>
          <w:bCs/>
          <w:sz w:val="22"/>
          <w:szCs w:val="22"/>
          <w:lang w:val="es-ES_tradnl"/>
        </w:rPr>
        <w:t>documentos se adjuntan a</w:t>
      </w:r>
      <w:r w:rsidR="00265656">
        <w:rPr>
          <w:rFonts w:cs="Arial"/>
          <w:bCs/>
          <w:sz w:val="22"/>
          <w:szCs w:val="22"/>
          <w:lang w:val="es-ES_tradnl"/>
        </w:rPr>
        <w:t xml:space="preserve">l expediente del </w:t>
      </w:r>
      <w:r w:rsidRPr="00F90D90">
        <w:rPr>
          <w:rFonts w:cs="Arial"/>
          <w:bCs/>
          <w:sz w:val="22"/>
          <w:szCs w:val="22"/>
          <w:lang w:val="es-ES_tradnl"/>
        </w:rPr>
        <w:t>acta.</w:t>
      </w:r>
    </w:p>
    <w:p w:rsidR="007C5D7C" w:rsidRDefault="007C5D7C" w:rsidP="007C5D7C">
      <w:pPr>
        <w:spacing w:line="360" w:lineRule="auto"/>
        <w:jc w:val="both"/>
        <w:rPr>
          <w:rFonts w:cs="Arial"/>
          <w:sz w:val="22"/>
          <w:szCs w:val="22"/>
        </w:rPr>
      </w:pPr>
    </w:p>
    <w:p w:rsidR="007C5D7C" w:rsidRDefault="007C5D7C" w:rsidP="007C5D7C">
      <w:pPr>
        <w:spacing w:line="360" w:lineRule="auto"/>
        <w:jc w:val="both"/>
        <w:rPr>
          <w:rFonts w:cs="Arial"/>
          <w:sz w:val="22"/>
          <w:szCs w:val="22"/>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Pr>
          <w:rFonts w:cs="Arial"/>
          <w:sz w:val="22"/>
          <w:szCs w:val="22"/>
          <w:lang w:val="es-ES_tradnl"/>
        </w:rPr>
        <w:t xml:space="preserve">financiar la suma total de </w:t>
      </w:r>
      <w:r w:rsidR="005C173D" w:rsidRPr="00110579">
        <w:rPr>
          <w:rFonts w:cs="Arial"/>
          <w:sz w:val="22"/>
          <w:szCs w:val="22"/>
          <w:lang w:val="es-ES_tradnl"/>
        </w:rPr>
        <w:t>¢</w:t>
      </w:r>
      <w:r w:rsidR="005C173D">
        <w:rPr>
          <w:rFonts w:cs="Arial"/>
          <w:sz w:val="22"/>
          <w:szCs w:val="22"/>
          <w:lang w:val="es-ES_tradnl"/>
        </w:rPr>
        <w:t>145.071</w:t>
      </w:r>
      <w:r w:rsidR="005C173D" w:rsidRPr="00110579">
        <w:rPr>
          <w:rFonts w:cs="Arial"/>
          <w:sz w:val="22"/>
          <w:szCs w:val="22"/>
          <w:lang w:val="es-ES_tradnl"/>
        </w:rPr>
        <w:t>.</w:t>
      </w:r>
      <w:r w:rsidR="005C173D">
        <w:rPr>
          <w:rFonts w:cs="Arial"/>
          <w:sz w:val="22"/>
          <w:szCs w:val="22"/>
          <w:lang w:val="es-ES_tradnl"/>
        </w:rPr>
        <w:t>113</w:t>
      </w:r>
      <w:r w:rsidR="005C173D" w:rsidRPr="00110579">
        <w:rPr>
          <w:rFonts w:cs="Arial"/>
          <w:sz w:val="22"/>
          <w:szCs w:val="22"/>
          <w:lang w:val="es-ES_tradnl"/>
        </w:rPr>
        <w:t>,</w:t>
      </w:r>
      <w:r w:rsidR="005C173D">
        <w:rPr>
          <w:rFonts w:cs="Arial"/>
          <w:sz w:val="22"/>
          <w:szCs w:val="22"/>
          <w:lang w:val="es-ES_tradnl"/>
        </w:rPr>
        <w:t xml:space="preserve">76 que comprende los costos indirectos por el proceso de redefinición de las actividades del proyecto, y según lo avalado por la entidad autorizada, el Departamento Técnico y la </w:t>
      </w:r>
      <w:r w:rsidR="005C173D" w:rsidRPr="009D40A7">
        <w:rPr>
          <w:rFonts w:cs="Arial"/>
          <w:sz w:val="22"/>
          <w:szCs w:val="22"/>
          <w:lang w:val="es-ES_tradnl"/>
        </w:rPr>
        <w:t>Asesoría Legal</w:t>
      </w:r>
      <w:r w:rsidR="00083CE2">
        <w:rPr>
          <w:rFonts w:cs="Arial"/>
          <w:sz w:val="22"/>
          <w:szCs w:val="22"/>
          <w:lang w:val="es-ES_tradnl"/>
        </w:rPr>
        <w:t xml:space="preserve"> (según lo confirma la licenciada Alvarado Castro)</w:t>
      </w:r>
      <w:r w:rsidR="005C173D">
        <w:rPr>
          <w:rFonts w:cs="Arial"/>
          <w:sz w:val="22"/>
          <w:szCs w:val="22"/>
          <w:lang w:val="es-ES_tradnl"/>
        </w:rPr>
        <w:t>, conforme el desglose que se indica en dicho el informe.</w:t>
      </w:r>
    </w:p>
    <w:p w:rsidR="007C5D7C" w:rsidRDefault="007C5D7C" w:rsidP="007C5D7C">
      <w:pPr>
        <w:spacing w:line="360" w:lineRule="auto"/>
        <w:jc w:val="both"/>
        <w:rPr>
          <w:rFonts w:cs="Arial"/>
          <w:sz w:val="22"/>
        </w:rPr>
      </w:pPr>
    </w:p>
    <w:p w:rsidR="00413D95" w:rsidRDefault="007C5D7C" w:rsidP="009D03FE">
      <w:pPr>
        <w:spacing w:line="360" w:lineRule="auto"/>
        <w:jc w:val="both"/>
        <w:rPr>
          <w:rFonts w:cs="Arial"/>
          <w:sz w:val="22"/>
          <w:lang w:val="es-ES_tradnl"/>
        </w:rPr>
      </w:pPr>
      <w:r w:rsidRPr="00A25DB7">
        <w:rPr>
          <w:rFonts w:cs="Arial"/>
          <w:sz w:val="22"/>
          <w:u w:val="single"/>
          <w:lang w:val="es-ES_tradnl"/>
        </w:rPr>
        <w:t xml:space="preserve">Minuto </w:t>
      </w:r>
      <w:r w:rsidR="005C173D">
        <w:rPr>
          <w:rFonts w:cs="Arial"/>
          <w:sz w:val="22"/>
          <w:u w:val="single"/>
          <w:lang w:val="es-ES_tradnl"/>
        </w:rPr>
        <w:t>1</w:t>
      </w:r>
      <w:r w:rsidR="00265656">
        <w:rPr>
          <w:rFonts w:cs="Arial"/>
          <w:sz w:val="22"/>
          <w:u w:val="single"/>
          <w:lang w:val="es-ES_tradnl"/>
        </w:rPr>
        <w:t>9</w:t>
      </w:r>
      <w:r w:rsidR="005C173D">
        <w:rPr>
          <w:rFonts w:cs="Arial"/>
          <w:sz w:val="22"/>
          <w:u w:val="single"/>
          <w:lang w:val="es-ES_tradnl"/>
        </w:rPr>
        <w:t>9</w:t>
      </w:r>
      <w:r w:rsidRPr="00A25DB7">
        <w:rPr>
          <w:rFonts w:cs="Arial"/>
          <w:sz w:val="22"/>
          <w:u w:val="single"/>
          <w:lang w:val="es-ES_tradnl"/>
        </w:rPr>
        <w:t>:</w:t>
      </w:r>
      <w:r w:rsidR="00265656">
        <w:rPr>
          <w:rFonts w:cs="Arial"/>
          <w:sz w:val="22"/>
          <w:u w:val="single"/>
          <w:lang w:val="es-ES_tradnl"/>
        </w:rPr>
        <w:t>20</w:t>
      </w:r>
      <w:r>
        <w:rPr>
          <w:rFonts w:cs="Arial"/>
          <w:sz w:val="22"/>
          <w:szCs w:val="22"/>
        </w:rPr>
        <w:t xml:space="preserve"> Conocida la indicada </w:t>
      </w:r>
      <w:r w:rsidR="005C173D">
        <w:rPr>
          <w:rFonts w:cs="Arial"/>
          <w:sz w:val="22"/>
          <w:szCs w:val="22"/>
        </w:rPr>
        <w:t>solicitud</w:t>
      </w:r>
      <w:r>
        <w:rPr>
          <w:rFonts w:cs="Arial"/>
          <w:sz w:val="22"/>
          <w:szCs w:val="22"/>
        </w:rPr>
        <w:t xml:space="preserve">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4</w:t>
      </w:r>
      <w:r w:rsidR="00413D95">
        <w:rPr>
          <w:rFonts w:cs="Arial"/>
          <w:sz w:val="22"/>
          <w:szCs w:val="22"/>
        </w:rPr>
        <w:t xml:space="preserve"> que se anexa a esta minuta y, complementariamente, el Director </w:t>
      </w:r>
      <w:r w:rsidR="00413D95" w:rsidRPr="00413D95">
        <w:rPr>
          <w:rFonts w:cs="Arial"/>
          <w:sz w:val="22"/>
          <w:szCs w:val="22"/>
          <w:lang w:val="es-CR"/>
        </w:rPr>
        <w:t>Alvarado Herrera</w:t>
      </w:r>
      <w:r w:rsidR="00413D95">
        <w:rPr>
          <w:rFonts w:cs="Arial"/>
          <w:sz w:val="22"/>
          <w:szCs w:val="22"/>
          <w:lang w:val="es-CR"/>
        </w:rPr>
        <w:t xml:space="preserve"> argumenta que avala la solicitud, argumentando, en resumen, que según </w:t>
      </w:r>
      <w:r w:rsidR="0089083B">
        <w:rPr>
          <w:rFonts w:cs="Arial"/>
          <w:sz w:val="22"/>
          <w:szCs w:val="22"/>
          <w:lang w:val="es-CR"/>
        </w:rPr>
        <w:t xml:space="preserve">se desprende del dictamen N° 03072 de la </w:t>
      </w:r>
      <w:r w:rsidR="00413D95">
        <w:rPr>
          <w:rFonts w:cs="Arial"/>
          <w:sz w:val="22"/>
          <w:szCs w:val="22"/>
          <w:lang w:val="es-CR"/>
        </w:rPr>
        <w:t xml:space="preserve">Contraloría General de la República, del 9 de abril de 2019, </w:t>
      </w:r>
      <w:r w:rsidR="00D75A00">
        <w:rPr>
          <w:rFonts w:cs="Arial"/>
          <w:sz w:val="22"/>
          <w:szCs w:val="22"/>
          <w:lang w:val="es-CR"/>
        </w:rPr>
        <w:t xml:space="preserve">esta operación se trata de un contrato de obra determinada, al haber sido la </w:t>
      </w:r>
      <w:r w:rsidR="00D75A00" w:rsidRPr="00D75A00">
        <w:rPr>
          <w:rFonts w:cs="Arial"/>
          <w:sz w:val="22"/>
          <w:szCs w:val="22"/>
          <w:lang w:val="es-CR"/>
        </w:rPr>
        <w:t>Administración</w:t>
      </w:r>
      <w:r w:rsidR="00D75A00">
        <w:rPr>
          <w:rFonts w:cs="Arial"/>
          <w:sz w:val="22"/>
          <w:szCs w:val="22"/>
          <w:lang w:val="es-CR"/>
        </w:rPr>
        <w:t xml:space="preserve"> la que realizó todo el proceso de elaboración de planos constructivos y el cartel, y en este caso compartía el riesgo de cualquier asunto contenido en los planos o retrasos; siendo que ha quedado claro, que efectivamente la empresa solo se ha dedicado a construir la obras y, por consiguiente, los atrasos y los costos adicionales no le son imputables a esa empresa.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483C65" w:rsidRPr="00483C65">
        <w:rPr>
          <w:rFonts w:cs="Arial"/>
          <w:b/>
          <w:sz w:val="22"/>
          <w:u w:val="single"/>
          <w:lang w:val="es-ES_tradnl"/>
        </w:rPr>
        <w:t>Solicitud de financiamiento adicional y ampliación de plazo del contrato de administración de recursos del proyecto Hojancha</w:t>
      </w:r>
    </w:p>
    <w:p w:rsidR="009D03FE" w:rsidRDefault="009D03FE" w:rsidP="009D03FE">
      <w:pPr>
        <w:spacing w:line="360" w:lineRule="auto"/>
        <w:jc w:val="both"/>
        <w:rPr>
          <w:rFonts w:cs="Arial"/>
          <w:sz w:val="22"/>
          <w:szCs w:val="22"/>
        </w:rPr>
      </w:pPr>
    </w:p>
    <w:p w:rsidR="0046557C" w:rsidRPr="00AA6479" w:rsidRDefault="0046557C" w:rsidP="0046557C">
      <w:pPr>
        <w:spacing w:line="360" w:lineRule="auto"/>
        <w:jc w:val="both"/>
        <w:rPr>
          <w:rFonts w:cs="Arial"/>
          <w:bCs/>
          <w:sz w:val="22"/>
          <w:szCs w:val="22"/>
          <w:lang w:val="es-ES_tradnl"/>
        </w:rPr>
      </w:pPr>
      <w:r w:rsidRPr="0039311E">
        <w:rPr>
          <w:rFonts w:cs="Arial"/>
          <w:sz w:val="22"/>
          <w:u w:val="single"/>
          <w:lang w:val="es-ES_tradnl"/>
        </w:rPr>
        <w:t xml:space="preserve">Minuto </w:t>
      </w:r>
      <w:r w:rsidR="00265656">
        <w:rPr>
          <w:rFonts w:cs="Arial"/>
          <w:sz w:val="22"/>
          <w:u w:val="single"/>
          <w:lang w:val="es-ES_tradnl"/>
        </w:rPr>
        <w:t>200</w:t>
      </w:r>
      <w:r w:rsidRPr="0039311E">
        <w:rPr>
          <w:rFonts w:cs="Arial"/>
          <w:sz w:val="22"/>
          <w:u w:val="single"/>
          <w:lang w:val="es-ES_tradnl"/>
        </w:rPr>
        <w:t>:</w:t>
      </w:r>
      <w:r w:rsidR="00265656">
        <w:rPr>
          <w:rFonts w:cs="Arial"/>
          <w:sz w:val="22"/>
          <w:u w:val="single"/>
          <w:lang w:val="es-ES_tradnl"/>
        </w:rPr>
        <w:t>15</w:t>
      </w:r>
      <w:r>
        <w:rPr>
          <w:rFonts w:cs="Arial"/>
          <w:sz w:val="22"/>
          <w:lang w:val="es-ES_tradnl"/>
        </w:rPr>
        <w:t xml:space="preserve"> Se conoce el oficio </w:t>
      </w:r>
      <w:r w:rsidRPr="00AA6479">
        <w:rPr>
          <w:rFonts w:cs="Arial"/>
          <w:sz w:val="22"/>
          <w:szCs w:val="22"/>
        </w:rPr>
        <w:t>GG-ME-</w:t>
      </w:r>
      <w:r>
        <w:rPr>
          <w:rFonts w:cs="Arial"/>
          <w:sz w:val="22"/>
          <w:szCs w:val="22"/>
        </w:rPr>
        <w:t>0</w:t>
      </w:r>
      <w:r w:rsidR="00265656">
        <w:rPr>
          <w:rFonts w:cs="Arial"/>
          <w:sz w:val="22"/>
          <w:szCs w:val="22"/>
        </w:rPr>
        <w:t>731</w:t>
      </w:r>
      <w:r w:rsidRPr="00AA6479">
        <w:rPr>
          <w:rFonts w:cs="Arial"/>
          <w:sz w:val="22"/>
          <w:szCs w:val="22"/>
        </w:rPr>
        <w:t>-201</w:t>
      </w:r>
      <w:r>
        <w:rPr>
          <w:rFonts w:cs="Arial"/>
          <w:sz w:val="22"/>
          <w:szCs w:val="22"/>
        </w:rPr>
        <w:t>9</w:t>
      </w:r>
      <w:r w:rsidRPr="00AA6479">
        <w:rPr>
          <w:rFonts w:cs="Arial"/>
          <w:sz w:val="22"/>
          <w:szCs w:val="22"/>
        </w:rPr>
        <w:t xml:space="preserve"> del </w:t>
      </w:r>
      <w:r>
        <w:rPr>
          <w:rFonts w:cs="Arial"/>
          <w:sz w:val="22"/>
          <w:szCs w:val="22"/>
        </w:rPr>
        <w:t>12</w:t>
      </w:r>
      <w:r w:rsidRPr="00AA6479">
        <w:rPr>
          <w:rFonts w:cs="Arial"/>
          <w:sz w:val="22"/>
          <w:szCs w:val="22"/>
        </w:rPr>
        <w:t xml:space="preserve"> de </w:t>
      </w:r>
      <w:r>
        <w:rPr>
          <w:rFonts w:cs="Arial"/>
          <w:sz w:val="22"/>
          <w:szCs w:val="22"/>
        </w:rPr>
        <w:t>abril</w:t>
      </w:r>
      <w:r w:rsidRPr="00AA6479">
        <w:rPr>
          <w:rFonts w:cs="Arial"/>
          <w:sz w:val="22"/>
          <w:szCs w:val="22"/>
        </w:rPr>
        <w:t xml:space="preserve"> </w:t>
      </w:r>
      <w:r w:rsidR="00265656">
        <w:rPr>
          <w:rFonts w:cs="Arial"/>
          <w:sz w:val="22"/>
          <w:szCs w:val="22"/>
        </w:rPr>
        <w:t xml:space="preserve">(sic) </w:t>
      </w:r>
      <w:r w:rsidRPr="00AA6479">
        <w:rPr>
          <w:rFonts w:cs="Arial"/>
          <w:sz w:val="22"/>
          <w:szCs w:val="22"/>
        </w:rPr>
        <w:t>de 201</w:t>
      </w:r>
      <w:r>
        <w:rPr>
          <w:rFonts w:cs="Arial"/>
          <w:sz w:val="22"/>
          <w:szCs w:val="22"/>
        </w:rPr>
        <w:t>9</w:t>
      </w:r>
      <w:r w:rsidRPr="00AA6479">
        <w:rPr>
          <w:rFonts w:cs="Arial"/>
          <w:sz w:val="22"/>
          <w:szCs w:val="22"/>
        </w:rPr>
        <w:t xml:space="preserve">, mediante el cual, la Gerencia General remite </w:t>
      </w:r>
      <w:r>
        <w:rPr>
          <w:rFonts w:cs="Arial"/>
          <w:sz w:val="22"/>
          <w:szCs w:val="22"/>
        </w:rPr>
        <w:t xml:space="preserve">y avala </w:t>
      </w:r>
      <w:r w:rsidRPr="00AA6479">
        <w:rPr>
          <w:rFonts w:cs="Arial"/>
          <w:sz w:val="22"/>
          <w:szCs w:val="22"/>
        </w:rPr>
        <w:t xml:space="preserve">el informe </w:t>
      </w:r>
      <w:r w:rsidRPr="00AA6479">
        <w:rPr>
          <w:rFonts w:cs="Arial"/>
          <w:bCs/>
          <w:sz w:val="22"/>
          <w:szCs w:val="22"/>
        </w:rPr>
        <w:t>DF-OF-</w:t>
      </w:r>
      <w:r>
        <w:rPr>
          <w:rFonts w:cs="Arial"/>
          <w:bCs/>
          <w:sz w:val="22"/>
          <w:szCs w:val="22"/>
        </w:rPr>
        <w:t>0</w:t>
      </w:r>
      <w:r w:rsidR="00265656">
        <w:rPr>
          <w:rFonts w:cs="Arial"/>
          <w:bCs/>
          <w:sz w:val="22"/>
          <w:szCs w:val="22"/>
        </w:rPr>
        <w:t>795</w:t>
      </w:r>
      <w:r w:rsidRPr="00AA6479">
        <w:rPr>
          <w:rFonts w:cs="Arial"/>
          <w:bCs/>
          <w:sz w:val="22"/>
          <w:szCs w:val="22"/>
        </w:rPr>
        <w:t>-201</w:t>
      </w:r>
      <w:r>
        <w:rPr>
          <w:rFonts w:cs="Arial"/>
          <w:bCs/>
          <w:sz w:val="22"/>
          <w:szCs w:val="22"/>
        </w:rPr>
        <w:t>9</w:t>
      </w:r>
      <w:r w:rsidRPr="00AA6479">
        <w:rPr>
          <w:rFonts w:cs="Arial"/>
          <w:bCs/>
          <w:sz w:val="22"/>
          <w:szCs w:val="22"/>
        </w:rPr>
        <w:t xml:space="preserve"> de la Dirección FOSUVI</w:t>
      </w:r>
      <w:r w:rsidRPr="00AA6479">
        <w:rPr>
          <w:rFonts w:cs="Arial"/>
          <w:sz w:val="22"/>
          <w:szCs w:val="22"/>
        </w:rPr>
        <w:t>, que contiene los resultados del estudio efectuado a la solicitud de</w:t>
      </w:r>
      <w:r>
        <w:rPr>
          <w:rFonts w:cs="Arial"/>
          <w:sz w:val="22"/>
          <w:szCs w:val="22"/>
        </w:rPr>
        <w:t>l Instituto Nacional de Vivienda y Urbanismo (INVU),</w:t>
      </w:r>
      <w:r w:rsidRPr="00AA6479">
        <w:rPr>
          <w:rFonts w:cs="Arial"/>
          <w:sz w:val="22"/>
          <w:szCs w:val="22"/>
        </w:rPr>
        <w:t xml:space="preserve"> para </w:t>
      </w:r>
      <w:r w:rsidR="00265656" w:rsidRPr="00AA6479">
        <w:rPr>
          <w:rFonts w:cs="Arial"/>
          <w:color w:val="000000"/>
          <w:sz w:val="22"/>
          <w:szCs w:val="22"/>
        </w:rPr>
        <w:t>prorrogar</w:t>
      </w:r>
      <w:r w:rsidR="00265656" w:rsidRPr="00AA6479">
        <w:rPr>
          <w:rFonts w:cs="Arial"/>
          <w:sz w:val="22"/>
          <w:szCs w:val="22"/>
        </w:rPr>
        <w:t xml:space="preserve"> el plazo</w:t>
      </w:r>
      <w:r w:rsidR="00265656" w:rsidRPr="00AA6479">
        <w:rPr>
          <w:rFonts w:cs="Arial"/>
          <w:sz w:val="22"/>
          <w:szCs w:val="22"/>
          <w:lang w:val="es-ES_tradnl"/>
        </w:rPr>
        <w:t xml:space="preserve"> de</w:t>
      </w:r>
      <w:r w:rsidR="00265656">
        <w:rPr>
          <w:rFonts w:cs="Arial"/>
          <w:sz w:val="22"/>
          <w:szCs w:val="22"/>
          <w:lang w:val="es-ES_tradnl"/>
        </w:rPr>
        <w:t>l contrato de administración de recursos</w:t>
      </w:r>
      <w:r w:rsidR="00265656" w:rsidRPr="00AA6479">
        <w:rPr>
          <w:rFonts w:cs="Arial"/>
          <w:sz w:val="22"/>
          <w:szCs w:val="22"/>
        </w:rPr>
        <w:t xml:space="preserve"> </w:t>
      </w:r>
      <w:r w:rsidR="00265656">
        <w:rPr>
          <w:rFonts w:cs="Arial"/>
          <w:sz w:val="22"/>
          <w:szCs w:val="22"/>
        </w:rPr>
        <w:t>d</w:t>
      </w:r>
      <w:r w:rsidR="00265656" w:rsidRPr="00AA6479">
        <w:rPr>
          <w:rFonts w:cs="Arial"/>
          <w:sz w:val="22"/>
          <w:szCs w:val="22"/>
        </w:rPr>
        <w:t xml:space="preserve">el proyecto habitacional </w:t>
      </w:r>
      <w:r w:rsidR="00265656">
        <w:rPr>
          <w:rFonts w:cs="Arial"/>
          <w:sz w:val="22"/>
          <w:szCs w:val="22"/>
        </w:rPr>
        <w:t>Hojancha</w:t>
      </w:r>
      <w:r w:rsidR="00265656" w:rsidRPr="00AA6479">
        <w:rPr>
          <w:rFonts w:cs="Arial"/>
          <w:sz w:val="22"/>
          <w:szCs w:val="22"/>
        </w:rPr>
        <w:t xml:space="preserve">, ubicado en el distrito y cantón de </w:t>
      </w:r>
      <w:r w:rsidR="00265656">
        <w:rPr>
          <w:rFonts w:cs="Arial"/>
          <w:sz w:val="22"/>
          <w:szCs w:val="22"/>
        </w:rPr>
        <w:t>Hojancha</w:t>
      </w:r>
      <w:r w:rsidR="00265656" w:rsidRPr="00AA6479">
        <w:rPr>
          <w:rFonts w:cs="Arial"/>
          <w:sz w:val="22"/>
          <w:szCs w:val="22"/>
        </w:rPr>
        <w:t xml:space="preserve">, provincia de </w:t>
      </w:r>
      <w:r w:rsidR="00265656">
        <w:rPr>
          <w:rFonts w:cs="Arial"/>
          <w:sz w:val="22"/>
          <w:szCs w:val="22"/>
        </w:rPr>
        <w:t>Guanacaste</w:t>
      </w:r>
      <w:r w:rsidR="00265656" w:rsidRPr="00AA6479">
        <w:rPr>
          <w:rFonts w:cs="Arial"/>
          <w:sz w:val="22"/>
          <w:szCs w:val="22"/>
        </w:rPr>
        <w:t xml:space="preserve">, y aprobado con el </w:t>
      </w:r>
      <w:r w:rsidR="00265656" w:rsidRPr="00AA6479">
        <w:rPr>
          <w:rFonts w:cs="Arial"/>
          <w:sz w:val="22"/>
          <w:szCs w:val="22"/>
          <w:lang w:val="es-ES_tradnl"/>
        </w:rPr>
        <w:t xml:space="preserve">acuerdo </w:t>
      </w:r>
      <w:r w:rsidR="00265656" w:rsidRPr="00DE211A">
        <w:rPr>
          <w:rFonts w:cs="Arial"/>
          <w:sz w:val="22"/>
          <w:szCs w:val="22"/>
        </w:rPr>
        <w:t>N° 1 de la sesión 80-2015 del 17 de diciembre de 2015</w:t>
      </w:r>
      <w:r w:rsidR="00265656" w:rsidRPr="00AA6479">
        <w:rPr>
          <w:rFonts w:cs="Arial"/>
          <w:sz w:val="22"/>
          <w:szCs w:val="22"/>
        </w:rPr>
        <w:t>.</w:t>
      </w:r>
      <w:r w:rsidRPr="00AA6479">
        <w:rPr>
          <w:rFonts w:cs="Arial"/>
          <w:sz w:val="22"/>
          <w:szCs w:val="22"/>
        </w:rPr>
        <w:t xml:space="preserve">  Dichos documentos se adjuntan a</w:t>
      </w:r>
      <w:r w:rsidR="00265656">
        <w:rPr>
          <w:rFonts w:cs="Arial"/>
          <w:sz w:val="22"/>
          <w:szCs w:val="22"/>
        </w:rPr>
        <w:t>l expediente del</w:t>
      </w:r>
      <w:r w:rsidRPr="00AA6479">
        <w:rPr>
          <w:rFonts w:cs="Arial"/>
          <w:sz w:val="22"/>
          <w:szCs w:val="22"/>
        </w:rPr>
        <w:t xml:space="preserve"> acta</w:t>
      </w:r>
      <w:r w:rsidRPr="00AA6479">
        <w:rPr>
          <w:rFonts w:cs="Arial"/>
          <w:bCs/>
          <w:sz w:val="22"/>
          <w:szCs w:val="22"/>
          <w:lang w:val="es-ES_tradnl"/>
        </w:rPr>
        <w:t>.</w:t>
      </w:r>
    </w:p>
    <w:p w:rsidR="0046557C" w:rsidRPr="00AA6479" w:rsidRDefault="0046557C" w:rsidP="0046557C">
      <w:pPr>
        <w:spacing w:line="360" w:lineRule="auto"/>
        <w:jc w:val="both"/>
        <w:rPr>
          <w:rFonts w:cs="Arial"/>
          <w:bCs/>
          <w:sz w:val="22"/>
          <w:szCs w:val="22"/>
          <w:lang w:val="es-ES_tradnl"/>
        </w:rPr>
      </w:pPr>
    </w:p>
    <w:p w:rsidR="0046557C" w:rsidRDefault="0046557C" w:rsidP="0046557C">
      <w:pPr>
        <w:spacing w:line="360" w:lineRule="auto"/>
        <w:jc w:val="both"/>
        <w:rPr>
          <w:rFonts w:cs="Arial"/>
          <w:sz w:val="22"/>
          <w:szCs w:val="22"/>
          <w:lang w:val="es-ES_tradnl"/>
        </w:rPr>
      </w:pPr>
      <w:r w:rsidRPr="00AA6479">
        <w:rPr>
          <w:rFonts w:cs="Arial"/>
          <w:sz w:val="22"/>
          <w:szCs w:val="22"/>
        </w:rPr>
        <w:t xml:space="preserve">La </w:t>
      </w:r>
      <w:r w:rsidR="00265656">
        <w:rPr>
          <w:rFonts w:cs="Arial"/>
          <w:sz w:val="22"/>
          <w:szCs w:val="22"/>
        </w:rPr>
        <w:t xml:space="preserve">licenciada Camacho Murillo </w:t>
      </w:r>
      <w:r w:rsidRPr="00AA6479">
        <w:rPr>
          <w:rFonts w:cs="Arial"/>
          <w:sz w:val="22"/>
          <w:szCs w:val="22"/>
        </w:rPr>
        <w:t>expone los alcances del citado informe, destacando que una vez valorados los documentos que sustentan la solicitud de la entidad autorizada, se recomienda</w:t>
      </w:r>
      <w:r>
        <w:rPr>
          <w:rFonts w:cs="Arial"/>
          <w:sz w:val="22"/>
          <w:szCs w:val="22"/>
        </w:rPr>
        <w:t xml:space="preserve"> autorizar la</w:t>
      </w:r>
      <w:r w:rsidRPr="00AA6479">
        <w:rPr>
          <w:rFonts w:cs="Arial"/>
          <w:sz w:val="22"/>
          <w:szCs w:val="22"/>
        </w:rPr>
        <w:t xml:space="preserve"> </w:t>
      </w:r>
      <w:r w:rsidRPr="00AA6479">
        <w:rPr>
          <w:rFonts w:cs="Arial"/>
          <w:sz w:val="22"/>
          <w:szCs w:val="22"/>
          <w:lang w:val="es-ES_tradnl"/>
        </w:rPr>
        <w:t>pr</w:t>
      </w:r>
      <w:r>
        <w:rPr>
          <w:rFonts w:cs="Arial"/>
          <w:sz w:val="22"/>
          <w:szCs w:val="22"/>
          <w:lang w:val="es-ES_tradnl"/>
        </w:rPr>
        <w:t>ó</w:t>
      </w:r>
      <w:r w:rsidRPr="00AA6479">
        <w:rPr>
          <w:rFonts w:cs="Arial"/>
          <w:sz w:val="22"/>
          <w:szCs w:val="22"/>
          <w:lang w:val="es-ES_tradnl"/>
        </w:rPr>
        <w:t>rroga</w:t>
      </w:r>
      <w:r>
        <w:rPr>
          <w:rFonts w:cs="Arial"/>
          <w:sz w:val="22"/>
          <w:szCs w:val="22"/>
          <w:lang w:val="es-ES_tradnl"/>
        </w:rPr>
        <w:t xml:space="preserve"> requerida por el INVU</w:t>
      </w:r>
      <w:r w:rsidR="00265656">
        <w:rPr>
          <w:rFonts w:cs="Arial"/>
          <w:sz w:val="22"/>
          <w:szCs w:val="22"/>
          <w:lang w:val="es-ES_tradnl"/>
        </w:rPr>
        <w:t xml:space="preserve">, ampliando los plazos para </w:t>
      </w:r>
      <w:r w:rsidR="00265656" w:rsidRPr="00AA6479">
        <w:rPr>
          <w:rFonts w:cs="Arial"/>
          <w:color w:val="000000"/>
          <w:sz w:val="22"/>
          <w:szCs w:val="22"/>
        </w:rPr>
        <w:t xml:space="preserve">la </w:t>
      </w:r>
      <w:r w:rsidR="00265656">
        <w:rPr>
          <w:rFonts w:cs="Arial"/>
          <w:color w:val="000000"/>
          <w:sz w:val="22"/>
          <w:szCs w:val="22"/>
        </w:rPr>
        <w:t xml:space="preserve">finalización </w:t>
      </w:r>
      <w:r w:rsidR="00265656" w:rsidRPr="00AA6479">
        <w:rPr>
          <w:rFonts w:cs="Arial"/>
          <w:color w:val="000000"/>
          <w:sz w:val="22"/>
          <w:szCs w:val="22"/>
        </w:rPr>
        <w:t>de las obras</w:t>
      </w:r>
      <w:r w:rsidR="00265656">
        <w:rPr>
          <w:rFonts w:cs="Arial"/>
          <w:color w:val="000000"/>
          <w:sz w:val="22"/>
          <w:szCs w:val="22"/>
        </w:rPr>
        <w:t xml:space="preserve">, </w:t>
      </w:r>
      <w:r w:rsidR="00265656" w:rsidRPr="00AA6479">
        <w:rPr>
          <w:rFonts w:cs="Arial"/>
          <w:color w:val="000000"/>
          <w:sz w:val="22"/>
          <w:szCs w:val="22"/>
        </w:rPr>
        <w:t xml:space="preserve">la formalización </w:t>
      </w:r>
      <w:r w:rsidR="00265656">
        <w:rPr>
          <w:rFonts w:cs="Arial"/>
          <w:color w:val="000000"/>
          <w:sz w:val="22"/>
          <w:szCs w:val="22"/>
        </w:rPr>
        <w:t>de las operaciones</w:t>
      </w:r>
      <w:r w:rsidR="00265656" w:rsidRPr="00DE211A">
        <w:rPr>
          <w:rFonts w:cs="Arial"/>
          <w:color w:val="000000"/>
          <w:sz w:val="22"/>
          <w:szCs w:val="22"/>
        </w:rPr>
        <w:t xml:space="preserve"> </w:t>
      </w:r>
      <w:r w:rsidR="00265656">
        <w:rPr>
          <w:rFonts w:cs="Arial"/>
          <w:color w:val="000000"/>
          <w:sz w:val="22"/>
          <w:szCs w:val="22"/>
        </w:rPr>
        <w:t xml:space="preserve">y </w:t>
      </w:r>
      <w:r w:rsidR="00265656" w:rsidRPr="00AA6479">
        <w:rPr>
          <w:rFonts w:cs="Arial"/>
          <w:color w:val="000000"/>
          <w:sz w:val="22"/>
          <w:szCs w:val="22"/>
        </w:rPr>
        <w:t>la entrega del cierre técnico y financiero</w:t>
      </w:r>
      <w:r w:rsidR="00265656">
        <w:rPr>
          <w:rFonts w:cs="Arial"/>
          <w:color w:val="000000"/>
          <w:sz w:val="22"/>
          <w:szCs w:val="22"/>
        </w:rPr>
        <w:t xml:space="preserve"> del proyecto, por un período total de hasta 10 meses, a partir de la firma de la adenda al contrato.</w:t>
      </w:r>
    </w:p>
    <w:p w:rsidR="0046557C" w:rsidRPr="00AA6479" w:rsidRDefault="0046557C" w:rsidP="0046557C">
      <w:pPr>
        <w:spacing w:line="360" w:lineRule="auto"/>
        <w:jc w:val="both"/>
        <w:rPr>
          <w:rFonts w:cs="Arial"/>
          <w:sz w:val="22"/>
          <w:szCs w:val="22"/>
          <w:lang w:val="es-ES_tradnl"/>
        </w:rPr>
      </w:pPr>
    </w:p>
    <w:p w:rsidR="0046557C" w:rsidRDefault="0046557C" w:rsidP="0046557C">
      <w:pPr>
        <w:spacing w:line="360" w:lineRule="auto"/>
        <w:jc w:val="both"/>
        <w:rPr>
          <w:rFonts w:cs="Arial"/>
          <w:sz w:val="22"/>
          <w:lang w:val="es-ES_tradnl"/>
        </w:rPr>
      </w:pPr>
      <w:r w:rsidRPr="00A25DB7">
        <w:rPr>
          <w:rFonts w:cs="Arial"/>
          <w:sz w:val="22"/>
          <w:u w:val="single"/>
          <w:lang w:val="es-ES_tradnl"/>
        </w:rPr>
        <w:t xml:space="preserve">Minuto </w:t>
      </w:r>
      <w:r w:rsidR="00265656">
        <w:rPr>
          <w:rFonts w:cs="Arial"/>
          <w:sz w:val="22"/>
          <w:u w:val="single"/>
          <w:lang w:val="es-ES_tradnl"/>
        </w:rPr>
        <w:t>204</w:t>
      </w:r>
      <w:r w:rsidRPr="00A25DB7">
        <w:rPr>
          <w:rFonts w:cs="Arial"/>
          <w:sz w:val="22"/>
          <w:u w:val="single"/>
          <w:lang w:val="es-ES_tradnl"/>
        </w:rPr>
        <w:t>:</w:t>
      </w:r>
      <w:r w:rsidR="00265656">
        <w:rPr>
          <w:rFonts w:cs="Arial"/>
          <w:sz w:val="22"/>
          <w:u w:val="single"/>
          <w:lang w:val="es-ES_tradnl"/>
        </w:rPr>
        <w:t>40</w:t>
      </w:r>
      <w:r>
        <w:rPr>
          <w:rFonts w:cs="Arial"/>
          <w:sz w:val="22"/>
          <w:lang w:val="es-ES_tradnl"/>
        </w:rPr>
        <w:t xml:space="preserve"> Conocido</w:t>
      </w:r>
      <w:r w:rsidRPr="00AA6479">
        <w:rPr>
          <w:bCs/>
          <w:sz w:val="22"/>
        </w:rPr>
        <w:t xml:space="preserve"> </w:t>
      </w:r>
      <w:r w:rsidR="00265656">
        <w:rPr>
          <w:bCs/>
          <w:sz w:val="22"/>
        </w:rPr>
        <w:t xml:space="preserve">y suficientemente discutido </w:t>
      </w:r>
      <w:r w:rsidRPr="00AA6479">
        <w:rPr>
          <w:bCs/>
          <w:sz w:val="22"/>
        </w:rPr>
        <w:t>el informe de la Dirección FOSUVI</w:t>
      </w:r>
      <w:r w:rsidR="00265656">
        <w:rPr>
          <w:bCs/>
          <w:sz w:val="22"/>
        </w:rPr>
        <w:t>,</w:t>
      </w:r>
      <w:r w:rsidRPr="00AA6479">
        <w:rPr>
          <w:bCs/>
          <w:sz w:val="22"/>
        </w:rPr>
        <w:t xml:space="preserve"> y no habiendo objeciones de los </w:t>
      </w:r>
      <w:r w:rsidRPr="00AA6479">
        <w:rPr>
          <w:rFonts w:cs="Arial"/>
          <w:color w:val="000000"/>
          <w:sz w:val="22"/>
          <w:szCs w:val="22"/>
        </w:rPr>
        <w:t xml:space="preserve">señores Directores ni por parte de los funcionarios presentes, la Junta Directiva </w:t>
      </w:r>
      <w:r w:rsidR="00265656">
        <w:rPr>
          <w:rFonts w:cs="Arial"/>
          <w:color w:val="000000"/>
          <w:sz w:val="22"/>
          <w:szCs w:val="22"/>
        </w:rPr>
        <w:t>resuelve acoger</w:t>
      </w:r>
      <w:r w:rsidRPr="00AA6479">
        <w:rPr>
          <w:rFonts w:cs="Arial"/>
          <w:color w:val="000000"/>
          <w:sz w:val="22"/>
          <w:szCs w:val="22"/>
        </w:rPr>
        <w:t xml:space="preserve"> la recomendación de la Administración y</w:t>
      </w:r>
      <w:r w:rsidR="00265656">
        <w:rPr>
          <w:rFonts w:cs="Arial"/>
          <w:color w:val="000000"/>
          <w:sz w:val="22"/>
          <w:szCs w:val="22"/>
        </w:rPr>
        <w:t>, en consecuencia,</w:t>
      </w:r>
      <w:r w:rsidRPr="00AA6479">
        <w:rPr>
          <w:rFonts w:cs="Arial"/>
          <w:color w:val="000000"/>
          <w:sz w:val="22"/>
          <w:szCs w:val="22"/>
        </w:rPr>
        <w:t xml:space="preserve"> toma el</w:t>
      </w:r>
      <w:r>
        <w:rPr>
          <w:rFonts w:cs="Arial"/>
          <w:color w:val="000000"/>
          <w:sz w:val="22"/>
          <w:szCs w:val="22"/>
        </w:rPr>
        <w:t xml:space="preserve"> </w:t>
      </w:r>
      <w:r w:rsidRPr="0023327C">
        <w:rPr>
          <w:rFonts w:cs="Arial"/>
          <w:b/>
          <w:sz w:val="22"/>
          <w:lang w:val="es-ES_tradnl"/>
        </w:rPr>
        <w:t xml:space="preserve">Acuerdo N° </w:t>
      </w:r>
      <w:r>
        <w:rPr>
          <w:rFonts w:cs="Arial"/>
          <w:b/>
          <w:sz w:val="22"/>
          <w:lang w:val="es-ES_tradnl"/>
        </w:rPr>
        <w:t>5</w:t>
      </w:r>
      <w:r>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483C65" w:rsidRPr="00483C65">
        <w:rPr>
          <w:rFonts w:cs="Arial"/>
          <w:b/>
          <w:sz w:val="22"/>
          <w:u w:val="single"/>
          <w:lang w:val="es-ES_tradnl"/>
        </w:rPr>
        <w:t>Solicitud de reajuste de precios del proyecto El Rodeo</w:t>
      </w:r>
    </w:p>
    <w:p w:rsidR="009D03FE" w:rsidRDefault="009D03FE" w:rsidP="009D03FE">
      <w:pPr>
        <w:spacing w:line="360" w:lineRule="auto"/>
        <w:jc w:val="both"/>
        <w:rPr>
          <w:rFonts w:cs="Arial"/>
          <w:sz w:val="22"/>
          <w:szCs w:val="22"/>
        </w:rPr>
      </w:pPr>
    </w:p>
    <w:p w:rsidR="00265656" w:rsidRPr="00AA6479" w:rsidRDefault="00265656" w:rsidP="00265656">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205</w:t>
      </w:r>
      <w:r w:rsidRPr="0039311E">
        <w:rPr>
          <w:rFonts w:cs="Arial"/>
          <w:sz w:val="22"/>
          <w:u w:val="single"/>
          <w:lang w:val="es-ES_tradnl"/>
        </w:rPr>
        <w:t>:</w:t>
      </w:r>
      <w:r>
        <w:rPr>
          <w:rFonts w:cs="Arial"/>
          <w:sz w:val="22"/>
          <w:u w:val="single"/>
          <w:lang w:val="es-ES_tradnl"/>
        </w:rPr>
        <w:t>22</w:t>
      </w:r>
      <w:r>
        <w:rPr>
          <w:rFonts w:cs="Arial"/>
          <w:sz w:val="22"/>
          <w:lang w:val="es-ES_tradnl"/>
        </w:rPr>
        <w:t xml:space="preserve"> Se conoce el oficio </w:t>
      </w:r>
      <w:r w:rsidRPr="00AA6479">
        <w:rPr>
          <w:rFonts w:cs="Arial"/>
          <w:sz w:val="22"/>
          <w:szCs w:val="22"/>
        </w:rPr>
        <w:t>GG-ME-</w:t>
      </w:r>
      <w:r>
        <w:rPr>
          <w:rFonts w:cs="Arial"/>
          <w:sz w:val="22"/>
          <w:szCs w:val="22"/>
        </w:rPr>
        <w:t>0727</w:t>
      </w:r>
      <w:r w:rsidRPr="00AA6479">
        <w:rPr>
          <w:rFonts w:cs="Arial"/>
          <w:sz w:val="22"/>
          <w:szCs w:val="22"/>
        </w:rPr>
        <w:t>-201</w:t>
      </w:r>
      <w:r>
        <w:rPr>
          <w:rFonts w:cs="Arial"/>
          <w:sz w:val="22"/>
          <w:szCs w:val="22"/>
        </w:rPr>
        <w:t>9</w:t>
      </w:r>
      <w:r w:rsidRPr="00AA6479">
        <w:rPr>
          <w:rFonts w:cs="Arial"/>
          <w:sz w:val="22"/>
          <w:szCs w:val="22"/>
        </w:rPr>
        <w:t xml:space="preserve"> del </w:t>
      </w:r>
      <w:r>
        <w:rPr>
          <w:rFonts w:cs="Arial"/>
          <w:sz w:val="22"/>
          <w:szCs w:val="22"/>
        </w:rPr>
        <w:t>12</w:t>
      </w:r>
      <w:r w:rsidRPr="00AA6479">
        <w:rPr>
          <w:rFonts w:cs="Arial"/>
          <w:sz w:val="22"/>
          <w:szCs w:val="22"/>
        </w:rPr>
        <w:t xml:space="preserve"> de </w:t>
      </w:r>
      <w:r>
        <w:rPr>
          <w:rFonts w:cs="Arial"/>
          <w:sz w:val="22"/>
          <w:szCs w:val="22"/>
        </w:rPr>
        <w:t xml:space="preserve">julio </w:t>
      </w:r>
      <w:r w:rsidRPr="00AA6479">
        <w:rPr>
          <w:rFonts w:cs="Arial"/>
          <w:sz w:val="22"/>
          <w:szCs w:val="22"/>
        </w:rPr>
        <w:t>de 201</w:t>
      </w:r>
      <w:r>
        <w:rPr>
          <w:rFonts w:cs="Arial"/>
          <w:sz w:val="22"/>
          <w:szCs w:val="22"/>
        </w:rPr>
        <w:t>9</w:t>
      </w:r>
      <w:r w:rsidRPr="00AA6479">
        <w:rPr>
          <w:rFonts w:cs="Arial"/>
          <w:sz w:val="22"/>
          <w:szCs w:val="22"/>
        </w:rPr>
        <w:t xml:space="preserve">, mediante el cual, la Gerencia General remite </w:t>
      </w:r>
      <w:r>
        <w:rPr>
          <w:rFonts w:cs="Arial"/>
          <w:sz w:val="22"/>
          <w:szCs w:val="22"/>
        </w:rPr>
        <w:t xml:space="preserve">y avala </w:t>
      </w:r>
      <w:r w:rsidRPr="00AA6479">
        <w:rPr>
          <w:rFonts w:cs="Arial"/>
          <w:sz w:val="22"/>
          <w:szCs w:val="22"/>
        </w:rPr>
        <w:t xml:space="preserve">el informe </w:t>
      </w:r>
      <w:r w:rsidRPr="00AA6479">
        <w:rPr>
          <w:rFonts w:cs="Arial"/>
          <w:bCs/>
          <w:sz w:val="22"/>
          <w:szCs w:val="22"/>
        </w:rPr>
        <w:t>DF-OF-</w:t>
      </w:r>
      <w:r>
        <w:rPr>
          <w:rFonts w:cs="Arial"/>
          <w:bCs/>
          <w:sz w:val="22"/>
          <w:szCs w:val="22"/>
        </w:rPr>
        <w:t>0789</w:t>
      </w:r>
      <w:r w:rsidRPr="00AA6479">
        <w:rPr>
          <w:rFonts w:cs="Arial"/>
          <w:bCs/>
          <w:sz w:val="22"/>
          <w:szCs w:val="22"/>
        </w:rPr>
        <w:t>-201</w:t>
      </w:r>
      <w:r>
        <w:rPr>
          <w:rFonts w:cs="Arial"/>
          <w:bCs/>
          <w:sz w:val="22"/>
          <w:szCs w:val="22"/>
        </w:rPr>
        <w:t>9</w:t>
      </w:r>
      <w:r w:rsidRPr="00AA6479">
        <w:rPr>
          <w:rFonts w:cs="Arial"/>
          <w:bCs/>
          <w:sz w:val="22"/>
          <w:szCs w:val="22"/>
        </w:rPr>
        <w:t xml:space="preserve"> de la Dirección FOSUVI</w:t>
      </w:r>
      <w:r w:rsidRPr="00AA6479">
        <w:rPr>
          <w:rFonts w:cs="Arial"/>
          <w:sz w:val="22"/>
          <w:szCs w:val="22"/>
        </w:rPr>
        <w:t>, que contiene los resultados del estudio efectuado a la solicitud de</w:t>
      </w:r>
      <w:r>
        <w:rPr>
          <w:rFonts w:cs="Arial"/>
          <w:sz w:val="22"/>
          <w:szCs w:val="22"/>
        </w:rPr>
        <w:t xml:space="preserve"> la Fundación para la Vivienda Rural Costa Rica – Canadá,</w:t>
      </w:r>
      <w:r w:rsidRPr="00AA6479">
        <w:rPr>
          <w:rFonts w:cs="Arial"/>
          <w:sz w:val="22"/>
          <w:szCs w:val="22"/>
        </w:rPr>
        <w:t xml:space="preserve"> para </w:t>
      </w:r>
      <w:r>
        <w:rPr>
          <w:rFonts w:cs="Arial"/>
          <w:sz w:val="22"/>
          <w:szCs w:val="22"/>
        </w:rPr>
        <w:t xml:space="preserve">reajustar los precios del </w:t>
      </w:r>
      <w:r w:rsidRPr="00AA6479">
        <w:rPr>
          <w:rFonts w:cs="Arial"/>
          <w:sz w:val="22"/>
          <w:szCs w:val="22"/>
        </w:rPr>
        <w:t xml:space="preserve">proyecto habitacional </w:t>
      </w:r>
      <w:r>
        <w:rPr>
          <w:rFonts w:cs="Arial"/>
          <w:sz w:val="22"/>
          <w:szCs w:val="22"/>
        </w:rPr>
        <w:t>El Rodeo</w:t>
      </w:r>
      <w:r w:rsidRPr="00AA6479">
        <w:rPr>
          <w:rFonts w:cs="Arial"/>
          <w:sz w:val="22"/>
          <w:szCs w:val="22"/>
        </w:rPr>
        <w:t xml:space="preserve">, ubicado en el distrito </w:t>
      </w:r>
      <w:r>
        <w:rPr>
          <w:rFonts w:cs="Arial"/>
          <w:sz w:val="22"/>
          <w:szCs w:val="22"/>
        </w:rPr>
        <w:t xml:space="preserve">San Marcos del </w:t>
      </w:r>
      <w:r w:rsidRPr="00AA6479">
        <w:rPr>
          <w:rFonts w:cs="Arial"/>
          <w:sz w:val="22"/>
          <w:szCs w:val="22"/>
        </w:rPr>
        <w:t xml:space="preserve">cantón de </w:t>
      </w:r>
      <w:r>
        <w:rPr>
          <w:rFonts w:cs="Arial"/>
          <w:sz w:val="22"/>
          <w:szCs w:val="22"/>
        </w:rPr>
        <w:t xml:space="preserve">Tarrazú, </w:t>
      </w:r>
      <w:r w:rsidRPr="00AA6479">
        <w:rPr>
          <w:rFonts w:cs="Arial"/>
          <w:sz w:val="22"/>
          <w:szCs w:val="22"/>
        </w:rPr>
        <w:t xml:space="preserve">provincia de </w:t>
      </w:r>
      <w:r>
        <w:rPr>
          <w:rFonts w:cs="Arial"/>
          <w:sz w:val="22"/>
          <w:szCs w:val="22"/>
        </w:rPr>
        <w:t>San José</w:t>
      </w:r>
      <w:r w:rsidRPr="00AA6479">
        <w:rPr>
          <w:rFonts w:cs="Arial"/>
          <w:sz w:val="22"/>
          <w:szCs w:val="22"/>
        </w:rPr>
        <w:t xml:space="preserve">, y aprobado con el </w:t>
      </w:r>
      <w:r w:rsidRPr="00AA6479">
        <w:rPr>
          <w:rFonts w:cs="Arial"/>
          <w:sz w:val="22"/>
          <w:szCs w:val="22"/>
          <w:lang w:val="es-ES_tradnl"/>
        </w:rPr>
        <w:t xml:space="preserve">acuerdo </w:t>
      </w:r>
      <w:r w:rsidRPr="00DE211A">
        <w:rPr>
          <w:rFonts w:cs="Arial"/>
          <w:sz w:val="22"/>
          <w:szCs w:val="22"/>
        </w:rPr>
        <w:t xml:space="preserve">N° 1 de la sesión </w:t>
      </w:r>
      <w:r>
        <w:rPr>
          <w:rFonts w:cs="Arial"/>
          <w:sz w:val="22"/>
          <w:szCs w:val="22"/>
        </w:rPr>
        <w:t>47</w:t>
      </w:r>
      <w:r w:rsidRPr="00DE211A">
        <w:rPr>
          <w:rFonts w:cs="Arial"/>
          <w:sz w:val="22"/>
          <w:szCs w:val="22"/>
        </w:rPr>
        <w:t>-201</w:t>
      </w:r>
      <w:r>
        <w:rPr>
          <w:rFonts w:cs="Arial"/>
          <w:sz w:val="22"/>
          <w:szCs w:val="22"/>
        </w:rPr>
        <w:t>6</w:t>
      </w:r>
      <w:r w:rsidRPr="00DE211A">
        <w:rPr>
          <w:rFonts w:cs="Arial"/>
          <w:sz w:val="22"/>
          <w:szCs w:val="22"/>
        </w:rPr>
        <w:t xml:space="preserve"> del </w:t>
      </w:r>
      <w:r>
        <w:rPr>
          <w:rFonts w:cs="Arial"/>
          <w:sz w:val="22"/>
          <w:szCs w:val="22"/>
        </w:rPr>
        <w:t>04</w:t>
      </w:r>
      <w:r w:rsidRPr="00DE211A">
        <w:rPr>
          <w:rFonts w:cs="Arial"/>
          <w:sz w:val="22"/>
          <w:szCs w:val="22"/>
        </w:rPr>
        <w:t xml:space="preserve"> de </w:t>
      </w:r>
      <w:r>
        <w:rPr>
          <w:rFonts w:cs="Arial"/>
          <w:sz w:val="22"/>
          <w:szCs w:val="22"/>
        </w:rPr>
        <w:t>julio</w:t>
      </w:r>
      <w:r w:rsidRPr="00DE211A">
        <w:rPr>
          <w:rFonts w:cs="Arial"/>
          <w:sz w:val="22"/>
          <w:szCs w:val="22"/>
        </w:rPr>
        <w:t xml:space="preserve"> de 201</w:t>
      </w:r>
      <w:r>
        <w:rPr>
          <w:rFonts w:cs="Arial"/>
          <w:sz w:val="22"/>
          <w:szCs w:val="22"/>
        </w:rPr>
        <w:t>6</w:t>
      </w:r>
      <w:r w:rsidRPr="00AA6479">
        <w:rPr>
          <w:rFonts w:cs="Arial"/>
          <w:sz w:val="22"/>
          <w:szCs w:val="22"/>
        </w:rPr>
        <w:t>.  Dichos documentos se adjuntan a</w:t>
      </w:r>
      <w:r>
        <w:rPr>
          <w:rFonts w:cs="Arial"/>
          <w:sz w:val="22"/>
          <w:szCs w:val="22"/>
        </w:rPr>
        <w:t>l expediente del</w:t>
      </w:r>
      <w:r w:rsidRPr="00AA6479">
        <w:rPr>
          <w:rFonts w:cs="Arial"/>
          <w:sz w:val="22"/>
          <w:szCs w:val="22"/>
        </w:rPr>
        <w:t xml:space="preserve"> acta</w:t>
      </w:r>
      <w:r w:rsidRPr="00AA6479">
        <w:rPr>
          <w:rFonts w:cs="Arial"/>
          <w:bCs/>
          <w:sz w:val="22"/>
          <w:szCs w:val="22"/>
          <w:lang w:val="es-ES_tradnl"/>
        </w:rPr>
        <w:t>.</w:t>
      </w:r>
    </w:p>
    <w:p w:rsidR="00265656" w:rsidRPr="00AA6479" w:rsidRDefault="00265656" w:rsidP="00265656">
      <w:pPr>
        <w:spacing w:line="360" w:lineRule="auto"/>
        <w:jc w:val="both"/>
        <w:rPr>
          <w:rFonts w:cs="Arial"/>
          <w:bCs/>
          <w:sz w:val="22"/>
          <w:szCs w:val="22"/>
          <w:lang w:val="es-ES_tradnl"/>
        </w:rPr>
      </w:pPr>
    </w:p>
    <w:p w:rsidR="00265656" w:rsidRDefault="00265656" w:rsidP="00265656">
      <w:pPr>
        <w:spacing w:line="360" w:lineRule="auto"/>
        <w:jc w:val="both"/>
        <w:rPr>
          <w:rFonts w:cs="Arial"/>
          <w:sz w:val="22"/>
          <w:szCs w:val="22"/>
        </w:rPr>
      </w:pPr>
      <w:r>
        <w:rPr>
          <w:rFonts w:cs="Arial"/>
          <w:sz w:val="22"/>
          <w:szCs w:val="22"/>
        </w:rPr>
        <w:t>Al respecto, se acoge una solicitud de la</w:t>
      </w:r>
      <w:r w:rsidRPr="00AA6479">
        <w:rPr>
          <w:rFonts w:cs="Arial"/>
          <w:sz w:val="22"/>
          <w:szCs w:val="22"/>
        </w:rPr>
        <w:t xml:space="preserve"> </w:t>
      </w:r>
      <w:r>
        <w:rPr>
          <w:rFonts w:cs="Arial"/>
          <w:sz w:val="22"/>
          <w:szCs w:val="22"/>
        </w:rPr>
        <w:t>licenciada Camacho Murillo, en el sentido de posponer la resolución de este asunto, dado que le han surgido dudas sobre algunos de los montos indicados en el informe de la Dirección FOSUVI y, por consiguiente, procederá a revisarlos para presentar nuevamente la solicitud correspondiente.</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483C65" w:rsidRPr="00483C65">
        <w:rPr>
          <w:rFonts w:cs="Arial"/>
          <w:b/>
          <w:sz w:val="22"/>
          <w:u w:val="single"/>
          <w:lang w:val="es-ES_tradnl"/>
        </w:rPr>
        <w:t>Solicitud de ampliación del plazo del contrato de administración de recursos del proyecto Cartagena</w:t>
      </w:r>
    </w:p>
    <w:p w:rsidR="009D03FE" w:rsidRDefault="009D03FE" w:rsidP="009D03FE">
      <w:pPr>
        <w:spacing w:line="360" w:lineRule="auto"/>
        <w:jc w:val="both"/>
        <w:rPr>
          <w:rFonts w:cs="Arial"/>
          <w:sz w:val="22"/>
          <w:szCs w:val="22"/>
        </w:rPr>
      </w:pPr>
    </w:p>
    <w:p w:rsidR="005C6B19" w:rsidRPr="00AA6479" w:rsidRDefault="005C6B19" w:rsidP="005C6B19">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206</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el oficio </w:t>
      </w:r>
      <w:r w:rsidRPr="00AA6479">
        <w:rPr>
          <w:rFonts w:cs="Arial"/>
          <w:sz w:val="22"/>
          <w:szCs w:val="22"/>
        </w:rPr>
        <w:t>GG-ME-</w:t>
      </w:r>
      <w:r>
        <w:rPr>
          <w:rFonts w:cs="Arial"/>
          <w:sz w:val="22"/>
          <w:szCs w:val="22"/>
        </w:rPr>
        <w:t>0</w:t>
      </w:r>
      <w:r w:rsidR="00C01373">
        <w:rPr>
          <w:rFonts w:cs="Arial"/>
          <w:sz w:val="22"/>
          <w:szCs w:val="22"/>
        </w:rPr>
        <w:t>729</w:t>
      </w:r>
      <w:r w:rsidRPr="00AA6479">
        <w:rPr>
          <w:rFonts w:cs="Arial"/>
          <w:sz w:val="22"/>
          <w:szCs w:val="22"/>
        </w:rPr>
        <w:t>-201</w:t>
      </w:r>
      <w:r>
        <w:rPr>
          <w:rFonts w:cs="Arial"/>
          <w:sz w:val="22"/>
          <w:szCs w:val="22"/>
        </w:rPr>
        <w:t>9</w:t>
      </w:r>
      <w:r w:rsidRPr="00AA6479">
        <w:rPr>
          <w:rFonts w:cs="Arial"/>
          <w:sz w:val="22"/>
          <w:szCs w:val="22"/>
        </w:rPr>
        <w:t xml:space="preserve"> del </w:t>
      </w:r>
      <w:r>
        <w:rPr>
          <w:rFonts w:cs="Arial"/>
          <w:sz w:val="22"/>
          <w:szCs w:val="22"/>
        </w:rPr>
        <w:t>12</w:t>
      </w:r>
      <w:r w:rsidRPr="00AA6479">
        <w:rPr>
          <w:rFonts w:cs="Arial"/>
          <w:sz w:val="22"/>
          <w:szCs w:val="22"/>
        </w:rPr>
        <w:t xml:space="preserve"> de </w:t>
      </w:r>
      <w:r w:rsidR="00C01373">
        <w:rPr>
          <w:rFonts w:cs="Arial"/>
          <w:sz w:val="22"/>
          <w:szCs w:val="22"/>
        </w:rPr>
        <w:t>julio</w:t>
      </w:r>
      <w:r>
        <w:rPr>
          <w:rFonts w:cs="Arial"/>
          <w:sz w:val="22"/>
          <w:szCs w:val="22"/>
        </w:rPr>
        <w:t xml:space="preserve"> </w:t>
      </w:r>
      <w:r w:rsidRPr="00AA6479">
        <w:rPr>
          <w:rFonts w:cs="Arial"/>
          <w:sz w:val="22"/>
          <w:szCs w:val="22"/>
        </w:rPr>
        <w:t>de 201</w:t>
      </w:r>
      <w:r>
        <w:rPr>
          <w:rFonts w:cs="Arial"/>
          <w:sz w:val="22"/>
          <w:szCs w:val="22"/>
        </w:rPr>
        <w:t>9</w:t>
      </w:r>
      <w:r w:rsidRPr="00AA6479">
        <w:rPr>
          <w:rFonts w:cs="Arial"/>
          <w:sz w:val="22"/>
          <w:szCs w:val="22"/>
        </w:rPr>
        <w:t xml:space="preserve">, mediante el cual, la Gerencia General remite </w:t>
      </w:r>
      <w:r>
        <w:rPr>
          <w:rFonts w:cs="Arial"/>
          <w:sz w:val="22"/>
          <w:szCs w:val="22"/>
        </w:rPr>
        <w:t xml:space="preserve">y avala </w:t>
      </w:r>
      <w:r w:rsidRPr="00AA6479">
        <w:rPr>
          <w:rFonts w:cs="Arial"/>
          <w:sz w:val="22"/>
          <w:szCs w:val="22"/>
        </w:rPr>
        <w:t xml:space="preserve">el informe </w:t>
      </w:r>
      <w:r w:rsidRPr="00AA6479">
        <w:rPr>
          <w:rFonts w:cs="Arial"/>
          <w:bCs/>
          <w:sz w:val="22"/>
          <w:szCs w:val="22"/>
        </w:rPr>
        <w:t>DF-OF-</w:t>
      </w:r>
      <w:r>
        <w:rPr>
          <w:rFonts w:cs="Arial"/>
          <w:bCs/>
          <w:sz w:val="22"/>
          <w:szCs w:val="22"/>
        </w:rPr>
        <w:t>0</w:t>
      </w:r>
      <w:r w:rsidR="00C01373">
        <w:rPr>
          <w:rFonts w:cs="Arial"/>
          <w:bCs/>
          <w:sz w:val="22"/>
          <w:szCs w:val="22"/>
        </w:rPr>
        <w:t>788</w:t>
      </w:r>
      <w:r w:rsidRPr="00AA6479">
        <w:rPr>
          <w:rFonts w:cs="Arial"/>
          <w:bCs/>
          <w:sz w:val="22"/>
          <w:szCs w:val="22"/>
        </w:rPr>
        <w:t>-201</w:t>
      </w:r>
      <w:r>
        <w:rPr>
          <w:rFonts w:cs="Arial"/>
          <w:bCs/>
          <w:sz w:val="22"/>
          <w:szCs w:val="22"/>
        </w:rPr>
        <w:t>9</w:t>
      </w:r>
      <w:r w:rsidRPr="00AA6479">
        <w:rPr>
          <w:rFonts w:cs="Arial"/>
          <w:bCs/>
          <w:sz w:val="22"/>
          <w:szCs w:val="22"/>
        </w:rPr>
        <w:t xml:space="preserve"> de la Dirección FOSUVI</w:t>
      </w:r>
      <w:r w:rsidRPr="00AA6479">
        <w:rPr>
          <w:rFonts w:cs="Arial"/>
          <w:sz w:val="22"/>
          <w:szCs w:val="22"/>
        </w:rPr>
        <w:t>, que contiene los resultados del estudio efectuado a la solicitud de</w:t>
      </w:r>
      <w:r w:rsidR="00C01373">
        <w:rPr>
          <w:rFonts w:cs="Arial"/>
          <w:sz w:val="22"/>
          <w:szCs w:val="22"/>
        </w:rPr>
        <w:t xml:space="preserve"> la Fundación para la Vivienda Rural Costa Rica – Canadá,</w:t>
      </w:r>
      <w:r w:rsidRPr="00AA6479">
        <w:rPr>
          <w:rFonts w:cs="Arial"/>
          <w:sz w:val="22"/>
          <w:szCs w:val="22"/>
        </w:rPr>
        <w:t xml:space="preserve"> 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w:t>
      </w:r>
      <w:r>
        <w:rPr>
          <w:rFonts w:cs="Arial"/>
          <w:sz w:val="22"/>
          <w:szCs w:val="22"/>
          <w:lang w:val="es-ES_tradnl"/>
        </w:rPr>
        <w:t>l contrato de administración de recursos</w:t>
      </w:r>
      <w:r w:rsidRPr="00AA6479">
        <w:rPr>
          <w:rFonts w:cs="Arial"/>
          <w:sz w:val="22"/>
          <w:szCs w:val="22"/>
        </w:rPr>
        <w:t xml:space="preserve"> </w:t>
      </w:r>
      <w:r>
        <w:rPr>
          <w:rFonts w:cs="Arial"/>
          <w:sz w:val="22"/>
          <w:szCs w:val="22"/>
        </w:rPr>
        <w:t>d</w:t>
      </w:r>
      <w:r w:rsidRPr="00AA6479">
        <w:rPr>
          <w:rFonts w:cs="Arial"/>
          <w:sz w:val="22"/>
          <w:szCs w:val="22"/>
        </w:rPr>
        <w:t xml:space="preserve">el proyecto habitacional </w:t>
      </w:r>
      <w:r w:rsidR="00C01373">
        <w:rPr>
          <w:rFonts w:cs="Arial"/>
          <w:sz w:val="22"/>
          <w:szCs w:val="22"/>
        </w:rPr>
        <w:t>Cartagena</w:t>
      </w:r>
      <w:r w:rsidRPr="00AA6479">
        <w:rPr>
          <w:rFonts w:cs="Arial"/>
          <w:sz w:val="22"/>
          <w:szCs w:val="22"/>
        </w:rPr>
        <w:t xml:space="preserve">, </w:t>
      </w:r>
      <w:r w:rsidR="00C01373" w:rsidRPr="00AA6479">
        <w:rPr>
          <w:rFonts w:cs="Arial"/>
          <w:sz w:val="22"/>
          <w:szCs w:val="22"/>
        </w:rPr>
        <w:t xml:space="preserve">ubicado en el distrito </w:t>
      </w:r>
      <w:r w:rsidR="00C01373">
        <w:rPr>
          <w:rFonts w:cs="Arial"/>
          <w:sz w:val="22"/>
          <w:szCs w:val="22"/>
        </w:rPr>
        <w:t>Valle La Estrella del</w:t>
      </w:r>
      <w:r w:rsidR="00C01373" w:rsidRPr="00AA6479">
        <w:rPr>
          <w:rFonts w:cs="Arial"/>
          <w:sz w:val="22"/>
          <w:szCs w:val="22"/>
        </w:rPr>
        <w:t xml:space="preserve"> cantón </w:t>
      </w:r>
      <w:r w:rsidR="00C01373">
        <w:rPr>
          <w:rFonts w:cs="Arial"/>
          <w:sz w:val="22"/>
          <w:szCs w:val="22"/>
        </w:rPr>
        <w:t xml:space="preserve">y </w:t>
      </w:r>
      <w:r w:rsidR="00C01373" w:rsidRPr="00AA6479">
        <w:rPr>
          <w:rFonts w:cs="Arial"/>
          <w:sz w:val="22"/>
          <w:szCs w:val="22"/>
        </w:rPr>
        <w:t xml:space="preserve">provincia de </w:t>
      </w:r>
      <w:r w:rsidR="00C01373">
        <w:rPr>
          <w:rFonts w:cs="Arial"/>
          <w:sz w:val="22"/>
          <w:szCs w:val="22"/>
        </w:rPr>
        <w:t>Limón</w:t>
      </w:r>
      <w:r w:rsidR="00C01373" w:rsidRPr="00AA6479">
        <w:rPr>
          <w:rFonts w:cs="Arial"/>
          <w:sz w:val="22"/>
          <w:szCs w:val="22"/>
        </w:rPr>
        <w:t xml:space="preserve">, y aprobado con el </w:t>
      </w:r>
      <w:r w:rsidR="00C01373" w:rsidRPr="00AA6479">
        <w:rPr>
          <w:rFonts w:cs="Arial"/>
          <w:sz w:val="22"/>
          <w:szCs w:val="22"/>
          <w:lang w:val="es-ES_tradnl"/>
        </w:rPr>
        <w:t xml:space="preserve">acuerdo </w:t>
      </w:r>
      <w:r w:rsidR="00C01373" w:rsidRPr="00DE211A">
        <w:rPr>
          <w:rFonts w:cs="Arial"/>
          <w:sz w:val="22"/>
          <w:szCs w:val="22"/>
        </w:rPr>
        <w:t xml:space="preserve">N° 1 de la sesión </w:t>
      </w:r>
      <w:r w:rsidR="00C01373">
        <w:rPr>
          <w:rFonts w:cs="Arial"/>
          <w:sz w:val="22"/>
          <w:szCs w:val="22"/>
        </w:rPr>
        <w:t>25</w:t>
      </w:r>
      <w:r w:rsidR="00C01373" w:rsidRPr="00DE211A">
        <w:rPr>
          <w:rFonts w:cs="Arial"/>
          <w:sz w:val="22"/>
          <w:szCs w:val="22"/>
        </w:rPr>
        <w:t>-201</w:t>
      </w:r>
      <w:r w:rsidR="00C01373">
        <w:rPr>
          <w:rFonts w:cs="Arial"/>
          <w:sz w:val="22"/>
          <w:szCs w:val="22"/>
        </w:rPr>
        <w:t>8</w:t>
      </w:r>
      <w:r w:rsidR="00C01373" w:rsidRPr="00DE211A">
        <w:rPr>
          <w:rFonts w:cs="Arial"/>
          <w:sz w:val="22"/>
          <w:szCs w:val="22"/>
        </w:rPr>
        <w:t xml:space="preserve"> del </w:t>
      </w:r>
      <w:r w:rsidR="00C01373">
        <w:rPr>
          <w:rFonts w:cs="Arial"/>
          <w:sz w:val="22"/>
          <w:szCs w:val="22"/>
        </w:rPr>
        <w:t>16</w:t>
      </w:r>
      <w:r w:rsidR="00C01373" w:rsidRPr="00DE211A">
        <w:rPr>
          <w:rFonts w:cs="Arial"/>
          <w:sz w:val="22"/>
          <w:szCs w:val="22"/>
        </w:rPr>
        <w:t xml:space="preserve"> de </w:t>
      </w:r>
      <w:r w:rsidR="00C01373">
        <w:rPr>
          <w:rFonts w:cs="Arial"/>
          <w:sz w:val="22"/>
          <w:szCs w:val="22"/>
        </w:rPr>
        <w:t>abril</w:t>
      </w:r>
      <w:r w:rsidR="00C01373" w:rsidRPr="00DE211A">
        <w:rPr>
          <w:rFonts w:cs="Arial"/>
          <w:sz w:val="22"/>
          <w:szCs w:val="22"/>
        </w:rPr>
        <w:t xml:space="preserve"> de 201</w:t>
      </w:r>
      <w:r w:rsidR="00C01373">
        <w:rPr>
          <w:rFonts w:cs="Arial"/>
          <w:sz w:val="22"/>
          <w:szCs w:val="22"/>
        </w:rPr>
        <w:t>8</w:t>
      </w:r>
      <w:r w:rsidR="00C01373" w:rsidRPr="00AA6479">
        <w:rPr>
          <w:rFonts w:cs="Arial"/>
          <w:sz w:val="22"/>
          <w:szCs w:val="22"/>
        </w:rPr>
        <w:t>.</w:t>
      </w:r>
      <w:r w:rsidRPr="00AA6479">
        <w:rPr>
          <w:rFonts w:cs="Arial"/>
          <w:sz w:val="22"/>
          <w:szCs w:val="22"/>
        </w:rPr>
        <w:t xml:space="preserve">  Dichos documentos se adjuntan a</w:t>
      </w:r>
      <w:r>
        <w:rPr>
          <w:rFonts w:cs="Arial"/>
          <w:sz w:val="22"/>
          <w:szCs w:val="22"/>
        </w:rPr>
        <w:t>l expediente del</w:t>
      </w:r>
      <w:r w:rsidRPr="00AA6479">
        <w:rPr>
          <w:rFonts w:cs="Arial"/>
          <w:sz w:val="22"/>
          <w:szCs w:val="22"/>
        </w:rPr>
        <w:t xml:space="preserve"> acta</w:t>
      </w:r>
      <w:r w:rsidRPr="00AA6479">
        <w:rPr>
          <w:rFonts w:cs="Arial"/>
          <w:bCs/>
          <w:sz w:val="22"/>
          <w:szCs w:val="22"/>
          <w:lang w:val="es-ES_tradnl"/>
        </w:rPr>
        <w:t>.</w:t>
      </w:r>
    </w:p>
    <w:p w:rsidR="005C6B19" w:rsidRPr="00AA6479" w:rsidRDefault="005C6B19" w:rsidP="005C6B19">
      <w:pPr>
        <w:spacing w:line="360" w:lineRule="auto"/>
        <w:jc w:val="both"/>
        <w:rPr>
          <w:rFonts w:cs="Arial"/>
          <w:bCs/>
          <w:sz w:val="22"/>
          <w:szCs w:val="22"/>
          <w:lang w:val="es-ES_tradnl"/>
        </w:rPr>
      </w:pPr>
    </w:p>
    <w:p w:rsidR="005C6B19" w:rsidRDefault="005C6B19" w:rsidP="005C6B19">
      <w:pPr>
        <w:spacing w:line="360" w:lineRule="auto"/>
        <w:jc w:val="both"/>
        <w:rPr>
          <w:rFonts w:cs="Arial"/>
          <w:sz w:val="22"/>
          <w:szCs w:val="22"/>
          <w:lang w:val="es-ES_tradnl"/>
        </w:rPr>
      </w:pPr>
      <w:r w:rsidRPr="00AA6479">
        <w:rPr>
          <w:rFonts w:cs="Arial"/>
          <w:sz w:val="22"/>
          <w:szCs w:val="22"/>
        </w:rPr>
        <w:t xml:space="preserve">La </w:t>
      </w:r>
      <w:r>
        <w:rPr>
          <w:rFonts w:cs="Arial"/>
          <w:sz w:val="22"/>
          <w:szCs w:val="22"/>
        </w:rPr>
        <w:t xml:space="preserve">licenciada Camacho Murillo </w:t>
      </w:r>
      <w:r w:rsidRPr="00AA6479">
        <w:rPr>
          <w:rFonts w:cs="Arial"/>
          <w:sz w:val="22"/>
          <w:szCs w:val="22"/>
        </w:rPr>
        <w:t>expone los alcances del citado informe, destacando que una vez valorados los documentos que sustentan la solicitud de la entidad autorizada, se recomienda</w:t>
      </w:r>
      <w:r>
        <w:rPr>
          <w:rFonts w:cs="Arial"/>
          <w:sz w:val="22"/>
          <w:szCs w:val="22"/>
        </w:rPr>
        <w:t xml:space="preserve"> autorizar la</w:t>
      </w:r>
      <w:r w:rsidRPr="00AA6479">
        <w:rPr>
          <w:rFonts w:cs="Arial"/>
          <w:sz w:val="22"/>
          <w:szCs w:val="22"/>
        </w:rPr>
        <w:t xml:space="preserve"> </w:t>
      </w:r>
      <w:r w:rsidRPr="00AA6479">
        <w:rPr>
          <w:rFonts w:cs="Arial"/>
          <w:sz w:val="22"/>
          <w:szCs w:val="22"/>
          <w:lang w:val="es-ES_tradnl"/>
        </w:rPr>
        <w:t>pr</w:t>
      </w:r>
      <w:r>
        <w:rPr>
          <w:rFonts w:cs="Arial"/>
          <w:sz w:val="22"/>
          <w:szCs w:val="22"/>
          <w:lang w:val="es-ES_tradnl"/>
        </w:rPr>
        <w:t>ó</w:t>
      </w:r>
      <w:r w:rsidRPr="00AA6479">
        <w:rPr>
          <w:rFonts w:cs="Arial"/>
          <w:sz w:val="22"/>
          <w:szCs w:val="22"/>
          <w:lang w:val="es-ES_tradnl"/>
        </w:rPr>
        <w:t>rroga</w:t>
      </w:r>
      <w:r w:rsidR="00C01373">
        <w:rPr>
          <w:rFonts w:cs="Arial"/>
          <w:sz w:val="22"/>
          <w:szCs w:val="22"/>
          <w:lang w:val="es-ES_tradnl"/>
        </w:rPr>
        <w:t xml:space="preserve"> requerida por la Fundación para la Vivienda Rural Costa Rica – Canadá</w:t>
      </w:r>
      <w:r>
        <w:rPr>
          <w:rFonts w:cs="Arial"/>
          <w:sz w:val="22"/>
          <w:szCs w:val="22"/>
          <w:lang w:val="es-ES_tradnl"/>
        </w:rPr>
        <w:t xml:space="preserve">, ampliando los plazos para </w:t>
      </w:r>
      <w:r w:rsidR="00C01373" w:rsidRPr="00AA6479">
        <w:rPr>
          <w:rFonts w:cs="Arial"/>
          <w:color w:val="000000"/>
          <w:sz w:val="22"/>
          <w:szCs w:val="22"/>
        </w:rPr>
        <w:t xml:space="preserve">la </w:t>
      </w:r>
      <w:r w:rsidR="00C01373">
        <w:rPr>
          <w:rFonts w:cs="Arial"/>
          <w:color w:val="000000"/>
          <w:sz w:val="22"/>
          <w:szCs w:val="22"/>
        </w:rPr>
        <w:t xml:space="preserve">conexión de los servicios, </w:t>
      </w:r>
      <w:r w:rsidR="00C01373" w:rsidRPr="00AA6479">
        <w:rPr>
          <w:rFonts w:cs="Arial"/>
          <w:color w:val="000000"/>
          <w:sz w:val="22"/>
          <w:szCs w:val="22"/>
        </w:rPr>
        <w:t xml:space="preserve">la formalización </w:t>
      </w:r>
      <w:r w:rsidR="00C01373">
        <w:rPr>
          <w:rFonts w:cs="Arial"/>
          <w:color w:val="000000"/>
          <w:sz w:val="22"/>
          <w:szCs w:val="22"/>
        </w:rPr>
        <w:t>de las operaciones</w:t>
      </w:r>
      <w:r w:rsidR="00C01373" w:rsidRPr="00DE211A">
        <w:rPr>
          <w:rFonts w:cs="Arial"/>
          <w:color w:val="000000"/>
          <w:sz w:val="22"/>
          <w:szCs w:val="22"/>
        </w:rPr>
        <w:t xml:space="preserve"> </w:t>
      </w:r>
      <w:r w:rsidR="00C01373">
        <w:rPr>
          <w:rFonts w:cs="Arial"/>
          <w:color w:val="000000"/>
          <w:sz w:val="22"/>
          <w:szCs w:val="22"/>
        </w:rPr>
        <w:t xml:space="preserve">y </w:t>
      </w:r>
      <w:r w:rsidR="00C01373" w:rsidRPr="00AA6479">
        <w:rPr>
          <w:rFonts w:cs="Arial"/>
          <w:color w:val="000000"/>
          <w:sz w:val="22"/>
          <w:szCs w:val="22"/>
        </w:rPr>
        <w:t>la entrega del cierre técnico y financiero</w:t>
      </w:r>
      <w:r w:rsidR="00C01373">
        <w:rPr>
          <w:rFonts w:cs="Arial"/>
          <w:color w:val="000000"/>
          <w:sz w:val="22"/>
          <w:szCs w:val="22"/>
        </w:rPr>
        <w:t xml:space="preserve"> del proyecto, por un período total de hasta 12 meses a partir de la firma de la adenda al contrato.</w:t>
      </w:r>
    </w:p>
    <w:p w:rsidR="005C6B19" w:rsidRPr="00AA6479" w:rsidRDefault="005C6B19" w:rsidP="005C6B19">
      <w:pPr>
        <w:spacing w:line="360" w:lineRule="auto"/>
        <w:jc w:val="both"/>
        <w:rPr>
          <w:rFonts w:cs="Arial"/>
          <w:sz w:val="22"/>
          <w:szCs w:val="22"/>
          <w:lang w:val="es-ES_tradnl"/>
        </w:rPr>
      </w:pPr>
    </w:p>
    <w:p w:rsidR="005C6B19" w:rsidRDefault="005C6B19" w:rsidP="005C6B1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w:t>
      </w:r>
      <w:r w:rsidR="00C00D35">
        <w:rPr>
          <w:rFonts w:cs="Arial"/>
          <w:sz w:val="22"/>
          <w:u w:val="single"/>
          <w:lang w:val="es-ES_tradnl"/>
        </w:rPr>
        <w:t>10</w:t>
      </w:r>
      <w:r w:rsidRPr="00A25DB7">
        <w:rPr>
          <w:rFonts w:cs="Arial"/>
          <w:sz w:val="22"/>
          <w:u w:val="single"/>
          <w:lang w:val="es-ES_tradnl"/>
        </w:rPr>
        <w:t>:</w:t>
      </w:r>
      <w:r w:rsidR="00C00D35">
        <w:rPr>
          <w:rFonts w:cs="Arial"/>
          <w:sz w:val="22"/>
          <w:u w:val="single"/>
          <w:lang w:val="es-ES_tradnl"/>
        </w:rPr>
        <w:t>0</w:t>
      </w:r>
      <w:r>
        <w:rPr>
          <w:rFonts w:cs="Arial"/>
          <w:sz w:val="22"/>
          <w:u w:val="single"/>
          <w:lang w:val="es-ES_tradnl"/>
        </w:rPr>
        <w:t>0</w:t>
      </w:r>
      <w:r>
        <w:rPr>
          <w:rFonts w:cs="Arial"/>
          <w:sz w:val="22"/>
          <w:lang w:val="es-ES_tradnl"/>
        </w:rPr>
        <w:t xml:space="preserve"> Conocido</w:t>
      </w:r>
      <w:r w:rsidRPr="00AA6479">
        <w:rPr>
          <w:bCs/>
          <w:sz w:val="22"/>
        </w:rPr>
        <w:t xml:space="preserve"> </w:t>
      </w:r>
      <w:r>
        <w:rPr>
          <w:bCs/>
          <w:sz w:val="22"/>
        </w:rPr>
        <w:t xml:space="preserve">y suficientemente discutido </w:t>
      </w:r>
      <w:r w:rsidRPr="00AA6479">
        <w:rPr>
          <w:bCs/>
          <w:sz w:val="22"/>
        </w:rPr>
        <w:t>el informe de la Dirección FOSUVI</w:t>
      </w:r>
      <w:r>
        <w:rPr>
          <w:bCs/>
          <w:sz w:val="22"/>
        </w:rPr>
        <w:t>,</w:t>
      </w:r>
      <w:r w:rsidRPr="00AA6479">
        <w:rPr>
          <w:bCs/>
          <w:sz w:val="22"/>
        </w:rPr>
        <w:t xml:space="preserve"> y no habiendo objeciones de los </w:t>
      </w:r>
      <w:r w:rsidRPr="00AA6479">
        <w:rPr>
          <w:rFonts w:cs="Arial"/>
          <w:color w:val="000000"/>
          <w:sz w:val="22"/>
          <w:szCs w:val="22"/>
        </w:rPr>
        <w:t xml:space="preserve">señores Directores ni por parte de los funcionarios presentes, la Junta Directiva </w:t>
      </w:r>
      <w:r>
        <w:rPr>
          <w:rFonts w:cs="Arial"/>
          <w:color w:val="000000"/>
          <w:sz w:val="22"/>
          <w:szCs w:val="22"/>
        </w:rPr>
        <w:t>resuelve acoger</w:t>
      </w:r>
      <w:r w:rsidRPr="00AA6479">
        <w:rPr>
          <w:rFonts w:cs="Arial"/>
          <w:color w:val="000000"/>
          <w:sz w:val="22"/>
          <w:szCs w:val="22"/>
        </w:rPr>
        <w:t xml:space="preserve"> la recomendación de la Administración y</w:t>
      </w:r>
      <w:r>
        <w:rPr>
          <w:rFonts w:cs="Arial"/>
          <w:color w:val="000000"/>
          <w:sz w:val="22"/>
          <w:szCs w:val="22"/>
        </w:rPr>
        <w:t>, en consecuencia,</w:t>
      </w:r>
      <w:r w:rsidRPr="00AA6479">
        <w:rPr>
          <w:rFonts w:cs="Arial"/>
          <w:color w:val="000000"/>
          <w:sz w:val="22"/>
          <w:szCs w:val="22"/>
        </w:rPr>
        <w:t xml:space="preserve"> toma el</w:t>
      </w:r>
      <w:r>
        <w:rPr>
          <w:rFonts w:cs="Arial"/>
          <w:color w:val="000000"/>
          <w:sz w:val="22"/>
          <w:szCs w:val="22"/>
        </w:rPr>
        <w:t xml:space="preserve"> </w:t>
      </w:r>
      <w:r w:rsidRPr="0023327C">
        <w:rPr>
          <w:rFonts w:cs="Arial"/>
          <w:b/>
          <w:sz w:val="22"/>
          <w:lang w:val="es-ES_tradnl"/>
        </w:rPr>
        <w:t xml:space="preserve">Acuerdo N° </w:t>
      </w:r>
      <w:r>
        <w:rPr>
          <w:rFonts w:cs="Arial"/>
          <w:b/>
          <w:sz w:val="22"/>
          <w:lang w:val="es-ES_tradnl"/>
        </w:rPr>
        <w:t>6</w:t>
      </w:r>
      <w:r>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483C65" w:rsidRPr="00483C65">
        <w:rPr>
          <w:rFonts w:cs="Arial"/>
          <w:b/>
          <w:sz w:val="22"/>
          <w:u w:val="single"/>
          <w:lang w:val="es-ES_tradnl"/>
        </w:rPr>
        <w:t>Solicitud de aprobación de 17 bonos extraordinarios individuales</w:t>
      </w:r>
    </w:p>
    <w:p w:rsidR="009D03FE" w:rsidRDefault="009D03FE" w:rsidP="009D03FE">
      <w:pPr>
        <w:spacing w:line="360" w:lineRule="auto"/>
        <w:jc w:val="both"/>
        <w:rPr>
          <w:rFonts w:cs="Arial"/>
          <w:sz w:val="22"/>
          <w:szCs w:val="22"/>
        </w:rPr>
      </w:pPr>
    </w:p>
    <w:p w:rsidR="001D4E33" w:rsidRDefault="001D4E33" w:rsidP="001D4E33">
      <w:pPr>
        <w:spacing w:line="360" w:lineRule="auto"/>
        <w:jc w:val="both"/>
        <w:rPr>
          <w:rFonts w:cs="Arial"/>
          <w:bCs/>
          <w:sz w:val="22"/>
        </w:rPr>
      </w:pPr>
      <w:r w:rsidRPr="0039311E">
        <w:rPr>
          <w:rFonts w:cs="Arial"/>
          <w:sz w:val="22"/>
          <w:u w:val="single"/>
          <w:lang w:val="es-ES_tradnl"/>
        </w:rPr>
        <w:t xml:space="preserve">Minuto </w:t>
      </w:r>
      <w:r w:rsidR="00C00D35">
        <w:rPr>
          <w:rFonts w:cs="Arial"/>
          <w:sz w:val="22"/>
          <w:u w:val="single"/>
          <w:lang w:val="es-ES_tradnl"/>
        </w:rPr>
        <w:t>210</w:t>
      </w:r>
      <w:r>
        <w:rPr>
          <w:rFonts w:cs="Arial"/>
          <w:sz w:val="22"/>
          <w:u w:val="single"/>
          <w:lang w:val="es-ES_tradnl"/>
        </w:rPr>
        <w:t>:1</w:t>
      </w:r>
      <w:r w:rsidR="00C00D35">
        <w:rPr>
          <w:rFonts w:cs="Arial"/>
          <w:sz w:val="22"/>
          <w:u w:val="single"/>
          <w:lang w:val="es-ES_tradnl"/>
        </w:rPr>
        <w:t>5</w:t>
      </w:r>
      <w:r>
        <w:rPr>
          <w:rFonts w:cs="Arial"/>
          <w:sz w:val="22"/>
          <w:lang w:val="es-ES_tradnl"/>
        </w:rPr>
        <w:t xml:space="preserve"> Se conoce el oficio</w:t>
      </w:r>
      <w:r>
        <w:rPr>
          <w:rFonts w:cs="Arial"/>
          <w:bCs/>
          <w:sz w:val="22"/>
        </w:rPr>
        <w:t xml:space="preserve"> GG-ME-0</w:t>
      </w:r>
      <w:r w:rsidR="00C00D35">
        <w:rPr>
          <w:rFonts w:cs="Arial"/>
          <w:bCs/>
          <w:sz w:val="22"/>
        </w:rPr>
        <w:t>734</w:t>
      </w:r>
      <w:r>
        <w:rPr>
          <w:rFonts w:cs="Arial"/>
          <w:bCs/>
          <w:sz w:val="22"/>
        </w:rPr>
        <w:t xml:space="preserve">-2019 del </w:t>
      </w:r>
      <w:r w:rsidR="00C00D35">
        <w:rPr>
          <w:rFonts w:cs="Arial"/>
          <w:bCs/>
          <w:sz w:val="22"/>
        </w:rPr>
        <w:t>12</w:t>
      </w:r>
      <w:r>
        <w:rPr>
          <w:rFonts w:cs="Arial"/>
          <w:bCs/>
          <w:sz w:val="22"/>
        </w:rPr>
        <w:t xml:space="preserve"> de ju</w:t>
      </w:r>
      <w:r w:rsidR="00C00D35">
        <w:rPr>
          <w:rFonts w:cs="Arial"/>
          <w:bCs/>
          <w:sz w:val="22"/>
        </w:rPr>
        <w:t>l</w:t>
      </w:r>
      <w:r>
        <w:rPr>
          <w:rFonts w:cs="Arial"/>
          <w:bCs/>
          <w:sz w:val="22"/>
        </w:rPr>
        <w:t xml:space="preserve">io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C00D35">
        <w:rPr>
          <w:rFonts w:cs="Arial"/>
          <w:sz w:val="22"/>
          <w:szCs w:val="22"/>
        </w:rPr>
        <w:t>790</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C00D35">
        <w:rPr>
          <w:rFonts w:cs="Arial"/>
          <w:bCs/>
          <w:sz w:val="22"/>
        </w:rPr>
        <w:t xml:space="preserve">del Instituto Nacional de Vivienda y Urbanismo, Coopealianza R.L. y </w:t>
      </w:r>
      <w:r w:rsidR="00C00D35">
        <w:rPr>
          <w:rFonts w:cs="Arial"/>
          <w:bCs/>
          <w:sz w:val="22"/>
          <w:szCs w:val="22"/>
        </w:rPr>
        <w:t>Grupo Mutual Alajuela – La Vivienda de Ahorro y Préstamo</w:t>
      </w:r>
      <w:r w:rsidR="00C00D35">
        <w:rPr>
          <w:rFonts w:cs="Arial"/>
          <w:bCs/>
          <w:sz w:val="22"/>
        </w:rPr>
        <w:t>,</w:t>
      </w:r>
      <w:r w:rsidR="00C00D35" w:rsidRPr="00FD161B">
        <w:rPr>
          <w:rFonts w:cs="Arial"/>
          <w:bCs/>
          <w:sz w:val="22"/>
        </w:rPr>
        <w:t xml:space="preserve"> </w:t>
      </w:r>
      <w:r w:rsidR="00C00D35">
        <w:rPr>
          <w:rFonts w:cs="Arial"/>
          <w:bCs/>
          <w:sz w:val="22"/>
        </w:rPr>
        <w:t>para financiar diecisiete operaciones individuales de Bono Familiar de Vivienda, por situación de extrema necesidad,</w:t>
      </w:r>
      <w:r w:rsidR="00C00D35" w:rsidRPr="00FD161B">
        <w:rPr>
          <w:rFonts w:cs="Arial"/>
          <w:bCs/>
          <w:sz w:val="22"/>
        </w:rPr>
        <w:t xml:space="preserve"> </w:t>
      </w:r>
      <w:r w:rsidR="00C00D35">
        <w:rPr>
          <w:rFonts w:cs="Arial"/>
          <w:bCs/>
          <w:sz w:val="22"/>
        </w:rPr>
        <w:t>al amparo del artículo 59 de la Ley del Sistema Financiero Nacional para la Vivienda</w:t>
      </w:r>
      <w:r>
        <w:rPr>
          <w:rFonts w:cs="Arial"/>
          <w:bCs/>
          <w:sz w:val="22"/>
        </w:rPr>
        <w:t xml:space="preserve">.  </w:t>
      </w:r>
      <w:r>
        <w:rPr>
          <w:rFonts w:cs="Arial"/>
          <w:bCs/>
          <w:sz w:val="22"/>
          <w:szCs w:val="22"/>
        </w:rPr>
        <w:t>Dichos documentos se adjuntan al expediente del acta.</w:t>
      </w:r>
    </w:p>
    <w:p w:rsidR="001D4E33" w:rsidRDefault="001D4E33" w:rsidP="001D4E33">
      <w:pPr>
        <w:spacing w:line="360" w:lineRule="auto"/>
        <w:jc w:val="both"/>
        <w:rPr>
          <w:rFonts w:cs="Arial"/>
          <w:bCs/>
          <w:sz w:val="22"/>
        </w:rPr>
      </w:pPr>
    </w:p>
    <w:p w:rsidR="001D4E33" w:rsidRDefault="001D4E33" w:rsidP="001D4E33">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1D4E33" w:rsidRDefault="001D4E33" w:rsidP="001D4E33">
      <w:pPr>
        <w:spacing w:line="360" w:lineRule="auto"/>
        <w:jc w:val="both"/>
        <w:rPr>
          <w:rFonts w:cs="Arial"/>
          <w:bCs/>
          <w:sz w:val="22"/>
          <w:szCs w:val="22"/>
        </w:rPr>
      </w:pPr>
    </w:p>
    <w:p w:rsidR="001D4E33" w:rsidRDefault="001D4E33" w:rsidP="001D4E33">
      <w:pPr>
        <w:spacing w:line="360" w:lineRule="auto"/>
        <w:jc w:val="both"/>
        <w:rPr>
          <w:rFonts w:cs="Arial"/>
          <w:sz w:val="22"/>
          <w:szCs w:val="22"/>
        </w:rPr>
      </w:pPr>
      <w:r w:rsidRPr="00A21797">
        <w:rPr>
          <w:rFonts w:cs="Arial"/>
          <w:bCs/>
          <w:sz w:val="22"/>
          <w:szCs w:val="22"/>
          <w:u w:val="single"/>
        </w:rPr>
        <w:t xml:space="preserve">Minuto </w:t>
      </w:r>
      <w:r w:rsidR="00AF3853">
        <w:rPr>
          <w:rFonts w:cs="Arial"/>
          <w:bCs/>
          <w:sz w:val="22"/>
          <w:szCs w:val="22"/>
          <w:u w:val="single"/>
        </w:rPr>
        <w:t>214</w:t>
      </w:r>
      <w:r w:rsidRPr="00A21797">
        <w:rPr>
          <w:rFonts w:cs="Arial"/>
          <w:bCs/>
          <w:sz w:val="22"/>
          <w:szCs w:val="22"/>
          <w:u w:val="single"/>
        </w:rPr>
        <w:t>:</w:t>
      </w:r>
      <w:r>
        <w:rPr>
          <w:rFonts w:cs="Arial"/>
          <w:bCs/>
          <w:sz w:val="22"/>
          <w:szCs w:val="22"/>
          <w:u w:val="single"/>
        </w:rPr>
        <w:t>0</w:t>
      </w:r>
      <w:r w:rsidR="00BD4D39">
        <w:rPr>
          <w:rFonts w:cs="Arial"/>
          <w:bCs/>
          <w:sz w:val="22"/>
          <w:szCs w:val="22"/>
          <w:u w:val="single"/>
        </w:rPr>
        <w:t>5</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w:t>
      </w:r>
      <w:bookmarkStart w:id="0" w:name="_GoBack"/>
      <w:bookmarkEnd w:id="0"/>
      <w:r>
        <w:rPr>
          <w:rFonts w:cs="Arial"/>
          <w:sz w:val="22"/>
          <w:szCs w:val="22"/>
        </w:rPr>
        <w:t xml:space="preserve">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83C65" w:rsidRPr="00483C65">
        <w:rPr>
          <w:rFonts w:cs="Arial"/>
          <w:b/>
          <w:sz w:val="22"/>
          <w:u w:val="single"/>
        </w:rPr>
        <w:t>Solicitud con respecto a los temas de la acometida eléctrica y las garantías de las operaciones de Bono</w:t>
      </w:r>
    </w:p>
    <w:p w:rsidR="009D03FE" w:rsidRDefault="009D03FE" w:rsidP="009D03FE">
      <w:pPr>
        <w:spacing w:line="360" w:lineRule="auto"/>
        <w:jc w:val="both"/>
        <w:rPr>
          <w:rFonts w:cs="Arial"/>
          <w:sz w:val="22"/>
          <w:szCs w:val="22"/>
        </w:rPr>
      </w:pPr>
    </w:p>
    <w:p w:rsidR="00C653C1" w:rsidRDefault="009D03FE" w:rsidP="00047D4F">
      <w:pPr>
        <w:spacing w:line="360" w:lineRule="auto"/>
        <w:jc w:val="both"/>
        <w:rPr>
          <w:rFonts w:cs="Arial"/>
          <w:sz w:val="22"/>
          <w:lang w:val="es-ES_tradnl"/>
        </w:rPr>
      </w:pPr>
      <w:r w:rsidRPr="0039311E">
        <w:rPr>
          <w:rFonts w:cs="Arial"/>
          <w:sz w:val="22"/>
          <w:u w:val="single"/>
          <w:lang w:val="es-ES_tradnl"/>
        </w:rPr>
        <w:t xml:space="preserve">Minuto </w:t>
      </w:r>
      <w:r w:rsidR="00BD36CC">
        <w:rPr>
          <w:rFonts w:cs="Arial"/>
          <w:sz w:val="22"/>
          <w:u w:val="single"/>
          <w:lang w:val="es-ES_tradnl"/>
        </w:rPr>
        <w:t>214</w:t>
      </w:r>
      <w:r w:rsidRPr="0039311E">
        <w:rPr>
          <w:rFonts w:cs="Arial"/>
          <w:sz w:val="22"/>
          <w:u w:val="single"/>
          <w:lang w:val="es-ES_tradnl"/>
        </w:rPr>
        <w:t>:</w:t>
      </w:r>
      <w:r w:rsidR="00BD4D39">
        <w:rPr>
          <w:rFonts w:cs="Arial"/>
          <w:sz w:val="22"/>
          <w:u w:val="single"/>
          <w:lang w:val="es-ES_tradnl"/>
        </w:rPr>
        <w:t>2</w:t>
      </w:r>
      <w:r w:rsidR="00BD36CC">
        <w:rPr>
          <w:rFonts w:cs="Arial"/>
          <w:sz w:val="22"/>
          <w:u w:val="single"/>
          <w:lang w:val="es-ES_tradnl"/>
        </w:rPr>
        <w:t>0</w:t>
      </w:r>
      <w:r>
        <w:rPr>
          <w:rFonts w:cs="Arial"/>
          <w:sz w:val="22"/>
          <w:lang w:val="es-ES_tradnl"/>
        </w:rPr>
        <w:t xml:space="preserve"> </w:t>
      </w:r>
      <w:r w:rsidR="00C653C1">
        <w:rPr>
          <w:rFonts w:cs="Arial"/>
          <w:sz w:val="22"/>
          <w:lang w:val="es-ES_tradnl"/>
        </w:rPr>
        <w:t xml:space="preserve">Con base en los comentarios que les han hecho algunos desarrolladores a miembros de esta </w:t>
      </w:r>
      <w:r w:rsidR="00C653C1">
        <w:rPr>
          <w:rFonts w:cs="Arial"/>
          <w:sz w:val="22"/>
          <w:szCs w:val="22"/>
          <w:lang w:val="es-ES_tradnl"/>
        </w:rPr>
        <w:t>Junta Directiva</w:t>
      </w:r>
      <w:r w:rsidR="00C653C1">
        <w:rPr>
          <w:rFonts w:cs="Arial"/>
          <w:sz w:val="22"/>
          <w:lang w:val="es-ES_tradnl"/>
        </w:rPr>
        <w:t>, la</w:t>
      </w:r>
      <w:r w:rsidR="00047D4F">
        <w:rPr>
          <w:rFonts w:cs="Arial"/>
          <w:sz w:val="22"/>
          <w:lang w:val="es-ES_tradnl"/>
        </w:rPr>
        <w:t xml:space="preserve"> Directora Pérez Gutiérrez</w:t>
      </w:r>
      <w:r w:rsidR="00C653C1">
        <w:rPr>
          <w:rFonts w:cs="Arial"/>
          <w:sz w:val="22"/>
          <w:lang w:val="es-ES_tradnl"/>
        </w:rPr>
        <w:t xml:space="preserve"> plantea una inquietud</w:t>
      </w:r>
      <w:r w:rsidR="00047D4F">
        <w:rPr>
          <w:rFonts w:cs="Arial"/>
          <w:sz w:val="22"/>
          <w:lang w:val="es-ES_tradnl"/>
        </w:rPr>
        <w:t xml:space="preserve"> </w:t>
      </w:r>
      <w:r w:rsidR="00C653C1">
        <w:rPr>
          <w:rFonts w:cs="Arial"/>
          <w:sz w:val="22"/>
          <w:lang w:val="es-ES_tradnl"/>
        </w:rPr>
        <w:t>sobre la supuesta directriz que recientemente ha enviado la Dirección FOSUVI a las entidades autorizadas, con respecto a la obligación de que las viviendas a construir con recursos del FOSUVI, deben contemplar la acometida eléctrica subterránea, lo cual les genera a los constructores un costo cercano a los ¢250 mil que no son cubiertos con el bono, en el tanto ya cuentan con contratos firmados con las familias en los cuales no se ha contemplado este gasto.</w:t>
      </w:r>
    </w:p>
    <w:p w:rsidR="00BC41E7" w:rsidRDefault="00BC41E7" w:rsidP="00BC41E7">
      <w:pPr>
        <w:spacing w:line="360" w:lineRule="auto"/>
        <w:jc w:val="both"/>
        <w:rPr>
          <w:rFonts w:cs="Arial"/>
          <w:sz w:val="22"/>
          <w:lang w:val="es-ES_tradnl"/>
        </w:rPr>
      </w:pPr>
    </w:p>
    <w:p w:rsidR="00BC41E7" w:rsidRDefault="00BC41E7" w:rsidP="00BC41E7">
      <w:pPr>
        <w:spacing w:line="360" w:lineRule="auto"/>
        <w:jc w:val="both"/>
        <w:rPr>
          <w:rFonts w:cs="Arial"/>
          <w:sz w:val="22"/>
          <w:lang w:val="es-ES_tradnl"/>
        </w:rPr>
      </w:pPr>
      <w:r>
        <w:rPr>
          <w:rFonts w:cs="Arial"/>
          <w:sz w:val="22"/>
          <w:lang w:val="es-ES_tradnl"/>
        </w:rPr>
        <w:t>Adicionalmente, consulta sobre las gestiones que han efectuado para resolver el tema de las garantías, que algunas entidades autorizadas exigen a los constructores de viviendas tramitadas con bonos ordinarios.</w:t>
      </w:r>
    </w:p>
    <w:p w:rsidR="00C653C1" w:rsidRDefault="00C653C1" w:rsidP="00047D4F">
      <w:pPr>
        <w:spacing w:line="360" w:lineRule="auto"/>
        <w:jc w:val="both"/>
        <w:rPr>
          <w:rFonts w:cs="Arial"/>
          <w:sz w:val="22"/>
          <w:lang w:val="es-ES_tradnl"/>
        </w:rPr>
      </w:pPr>
    </w:p>
    <w:p w:rsidR="00BB032C" w:rsidRDefault="00BB032C" w:rsidP="00047D4F">
      <w:pPr>
        <w:spacing w:line="360" w:lineRule="auto"/>
        <w:jc w:val="both"/>
        <w:rPr>
          <w:rFonts w:cs="Arial"/>
          <w:sz w:val="22"/>
          <w:lang w:val="es-ES_tradnl"/>
        </w:rPr>
      </w:pPr>
      <w:r>
        <w:rPr>
          <w:rFonts w:cs="Arial"/>
          <w:sz w:val="22"/>
          <w:lang w:val="es-ES_tradnl"/>
        </w:rPr>
        <w:t>Al respecto, la licenciada Camacho Murillo explica que el costo de la acometida eléctrica está incluido en el monto del bono que se ajustó el año anterior, pero no se exige que sea subterránea.</w:t>
      </w:r>
    </w:p>
    <w:p w:rsidR="009C5491" w:rsidRDefault="009C5491" w:rsidP="00047D4F">
      <w:pPr>
        <w:spacing w:line="360" w:lineRule="auto"/>
        <w:jc w:val="both"/>
        <w:rPr>
          <w:rFonts w:cs="Arial"/>
          <w:sz w:val="22"/>
          <w:lang w:val="es-ES_tradnl"/>
        </w:rPr>
      </w:pPr>
    </w:p>
    <w:p w:rsidR="009C5491" w:rsidRDefault="009C5491" w:rsidP="009C5491">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220</w:t>
      </w:r>
      <w:r w:rsidRPr="00A25DB7">
        <w:rPr>
          <w:rFonts w:cs="Arial"/>
          <w:sz w:val="22"/>
          <w:u w:val="single"/>
          <w:lang w:val="es-ES_tradnl"/>
        </w:rPr>
        <w:t>:</w:t>
      </w:r>
      <w:r>
        <w:rPr>
          <w:rFonts w:cs="Arial"/>
          <w:sz w:val="22"/>
          <w:u w:val="single"/>
          <w:lang w:val="es-ES_tradnl"/>
        </w:rPr>
        <w:t>00</w:t>
      </w:r>
      <w:r>
        <w:rPr>
          <w:rFonts w:cs="Arial"/>
          <w:sz w:val="22"/>
          <w:lang w:val="es-ES_tradnl"/>
        </w:rPr>
        <w:t xml:space="preserve"> Luego de varios comentarios sobre el tema, se concuerda en la pertinencia de solicitar a la </w:t>
      </w:r>
      <w:r w:rsidRPr="009C5491">
        <w:rPr>
          <w:rFonts w:cs="Arial"/>
          <w:sz w:val="22"/>
          <w:szCs w:val="22"/>
          <w:lang w:val="es-ES_tradnl"/>
        </w:rPr>
        <w:t>Administración</w:t>
      </w:r>
      <w:r>
        <w:rPr>
          <w:rFonts w:cs="Arial"/>
          <w:sz w:val="22"/>
          <w:szCs w:val="22"/>
          <w:lang w:val="es-ES_tradnl"/>
        </w:rPr>
        <w:t xml:space="preserve">, </w:t>
      </w:r>
      <w:r>
        <w:rPr>
          <w:rFonts w:cs="Arial"/>
          <w:sz w:val="22"/>
          <w:szCs w:val="22"/>
        </w:rPr>
        <w:t xml:space="preserve">que revise el monto considerado en el </w:t>
      </w:r>
      <w:r w:rsidRPr="00BC41E7">
        <w:rPr>
          <w:rFonts w:cs="Arial"/>
          <w:color w:val="000000"/>
          <w:sz w:val="22"/>
          <w:szCs w:val="22"/>
          <w:lang w:val="es-CR"/>
        </w:rPr>
        <w:t xml:space="preserve">Bono </w:t>
      </w:r>
      <w:r>
        <w:rPr>
          <w:rFonts w:cs="Arial"/>
          <w:color w:val="000000"/>
          <w:sz w:val="22"/>
          <w:szCs w:val="22"/>
          <w:lang w:val="es-CR"/>
        </w:rPr>
        <w:t xml:space="preserve">ordinario </w:t>
      </w:r>
      <w:r>
        <w:rPr>
          <w:rFonts w:cs="Arial"/>
          <w:sz w:val="22"/>
          <w:szCs w:val="22"/>
        </w:rPr>
        <w:t>para la construcción de la acometida eléctrica, con el fin de determinar si se contempla una acometida aérea o subterránea, así como la eventual necesidad de realizar un ajuste al monto vigente.</w:t>
      </w:r>
    </w:p>
    <w:p w:rsidR="009C5491" w:rsidRDefault="009C5491" w:rsidP="009C5491">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C5491">
        <w:rPr>
          <w:rFonts w:cs="Arial"/>
          <w:sz w:val="22"/>
          <w:u w:val="single"/>
          <w:lang w:val="es-ES_tradnl"/>
        </w:rPr>
        <w:t>222</w:t>
      </w:r>
      <w:r w:rsidRPr="00A25DB7">
        <w:rPr>
          <w:rFonts w:cs="Arial"/>
          <w:sz w:val="22"/>
          <w:u w:val="single"/>
          <w:lang w:val="es-ES_tradnl"/>
        </w:rPr>
        <w:t>:</w:t>
      </w:r>
      <w:r w:rsidR="009C5491">
        <w:rPr>
          <w:rFonts w:cs="Arial"/>
          <w:sz w:val="22"/>
          <w:u w:val="single"/>
          <w:lang w:val="es-ES_tradnl"/>
        </w:rPr>
        <w:t>10</w:t>
      </w:r>
      <w:r w:rsidR="00BC41E7">
        <w:rPr>
          <w:rFonts w:cs="Arial"/>
          <w:sz w:val="22"/>
          <w:lang w:val="es-ES_tradnl"/>
        </w:rPr>
        <w:t xml:space="preserve"> Con respecto al tema de las garantías, el señor Gerente General a.i. </w:t>
      </w:r>
      <w:r w:rsidR="009C5491">
        <w:rPr>
          <w:rFonts w:cs="Arial"/>
          <w:sz w:val="22"/>
          <w:lang w:val="es-ES_tradnl"/>
        </w:rPr>
        <w:t xml:space="preserve">informa que se ha concluido la valoración y se tiene una propuesta que será presentada a esta </w:t>
      </w:r>
      <w:r w:rsidR="009C5491" w:rsidRPr="009C5491">
        <w:rPr>
          <w:rFonts w:cs="Arial"/>
          <w:sz w:val="22"/>
          <w:szCs w:val="22"/>
          <w:lang w:val="es-ES_tradnl"/>
        </w:rPr>
        <w:t xml:space="preserve">Junta Directiva </w:t>
      </w:r>
      <w:r w:rsidR="009C5491">
        <w:rPr>
          <w:rFonts w:cs="Arial"/>
          <w:sz w:val="22"/>
          <w:szCs w:val="22"/>
          <w:lang w:val="es-ES_tradnl"/>
        </w:rPr>
        <w:t xml:space="preserve">en los próximos días. No obstante, la licenciada Camacho Murillo reconoce que la reunión conjunta con las entidades autorizadas y los constructores no se ha realizado, </w:t>
      </w:r>
      <w:r w:rsidR="00057A6D">
        <w:rPr>
          <w:rFonts w:cs="Arial"/>
          <w:sz w:val="22"/>
          <w:szCs w:val="22"/>
          <w:lang w:val="es-ES_tradnl"/>
        </w:rPr>
        <w:t>pero se estará programando dentro de las próximas dos semanas.</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057A6D">
        <w:rPr>
          <w:rFonts w:cs="Arial"/>
          <w:sz w:val="22"/>
          <w:u w:val="single"/>
          <w:lang w:val="es-ES_tradnl"/>
        </w:rPr>
        <w:t>226</w:t>
      </w:r>
      <w:r w:rsidRPr="0039311E">
        <w:rPr>
          <w:rFonts w:cs="Arial"/>
          <w:sz w:val="22"/>
          <w:u w:val="single"/>
          <w:lang w:val="es-ES_tradnl"/>
        </w:rPr>
        <w:t>:</w:t>
      </w:r>
      <w:r w:rsidR="00057A6D">
        <w:rPr>
          <w:rFonts w:cs="Arial"/>
          <w:sz w:val="22"/>
          <w:u w:val="single"/>
          <w:lang w:val="es-ES_tradnl"/>
        </w:rPr>
        <w:t>30</w:t>
      </w:r>
      <w:r>
        <w:rPr>
          <w:rFonts w:cs="Arial"/>
          <w:sz w:val="22"/>
          <w:lang w:val="es-ES_tradnl"/>
        </w:rPr>
        <w:t xml:space="preserve"> </w:t>
      </w:r>
      <w:r w:rsidR="00057A6D">
        <w:rPr>
          <w:rFonts w:cs="Arial"/>
          <w:sz w:val="22"/>
          <w:lang w:val="es-ES_tradnl"/>
        </w:rPr>
        <w:t xml:space="preserve">De conformidad con el análisis realizado al respecto, la </w:t>
      </w:r>
      <w:r w:rsidR="00057A6D" w:rsidRPr="00057A6D">
        <w:rPr>
          <w:rFonts w:cs="Arial"/>
          <w:sz w:val="22"/>
          <w:szCs w:val="22"/>
          <w:lang w:val="es-ES_tradnl"/>
        </w:rPr>
        <w:t xml:space="preserve">Junta Directiva </w:t>
      </w:r>
      <w:r w:rsidR="00057A6D">
        <w:rPr>
          <w:rFonts w:cs="Arial"/>
          <w:sz w:val="22"/>
          <w:szCs w:val="22"/>
          <w:lang w:val="es-ES_tradnl"/>
        </w:rPr>
        <w:t xml:space="preserve">toma el </w:t>
      </w:r>
      <w:r w:rsidR="00057A6D" w:rsidRPr="00057A6D">
        <w:rPr>
          <w:rFonts w:cs="Arial"/>
          <w:b/>
          <w:sz w:val="22"/>
          <w:szCs w:val="22"/>
          <w:lang w:val="es-ES_tradnl"/>
        </w:rPr>
        <w:t>Acuerdo N° 8</w:t>
      </w:r>
      <w:r w:rsidR="00057A6D">
        <w:rPr>
          <w:rFonts w:cs="Arial"/>
          <w:sz w:val="22"/>
          <w:szCs w:val="22"/>
          <w:lang w:val="es-ES_tradnl"/>
        </w:rPr>
        <w:t xml:space="preserve"> que se anexa a esta minuta.</w:t>
      </w:r>
      <w:r w:rsidR="00057A6D">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D2C73" w:rsidRPr="004D2C73">
        <w:rPr>
          <w:rFonts w:cs="Arial"/>
          <w:b/>
          <w:sz w:val="22"/>
          <w:u w:val="single"/>
        </w:rPr>
        <w:t xml:space="preserve">Consultas sobre el desembolso de los bonos de vivienda y la aplicación de la norma </w:t>
      </w:r>
      <w:r w:rsidR="004D2C73" w:rsidRPr="004D2C73">
        <w:rPr>
          <w:rFonts w:cs="Arial"/>
          <w:b/>
          <w:sz w:val="22"/>
          <w:u w:val="single"/>
          <w:lang w:val="es-CR"/>
        </w:rPr>
        <w:t>INTECO sobre elementos prefabricados para sistemas de baldosas horizontales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96118">
        <w:rPr>
          <w:rFonts w:cs="Arial"/>
          <w:sz w:val="22"/>
          <w:u w:val="single"/>
          <w:lang w:val="es-ES_tradnl"/>
        </w:rPr>
        <w:t>227</w:t>
      </w:r>
      <w:r w:rsidRPr="0039311E">
        <w:rPr>
          <w:rFonts w:cs="Arial"/>
          <w:sz w:val="22"/>
          <w:u w:val="single"/>
          <w:lang w:val="es-ES_tradnl"/>
        </w:rPr>
        <w:t>:</w:t>
      </w:r>
      <w:r w:rsidR="00196118">
        <w:rPr>
          <w:rFonts w:cs="Arial"/>
          <w:sz w:val="22"/>
          <w:u w:val="single"/>
          <w:lang w:val="es-ES_tradnl"/>
        </w:rPr>
        <w:t>25</w:t>
      </w:r>
      <w:r>
        <w:rPr>
          <w:rFonts w:cs="Arial"/>
          <w:sz w:val="22"/>
          <w:lang w:val="es-ES_tradnl"/>
        </w:rPr>
        <w:t xml:space="preserve"> </w:t>
      </w:r>
      <w:r w:rsidR="00196118">
        <w:rPr>
          <w:rFonts w:cs="Arial"/>
          <w:sz w:val="22"/>
          <w:lang w:val="es-ES_tradnl"/>
        </w:rPr>
        <w:t>La maris atiende una consulta de la Directora Pérez Gutiérrez</w:t>
      </w:r>
      <w:r w:rsidR="004020D1">
        <w:rPr>
          <w:rFonts w:cs="Arial"/>
          <w:sz w:val="22"/>
          <w:lang w:val="es-ES_tradnl"/>
        </w:rPr>
        <w:t>,</w:t>
      </w:r>
      <w:r w:rsidR="00196118">
        <w:rPr>
          <w:rFonts w:cs="Arial"/>
          <w:sz w:val="22"/>
          <w:lang w:val="es-ES_tradnl"/>
        </w:rPr>
        <w:t xml:space="preserve"> sobre los atrasos que se han dado en el desembolso de recursos del bono a las entidades autorizadas, destacando que </w:t>
      </w:r>
      <w:r w:rsidR="004546D0">
        <w:rPr>
          <w:rFonts w:cs="Arial"/>
          <w:sz w:val="22"/>
          <w:lang w:val="es-ES_tradnl"/>
        </w:rPr>
        <w:t>en efecto se ha tenido retrasos con el Ministerio de Hacienda, que van de dos a tres semanas, en el giro de los recursos del FOSUVI.  Sin embargo, aclara que esta situación se ha corregido a partir del presente mes de julio</w:t>
      </w:r>
      <w:r w:rsidR="005C25A1">
        <w:rPr>
          <w:rFonts w:cs="Arial"/>
          <w:sz w:val="22"/>
          <w:lang w:val="es-ES_tradnl"/>
        </w:rPr>
        <w:t>; y en agosto en el caso de Coopeuna R.L., dado que esta entidad ha agotado el presupuesto asignado</w:t>
      </w:r>
      <w:r w:rsidR="00B83812">
        <w:rPr>
          <w:rFonts w:cs="Arial"/>
          <w:sz w:val="22"/>
          <w:lang w:val="es-ES_tradnl"/>
        </w:rPr>
        <w:t>.</w:t>
      </w:r>
      <w:r w:rsidR="004546D0">
        <w:rPr>
          <w:rFonts w:cs="Arial"/>
          <w:sz w:val="22"/>
          <w:lang w:val="es-ES_tradnl"/>
        </w:rPr>
        <w:t xml:space="preserve"> </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3418C">
        <w:rPr>
          <w:rFonts w:cs="Arial"/>
          <w:sz w:val="22"/>
          <w:u w:val="single"/>
          <w:lang w:val="es-ES_tradnl"/>
        </w:rPr>
        <w:t>232</w:t>
      </w:r>
      <w:r w:rsidRPr="00A25DB7">
        <w:rPr>
          <w:rFonts w:cs="Arial"/>
          <w:sz w:val="22"/>
          <w:u w:val="single"/>
          <w:lang w:val="es-ES_tradnl"/>
        </w:rPr>
        <w:t>:</w:t>
      </w:r>
      <w:r w:rsidR="00F3418C">
        <w:rPr>
          <w:rFonts w:cs="Arial"/>
          <w:sz w:val="22"/>
          <w:u w:val="single"/>
          <w:lang w:val="es-ES_tradnl"/>
        </w:rPr>
        <w:t>28</w:t>
      </w:r>
      <w:r>
        <w:rPr>
          <w:rFonts w:cs="Arial"/>
          <w:sz w:val="22"/>
          <w:lang w:val="es-ES_tradnl"/>
        </w:rPr>
        <w:t xml:space="preserve"> </w:t>
      </w:r>
      <w:r w:rsidR="004546D0">
        <w:rPr>
          <w:rFonts w:cs="Arial"/>
          <w:sz w:val="22"/>
          <w:lang w:val="es-ES_tradnl"/>
        </w:rPr>
        <w:t xml:space="preserve">Complementariamente, </w:t>
      </w:r>
      <w:r w:rsidR="00F3418C">
        <w:rPr>
          <w:rFonts w:cs="Arial"/>
          <w:sz w:val="22"/>
          <w:lang w:val="es-ES_tradnl"/>
        </w:rPr>
        <w:t xml:space="preserve">se discute </w:t>
      </w:r>
      <w:r w:rsidR="004020D1">
        <w:rPr>
          <w:rFonts w:cs="Arial"/>
          <w:sz w:val="22"/>
          <w:lang w:val="es-ES_tradnl"/>
        </w:rPr>
        <w:t>otra inquietud de la Directora Pérez Gutiérrez sobre la aparente exigencia de</w:t>
      </w:r>
      <w:r w:rsidR="00D91405">
        <w:rPr>
          <w:rFonts w:cs="Arial"/>
          <w:sz w:val="22"/>
          <w:lang w:val="es-ES_tradnl"/>
        </w:rPr>
        <w:t xml:space="preserve"> algunas entidades autorizadas a los constructores, para cumplir con la Norma INTECO </w:t>
      </w:r>
      <w:r w:rsidR="00D91405" w:rsidRPr="00D91405">
        <w:rPr>
          <w:rFonts w:cs="Arial"/>
          <w:sz w:val="22"/>
          <w:lang w:val="es-CR"/>
        </w:rPr>
        <w:t>sobre elementos prefabricados para s</w:t>
      </w:r>
      <w:r w:rsidR="00D91405">
        <w:rPr>
          <w:rFonts w:cs="Arial"/>
          <w:sz w:val="22"/>
          <w:lang w:val="es-CR"/>
        </w:rPr>
        <w:t xml:space="preserve">istemas de baldosas horizontales; y al respecto </w:t>
      </w:r>
      <w:r w:rsidR="00F3418C">
        <w:rPr>
          <w:rFonts w:cs="Arial"/>
          <w:sz w:val="22"/>
          <w:lang w:val="es-CR"/>
        </w:rPr>
        <w:t xml:space="preserve">se concluye en la pertinencia de </w:t>
      </w:r>
      <w:r w:rsidR="007D7FBA">
        <w:rPr>
          <w:rFonts w:cs="Arial"/>
          <w:sz w:val="22"/>
          <w:lang w:val="es-CR"/>
        </w:rPr>
        <w:t xml:space="preserve">solicitar a la </w:t>
      </w:r>
      <w:r w:rsidR="007D7FBA" w:rsidRPr="007D7FBA">
        <w:rPr>
          <w:rFonts w:cs="Arial"/>
          <w:sz w:val="22"/>
          <w:szCs w:val="22"/>
          <w:lang w:val="es-CR"/>
        </w:rPr>
        <w:t>Administración</w:t>
      </w:r>
      <w:r w:rsidR="007D7FBA">
        <w:rPr>
          <w:rFonts w:cs="Arial"/>
          <w:sz w:val="22"/>
          <w:szCs w:val="22"/>
          <w:lang w:val="es-CR"/>
        </w:rPr>
        <w:t xml:space="preserve">, que presente a esta </w:t>
      </w:r>
      <w:r w:rsidR="007D7FBA" w:rsidRPr="007D7FBA">
        <w:rPr>
          <w:rFonts w:cs="Arial"/>
          <w:sz w:val="22"/>
          <w:szCs w:val="22"/>
          <w:lang w:val="es-CR"/>
        </w:rPr>
        <w:t>Junta Directiva</w:t>
      </w:r>
      <w:r w:rsidR="007D7FBA">
        <w:rPr>
          <w:rFonts w:cs="Arial"/>
          <w:sz w:val="22"/>
          <w:szCs w:val="22"/>
          <w:lang w:val="es-CR"/>
        </w:rPr>
        <w:t xml:space="preserve">, una propuesta con respecto a la aplicación de dicha </w:t>
      </w:r>
      <w:r w:rsidR="007D7FBA">
        <w:rPr>
          <w:rFonts w:cs="Arial"/>
          <w:sz w:val="22"/>
          <w:lang w:val="es-ES_tradnl"/>
        </w:rPr>
        <w:t>Norma</w:t>
      </w:r>
      <w:r w:rsidR="007D7FBA">
        <w:rPr>
          <w:rFonts w:cs="Arial"/>
          <w:sz w:val="22"/>
          <w:lang w:val="es-CR"/>
        </w:rPr>
        <w:t xml:space="preserve">.  Lo anterior, según se indica en el </w:t>
      </w:r>
      <w:r w:rsidR="007D7FBA" w:rsidRPr="007D7FBA">
        <w:rPr>
          <w:rFonts w:cs="Arial"/>
          <w:b/>
          <w:sz w:val="22"/>
          <w:lang w:val="es-CR"/>
        </w:rPr>
        <w:t>Acuerdo N° 9</w:t>
      </w:r>
      <w:r w:rsidR="007D7FBA">
        <w:rPr>
          <w:rFonts w:cs="Arial"/>
          <w:sz w:val="22"/>
          <w:lang w:val="es-CR"/>
        </w:rPr>
        <w:t xml:space="preserve"> que se anexa a esta minuta.</w:t>
      </w:r>
      <w:r w:rsidR="007D7FBA">
        <w:rPr>
          <w:rFonts w:cs="Arial"/>
          <w:sz w:val="22"/>
          <w:lang w:val="es-ES_tradnl"/>
        </w:rPr>
        <w:t xml:space="preserve"> </w:t>
      </w:r>
      <w:r w:rsidR="005C25A1">
        <w:rPr>
          <w:rFonts w:cs="Arial"/>
          <w:sz w:val="22"/>
          <w:lang w:val="es-ES_tradnl"/>
        </w:rPr>
        <w:t xml:space="preserve">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4D2C73" w:rsidRPr="004D2C73">
        <w:rPr>
          <w:rFonts w:cs="Arial"/>
          <w:b/>
          <w:sz w:val="22"/>
          <w:u w:val="single"/>
          <w:lang w:val="es-CR"/>
        </w:rPr>
        <w:t xml:space="preserve">Consulta sobre el proceso de nombramiento del asesor jurídico para la </w:t>
      </w:r>
      <w:r w:rsidR="004D2C73" w:rsidRPr="004D2C73">
        <w:rPr>
          <w:rFonts w:cs="Arial"/>
          <w:b/>
          <w:sz w:val="22"/>
          <w:szCs w:val="22"/>
          <w:u w:val="single"/>
          <w:lang w:val="es-CR"/>
        </w:rPr>
        <w:t>Junta Directiva</w:t>
      </w:r>
    </w:p>
    <w:p w:rsidR="009D03FE" w:rsidRDefault="009D03FE" w:rsidP="009D03FE">
      <w:pPr>
        <w:spacing w:line="360" w:lineRule="auto"/>
        <w:jc w:val="both"/>
        <w:rPr>
          <w:rFonts w:cs="Arial"/>
          <w:sz w:val="22"/>
          <w:szCs w:val="22"/>
        </w:rPr>
      </w:pPr>
    </w:p>
    <w:p w:rsidR="005C25A1"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5C25A1">
        <w:rPr>
          <w:rFonts w:cs="Arial"/>
          <w:sz w:val="22"/>
          <w:u w:val="single"/>
          <w:lang w:val="es-ES_tradnl"/>
        </w:rPr>
        <w:t>243</w:t>
      </w:r>
      <w:r w:rsidRPr="0039311E">
        <w:rPr>
          <w:rFonts w:cs="Arial"/>
          <w:sz w:val="22"/>
          <w:u w:val="single"/>
          <w:lang w:val="es-ES_tradnl"/>
        </w:rPr>
        <w:t>:</w:t>
      </w:r>
      <w:r w:rsidR="005C25A1">
        <w:rPr>
          <w:rFonts w:cs="Arial"/>
          <w:sz w:val="22"/>
          <w:u w:val="single"/>
          <w:lang w:val="es-ES_tradnl"/>
        </w:rPr>
        <w:t>55</w:t>
      </w:r>
      <w:r>
        <w:rPr>
          <w:rFonts w:cs="Arial"/>
          <w:sz w:val="22"/>
          <w:lang w:val="es-ES_tradnl"/>
        </w:rPr>
        <w:t xml:space="preserve"> </w:t>
      </w:r>
      <w:r w:rsidR="005C25A1">
        <w:rPr>
          <w:rFonts w:cs="Arial"/>
          <w:sz w:val="22"/>
          <w:lang w:val="es-ES_tradnl"/>
        </w:rPr>
        <w:t xml:space="preserve">Atendiendo una consulta de la Directora Pérez Gutiérrez sobre </w:t>
      </w:r>
      <w:r>
        <w:rPr>
          <w:rFonts w:cs="Arial"/>
          <w:sz w:val="22"/>
          <w:lang w:val="es-ES_tradnl"/>
        </w:rPr>
        <w:t xml:space="preserve">el </w:t>
      </w:r>
      <w:r w:rsidR="005C25A1">
        <w:rPr>
          <w:rFonts w:cs="Arial"/>
          <w:sz w:val="22"/>
          <w:lang w:val="es-ES_tradnl"/>
        </w:rPr>
        <w:t xml:space="preserve">proceso para contratar un asesor jurídico para esta </w:t>
      </w:r>
      <w:r w:rsidR="005C25A1">
        <w:rPr>
          <w:rFonts w:cs="Arial"/>
          <w:sz w:val="22"/>
          <w:szCs w:val="22"/>
          <w:lang w:val="es-ES_tradnl"/>
        </w:rPr>
        <w:t>Junta Directiva, el señor Gerente General a.i. informa que el jueves de la semana anterior se realizó la adjudicación y está a la espera de que venza el plazo recursivo, de forma tal que de no presentarse reclamos, el próximo viernes estaría quedando en firme la adjudicación.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4D2C73" w:rsidRPr="004D2C73">
        <w:rPr>
          <w:rFonts w:cs="Arial"/>
          <w:b/>
          <w:sz w:val="22"/>
          <w:u w:val="single"/>
          <w:lang w:val="es-CR"/>
        </w:rPr>
        <w:t>Solicitud de información sobre la situación del proyecto Vistas del Miravalles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C25A1">
        <w:rPr>
          <w:rFonts w:cs="Arial"/>
          <w:sz w:val="22"/>
          <w:u w:val="single"/>
          <w:lang w:val="es-ES_tradnl"/>
        </w:rPr>
        <w:t>244</w:t>
      </w:r>
      <w:r w:rsidRPr="0039311E">
        <w:rPr>
          <w:rFonts w:cs="Arial"/>
          <w:sz w:val="22"/>
          <w:u w:val="single"/>
          <w:lang w:val="es-ES_tradnl"/>
        </w:rPr>
        <w:t>:</w:t>
      </w:r>
      <w:r w:rsidR="005C25A1">
        <w:rPr>
          <w:rFonts w:cs="Arial"/>
          <w:sz w:val="22"/>
          <w:u w:val="single"/>
          <w:lang w:val="es-ES_tradnl"/>
        </w:rPr>
        <w:t>20</w:t>
      </w:r>
      <w:r>
        <w:rPr>
          <w:rFonts w:cs="Arial"/>
          <w:sz w:val="22"/>
          <w:lang w:val="es-ES_tradnl"/>
        </w:rPr>
        <w:t xml:space="preserve"> </w:t>
      </w:r>
      <w:r w:rsidR="005C25A1">
        <w:rPr>
          <w:rFonts w:cs="Arial"/>
          <w:sz w:val="22"/>
          <w:lang w:val="es-ES_tradnl"/>
        </w:rPr>
        <w:t xml:space="preserve">El soñer Gerente General a.i. toma nota de una solicitud del Director </w:t>
      </w:r>
      <w:r w:rsidR="005C25A1" w:rsidRPr="005C25A1">
        <w:rPr>
          <w:rFonts w:cs="Arial"/>
          <w:sz w:val="22"/>
          <w:szCs w:val="22"/>
          <w:lang w:val="es-ES_tradnl"/>
        </w:rPr>
        <w:t>Carranza González</w:t>
      </w:r>
      <w:r w:rsidR="005C25A1">
        <w:rPr>
          <w:rFonts w:cs="Arial"/>
          <w:sz w:val="22"/>
          <w:szCs w:val="22"/>
          <w:lang w:val="es-ES_tradnl"/>
        </w:rPr>
        <w:t>, en el sentido de investigar los aparentes atrasos que se están presentando en el desarrollo del proyecto Vistas del Miravalles</w:t>
      </w:r>
      <w:r w:rsidR="005C25A1">
        <w:rPr>
          <w:rFonts w:cs="Arial"/>
          <w:sz w:val="22"/>
          <w:lang w:val="es-ES_tradnl"/>
        </w:rPr>
        <w:t xml:space="preserve">, e informar próximamente a esta </w:t>
      </w:r>
      <w:r w:rsidR="005C25A1">
        <w:rPr>
          <w:rFonts w:cs="Arial"/>
          <w:sz w:val="22"/>
          <w:szCs w:val="22"/>
          <w:lang w:val="es-ES_tradnl"/>
        </w:rPr>
        <w:t>Junta Directiva.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4D2C73" w:rsidRPr="004D2C73">
        <w:rPr>
          <w:rFonts w:cs="Arial"/>
          <w:b/>
          <w:sz w:val="22"/>
          <w:u w:val="single"/>
          <w:lang w:val="es-CR"/>
        </w:rPr>
        <w:t>Propuesta con respecto a las redes sociales del BANHVI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67087">
        <w:rPr>
          <w:rFonts w:cs="Arial"/>
          <w:sz w:val="22"/>
          <w:u w:val="single"/>
          <w:lang w:val="es-ES_tradnl"/>
        </w:rPr>
        <w:t>246</w:t>
      </w:r>
      <w:r w:rsidRPr="0039311E">
        <w:rPr>
          <w:rFonts w:cs="Arial"/>
          <w:sz w:val="22"/>
          <w:u w:val="single"/>
          <w:lang w:val="es-ES_tradnl"/>
        </w:rPr>
        <w:t>:</w:t>
      </w:r>
      <w:r w:rsidR="00B67087">
        <w:rPr>
          <w:rFonts w:cs="Arial"/>
          <w:sz w:val="22"/>
          <w:u w:val="single"/>
          <w:lang w:val="es-ES_tradnl"/>
        </w:rPr>
        <w:t>00</w:t>
      </w:r>
      <w:r>
        <w:rPr>
          <w:rFonts w:cs="Arial"/>
          <w:sz w:val="22"/>
          <w:lang w:val="es-ES_tradnl"/>
        </w:rPr>
        <w:t xml:space="preserve"> Se conoce </w:t>
      </w:r>
      <w:r w:rsidR="00B67087">
        <w:rPr>
          <w:rFonts w:cs="Arial"/>
          <w:sz w:val="22"/>
          <w:lang w:val="es-ES_tradnl"/>
        </w:rPr>
        <w:t xml:space="preserve">y avala una propuesta del Director Pérez Venegas, con base en las consideraciones que detalla, en el sentido de solicitar a la </w:t>
      </w:r>
      <w:r w:rsidR="00B67087" w:rsidRPr="00B67087">
        <w:rPr>
          <w:rFonts w:cs="Arial"/>
          <w:sz w:val="22"/>
          <w:szCs w:val="22"/>
          <w:lang w:val="es-ES_tradnl"/>
        </w:rPr>
        <w:t>Administración</w:t>
      </w:r>
      <w:r w:rsidR="00B67087">
        <w:rPr>
          <w:rFonts w:cs="Arial"/>
          <w:sz w:val="22"/>
          <w:szCs w:val="22"/>
          <w:lang w:val="es-ES_tradnl"/>
        </w:rPr>
        <w:t xml:space="preserve">, que valore e implemente una estrategia efectiva, para dar respuestas precisas y oportunas a las personas que realizan consultas en las redes sociales del Banco.  Lo anterior, según se indica en el </w:t>
      </w:r>
      <w:r w:rsidR="00B67087" w:rsidRPr="00B67087">
        <w:rPr>
          <w:rFonts w:cs="Arial"/>
          <w:b/>
          <w:sz w:val="22"/>
          <w:szCs w:val="22"/>
          <w:lang w:val="es-ES_tradnl"/>
        </w:rPr>
        <w:t>Acuerdo N° 10</w:t>
      </w:r>
      <w:r w:rsidR="00B67087">
        <w:rPr>
          <w:rFonts w:cs="Arial"/>
          <w:sz w:val="22"/>
          <w:szCs w:val="22"/>
          <w:lang w:val="es-ES_tradnl"/>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4D2C73" w:rsidRPr="004D2C73">
        <w:rPr>
          <w:rFonts w:cs="Arial"/>
          <w:b/>
          <w:sz w:val="22"/>
          <w:u w:val="single"/>
          <w:lang w:val="es-CR"/>
        </w:rPr>
        <w:t xml:space="preserve">Comentarios sobre el </w:t>
      </w:r>
      <w:r w:rsidR="004D2C73" w:rsidRPr="004D2C73">
        <w:rPr>
          <w:rFonts w:cs="Arial"/>
          <w:b/>
          <w:sz w:val="22"/>
          <w:u w:val="single"/>
        </w:rPr>
        <w:t>programa de "Riesgos financieros y operativos para miembros de juntas directivas y comités de riesgos (PJD)"</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F1B66">
        <w:rPr>
          <w:rFonts w:cs="Arial"/>
          <w:sz w:val="22"/>
          <w:u w:val="single"/>
          <w:lang w:val="es-ES_tradnl"/>
        </w:rPr>
        <w:t>250</w:t>
      </w:r>
      <w:r w:rsidRPr="0039311E">
        <w:rPr>
          <w:rFonts w:cs="Arial"/>
          <w:sz w:val="22"/>
          <w:u w:val="single"/>
          <w:lang w:val="es-ES_tradnl"/>
        </w:rPr>
        <w:t>:</w:t>
      </w:r>
      <w:r w:rsidR="002F1B66">
        <w:rPr>
          <w:rFonts w:cs="Arial"/>
          <w:sz w:val="22"/>
          <w:u w:val="single"/>
          <w:lang w:val="es-ES_tradnl"/>
        </w:rPr>
        <w:t>05</w:t>
      </w:r>
      <w:r>
        <w:rPr>
          <w:rFonts w:cs="Arial"/>
          <w:sz w:val="22"/>
          <w:lang w:val="es-ES_tradnl"/>
        </w:rPr>
        <w:t xml:space="preserve"> </w:t>
      </w:r>
      <w:r w:rsidR="002F1B66">
        <w:rPr>
          <w:rFonts w:cs="Arial"/>
          <w:sz w:val="22"/>
          <w:lang w:val="es-ES_tradnl"/>
        </w:rPr>
        <w:t xml:space="preserve">Atendiendo una consulta de la Directora Chavarría Núñez, con respecto a los miembros de esta </w:t>
      </w:r>
      <w:r w:rsidR="002F1B66">
        <w:rPr>
          <w:rFonts w:cs="Arial"/>
          <w:sz w:val="22"/>
          <w:szCs w:val="22"/>
          <w:lang w:val="es-ES_tradnl"/>
        </w:rPr>
        <w:t xml:space="preserve">Junta Directiva, que estarán participando en el </w:t>
      </w:r>
      <w:r w:rsidR="002F1B66" w:rsidRPr="002F1B66">
        <w:rPr>
          <w:rFonts w:cs="Arial"/>
          <w:sz w:val="22"/>
        </w:rPr>
        <w:t>programa de Riesgos financieros y operativos para miembros de juntas</w:t>
      </w:r>
      <w:r w:rsidR="002F1B66">
        <w:rPr>
          <w:rFonts w:cs="Arial"/>
          <w:sz w:val="22"/>
        </w:rPr>
        <w:t xml:space="preserve"> directivas y comités de riesgos, los Directores Pérez Venegas, </w:t>
      </w:r>
      <w:r w:rsidR="002F1B66" w:rsidRPr="002F1B66">
        <w:rPr>
          <w:rFonts w:cs="Arial"/>
          <w:sz w:val="22"/>
          <w:szCs w:val="22"/>
          <w:lang w:val="es-CR"/>
        </w:rPr>
        <w:t>Alvarado Herrera</w:t>
      </w:r>
      <w:r w:rsidR="002F1B66">
        <w:rPr>
          <w:rFonts w:cs="Arial"/>
          <w:sz w:val="22"/>
          <w:szCs w:val="22"/>
          <w:lang w:val="es-CR"/>
        </w:rPr>
        <w:t xml:space="preserve"> y Pérez Gutiérrez confirman su participación.</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4D2C73" w:rsidRPr="004D2C73">
        <w:rPr>
          <w:rFonts w:cs="Arial"/>
          <w:b/>
          <w:sz w:val="22"/>
          <w:u w:val="single"/>
        </w:rPr>
        <w:t>Información sobre demanda del Colegio de Profesionales en Ciencias Económicas, con respecto al nombramiento del Gerente General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D3C20">
        <w:rPr>
          <w:rFonts w:cs="Arial"/>
          <w:sz w:val="22"/>
          <w:u w:val="single"/>
          <w:lang w:val="es-ES_tradnl"/>
        </w:rPr>
        <w:t>253</w:t>
      </w:r>
      <w:r w:rsidRPr="0039311E">
        <w:rPr>
          <w:rFonts w:cs="Arial"/>
          <w:sz w:val="22"/>
          <w:u w:val="single"/>
          <w:lang w:val="es-ES_tradnl"/>
        </w:rPr>
        <w:t>:</w:t>
      </w:r>
      <w:r w:rsidR="00BD3C20">
        <w:rPr>
          <w:rFonts w:cs="Arial"/>
          <w:sz w:val="22"/>
          <w:u w:val="single"/>
          <w:lang w:val="es-ES_tradnl"/>
        </w:rPr>
        <w:t>20</w:t>
      </w:r>
      <w:r>
        <w:rPr>
          <w:rFonts w:cs="Arial"/>
          <w:sz w:val="22"/>
          <w:lang w:val="es-ES_tradnl"/>
        </w:rPr>
        <w:t xml:space="preserve"> </w:t>
      </w:r>
      <w:r w:rsidR="002F1B66">
        <w:rPr>
          <w:rFonts w:cs="Arial"/>
          <w:sz w:val="22"/>
          <w:lang w:val="es-ES_tradnl"/>
        </w:rPr>
        <w:t xml:space="preserve">El señor Gerente General a.i. informa que </w:t>
      </w:r>
      <w:r w:rsidR="00BD3C20">
        <w:rPr>
          <w:rFonts w:cs="Arial"/>
          <w:sz w:val="22"/>
          <w:lang w:val="es-ES_tradnl"/>
        </w:rPr>
        <w:t>ha recibido una nota d</w:t>
      </w:r>
      <w:r w:rsidR="002F1B66">
        <w:rPr>
          <w:rFonts w:cs="Arial"/>
          <w:sz w:val="22"/>
          <w:lang w:val="es-ES_tradnl"/>
        </w:rPr>
        <w:t xml:space="preserve">el Colegio de Profesionales en Ciencias Económicas, </w:t>
      </w:r>
      <w:r w:rsidR="00BD3C20">
        <w:rPr>
          <w:rFonts w:cs="Arial"/>
          <w:sz w:val="22"/>
          <w:lang w:val="es-ES_tradnl"/>
        </w:rPr>
        <w:t xml:space="preserve">indicando que está abriendo una investigación por el hecho de que en los términos de referencia para el nombramiento del Gerente General, no se incluye la obligación para los candidatos de estar afiliados a ese colegio profesional.   Al respecto, nota de una solicitud de los señores Directores, para responder dicho oficio con la información correspondiente. </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4D2C73" w:rsidRPr="004D2C73">
        <w:rPr>
          <w:rFonts w:cs="Arial"/>
          <w:b/>
          <w:sz w:val="22"/>
          <w:u w:val="single"/>
        </w:rPr>
        <w:t xml:space="preserve">Informe sobre entrega de datos complementarios al estudio de la Auditoría Interna, referido a la </w:t>
      </w:r>
      <w:r w:rsidR="004D2C73" w:rsidRPr="004D2C73">
        <w:rPr>
          <w:rFonts w:cs="Arial"/>
          <w:b/>
          <w:sz w:val="22"/>
          <w:u w:val="single"/>
          <w:lang w:val="es-ES_tradnl"/>
        </w:rPr>
        <w:t>ejecución presupuestaria de los recursos comprometidos FOSUVI, periodo 2018</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D3C20">
        <w:rPr>
          <w:rFonts w:cs="Arial"/>
          <w:sz w:val="22"/>
          <w:u w:val="single"/>
          <w:lang w:val="es-ES_tradnl"/>
        </w:rPr>
        <w:t>254</w:t>
      </w:r>
      <w:r w:rsidRPr="0039311E">
        <w:rPr>
          <w:rFonts w:cs="Arial"/>
          <w:sz w:val="22"/>
          <w:u w:val="single"/>
          <w:lang w:val="es-ES_tradnl"/>
        </w:rPr>
        <w:t>:</w:t>
      </w:r>
      <w:r w:rsidR="00BD3C20">
        <w:rPr>
          <w:rFonts w:cs="Arial"/>
          <w:sz w:val="22"/>
          <w:u w:val="single"/>
          <w:lang w:val="es-ES_tradnl"/>
        </w:rPr>
        <w:t>30</w:t>
      </w:r>
      <w:r>
        <w:rPr>
          <w:rFonts w:cs="Arial"/>
          <w:sz w:val="22"/>
          <w:lang w:val="es-ES_tradnl"/>
        </w:rPr>
        <w:t xml:space="preserve"> Se</w:t>
      </w:r>
      <w:r w:rsidR="00BD3C20">
        <w:rPr>
          <w:rFonts w:cs="Arial"/>
          <w:sz w:val="22"/>
          <w:lang w:val="es-ES_tradnl"/>
        </w:rPr>
        <w:t xml:space="preserve"> toma nota de una información del señor Auditor Interno, en cuanto a que hoy ha remitido a esta </w:t>
      </w:r>
      <w:r w:rsidR="00BD3C20">
        <w:rPr>
          <w:rFonts w:cs="Arial"/>
          <w:sz w:val="22"/>
          <w:szCs w:val="22"/>
          <w:lang w:val="es-ES_tradnl"/>
        </w:rPr>
        <w:t>Junta Directiva, la información complementaria al informe sobre los recursos comprometidos del FOSUVI 2018.</w:t>
      </w:r>
      <w:r>
        <w:rPr>
          <w:rFonts w:cs="Arial"/>
          <w:sz w:val="22"/>
          <w:lang w:val="es-ES_tradnl"/>
        </w:rPr>
        <w:t xml:space="preserve"> </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4D2C73" w:rsidRPr="004D2C73">
        <w:rPr>
          <w:rFonts w:cs="Arial"/>
          <w:b/>
          <w:sz w:val="22"/>
          <w:u w:val="single"/>
        </w:rPr>
        <w:t xml:space="preserve">Dictamen de la </w:t>
      </w:r>
      <w:r w:rsidR="004D2C73" w:rsidRPr="004D2C73">
        <w:rPr>
          <w:rFonts w:cs="Arial"/>
          <w:b/>
          <w:sz w:val="22"/>
          <w:szCs w:val="22"/>
          <w:u w:val="single"/>
        </w:rPr>
        <w:t>Asesoría Legal, con respecto a las competencias de la Junta Directiva</w:t>
      </w:r>
    </w:p>
    <w:p w:rsidR="009D03FE" w:rsidRDefault="009D03FE" w:rsidP="009D03FE">
      <w:pPr>
        <w:spacing w:line="360" w:lineRule="auto"/>
        <w:jc w:val="both"/>
        <w:rPr>
          <w:rFonts w:cs="Arial"/>
          <w:sz w:val="22"/>
          <w:szCs w:val="22"/>
        </w:rPr>
      </w:pPr>
    </w:p>
    <w:p w:rsidR="00B87D44" w:rsidRPr="00B87D44" w:rsidRDefault="009D03FE" w:rsidP="00B87D44">
      <w:pPr>
        <w:spacing w:line="360" w:lineRule="auto"/>
        <w:jc w:val="both"/>
        <w:rPr>
          <w:rFonts w:cs="Arial"/>
          <w:sz w:val="22"/>
          <w:szCs w:val="22"/>
        </w:rPr>
      </w:pPr>
      <w:r w:rsidRPr="0039311E">
        <w:rPr>
          <w:rFonts w:cs="Arial"/>
          <w:sz w:val="22"/>
          <w:u w:val="single"/>
          <w:lang w:val="es-ES_tradnl"/>
        </w:rPr>
        <w:t xml:space="preserve">Minuto </w:t>
      </w:r>
      <w:r w:rsidR="00CE63E8">
        <w:rPr>
          <w:rFonts w:cs="Arial"/>
          <w:sz w:val="22"/>
          <w:u w:val="single"/>
          <w:lang w:val="es-ES_tradnl"/>
        </w:rPr>
        <w:t>25</w:t>
      </w:r>
      <w:r w:rsidR="007C6E0A">
        <w:rPr>
          <w:rFonts w:cs="Arial"/>
          <w:sz w:val="22"/>
          <w:u w:val="single"/>
          <w:lang w:val="es-ES_tradnl"/>
        </w:rPr>
        <w:t>4</w:t>
      </w:r>
      <w:r w:rsidRPr="0039311E">
        <w:rPr>
          <w:rFonts w:cs="Arial"/>
          <w:sz w:val="22"/>
          <w:u w:val="single"/>
          <w:lang w:val="es-ES_tradnl"/>
        </w:rPr>
        <w:t>:</w:t>
      </w:r>
      <w:r w:rsidR="007C6E0A">
        <w:rPr>
          <w:rFonts w:cs="Arial"/>
          <w:sz w:val="22"/>
          <w:u w:val="single"/>
          <w:lang w:val="es-ES_tradnl"/>
        </w:rPr>
        <w:t>55</w:t>
      </w:r>
      <w:r>
        <w:rPr>
          <w:rFonts w:cs="Arial"/>
          <w:sz w:val="22"/>
          <w:lang w:val="es-ES_tradnl"/>
        </w:rPr>
        <w:t xml:space="preserve"> Se conoce el oficio </w:t>
      </w:r>
      <w:r w:rsidR="000C3DAF">
        <w:rPr>
          <w:rFonts w:cs="Arial"/>
          <w:sz w:val="22"/>
          <w:lang w:val="es-ES_tradnl"/>
        </w:rPr>
        <w:t xml:space="preserve">AL-OF-050-2019 del 05 de julio de 2019, mediante el cual, atendiendo lo dispuesto en el Acuerdo N° 12 de la sesión 48-2019 del 24 de junio de 2019, la </w:t>
      </w:r>
      <w:r w:rsidR="000C3DAF" w:rsidRPr="000C3DAF">
        <w:rPr>
          <w:rFonts w:cs="Arial"/>
          <w:sz w:val="22"/>
          <w:szCs w:val="22"/>
          <w:lang w:val="es-ES_tradnl"/>
        </w:rPr>
        <w:t>Asesoría Legal</w:t>
      </w:r>
      <w:r w:rsidR="000C3DAF">
        <w:rPr>
          <w:rFonts w:cs="Arial"/>
          <w:sz w:val="22"/>
          <w:szCs w:val="22"/>
          <w:lang w:val="es-ES_tradnl"/>
        </w:rPr>
        <w:t xml:space="preserve"> remite dictamen sobre </w:t>
      </w:r>
      <w:r w:rsidR="00B87D44" w:rsidRPr="00B87D44">
        <w:rPr>
          <w:rFonts w:cs="Arial"/>
          <w:sz w:val="22"/>
          <w:szCs w:val="22"/>
        </w:rPr>
        <w:t>los aspectos señalados en la sesión 45-2019 del 13 de junio de 2019, referidos a la falta de competencias que tiene esta Junta Directiva y una eventual imposición en la que incurriría, en caso de requerir en la institución un dictamen externo, en aras de una sana administración y para un mejor resolver, sobre un recurso de apelación cuya resolución pueda recaer en la Gerencia General.</w:t>
      </w:r>
      <w:r w:rsidR="007C6E0A">
        <w:rPr>
          <w:rFonts w:cs="Arial"/>
          <w:sz w:val="22"/>
          <w:szCs w:val="22"/>
        </w:rPr>
        <w:t xml:space="preserve">  Sobre el particular, la Junta Directiva da por recibido dicho documento.</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4D2C73" w:rsidRPr="004D2C73">
        <w:rPr>
          <w:rFonts w:cs="Arial"/>
          <w:b/>
          <w:sz w:val="22"/>
          <w:szCs w:val="22"/>
          <w:u w:val="single"/>
        </w:rPr>
        <w:t xml:space="preserve">Copia de oficio remitido por el Comité Pro-Ayuda Comunitaria de Llanos de Santa Lucía, solicitando colaboración para </w:t>
      </w:r>
      <w:r w:rsidR="004D2C73" w:rsidRPr="004D2C73">
        <w:rPr>
          <w:rFonts w:cs="Arial"/>
          <w:b/>
          <w:sz w:val="22"/>
          <w:szCs w:val="22"/>
          <w:u w:val="single"/>
          <w:lang w:val="es-CR"/>
        </w:rPr>
        <w:t>formalizar nueve casos de bono pendientes en el sector Mi Casa del proyecto Llanos de Santa Lucía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C6E0A">
        <w:rPr>
          <w:rFonts w:cs="Arial"/>
          <w:sz w:val="22"/>
          <w:u w:val="single"/>
          <w:lang w:val="es-ES_tradnl"/>
        </w:rPr>
        <w:t>255</w:t>
      </w:r>
      <w:r w:rsidRPr="0039311E">
        <w:rPr>
          <w:rFonts w:cs="Arial"/>
          <w:sz w:val="22"/>
          <w:u w:val="single"/>
          <w:lang w:val="es-ES_tradnl"/>
        </w:rPr>
        <w:t>:</w:t>
      </w:r>
      <w:r w:rsidR="00CD4665">
        <w:rPr>
          <w:rFonts w:cs="Arial"/>
          <w:sz w:val="22"/>
          <w:u w:val="single"/>
          <w:lang w:val="es-ES_tradnl"/>
        </w:rPr>
        <w:t>05</w:t>
      </w:r>
      <w:r>
        <w:rPr>
          <w:rFonts w:cs="Arial"/>
          <w:sz w:val="22"/>
          <w:lang w:val="es-ES_tradnl"/>
        </w:rPr>
        <w:t xml:space="preserve"> Se conoce </w:t>
      </w:r>
      <w:r w:rsidR="00CD4665">
        <w:rPr>
          <w:rFonts w:cs="Arial"/>
          <w:sz w:val="22"/>
          <w:lang w:val="es-ES_tradnl"/>
        </w:rPr>
        <w:t>copia d</w:t>
      </w:r>
      <w:r>
        <w:rPr>
          <w:rFonts w:cs="Arial"/>
          <w:sz w:val="22"/>
          <w:lang w:val="es-ES_tradnl"/>
        </w:rPr>
        <w:t>el oficio</w:t>
      </w:r>
      <w:r w:rsidR="00CD4665">
        <w:rPr>
          <w:rFonts w:cs="Arial"/>
          <w:sz w:val="22"/>
          <w:lang w:val="es-ES_tradnl"/>
        </w:rPr>
        <w:t xml:space="preserve"> </w:t>
      </w:r>
      <w:r w:rsidR="00271334">
        <w:rPr>
          <w:rFonts w:cs="Arial"/>
          <w:sz w:val="22"/>
          <w:lang w:val="es-ES_tradnl"/>
        </w:rPr>
        <w:t xml:space="preserve">CPACDLDS-18-2019 del 08 de julio de 2019, mediante el cual, el </w:t>
      </w:r>
      <w:r w:rsidR="00271334" w:rsidRPr="00271334">
        <w:rPr>
          <w:rFonts w:cs="Arial"/>
          <w:sz w:val="22"/>
          <w:szCs w:val="22"/>
        </w:rPr>
        <w:t>Comité Pro-Ayuda Comunitaria de Llanos de Santa Lucía,</w:t>
      </w:r>
      <w:r w:rsidR="00271334">
        <w:rPr>
          <w:rFonts w:cs="Arial"/>
          <w:sz w:val="22"/>
          <w:szCs w:val="22"/>
        </w:rPr>
        <w:t xml:space="preserve"> </w:t>
      </w:r>
      <w:r w:rsidR="00EE391E">
        <w:rPr>
          <w:rFonts w:cs="Arial"/>
          <w:sz w:val="22"/>
          <w:szCs w:val="22"/>
        </w:rPr>
        <w:t xml:space="preserve">solicita la colaboración del Instituto Nacional de Vivienda y Urbanismo, </w:t>
      </w:r>
      <w:r w:rsidR="00EE391E" w:rsidRPr="00EE391E">
        <w:rPr>
          <w:rFonts w:cs="Arial"/>
          <w:sz w:val="22"/>
          <w:szCs w:val="22"/>
          <w:lang w:val="es-CR"/>
        </w:rPr>
        <w:t>para formalizar nueve casos de Bono que aún están pendientes en el sector Mi Casa del proyecto Llanos de Santa Lucía.</w:t>
      </w:r>
      <w:r w:rsidR="00EE391E">
        <w:rPr>
          <w:rFonts w:cs="Arial"/>
          <w:sz w:val="22"/>
          <w:szCs w:val="22"/>
          <w:lang w:val="es-CR"/>
        </w:rPr>
        <w:t xml:space="preserve">  Al respecto, la </w:t>
      </w:r>
      <w:r w:rsidR="00EE391E" w:rsidRPr="00EE391E">
        <w:rPr>
          <w:rFonts w:cs="Arial"/>
          <w:sz w:val="22"/>
          <w:szCs w:val="22"/>
          <w:lang w:val="es-CR"/>
        </w:rPr>
        <w:t xml:space="preserve">Junta Directiva </w:t>
      </w:r>
      <w:r w:rsidR="00EE391E">
        <w:rPr>
          <w:rFonts w:cs="Arial"/>
          <w:sz w:val="22"/>
          <w:szCs w:val="22"/>
          <w:lang w:val="es-CR"/>
        </w:rPr>
        <w:t>da por conocida dicha nota.</w:t>
      </w:r>
    </w:p>
    <w:p w:rsidR="00277DD3" w:rsidRDefault="009D03FE" w:rsidP="009D03FE">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21° </w:t>
      </w:r>
      <w:r w:rsidR="004D2C73" w:rsidRPr="004D2C73">
        <w:rPr>
          <w:rFonts w:cs="Arial"/>
          <w:b/>
          <w:sz w:val="22"/>
          <w:u w:val="single"/>
        </w:rPr>
        <w:t xml:space="preserve">Oficio de la </w:t>
      </w:r>
      <w:r w:rsidR="004D2C73" w:rsidRPr="004D2C73">
        <w:rPr>
          <w:rFonts w:cs="Arial"/>
          <w:b/>
          <w:sz w:val="22"/>
          <w:szCs w:val="22"/>
          <w:u w:val="single"/>
        </w:rPr>
        <w:t xml:space="preserve">Gerencia General, remitiendo información sobre el </w:t>
      </w:r>
      <w:r w:rsidR="004D2C73" w:rsidRPr="004D2C73">
        <w:rPr>
          <w:rFonts w:cs="Arial"/>
          <w:b/>
          <w:sz w:val="22"/>
          <w:szCs w:val="22"/>
          <w:u w:val="single"/>
          <w:lang w:val="es-CR"/>
        </w:rPr>
        <w:t>cumplimiento del cronograma de informes para Junta Directiva, del Sistema de Información Gerencial</w:t>
      </w:r>
    </w:p>
    <w:p w:rsidR="009B5852" w:rsidRDefault="009B5852" w:rsidP="009B5852">
      <w:pPr>
        <w:spacing w:line="360" w:lineRule="auto"/>
        <w:jc w:val="both"/>
        <w:rPr>
          <w:rFonts w:cs="Arial"/>
          <w:sz w:val="22"/>
          <w:szCs w:val="22"/>
        </w:rPr>
      </w:pPr>
    </w:p>
    <w:p w:rsidR="004F7D6D" w:rsidRPr="00A26013" w:rsidRDefault="009B5852" w:rsidP="004F7D6D">
      <w:pPr>
        <w:spacing w:line="360" w:lineRule="auto"/>
        <w:jc w:val="both"/>
        <w:rPr>
          <w:rFonts w:cs="Arial"/>
          <w:sz w:val="22"/>
          <w:szCs w:val="22"/>
        </w:rPr>
      </w:pPr>
      <w:r w:rsidRPr="0039311E">
        <w:rPr>
          <w:rFonts w:cs="Arial"/>
          <w:sz w:val="22"/>
          <w:u w:val="single"/>
          <w:lang w:val="es-ES_tradnl"/>
        </w:rPr>
        <w:t xml:space="preserve">Minuto </w:t>
      </w:r>
      <w:r w:rsidR="00EE391E">
        <w:rPr>
          <w:rFonts w:cs="Arial"/>
          <w:sz w:val="22"/>
          <w:u w:val="single"/>
          <w:lang w:val="es-ES_tradnl"/>
        </w:rPr>
        <w:t>255</w:t>
      </w:r>
      <w:r w:rsidRPr="0039311E">
        <w:rPr>
          <w:rFonts w:cs="Arial"/>
          <w:sz w:val="22"/>
          <w:u w:val="single"/>
          <w:lang w:val="es-ES_tradnl"/>
        </w:rPr>
        <w:t>:</w:t>
      </w:r>
      <w:r w:rsidR="00EE391E">
        <w:rPr>
          <w:rFonts w:cs="Arial"/>
          <w:sz w:val="22"/>
          <w:u w:val="single"/>
          <w:lang w:val="es-ES_tradnl"/>
        </w:rPr>
        <w:t>15</w:t>
      </w:r>
      <w:r>
        <w:rPr>
          <w:rFonts w:cs="Arial"/>
          <w:sz w:val="22"/>
          <w:lang w:val="es-ES_tradnl"/>
        </w:rPr>
        <w:t xml:space="preserve"> Se conoce el oficio </w:t>
      </w:r>
      <w:r w:rsidR="004F7D6D" w:rsidRPr="00A26013">
        <w:rPr>
          <w:rFonts w:cs="Arial"/>
          <w:color w:val="000000"/>
          <w:sz w:val="22"/>
          <w:szCs w:val="22"/>
        </w:rPr>
        <w:t>GG-</w:t>
      </w:r>
      <w:r w:rsidR="004F7D6D">
        <w:rPr>
          <w:rFonts w:cs="Arial"/>
          <w:color w:val="000000"/>
          <w:sz w:val="22"/>
          <w:szCs w:val="22"/>
        </w:rPr>
        <w:t xml:space="preserve">IN11-0717-2019 del 05 de junio </w:t>
      </w:r>
      <w:r w:rsidR="004F7D6D" w:rsidRPr="00A26013">
        <w:rPr>
          <w:rFonts w:cs="Arial"/>
          <w:color w:val="000000"/>
          <w:sz w:val="22"/>
          <w:szCs w:val="22"/>
        </w:rPr>
        <w:t>de 201</w:t>
      </w:r>
      <w:r w:rsidR="004F7D6D">
        <w:rPr>
          <w:rFonts w:cs="Arial"/>
          <w:color w:val="000000"/>
          <w:sz w:val="22"/>
          <w:szCs w:val="22"/>
        </w:rPr>
        <w:t>9</w:t>
      </w:r>
      <w:r w:rsidR="004F7D6D" w:rsidRPr="00A26013">
        <w:rPr>
          <w:rFonts w:cs="Arial"/>
          <w:color w:val="000000"/>
          <w:sz w:val="22"/>
          <w:szCs w:val="22"/>
        </w:rPr>
        <w:t xml:space="preserve">, por medio del cual, la Gerencia General se refiere al cumplimiento del cronograma de presentación de informes del Sistema de Información Gerencial, con corte al mes de </w:t>
      </w:r>
      <w:r w:rsidR="004F7D6D">
        <w:rPr>
          <w:rFonts w:cs="Arial"/>
          <w:color w:val="000000"/>
          <w:sz w:val="22"/>
          <w:szCs w:val="22"/>
        </w:rPr>
        <w:t>junio</w:t>
      </w:r>
      <w:r w:rsidR="004F7D6D" w:rsidRPr="00A26013">
        <w:rPr>
          <w:rFonts w:cs="Arial"/>
          <w:color w:val="000000"/>
          <w:sz w:val="22"/>
          <w:szCs w:val="22"/>
        </w:rPr>
        <w:t xml:space="preserve"> de 201</w:t>
      </w:r>
      <w:r w:rsidR="004F7D6D">
        <w:rPr>
          <w:rFonts w:cs="Arial"/>
          <w:color w:val="000000"/>
          <w:sz w:val="22"/>
          <w:szCs w:val="22"/>
        </w:rPr>
        <w:t>9</w:t>
      </w:r>
      <w:r w:rsidR="004F7D6D" w:rsidRPr="00A26013">
        <w:rPr>
          <w:rFonts w:cs="Arial"/>
          <w:color w:val="000000"/>
          <w:sz w:val="22"/>
          <w:szCs w:val="22"/>
        </w:rPr>
        <w:t xml:space="preserve">.  </w:t>
      </w:r>
      <w:r w:rsidR="004F7D6D">
        <w:rPr>
          <w:rFonts w:cs="Arial"/>
          <w:color w:val="000000"/>
          <w:sz w:val="22"/>
          <w:szCs w:val="22"/>
        </w:rPr>
        <w:t xml:space="preserve">Al respecto, la </w:t>
      </w:r>
      <w:r w:rsidR="004F7D6D" w:rsidRPr="00A26013">
        <w:rPr>
          <w:rFonts w:cs="Arial"/>
          <w:color w:val="000000"/>
          <w:sz w:val="22"/>
          <w:szCs w:val="22"/>
        </w:rPr>
        <w:t>Junta Directiva da por conocido el citado informe de la Administración.</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4F7D6D">
        <w:rPr>
          <w:rFonts w:cs="Arial"/>
          <w:szCs w:val="22"/>
          <w:u w:val="single"/>
        </w:rPr>
        <w:t xml:space="preserve">Minuto </w:t>
      </w:r>
      <w:r w:rsidR="004F7D6D" w:rsidRPr="004F7D6D">
        <w:rPr>
          <w:rFonts w:cs="Arial"/>
          <w:szCs w:val="22"/>
          <w:u w:val="single"/>
        </w:rPr>
        <w:t>255:30</w:t>
      </w:r>
      <w:r>
        <w:rPr>
          <w:rFonts w:cs="Arial"/>
          <w:szCs w:val="22"/>
        </w:rPr>
        <w:t xml:space="preserve"> </w:t>
      </w:r>
      <w:r w:rsidR="00FA4CCB" w:rsidRPr="00AB2826">
        <w:rPr>
          <w:rFonts w:cs="Arial"/>
          <w:szCs w:val="22"/>
        </w:rPr>
        <w:t xml:space="preserve">Siendo las </w:t>
      </w:r>
      <w:r w:rsidR="004D2C73">
        <w:rPr>
          <w:rFonts w:cs="Arial"/>
          <w:szCs w:val="22"/>
        </w:rPr>
        <w:t>veintiuna</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4D2C73">
        <w:rPr>
          <w:rFonts w:cs="Arial"/>
          <w:szCs w:val="22"/>
        </w:rPr>
        <w:t>treinta</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61050">
        <w:rPr>
          <w:rFonts w:cs="Arial"/>
          <w:b/>
          <w:sz w:val="22"/>
          <w:u w:val="single"/>
        </w:rPr>
        <w:t>54</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361050">
        <w:rPr>
          <w:rFonts w:cs="Arial"/>
          <w:b/>
          <w:sz w:val="22"/>
          <w:u w:val="single"/>
        </w:rPr>
        <w:t>15</w:t>
      </w:r>
      <w:r>
        <w:rPr>
          <w:rFonts w:cs="Arial"/>
          <w:b/>
          <w:sz w:val="22"/>
          <w:u w:val="single"/>
        </w:rPr>
        <w:t xml:space="preserve"> DE </w:t>
      </w:r>
      <w:r w:rsidR="00361050">
        <w:rPr>
          <w:rFonts w:cs="Arial"/>
          <w:b/>
          <w:sz w:val="22"/>
          <w:u w:val="single"/>
        </w:rPr>
        <w:t>JULIO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5F05DC" w:rsidRDefault="001C27B6" w:rsidP="002B71CC">
      <w:pPr>
        <w:spacing w:line="360" w:lineRule="auto"/>
        <w:jc w:val="both"/>
        <w:rPr>
          <w:rFonts w:cs="Arial"/>
          <w:sz w:val="22"/>
          <w:szCs w:val="22"/>
        </w:rPr>
      </w:pPr>
      <w:r w:rsidRPr="008F3DD4">
        <w:rPr>
          <w:rFonts w:cs="Arial"/>
          <w:b/>
          <w:sz w:val="22"/>
          <w:szCs w:val="22"/>
        </w:rPr>
        <w:t>Primero:</w:t>
      </w:r>
      <w:r>
        <w:rPr>
          <w:rFonts w:cs="Arial"/>
          <w:sz w:val="22"/>
          <w:szCs w:val="22"/>
        </w:rPr>
        <w:t xml:space="preserve"> Que por medio del oficio GG-ME-0736-2019 del 12 de julio de 2019 y atendiendo lo dispuesto por esta Junta Directiva en el acuerdo N° 12 de la sesión 46-2019, celebrada el 17 de junio de 2019, la </w:t>
      </w:r>
      <w:r w:rsidRPr="00A03F89">
        <w:rPr>
          <w:rFonts w:cs="Arial"/>
          <w:sz w:val="22"/>
          <w:szCs w:val="22"/>
        </w:rPr>
        <w:t>Gerencia General</w:t>
      </w:r>
      <w:r>
        <w:rPr>
          <w:rFonts w:cs="Arial"/>
          <w:sz w:val="22"/>
          <w:szCs w:val="22"/>
        </w:rPr>
        <w:t xml:space="preserve"> somete a la consideración de este Órgano Colegiado, el informe DF-OF-0800-2019 de la Dirección </w:t>
      </w:r>
      <w:r w:rsidR="008F04FB">
        <w:rPr>
          <w:rFonts w:cs="Arial"/>
          <w:sz w:val="22"/>
          <w:szCs w:val="22"/>
        </w:rPr>
        <w:t>del Fondo de Subsidios para la Vivienda (FOSUVI)</w:t>
      </w:r>
      <w:r>
        <w:rPr>
          <w:rFonts w:cs="Arial"/>
          <w:sz w:val="22"/>
          <w:szCs w:val="22"/>
        </w:rPr>
        <w:t xml:space="preserve">, que contiene una propuesta de ajuste al monto del </w:t>
      </w:r>
      <w:r w:rsidRPr="001C27B6">
        <w:rPr>
          <w:rFonts w:cs="Arial"/>
          <w:color w:val="000000"/>
          <w:sz w:val="22"/>
          <w:szCs w:val="22"/>
          <w:lang w:val="es-CR"/>
        </w:rPr>
        <w:t>Bono Familiar de Vivienda</w:t>
      </w:r>
      <w:r w:rsidR="00222452">
        <w:rPr>
          <w:rFonts w:cs="Arial"/>
          <w:color w:val="000000"/>
          <w:sz w:val="22"/>
          <w:szCs w:val="22"/>
          <w:lang w:val="es-CR"/>
        </w:rPr>
        <w:t xml:space="preserve"> (BFV)</w:t>
      </w:r>
      <w:r w:rsidR="00F73878">
        <w:rPr>
          <w:rFonts w:cs="Arial"/>
          <w:color w:val="000000"/>
          <w:sz w:val="22"/>
          <w:szCs w:val="22"/>
          <w:lang w:val="es-CR"/>
        </w:rPr>
        <w:t>, así como al tope de vivienda de interés social</w:t>
      </w:r>
      <w:r>
        <w:rPr>
          <w:rFonts w:cs="Arial"/>
          <w:color w:val="000000"/>
          <w:sz w:val="22"/>
          <w:szCs w:val="22"/>
          <w:lang w:val="es-CR"/>
        </w:rPr>
        <w:t>, orientada a que las familias de los estratos comprendidos entre el 2 y 6, según</w:t>
      </w:r>
      <w:r w:rsidR="008D45B4">
        <w:rPr>
          <w:rFonts w:cs="Arial"/>
          <w:sz w:val="22"/>
          <w:szCs w:val="22"/>
          <w:lang w:val="es-ES_tradnl"/>
        </w:rPr>
        <w:t xml:space="preserve"> se establecen en la Ley 7052, cuenten con un incentivo y mayores facilidades para adquirir una soluci</w:t>
      </w:r>
      <w:r w:rsidR="00F73878">
        <w:rPr>
          <w:rFonts w:cs="Arial"/>
          <w:sz w:val="22"/>
          <w:szCs w:val="22"/>
          <w:lang w:val="es-ES_tradnl"/>
        </w:rPr>
        <w:t>ón habitacional, en concordancia con lo establecido en el Plan Nacional de Desarrollo 2019-2022, con respecto a las familias de ingresos medios y la meta para la atención del déficit habitacional para esta población.</w:t>
      </w:r>
    </w:p>
    <w:p w:rsidR="005F05DC" w:rsidRDefault="005F05DC" w:rsidP="002B71CC">
      <w:pPr>
        <w:spacing w:line="360" w:lineRule="auto"/>
        <w:jc w:val="both"/>
        <w:rPr>
          <w:rFonts w:cs="Arial"/>
          <w:sz w:val="22"/>
          <w:szCs w:val="22"/>
        </w:rPr>
      </w:pPr>
    </w:p>
    <w:p w:rsidR="00ED79CC" w:rsidRDefault="00F73878" w:rsidP="002B71CC">
      <w:pPr>
        <w:spacing w:line="360" w:lineRule="auto"/>
        <w:jc w:val="both"/>
        <w:rPr>
          <w:rFonts w:cs="Arial"/>
          <w:sz w:val="22"/>
          <w:szCs w:val="22"/>
        </w:rPr>
      </w:pPr>
      <w:r w:rsidRPr="00F73878">
        <w:rPr>
          <w:rFonts w:cs="Arial"/>
          <w:b/>
          <w:sz w:val="22"/>
          <w:szCs w:val="22"/>
        </w:rPr>
        <w:t>Segundo:</w:t>
      </w:r>
      <w:r>
        <w:rPr>
          <w:rFonts w:cs="Arial"/>
          <w:sz w:val="22"/>
          <w:szCs w:val="22"/>
        </w:rPr>
        <w:t xml:space="preserve"> Que conocida y suficientemente discutida la propuesta de la </w:t>
      </w:r>
      <w:r w:rsidR="00902AC7" w:rsidRPr="00902AC7">
        <w:rPr>
          <w:rFonts w:cs="Arial"/>
          <w:sz w:val="22"/>
          <w:szCs w:val="22"/>
        </w:rPr>
        <w:t>Administración</w:t>
      </w:r>
      <w:r w:rsidR="0023097B">
        <w:rPr>
          <w:rFonts w:cs="Arial"/>
          <w:sz w:val="22"/>
          <w:szCs w:val="22"/>
        </w:rPr>
        <w:t xml:space="preserve"> y coincidiendo en que ésta permitirá lograr un impacto positivo sobre un amplio sector de la población que históricamente ha carecido de opciones reales para contar con una solución de vivienda, </w:t>
      </w:r>
      <w:r w:rsidR="00902AC7">
        <w:rPr>
          <w:rFonts w:cs="Arial"/>
          <w:sz w:val="22"/>
          <w:szCs w:val="22"/>
        </w:rPr>
        <w:t xml:space="preserve">esta Junta Directiva estima </w:t>
      </w:r>
      <w:r w:rsidR="005B294F">
        <w:rPr>
          <w:rFonts w:cs="Arial"/>
          <w:sz w:val="22"/>
          <w:szCs w:val="22"/>
        </w:rPr>
        <w:t xml:space="preserve">conveniente </w:t>
      </w:r>
      <w:r w:rsidR="00902AC7">
        <w:rPr>
          <w:rFonts w:cs="Arial"/>
          <w:sz w:val="22"/>
          <w:szCs w:val="22"/>
        </w:rPr>
        <w:t>ac</w:t>
      </w:r>
      <w:r w:rsidR="005B294F">
        <w:rPr>
          <w:rFonts w:cs="Arial"/>
          <w:sz w:val="22"/>
          <w:szCs w:val="22"/>
        </w:rPr>
        <w:t xml:space="preserve">ogerla en los términos que se </w:t>
      </w:r>
      <w:r w:rsidR="008E09B2">
        <w:rPr>
          <w:rFonts w:cs="Arial"/>
          <w:sz w:val="22"/>
          <w:szCs w:val="22"/>
        </w:rPr>
        <w:t>plantea</w:t>
      </w:r>
      <w:r w:rsidR="005B294F">
        <w:rPr>
          <w:rFonts w:cs="Arial"/>
          <w:sz w:val="22"/>
          <w:szCs w:val="22"/>
        </w:rPr>
        <w:t>n</w:t>
      </w:r>
      <w:r w:rsidR="008E09B2">
        <w:rPr>
          <w:rFonts w:cs="Arial"/>
          <w:sz w:val="22"/>
          <w:szCs w:val="22"/>
        </w:rPr>
        <w:t xml:space="preserve"> en el informe</w:t>
      </w:r>
      <w:r w:rsidR="00D572BA" w:rsidRPr="00D572BA">
        <w:rPr>
          <w:rFonts w:cs="Arial"/>
          <w:sz w:val="22"/>
          <w:szCs w:val="22"/>
        </w:rPr>
        <w:t xml:space="preserve"> </w:t>
      </w:r>
      <w:r w:rsidR="00D572BA">
        <w:rPr>
          <w:rFonts w:cs="Arial"/>
          <w:sz w:val="22"/>
          <w:szCs w:val="22"/>
        </w:rPr>
        <w:t>DF-OF-0800-2019</w:t>
      </w:r>
      <w:r w:rsidR="008E09B2">
        <w:rPr>
          <w:rFonts w:cs="Arial"/>
          <w:sz w:val="22"/>
          <w:szCs w:val="22"/>
        </w:rPr>
        <w:t xml:space="preserve">, </w:t>
      </w:r>
      <w:r w:rsidR="005B294F">
        <w:rPr>
          <w:rFonts w:cs="Arial"/>
          <w:sz w:val="22"/>
          <w:szCs w:val="22"/>
        </w:rPr>
        <w:t xml:space="preserve">pero </w:t>
      </w:r>
      <w:r w:rsidR="00134FD5">
        <w:rPr>
          <w:rFonts w:cs="Arial"/>
          <w:sz w:val="22"/>
          <w:szCs w:val="22"/>
        </w:rPr>
        <w:t xml:space="preserve">realizando </w:t>
      </w:r>
      <w:r w:rsidR="005B294F">
        <w:rPr>
          <w:rFonts w:cs="Arial"/>
          <w:sz w:val="22"/>
          <w:szCs w:val="22"/>
        </w:rPr>
        <w:t xml:space="preserve">los </w:t>
      </w:r>
      <w:r w:rsidR="00134FD5">
        <w:rPr>
          <w:rFonts w:cs="Arial"/>
          <w:sz w:val="22"/>
          <w:szCs w:val="22"/>
        </w:rPr>
        <w:t xml:space="preserve">ajustes </w:t>
      </w:r>
      <w:r w:rsidR="005B294F">
        <w:rPr>
          <w:rFonts w:cs="Arial"/>
          <w:sz w:val="22"/>
          <w:szCs w:val="22"/>
        </w:rPr>
        <w:t xml:space="preserve">que se han estimado </w:t>
      </w:r>
      <w:r w:rsidR="00134FD5">
        <w:rPr>
          <w:rFonts w:cs="Arial"/>
          <w:sz w:val="22"/>
          <w:szCs w:val="22"/>
        </w:rPr>
        <w:t>con</w:t>
      </w:r>
      <w:r w:rsidR="005B294F">
        <w:rPr>
          <w:rFonts w:cs="Arial"/>
          <w:sz w:val="22"/>
          <w:szCs w:val="22"/>
        </w:rPr>
        <w:t>venientes, relacionados con</w:t>
      </w:r>
      <w:r w:rsidR="00134FD5">
        <w:rPr>
          <w:rFonts w:cs="Arial"/>
          <w:sz w:val="22"/>
          <w:szCs w:val="22"/>
        </w:rPr>
        <w:t xml:space="preserve"> </w:t>
      </w:r>
      <w:r w:rsidR="005B294F">
        <w:rPr>
          <w:rFonts w:cs="Arial"/>
          <w:sz w:val="22"/>
          <w:szCs w:val="22"/>
        </w:rPr>
        <w:t>los siguientes aspecto</w:t>
      </w:r>
      <w:r w:rsidR="00ED79CC">
        <w:rPr>
          <w:rFonts w:cs="Arial"/>
          <w:sz w:val="22"/>
          <w:szCs w:val="22"/>
        </w:rPr>
        <w:t xml:space="preserve">s: </w:t>
      </w:r>
    </w:p>
    <w:p w:rsidR="00ED79CC" w:rsidRDefault="005B294F" w:rsidP="002B71CC">
      <w:pPr>
        <w:spacing w:line="360" w:lineRule="auto"/>
        <w:jc w:val="both"/>
        <w:rPr>
          <w:rFonts w:cs="Arial"/>
          <w:sz w:val="22"/>
          <w:szCs w:val="22"/>
        </w:rPr>
      </w:pPr>
      <w:r>
        <w:rPr>
          <w:rFonts w:cs="Arial"/>
          <w:sz w:val="22"/>
          <w:szCs w:val="22"/>
        </w:rPr>
        <w:t xml:space="preserve">a) </w:t>
      </w:r>
      <w:r w:rsidR="00ED79CC">
        <w:rPr>
          <w:rFonts w:cs="Arial"/>
          <w:sz w:val="22"/>
          <w:szCs w:val="22"/>
        </w:rPr>
        <w:t>E</w:t>
      </w:r>
      <w:r w:rsidR="009C4AF4">
        <w:rPr>
          <w:rFonts w:cs="Arial"/>
          <w:sz w:val="22"/>
          <w:szCs w:val="22"/>
        </w:rPr>
        <w:t xml:space="preserve">stablecer </w:t>
      </w:r>
      <w:r w:rsidR="00134FD5">
        <w:rPr>
          <w:rFonts w:cs="Arial"/>
          <w:sz w:val="22"/>
          <w:szCs w:val="22"/>
        </w:rPr>
        <w:t xml:space="preserve">la </w:t>
      </w:r>
      <w:r>
        <w:rPr>
          <w:rFonts w:cs="Arial"/>
          <w:sz w:val="22"/>
          <w:szCs w:val="22"/>
        </w:rPr>
        <w:t xml:space="preserve">obligación de </w:t>
      </w:r>
      <w:r w:rsidR="00134FD5">
        <w:rPr>
          <w:rFonts w:cs="Arial"/>
          <w:sz w:val="22"/>
          <w:szCs w:val="22"/>
        </w:rPr>
        <w:t>revis</w:t>
      </w:r>
      <w:r>
        <w:rPr>
          <w:rFonts w:cs="Arial"/>
          <w:sz w:val="22"/>
          <w:szCs w:val="22"/>
        </w:rPr>
        <w:t>ar</w:t>
      </w:r>
      <w:r w:rsidR="00134FD5">
        <w:rPr>
          <w:rFonts w:cs="Arial"/>
          <w:sz w:val="22"/>
          <w:szCs w:val="22"/>
        </w:rPr>
        <w:t xml:space="preserve"> </w:t>
      </w:r>
      <w:r w:rsidR="00020F0B">
        <w:rPr>
          <w:rFonts w:cs="Arial"/>
          <w:sz w:val="22"/>
          <w:szCs w:val="22"/>
        </w:rPr>
        <w:t xml:space="preserve">los expedientes de </w:t>
      </w:r>
      <w:r>
        <w:rPr>
          <w:rFonts w:cs="Arial"/>
          <w:sz w:val="22"/>
          <w:szCs w:val="22"/>
        </w:rPr>
        <w:t xml:space="preserve">las solicitudes de subsidio cuando </w:t>
      </w:r>
      <w:r w:rsidR="00134FD5">
        <w:rPr>
          <w:rFonts w:cs="Arial"/>
          <w:sz w:val="22"/>
          <w:szCs w:val="22"/>
        </w:rPr>
        <w:t xml:space="preserve">el </w:t>
      </w:r>
      <w:r w:rsidR="00ED79CC">
        <w:rPr>
          <w:rFonts w:cs="Arial"/>
          <w:sz w:val="22"/>
          <w:szCs w:val="22"/>
        </w:rPr>
        <w:t xml:space="preserve">monto del </w:t>
      </w:r>
      <w:r>
        <w:rPr>
          <w:rFonts w:cs="Arial"/>
          <w:sz w:val="22"/>
          <w:szCs w:val="22"/>
        </w:rPr>
        <w:t xml:space="preserve">bono </w:t>
      </w:r>
      <w:r w:rsidR="00ED79CC">
        <w:rPr>
          <w:rFonts w:cs="Arial"/>
          <w:sz w:val="22"/>
          <w:szCs w:val="22"/>
        </w:rPr>
        <w:t>sea</w:t>
      </w:r>
      <w:r>
        <w:rPr>
          <w:rFonts w:cs="Arial"/>
          <w:sz w:val="22"/>
          <w:szCs w:val="22"/>
        </w:rPr>
        <w:t xml:space="preserve"> </w:t>
      </w:r>
      <w:r w:rsidR="00ED79CC">
        <w:rPr>
          <w:rFonts w:cs="Arial"/>
          <w:sz w:val="22"/>
          <w:szCs w:val="22"/>
        </w:rPr>
        <w:t>superior</w:t>
      </w:r>
      <w:r>
        <w:rPr>
          <w:rFonts w:cs="Arial"/>
          <w:sz w:val="22"/>
          <w:szCs w:val="22"/>
        </w:rPr>
        <w:t xml:space="preserve"> al monto del crédito</w:t>
      </w:r>
      <w:r w:rsidR="00AD615C">
        <w:rPr>
          <w:rFonts w:cs="Arial"/>
          <w:sz w:val="22"/>
          <w:szCs w:val="22"/>
        </w:rPr>
        <w:t>, de forma tal que se garantice</w:t>
      </w:r>
      <w:r w:rsidR="00ED79CC">
        <w:rPr>
          <w:rFonts w:cs="Arial"/>
          <w:sz w:val="22"/>
          <w:szCs w:val="22"/>
        </w:rPr>
        <w:t xml:space="preserve"> la verificación de las operaciones constituidas mayoritariamente con recursos del FOSUVI.</w:t>
      </w:r>
    </w:p>
    <w:p w:rsidR="00ED79CC" w:rsidRDefault="005B294F" w:rsidP="002B71CC">
      <w:pPr>
        <w:spacing w:line="360" w:lineRule="auto"/>
        <w:jc w:val="both"/>
        <w:rPr>
          <w:rFonts w:cs="Arial"/>
          <w:sz w:val="22"/>
          <w:szCs w:val="22"/>
        </w:rPr>
      </w:pPr>
      <w:r>
        <w:rPr>
          <w:rFonts w:cs="Arial"/>
          <w:sz w:val="22"/>
          <w:szCs w:val="22"/>
        </w:rPr>
        <w:t xml:space="preserve">b) </w:t>
      </w:r>
      <w:r w:rsidR="00ED79CC">
        <w:rPr>
          <w:rFonts w:cs="Arial"/>
          <w:sz w:val="22"/>
          <w:szCs w:val="22"/>
        </w:rPr>
        <w:t xml:space="preserve">Suprimir </w:t>
      </w:r>
      <w:r w:rsidR="009C4AF4">
        <w:rPr>
          <w:rFonts w:cs="Arial"/>
          <w:sz w:val="22"/>
          <w:szCs w:val="22"/>
        </w:rPr>
        <w:t xml:space="preserve">la </w:t>
      </w:r>
      <w:r>
        <w:rPr>
          <w:rFonts w:cs="Arial"/>
          <w:sz w:val="22"/>
          <w:szCs w:val="22"/>
        </w:rPr>
        <w:t>exigencia de</w:t>
      </w:r>
      <w:r w:rsidR="009C4AF4">
        <w:rPr>
          <w:rFonts w:cs="Arial"/>
          <w:sz w:val="22"/>
          <w:szCs w:val="22"/>
        </w:rPr>
        <w:t>l</w:t>
      </w:r>
      <w:r>
        <w:rPr>
          <w:rFonts w:cs="Arial"/>
          <w:sz w:val="22"/>
          <w:szCs w:val="22"/>
        </w:rPr>
        <w:t xml:space="preserve"> aporte familia</w:t>
      </w:r>
      <w:r w:rsidR="009C4AF4">
        <w:rPr>
          <w:rFonts w:cs="Arial"/>
          <w:sz w:val="22"/>
          <w:szCs w:val="22"/>
        </w:rPr>
        <w:t>r</w:t>
      </w:r>
      <w:r>
        <w:rPr>
          <w:rFonts w:cs="Arial"/>
          <w:sz w:val="22"/>
          <w:szCs w:val="22"/>
        </w:rPr>
        <w:t xml:space="preserve"> como complemento al crédito</w:t>
      </w:r>
      <w:r w:rsidR="00ED79CC">
        <w:rPr>
          <w:rFonts w:cs="Arial"/>
          <w:sz w:val="22"/>
          <w:szCs w:val="22"/>
        </w:rPr>
        <w:t xml:space="preserve">, en el tanto </w:t>
      </w:r>
      <w:r w:rsidR="00444487">
        <w:rPr>
          <w:rFonts w:cs="Arial"/>
          <w:sz w:val="22"/>
          <w:szCs w:val="22"/>
        </w:rPr>
        <w:t xml:space="preserve">este requerimiento afectaría directamente a las familias </w:t>
      </w:r>
      <w:r w:rsidR="00F23135">
        <w:rPr>
          <w:rFonts w:cs="Arial"/>
          <w:sz w:val="22"/>
          <w:szCs w:val="22"/>
        </w:rPr>
        <w:t>que dispon</w:t>
      </w:r>
      <w:r w:rsidR="009964AC">
        <w:rPr>
          <w:rFonts w:cs="Arial"/>
          <w:sz w:val="22"/>
          <w:szCs w:val="22"/>
        </w:rPr>
        <w:t>gan</w:t>
      </w:r>
      <w:r w:rsidR="003A7072">
        <w:rPr>
          <w:rFonts w:cs="Arial"/>
          <w:sz w:val="22"/>
          <w:szCs w:val="22"/>
        </w:rPr>
        <w:t xml:space="preserve"> </w:t>
      </w:r>
      <w:r w:rsidR="00F23135">
        <w:rPr>
          <w:rFonts w:cs="Arial"/>
          <w:sz w:val="22"/>
          <w:szCs w:val="22"/>
        </w:rPr>
        <w:t xml:space="preserve">de una opción </w:t>
      </w:r>
      <w:r w:rsidR="00A94774">
        <w:rPr>
          <w:rFonts w:cs="Arial"/>
          <w:sz w:val="22"/>
          <w:szCs w:val="22"/>
        </w:rPr>
        <w:t xml:space="preserve">para adquirir </w:t>
      </w:r>
      <w:r w:rsidR="00F23135">
        <w:rPr>
          <w:rFonts w:cs="Arial"/>
          <w:sz w:val="22"/>
          <w:szCs w:val="22"/>
        </w:rPr>
        <w:t>un inmueble</w:t>
      </w:r>
      <w:r w:rsidR="00993F3C">
        <w:rPr>
          <w:rFonts w:cs="Arial"/>
          <w:sz w:val="22"/>
          <w:szCs w:val="22"/>
        </w:rPr>
        <w:t xml:space="preserve"> y </w:t>
      </w:r>
      <w:r w:rsidR="009964AC">
        <w:rPr>
          <w:rFonts w:cs="Arial"/>
          <w:sz w:val="22"/>
          <w:szCs w:val="22"/>
        </w:rPr>
        <w:t>tengan</w:t>
      </w:r>
      <w:r w:rsidR="00C00914">
        <w:rPr>
          <w:rFonts w:cs="Arial"/>
          <w:sz w:val="22"/>
          <w:szCs w:val="22"/>
        </w:rPr>
        <w:t xml:space="preserve"> capacidad para asumir el crédito complementario al bono</w:t>
      </w:r>
      <w:r w:rsidR="00F23135">
        <w:rPr>
          <w:rFonts w:cs="Arial"/>
          <w:sz w:val="22"/>
          <w:szCs w:val="22"/>
        </w:rPr>
        <w:t xml:space="preserve">, </w:t>
      </w:r>
      <w:r w:rsidR="00A94774">
        <w:rPr>
          <w:rFonts w:cs="Arial"/>
          <w:sz w:val="22"/>
          <w:szCs w:val="22"/>
        </w:rPr>
        <w:t xml:space="preserve">pero que </w:t>
      </w:r>
      <w:r w:rsidR="00C00914">
        <w:rPr>
          <w:rFonts w:cs="Arial"/>
          <w:sz w:val="22"/>
          <w:szCs w:val="22"/>
        </w:rPr>
        <w:t xml:space="preserve">no cuenten </w:t>
      </w:r>
      <w:r w:rsidR="009964AC">
        <w:rPr>
          <w:rFonts w:cs="Arial"/>
          <w:sz w:val="22"/>
          <w:szCs w:val="22"/>
        </w:rPr>
        <w:t xml:space="preserve">de forma inmediata </w:t>
      </w:r>
      <w:r w:rsidR="00C00914">
        <w:rPr>
          <w:rFonts w:cs="Arial"/>
          <w:sz w:val="22"/>
          <w:szCs w:val="22"/>
        </w:rPr>
        <w:t xml:space="preserve">con el </w:t>
      </w:r>
      <w:r w:rsidR="009964AC">
        <w:rPr>
          <w:rFonts w:cs="Arial"/>
          <w:sz w:val="22"/>
          <w:szCs w:val="22"/>
        </w:rPr>
        <w:t xml:space="preserve">monto del </w:t>
      </w:r>
      <w:r w:rsidR="00C00914">
        <w:rPr>
          <w:rFonts w:cs="Arial"/>
          <w:sz w:val="22"/>
          <w:szCs w:val="22"/>
        </w:rPr>
        <w:t>ahorro que se propone</w:t>
      </w:r>
      <w:r w:rsidR="00342F5C">
        <w:rPr>
          <w:rFonts w:cs="Arial"/>
          <w:sz w:val="22"/>
          <w:szCs w:val="22"/>
        </w:rPr>
        <w:t xml:space="preserve"> (</w:t>
      </w:r>
      <w:r w:rsidR="00020F0B">
        <w:rPr>
          <w:rFonts w:cs="Arial"/>
          <w:sz w:val="22"/>
          <w:szCs w:val="22"/>
        </w:rPr>
        <w:t>que en la mayoría de los estratos supera los ¢2 millones</w:t>
      </w:r>
      <w:r w:rsidR="00342F5C">
        <w:rPr>
          <w:rFonts w:cs="Arial"/>
          <w:sz w:val="22"/>
          <w:szCs w:val="22"/>
        </w:rPr>
        <w:t>)</w:t>
      </w:r>
      <w:r w:rsidR="00C00914">
        <w:rPr>
          <w:rFonts w:cs="Arial"/>
          <w:sz w:val="22"/>
          <w:szCs w:val="22"/>
        </w:rPr>
        <w:t>.</w:t>
      </w:r>
      <w:r w:rsidR="003A7072">
        <w:rPr>
          <w:rFonts w:cs="Arial"/>
          <w:sz w:val="22"/>
          <w:szCs w:val="22"/>
        </w:rPr>
        <w:t xml:space="preserve">  No obstante, </w:t>
      </w:r>
      <w:r w:rsidR="00B6395B">
        <w:rPr>
          <w:rFonts w:cs="Arial"/>
          <w:sz w:val="22"/>
          <w:szCs w:val="22"/>
        </w:rPr>
        <w:t xml:space="preserve">dado que el Gobierno de la República ha establecido como estrategia nacional </w:t>
      </w:r>
      <w:r w:rsidR="009964AC">
        <w:rPr>
          <w:rFonts w:cs="Arial"/>
          <w:sz w:val="22"/>
          <w:szCs w:val="22"/>
        </w:rPr>
        <w:t xml:space="preserve">un programa de Educación Financiera, del cual forma parte el BANHVI y que pretende promover las sanas finanzas personales y familiares, a través de este programa se incentivará la cultura del ahorro familiar y </w:t>
      </w:r>
      <w:r w:rsidR="00701E3B">
        <w:rPr>
          <w:rFonts w:cs="Arial"/>
          <w:sz w:val="22"/>
          <w:szCs w:val="22"/>
        </w:rPr>
        <w:t>el</w:t>
      </w:r>
      <w:r w:rsidR="009964AC">
        <w:rPr>
          <w:rFonts w:cs="Arial"/>
          <w:sz w:val="22"/>
          <w:szCs w:val="22"/>
        </w:rPr>
        <w:t xml:space="preserve"> </w:t>
      </w:r>
      <w:r w:rsidR="00717685">
        <w:rPr>
          <w:rFonts w:cs="Arial"/>
          <w:sz w:val="22"/>
          <w:szCs w:val="22"/>
        </w:rPr>
        <w:t xml:space="preserve">entendimiento sobre la </w:t>
      </w:r>
      <w:r w:rsidR="00717685" w:rsidRPr="005F05DC">
        <w:rPr>
          <w:rFonts w:cs="Arial"/>
          <w:sz w:val="22"/>
          <w:szCs w:val="22"/>
          <w:lang w:val="es-CR"/>
        </w:rPr>
        <w:t>importancia de</w:t>
      </w:r>
      <w:r w:rsidR="00717685">
        <w:rPr>
          <w:rFonts w:cs="Arial"/>
          <w:sz w:val="22"/>
          <w:szCs w:val="22"/>
          <w:lang w:val="es-CR"/>
        </w:rPr>
        <w:t xml:space="preserve"> la cultura de</w:t>
      </w:r>
      <w:r w:rsidR="00717685" w:rsidRPr="005F05DC">
        <w:rPr>
          <w:rFonts w:cs="Arial"/>
          <w:sz w:val="22"/>
          <w:szCs w:val="22"/>
          <w:lang w:val="es-CR"/>
        </w:rPr>
        <w:t>l ahorro</w:t>
      </w:r>
      <w:r w:rsidR="00717685" w:rsidRPr="00717685">
        <w:rPr>
          <w:rFonts w:cs="Arial"/>
          <w:sz w:val="22"/>
          <w:szCs w:val="22"/>
          <w:lang w:val="es-CR"/>
        </w:rPr>
        <w:t xml:space="preserve"> </w:t>
      </w:r>
      <w:r w:rsidR="00717685">
        <w:rPr>
          <w:rFonts w:cs="Arial"/>
          <w:sz w:val="22"/>
          <w:szCs w:val="22"/>
          <w:lang w:val="es-CR"/>
        </w:rPr>
        <w:t xml:space="preserve">familiar, entre otras cosas, </w:t>
      </w:r>
      <w:r w:rsidR="00717685" w:rsidRPr="005F05DC">
        <w:rPr>
          <w:rFonts w:cs="Arial"/>
          <w:sz w:val="22"/>
          <w:szCs w:val="22"/>
          <w:lang w:val="es-CR"/>
        </w:rPr>
        <w:t xml:space="preserve">para </w:t>
      </w:r>
      <w:r w:rsidR="00717685">
        <w:rPr>
          <w:rFonts w:cs="Arial"/>
          <w:sz w:val="22"/>
          <w:szCs w:val="22"/>
          <w:lang w:val="es-CR"/>
        </w:rPr>
        <w:t xml:space="preserve">facilitar el acceso a </w:t>
      </w:r>
      <w:r w:rsidR="00717685" w:rsidRPr="005F05DC">
        <w:rPr>
          <w:rFonts w:cs="Arial"/>
          <w:sz w:val="22"/>
          <w:szCs w:val="22"/>
          <w:lang w:val="es-CR"/>
        </w:rPr>
        <w:t>crédito</w:t>
      </w:r>
      <w:r w:rsidR="00717685">
        <w:rPr>
          <w:rFonts w:cs="Arial"/>
          <w:sz w:val="22"/>
          <w:szCs w:val="22"/>
          <w:lang w:val="es-CR"/>
        </w:rPr>
        <w:t>s de vivienda en condiciones más favorables.</w:t>
      </w:r>
    </w:p>
    <w:p w:rsidR="005F05DC" w:rsidRDefault="005B294F" w:rsidP="002B71CC">
      <w:pPr>
        <w:spacing w:line="360" w:lineRule="auto"/>
        <w:jc w:val="both"/>
        <w:rPr>
          <w:rFonts w:cs="Arial"/>
          <w:sz w:val="22"/>
          <w:szCs w:val="22"/>
        </w:rPr>
      </w:pPr>
      <w:r>
        <w:rPr>
          <w:rFonts w:cs="Arial"/>
          <w:sz w:val="22"/>
          <w:szCs w:val="22"/>
        </w:rPr>
        <w:t xml:space="preserve">c) </w:t>
      </w:r>
      <w:r w:rsidR="0023097B">
        <w:rPr>
          <w:rFonts w:cs="Arial"/>
          <w:sz w:val="22"/>
          <w:szCs w:val="22"/>
        </w:rPr>
        <w:t>Ajustar el monto del Tope de Vivienda de Inter</w:t>
      </w:r>
      <w:r w:rsidR="006109D3">
        <w:rPr>
          <w:rFonts w:cs="Arial"/>
          <w:sz w:val="22"/>
          <w:szCs w:val="22"/>
        </w:rPr>
        <w:t>és Social, a</w:t>
      </w:r>
      <w:r w:rsidR="00244B07">
        <w:rPr>
          <w:rFonts w:cs="Arial"/>
          <w:sz w:val="22"/>
          <w:szCs w:val="22"/>
        </w:rPr>
        <w:t xml:space="preserve"> la suma de hasta ¢65.801.000,00, que corresponde a</w:t>
      </w:r>
      <w:r w:rsidR="006109D3">
        <w:rPr>
          <w:rFonts w:cs="Arial"/>
          <w:sz w:val="22"/>
          <w:szCs w:val="22"/>
        </w:rPr>
        <w:t xml:space="preserve">l monto </w:t>
      </w:r>
      <w:r w:rsidR="00244B07">
        <w:rPr>
          <w:rFonts w:cs="Arial"/>
          <w:sz w:val="22"/>
          <w:szCs w:val="22"/>
        </w:rPr>
        <w:t xml:space="preserve">máximo </w:t>
      </w:r>
      <w:r w:rsidR="006109D3">
        <w:rPr>
          <w:rFonts w:cs="Arial"/>
          <w:sz w:val="22"/>
          <w:szCs w:val="22"/>
        </w:rPr>
        <w:t xml:space="preserve">de la solución de vivienda del estrato 6, considerando un crédito a un plazo de 360 meses, con una tasa de interés del 8,50% </w:t>
      </w:r>
      <w:r w:rsidR="00244B07">
        <w:rPr>
          <w:rFonts w:cs="Arial"/>
          <w:sz w:val="22"/>
          <w:szCs w:val="22"/>
        </w:rPr>
        <w:t xml:space="preserve">anual </w:t>
      </w:r>
      <w:r w:rsidR="006109D3">
        <w:rPr>
          <w:rFonts w:cs="Arial"/>
          <w:sz w:val="22"/>
          <w:szCs w:val="22"/>
        </w:rPr>
        <w:t>y una relación cuota/ingreso del 35%</w:t>
      </w:r>
      <w:r w:rsidR="00244B07">
        <w:rPr>
          <w:rFonts w:cs="Arial"/>
          <w:sz w:val="22"/>
          <w:szCs w:val="22"/>
        </w:rPr>
        <w:t>.</w:t>
      </w:r>
      <w:r w:rsidR="006109D3">
        <w:rPr>
          <w:rFonts w:cs="Arial"/>
          <w:sz w:val="22"/>
          <w:szCs w:val="22"/>
        </w:rPr>
        <w:t xml:space="preserve"> </w:t>
      </w:r>
    </w:p>
    <w:p w:rsidR="00713001" w:rsidRPr="00701461" w:rsidRDefault="00713001" w:rsidP="00713001">
      <w:pPr>
        <w:spacing w:line="360" w:lineRule="auto"/>
        <w:jc w:val="both"/>
        <w:rPr>
          <w:rFonts w:cs="Arial"/>
          <w:bCs/>
          <w:sz w:val="22"/>
          <w:szCs w:val="22"/>
        </w:rPr>
      </w:pPr>
    </w:p>
    <w:p w:rsidR="00713001" w:rsidRPr="00701461" w:rsidRDefault="00713001" w:rsidP="00713001">
      <w:pPr>
        <w:spacing w:line="360" w:lineRule="auto"/>
        <w:jc w:val="both"/>
        <w:rPr>
          <w:rFonts w:cs="Arial"/>
          <w:b/>
          <w:sz w:val="22"/>
          <w:szCs w:val="22"/>
        </w:rPr>
      </w:pPr>
      <w:r w:rsidRPr="00701461">
        <w:rPr>
          <w:rFonts w:cs="Arial"/>
          <w:b/>
          <w:sz w:val="22"/>
          <w:szCs w:val="22"/>
        </w:rPr>
        <w:t>Por tanto, se acuerda:</w:t>
      </w:r>
    </w:p>
    <w:p w:rsidR="002717DA" w:rsidRDefault="00713001" w:rsidP="00713001">
      <w:pPr>
        <w:spacing w:line="360" w:lineRule="auto"/>
        <w:jc w:val="both"/>
        <w:rPr>
          <w:rFonts w:cs="Arial"/>
          <w:color w:val="000000"/>
          <w:sz w:val="22"/>
          <w:szCs w:val="22"/>
        </w:rPr>
      </w:pPr>
      <w:r w:rsidRPr="00701461">
        <w:rPr>
          <w:rFonts w:cs="Arial"/>
          <w:b/>
          <w:color w:val="000000"/>
          <w:sz w:val="22"/>
          <w:szCs w:val="22"/>
        </w:rPr>
        <w:t>1)</w:t>
      </w:r>
      <w:r w:rsidRPr="00701461">
        <w:rPr>
          <w:rFonts w:cs="Arial"/>
          <w:color w:val="000000"/>
          <w:sz w:val="22"/>
          <w:szCs w:val="22"/>
        </w:rPr>
        <w:t xml:space="preserve"> E</w:t>
      </w:r>
      <w:r w:rsidR="007A2F95">
        <w:rPr>
          <w:rFonts w:cs="Arial"/>
          <w:color w:val="000000"/>
          <w:sz w:val="22"/>
          <w:szCs w:val="22"/>
        </w:rPr>
        <w:t xml:space="preserve">liminar las curvas de bono que actualmente se tienen para los programas Ahorro Bono Crédito (ABC), Crédito Bono Aporte (CBA) y ABC Vivienda Vertical, </w:t>
      </w:r>
      <w:r w:rsidR="002314C0">
        <w:rPr>
          <w:rFonts w:cs="Arial"/>
          <w:color w:val="000000"/>
          <w:sz w:val="22"/>
          <w:szCs w:val="22"/>
        </w:rPr>
        <w:t>estableciendo</w:t>
      </w:r>
      <w:r w:rsidR="007A2F95">
        <w:rPr>
          <w:rFonts w:cs="Arial"/>
          <w:color w:val="000000"/>
          <w:sz w:val="22"/>
          <w:szCs w:val="22"/>
        </w:rPr>
        <w:t xml:space="preserve"> una única curva de bono que cubrirá </w:t>
      </w:r>
      <w:r w:rsidR="002717DA">
        <w:rPr>
          <w:rFonts w:cs="Arial"/>
          <w:color w:val="000000"/>
          <w:sz w:val="22"/>
          <w:szCs w:val="22"/>
        </w:rPr>
        <w:t xml:space="preserve">los siguientes planes de inversión: Compra de Vivienda (nueva o usada), Compra de Lote y Construcción, Compra de Primera y Segunda Planta, Construcción en Lote Propio, y Reparación, Ampliación, Mejoras y Terminación de Vivienda (RAMT); y </w:t>
      </w:r>
      <w:r w:rsidR="002314C0">
        <w:rPr>
          <w:rFonts w:cs="Arial"/>
          <w:color w:val="000000"/>
          <w:sz w:val="22"/>
          <w:szCs w:val="22"/>
        </w:rPr>
        <w:t xml:space="preserve">que </w:t>
      </w:r>
      <w:r w:rsidR="002717DA">
        <w:rPr>
          <w:rFonts w:cs="Arial"/>
          <w:color w:val="000000"/>
          <w:sz w:val="22"/>
          <w:szCs w:val="22"/>
        </w:rPr>
        <w:t>tendrá los siguientes parámetros:</w:t>
      </w:r>
    </w:p>
    <w:p w:rsidR="00701461" w:rsidRPr="00701461" w:rsidRDefault="00701461" w:rsidP="00713001">
      <w:pPr>
        <w:spacing w:line="360" w:lineRule="auto"/>
        <w:jc w:val="both"/>
        <w:rPr>
          <w:rFonts w:cs="Arial"/>
          <w:color w:val="000000"/>
          <w:sz w:val="22"/>
          <w:szCs w:val="22"/>
        </w:rPr>
      </w:pPr>
    </w:p>
    <w:tbl>
      <w:tblPr>
        <w:tblStyle w:val="Tablaconcuadrcula"/>
        <w:tblW w:w="0" w:type="auto"/>
        <w:tblInd w:w="2376" w:type="dxa"/>
        <w:tblLook w:val="04A0" w:firstRow="1" w:lastRow="0" w:firstColumn="1" w:lastColumn="0" w:noHBand="0" w:noVBand="1"/>
      </w:tblPr>
      <w:tblGrid>
        <w:gridCol w:w="1985"/>
        <w:gridCol w:w="2410"/>
      </w:tblGrid>
      <w:tr w:rsidR="00701461" w:rsidRPr="00701461" w:rsidTr="008909F7">
        <w:trPr>
          <w:trHeight w:val="397"/>
        </w:trPr>
        <w:tc>
          <w:tcPr>
            <w:tcW w:w="1985" w:type="dxa"/>
            <w:shd w:val="clear" w:color="auto" w:fill="C6D9F1" w:themeFill="text2" w:themeFillTint="33"/>
            <w:vAlign w:val="center"/>
          </w:tcPr>
          <w:p w:rsidR="00701461" w:rsidRPr="00701461" w:rsidRDefault="00701461" w:rsidP="00701461">
            <w:pPr>
              <w:jc w:val="center"/>
              <w:rPr>
                <w:rFonts w:cs="Arial"/>
                <w:b/>
                <w:color w:val="000000"/>
                <w:sz w:val="22"/>
                <w:szCs w:val="22"/>
              </w:rPr>
            </w:pPr>
            <w:r w:rsidRPr="00701461">
              <w:rPr>
                <w:rFonts w:cs="Arial"/>
                <w:b/>
                <w:color w:val="000000"/>
                <w:sz w:val="22"/>
                <w:szCs w:val="22"/>
              </w:rPr>
              <w:t>Estrato salarial</w:t>
            </w:r>
          </w:p>
        </w:tc>
        <w:tc>
          <w:tcPr>
            <w:tcW w:w="2410" w:type="dxa"/>
            <w:shd w:val="clear" w:color="auto" w:fill="C6D9F1" w:themeFill="text2" w:themeFillTint="33"/>
            <w:vAlign w:val="center"/>
          </w:tcPr>
          <w:p w:rsidR="00701461" w:rsidRPr="00701461" w:rsidRDefault="00701461" w:rsidP="00701461">
            <w:pPr>
              <w:jc w:val="center"/>
              <w:rPr>
                <w:rFonts w:cs="Arial"/>
                <w:b/>
                <w:color w:val="000000"/>
                <w:sz w:val="22"/>
                <w:szCs w:val="22"/>
              </w:rPr>
            </w:pPr>
            <w:r w:rsidRPr="00701461">
              <w:rPr>
                <w:rFonts w:cs="Arial"/>
                <w:b/>
                <w:color w:val="000000"/>
                <w:sz w:val="22"/>
                <w:szCs w:val="22"/>
              </w:rPr>
              <w:t>Bono Máximo</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0.00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7</w:t>
            </w:r>
            <w:r>
              <w:rPr>
                <w:rFonts w:cs="Arial"/>
                <w:sz w:val="22"/>
                <w:szCs w:val="22"/>
              </w:rPr>
              <w:t>.</w:t>
            </w:r>
            <w:r w:rsidRPr="00701461">
              <w:rPr>
                <w:rFonts w:cs="Arial"/>
                <w:sz w:val="22"/>
                <w:szCs w:val="22"/>
              </w:rPr>
              <w:t>100</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0.50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7</w:t>
            </w:r>
            <w:r>
              <w:rPr>
                <w:rFonts w:cs="Arial"/>
                <w:sz w:val="22"/>
                <w:szCs w:val="22"/>
              </w:rPr>
              <w:t>.</w:t>
            </w:r>
            <w:r w:rsidRPr="00701461">
              <w:rPr>
                <w:rFonts w:cs="Arial"/>
                <w:sz w:val="22"/>
                <w:szCs w:val="22"/>
              </w:rPr>
              <w:t>100</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1.00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7</w:t>
            </w:r>
            <w:r>
              <w:rPr>
                <w:rFonts w:cs="Arial"/>
                <w:sz w:val="22"/>
                <w:szCs w:val="22"/>
              </w:rPr>
              <w:t>.</w:t>
            </w:r>
            <w:r w:rsidRPr="00701461">
              <w:rPr>
                <w:rFonts w:cs="Arial"/>
                <w:sz w:val="22"/>
                <w:szCs w:val="22"/>
              </w:rPr>
              <w:t>100</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1.50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7</w:t>
            </w:r>
            <w:r>
              <w:rPr>
                <w:rFonts w:cs="Arial"/>
                <w:sz w:val="22"/>
                <w:szCs w:val="22"/>
              </w:rPr>
              <w:t>.</w:t>
            </w:r>
            <w:r w:rsidRPr="00701461">
              <w:rPr>
                <w:rFonts w:cs="Arial"/>
                <w:sz w:val="22"/>
                <w:szCs w:val="22"/>
              </w:rPr>
              <w:t>050</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2.00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7</w:t>
            </w:r>
            <w:r>
              <w:rPr>
                <w:rFonts w:cs="Arial"/>
                <w:sz w:val="22"/>
                <w:szCs w:val="22"/>
              </w:rPr>
              <w:t>.</w:t>
            </w:r>
            <w:r w:rsidRPr="00701461">
              <w:rPr>
                <w:rFonts w:cs="Arial"/>
                <w:sz w:val="22"/>
                <w:szCs w:val="22"/>
              </w:rPr>
              <w:t>000</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2.50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6</w:t>
            </w:r>
            <w:r>
              <w:rPr>
                <w:rFonts w:cs="Arial"/>
                <w:sz w:val="22"/>
                <w:szCs w:val="22"/>
              </w:rPr>
              <w:t>.</w:t>
            </w:r>
            <w:r w:rsidRPr="00701461">
              <w:rPr>
                <w:rFonts w:cs="Arial"/>
                <w:sz w:val="22"/>
                <w:szCs w:val="22"/>
              </w:rPr>
              <w:t>679</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3.00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6</w:t>
            </w:r>
            <w:r>
              <w:rPr>
                <w:rFonts w:cs="Arial"/>
                <w:sz w:val="22"/>
                <w:szCs w:val="22"/>
              </w:rPr>
              <w:t>.</w:t>
            </w:r>
            <w:r w:rsidRPr="00701461">
              <w:rPr>
                <w:rFonts w:cs="Arial"/>
                <w:sz w:val="22"/>
                <w:szCs w:val="22"/>
              </w:rPr>
              <w:t>359</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3.50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6</w:t>
            </w:r>
            <w:r>
              <w:rPr>
                <w:rFonts w:cs="Arial"/>
                <w:sz w:val="22"/>
                <w:szCs w:val="22"/>
              </w:rPr>
              <w:t>.</w:t>
            </w:r>
            <w:r w:rsidRPr="00701461">
              <w:rPr>
                <w:rFonts w:cs="Arial"/>
                <w:sz w:val="22"/>
                <w:szCs w:val="22"/>
              </w:rPr>
              <w:t>038</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4.00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5</w:t>
            </w:r>
            <w:r>
              <w:rPr>
                <w:rFonts w:cs="Arial"/>
                <w:sz w:val="22"/>
                <w:szCs w:val="22"/>
              </w:rPr>
              <w:t>.</w:t>
            </w:r>
            <w:r w:rsidRPr="00701461">
              <w:rPr>
                <w:rFonts w:cs="Arial"/>
                <w:sz w:val="22"/>
                <w:szCs w:val="22"/>
              </w:rPr>
              <w:t>718</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4.50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5</w:t>
            </w:r>
            <w:r>
              <w:rPr>
                <w:rFonts w:cs="Arial"/>
                <w:sz w:val="22"/>
                <w:szCs w:val="22"/>
              </w:rPr>
              <w:t>.</w:t>
            </w:r>
            <w:r w:rsidRPr="00701461">
              <w:rPr>
                <w:rFonts w:cs="Arial"/>
                <w:sz w:val="22"/>
                <w:szCs w:val="22"/>
              </w:rPr>
              <w:t>398</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5.00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5</w:t>
            </w:r>
            <w:r>
              <w:rPr>
                <w:rFonts w:cs="Arial"/>
                <w:sz w:val="22"/>
                <w:szCs w:val="22"/>
              </w:rPr>
              <w:t>.</w:t>
            </w:r>
            <w:r w:rsidRPr="00701461">
              <w:rPr>
                <w:rFonts w:cs="Arial"/>
                <w:sz w:val="22"/>
                <w:szCs w:val="22"/>
              </w:rPr>
              <w:t>077</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5.50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4</w:t>
            </w:r>
            <w:r>
              <w:rPr>
                <w:rFonts w:cs="Arial"/>
                <w:sz w:val="22"/>
                <w:szCs w:val="22"/>
              </w:rPr>
              <w:t>.</w:t>
            </w:r>
            <w:r w:rsidRPr="00701461">
              <w:rPr>
                <w:rFonts w:cs="Arial"/>
                <w:sz w:val="22"/>
                <w:szCs w:val="22"/>
              </w:rPr>
              <w:t>757</w:t>
            </w:r>
            <w:r>
              <w:rPr>
                <w:rFonts w:cs="Arial"/>
                <w:sz w:val="22"/>
                <w:szCs w:val="22"/>
              </w:rPr>
              <w:t>.</w:t>
            </w:r>
            <w:r w:rsidRPr="00701461">
              <w:rPr>
                <w:rFonts w:cs="Arial"/>
                <w:sz w:val="22"/>
                <w:szCs w:val="22"/>
              </w:rPr>
              <w:t>000</w:t>
            </w:r>
            <w:r>
              <w:rPr>
                <w:rFonts w:cs="Arial"/>
                <w:sz w:val="22"/>
                <w:szCs w:val="22"/>
              </w:rPr>
              <w:t>,00</w:t>
            </w:r>
          </w:p>
        </w:tc>
      </w:tr>
      <w:tr w:rsidR="00701461" w:rsidRPr="00701461" w:rsidTr="008909F7">
        <w:trPr>
          <w:trHeight w:val="283"/>
        </w:trPr>
        <w:tc>
          <w:tcPr>
            <w:tcW w:w="1985" w:type="dxa"/>
            <w:vAlign w:val="center"/>
          </w:tcPr>
          <w:p w:rsidR="00701461" w:rsidRPr="00701461" w:rsidRDefault="00701461" w:rsidP="00701461">
            <w:pPr>
              <w:jc w:val="center"/>
              <w:rPr>
                <w:rFonts w:cs="Arial"/>
                <w:sz w:val="22"/>
                <w:szCs w:val="22"/>
              </w:rPr>
            </w:pPr>
            <w:r w:rsidRPr="00701461">
              <w:rPr>
                <w:rFonts w:cs="Arial"/>
                <w:sz w:val="22"/>
                <w:szCs w:val="22"/>
              </w:rPr>
              <w:t>6.00</w:t>
            </w:r>
          </w:p>
        </w:tc>
        <w:tc>
          <w:tcPr>
            <w:tcW w:w="2410" w:type="dxa"/>
            <w:vAlign w:val="center"/>
          </w:tcPr>
          <w:p w:rsidR="00701461" w:rsidRPr="00701461" w:rsidRDefault="00701461" w:rsidP="00701461">
            <w:pPr>
              <w:jc w:val="center"/>
              <w:rPr>
                <w:rFonts w:cs="Arial"/>
                <w:sz w:val="22"/>
                <w:szCs w:val="22"/>
              </w:rPr>
            </w:pPr>
            <w:r>
              <w:rPr>
                <w:rFonts w:cs="Arial"/>
                <w:sz w:val="22"/>
                <w:szCs w:val="22"/>
              </w:rPr>
              <w:t>¢</w:t>
            </w:r>
            <w:r w:rsidRPr="00701461">
              <w:rPr>
                <w:rFonts w:cs="Arial"/>
                <w:sz w:val="22"/>
                <w:szCs w:val="22"/>
              </w:rPr>
              <w:t>4</w:t>
            </w:r>
            <w:r>
              <w:rPr>
                <w:rFonts w:cs="Arial"/>
                <w:sz w:val="22"/>
                <w:szCs w:val="22"/>
              </w:rPr>
              <w:t>.</w:t>
            </w:r>
            <w:r w:rsidRPr="00701461">
              <w:rPr>
                <w:rFonts w:cs="Arial"/>
                <w:sz w:val="22"/>
                <w:szCs w:val="22"/>
              </w:rPr>
              <w:t>437</w:t>
            </w:r>
            <w:r>
              <w:rPr>
                <w:rFonts w:cs="Arial"/>
                <w:sz w:val="22"/>
                <w:szCs w:val="22"/>
              </w:rPr>
              <w:t>.</w:t>
            </w:r>
            <w:r w:rsidRPr="00701461">
              <w:rPr>
                <w:rFonts w:cs="Arial"/>
                <w:sz w:val="22"/>
                <w:szCs w:val="22"/>
              </w:rPr>
              <w:t>000</w:t>
            </w:r>
            <w:r>
              <w:rPr>
                <w:rFonts w:cs="Arial"/>
                <w:sz w:val="22"/>
                <w:szCs w:val="22"/>
              </w:rPr>
              <w:t>,00</w:t>
            </w:r>
          </w:p>
        </w:tc>
      </w:tr>
    </w:tbl>
    <w:p w:rsidR="00240E92" w:rsidRDefault="00240E92" w:rsidP="002B71CC">
      <w:pPr>
        <w:spacing w:line="360" w:lineRule="auto"/>
        <w:jc w:val="both"/>
        <w:rPr>
          <w:rFonts w:cs="Arial"/>
          <w:sz w:val="22"/>
          <w:szCs w:val="22"/>
        </w:rPr>
      </w:pPr>
    </w:p>
    <w:p w:rsidR="00D212B4" w:rsidRDefault="009F54A5" w:rsidP="00D212B4">
      <w:pPr>
        <w:spacing w:line="360" w:lineRule="auto"/>
        <w:jc w:val="both"/>
        <w:rPr>
          <w:rFonts w:cs="Arial"/>
          <w:sz w:val="22"/>
          <w:szCs w:val="22"/>
          <w:lang w:val="es-CR"/>
        </w:rPr>
      </w:pPr>
      <w:r w:rsidRPr="009F54A5">
        <w:rPr>
          <w:rFonts w:cs="Arial"/>
          <w:b/>
          <w:sz w:val="22"/>
          <w:szCs w:val="22"/>
          <w:lang w:val="es-CR"/>
        </w:rPr>
        <w:t>2)</w:t>
      </w:r>
      <w:r>
        <w:rPr>
          <w:rFonts w:cs="Arial"/>
          <w:sz w:val="22"/>
          <w:szCs w:val="22"/>
          <w:lang w:val="es-CR"/>
        </w:rPr>
        <w:t xml:space="preserve"> </w:t>
      </w:r>
      <w:r w:rsidR="00D212B4" w:rsidRPr="00D212B4">
        <w:rPr>
          <w:rFonts w:cs="Arial"/>
          <w:sz w:val="22"/>
          <w:szCs w:val="22"/>
          <w:lang w:val="es-CR"/>
        </w:rPr>
        <w:t>En relaci</w:t>
      </w:r>
      <w:r w:rsidR="00D212B4">
        <w:rPr>
          <w:rFonts w:cs="Arial"/>
          <w:sz w:val="22"/>
          <w:szCs w:val="22"/>
          <w:lang w:val="es-CR"/>
        </w:rPr>
        <w:t>ón</w:t>
      </w:r>
      <w:r w:rsidR="00D212B4" w:rsidRPr="00D212B4">
        <w:rPr>
          <w:rFonts w:cs="Arial"/>
          <w:sz w:val="22"/>
          <w:szCs w:val="22"/>
          <w:lang w:val="es-CR"/>
        </w:rPr>
        <w:t xml:space="preserve"> con </w:t>
      </w:r>
      <w:r w:rsidR="00D212B4">
        <w:rPr>
          <w:rFonts w:cs="Arial"/>
          <w:sz w:val="22"/>
          <w:szCs w:val="22"/>
          <w:lang w:val="es-CR"/>
        </w:rPr>
        <w:t>l</w:t>
      </w:r>
      <w:r w:rsidR="00D212B4" w:rsidRPr="00D212B4">
        <w:rPr>
          <w:rFonts w:cs="Arial"/>
          <w:sz w:val="22"/>
          <w:szCs w:val="22"/>
          <w:lang w:val="es-CR"/>
        </w:rPr>
        <w:t>a revisi</w:t>
      </w:r>
      <w:r w:rsidR="00D212B4">
        <w:rPr>
          <w:rFonts w:cs="Arial"/>
          <w:sz w:val="22"/>
          <w:szCs w:val="22"/>
          <w:lang w:val="es-CR"/>
        </w:rPr>
        <w:t xml:space="preserve">ón de las </w:t>
      </w:r>
      <w:r>
        <w:rPr>
          <w:rFonts w:cs="Arial"/>
          <w:sz w:val="22"/>
          <w:szCs w:val="22"/>
          <w:lang w:val="es-CR"/>
        </w:rPr>
        <w:t>solicitudes de bono</w:t>
      </w:r>
      <w:r w:rsidR="00D212B4" w:rsidRPr="00D212B4">
        <w:rPr>
          <w:rFonts w:cs="Arial"/>
          <w:sz w:val="22"/>
          <w:szCs w:val="22"/>
          <w:lang w:val="es-CR"/>
        </w:rPr>
        <w:t xml:space="preserve"> que se postulen </w:t>
      </w:r>
      <w:r w:rsidR="002314C0">
        <w:rPr>
          <w:rFonts w:cs="Arial"/>
          <w:sz w:val="22"/>
          <w:szCs w:val="22"/>
          <w:lang w:val="es-CR"/>
        </w:rPr>
        <w:t>con un crédito complementario</w:t>
      </w:r>
      <w:r>
        <w:rPr>
          <w:rFonts w:cs="Arial"/>
          <w:sz w:val="22"/>
          <w:szCs w:val="22"/>
          <w:lang w:val="es-CR"/>
        </w:rPr>
        <w:t xml:space="preserve">, </w:t>
      </w:r>
      <w:r w:rsidR="00D212B4" w:rsidRPr="00D212B4">
        <w:rPr>
          <w:rFonts w:cs="Arial"/>
          <w:sz w:val="22"/>
          <w:szCs w:val="22"/>
          <w:lang w:val="es-CR"/>
        </w:rPr>
        <w:t>el BANHVI no revisar</w:t>
      </w:r>
      <w:r>
        <w:rPr>
          <w:rFonts w:cs="Arial"/>
          <w:sz w:val="22"/>
          <w:szCs w:val="22"/>
          <w:lang w:val="es-CR"/>
        </w:rPr>
        <w:t>á</w:t>
      </w:r>
      <w:r w:rsidR="00D212B4" w:rsidRPr="00D212B4">
        <w:rPr>
          <w:rFonts w:cs="Arial"/>
          <w:sz w:val="22"/>
          <w:szCs w:val="22"/>
          <w:lang w:val="es-CR"/>
        </w:rPr>
        <w:t xml:space="preserve"> </w:t>
      </w:r>
      <w:r>
        <w:rPr>
          <w:rFonts w:cs="Arial"/>
          <w:sz w:val="22"/>
          <w:szCs w:val="22"/>
          <w:lang w:val="es-CR"/>
        </w:rPr>
        <w:t xml:space="preserve">en la muestra de expedientes, las operaciones cuyo monto del crédito sea superior al monto del bono y, por consiguiente, </w:t>
      </w:r>
      <w:r w:rsidR="002314C0">
        <w:rPr>
          <w:rFonts w:cs="Arial"/>
          <w:sz w:val="22"/>
          <w:szCs w:val="22"/>
          <w:lang w:val="es-CR"/>
        </w:rPr>
        <w:t xml:space="preserve">en estos casos </w:t>
      </w:r>
      <w:r w:rsidR="00D212B4" w:rsidRPr="00D212B4">
        <w:rPr>
          <w:rFonts w:cs="Arial"/>
          <w:sz w:val="22"/>
          <w:szCs w:val="22"/>
          <w:lang w:val="es-CR"/>
        </w:rPr>
        <w:t>ser</w:t>
      </w:r>
      <w:r w:rsidR="00D212B4">
        <w:rPr>
          <w:rFonts w:cs="Arial"/>
          <w:sz w:val="22"/>
          <w:szCs w:val="22"/>
          <w:lang w:val="es-CR"/>
        </w:rPr>
        <w:t>á</w:t>
      </w:r>
      <w:r w:rsidR="00D212B4" w:rsidRPr="00D212B4">
        <w:rPr>
          <w:rFonts w:cs="Arial"/>
          <w:sz w:val="22"/>
          <w:szCs w:val="22"/>
          <w:lang w:val="es-CR"/>
        </w:rPr>
        <w:t xml:space="preserve"> entera resp</w:t>
      </w:r>
      <w:r w:rsidR="00D212B4">
        <w:rPr>
          <w:rFonts w:cs="Arial"/>
          <w:sz w:val="22"/>
          <w:szCs w:val="22"/>
          <w:lang w:val="es-CR"/>
        </w:rPr>
        <w:t>o</w:t>
      </w:r>
      <w:r w:rsidR="00D212B4" w:rsidRPr="00D212B4">
        <w:rPr>
          <w:rFonts w:cs="Arial"/>
          <w:sz w:val="22"/>
          <w:szCs w:val="22"/>
          <w:lang w:val="es-CR"/>
        </w:rPr>
        <w:t>nsabilidad de las</w:t>
      </w:r>
      <w:r w:rsidR="00D212B4">
        <w:rPr>
          <w:rFonts w:cs="Arial"/>
          <w:sz w:val="22"/>
          <w:szCs w:val="22"/>
          <w:lang w:val="es-CR"/>
        </w:rPr>
        <w:t xml:space="preserve"> </w:t>
      </w:r>
      <w:r>
        <w:rPr>
          <w:rFonts w:cs="Arial"/>
          <w:sz w:val="22"/>
          <w:szCs w:val="22"/>
          <w:lang w:val="es-CR"/>
        </w:rPr>
        <w:t>e</w:t>
      </w:r>
      <w:r w:rsidR="00D212B4" w:rsidRPr="00D212B4">
        <w:rPr>
          <w:rFonts w:cs="Arial"/>
          <w:sz w:val="22"/>
          <w:szCs w:val="22"/>
          <w:lang w:val="es-CR"/>
        </w:rPr>
        <w:t xml:space="preserve">ntidades </w:t>
      </w:r>
      <w:r>
        <w:rPr>
          <w:rFonts w:cs="Arial"/>
          <w:sz w:val="22"/>
          <w:szCs w:val="22"/>
          <w:lang w:val="es-CR"/>
        </w:rPr>
        <w:t>a</w:t>
      </w:r>
      <w:r w:rsidR="00D212B4" w:rsidRPr="00D212B4">
        <w:rPr>
          <w:rFonts w:cs="Arial"/>
          <w:sz w:val="22"/>
          <w:szCs w:val="22"/>
          <w:lang w:val="es-CR"/>
        </w:rPr>
        <w:t>utorizadas</w:t>
      </w:r>
      <w:r w:rsidR="00D212B4">
        <w:rPr>
          <w:rFonts w:cs="Arial"/>
          <w:sz w:val="22"/>
          <w:szCs w:val="22"/>
          <w:lang w:val="es-CR"/>
        </w:rPr>
        <w:t>, como</w:t>
      </w:r>
      <w:r w:rsidR="00D212B4" w:rsidRPr="00D212B4">
        <w:rPr>
          <w:rFonts w:cs="Arial"/>
          <w:sz w:val="22"/>
          <w:szCs w:val="22"/>
          <w:lang w:val="es-CR"/>
        </w:rPr>
        <w:t xml:space="preserve"> entes de primer piso, velar p</w:t>
      </w:r>
      <w:r w:rsidR="00D212B4">
        <w:rPr>
          <w:rFonts w:cs="Arial"/>
          <w:sz w:val="22"/>
          <w:szCs w:val="22"/>
          <w:lang w:val="es-CR"/>
        </w:rPr>
        <w:t>o</w:t>
      </w:r>
      <w:r w:rsidR="00D212B4" w:rsidRPr="00D212B4">
        <w:rPr>
          <w:rFonts w:cs="Arial"/>
          <w:sz w:val="22"/>
          <w:szCs w:val="22"/>
          <w:lang w:val="es-CR"/>
        </w:rPr>
        <w:t xml:space="preserve">rque </w:t>
      </w:r>
      <w:r w:rsidR="00D212B4">
        <w:rPr>
          <w:rFonts w:cs="Arial"/>
          <w:sz w:val="22"/>
          <w:szCs w:val="22"/>
          <w:lang w:val="es-CR"/>
        </w:rPr>
        <w:t>l</w:t>
      </w:r>
      <w:r w:rsidR="00D212B4" w:rsidRPr="00D212B4">
        <w:rPr>
          <w:rFonts w:cs="Arial"/>
          <w:sz w:val="22"/>
          <w:szCs w:val="22"/>
          <w:lang w:val="es-CR"/>
        </w:rPr>
        <w:t>a calificaci</w:t>
      </w:r>
      <w:r w:rsidR="00D212B4">
        <w:rPr>
          <w:rFonts w:cs="Arial"/>
          <w:sz w:val="22"/>
          <w:szCs w:val="22"/>
          <w:lang w:val="es-CR"/>
        </w:rPr>
        <w:t xml:space="preserve">ón </w:t>
      </w:r>
      <w:r w:rsidR="00D212B4" w:rsidRPr="00D212B4">
        <w:rPr>
          <w:rFonts w:cs="Arial"/>
          <w:sz w:val="22"/>
          <w:szCs w:val="22"/>
          <w:lang w:val="es-CR"/>
        </w:rPr>
        <w:t>de</w:t>
      </w:r>
      <w:r w:rsidR="00D212B4">
        <w:rPr>
          <w:rFonts w:cs="Arial"/>
          <w:sz w:val="22"/>
          <w:szCs w:val="22"/>
          <w:lang w:val="es-CR"/>
        </w:rPr>
        <w:t xml:space="preserve"> </w:t>
      </w:r>
      <w:r w:rsidR="00D212B4" w:rsidRPr="00D212B4">
        <w:rPr>
          <w:rFonts w:cs="Arial"/>
          <w:sz w:val="22"/>
          <w:szCs w:val="22"/>
          <w:lang w:val="es-CR"/>
        </w:rPr>
        <w:t>las familias cumpla c</w:t>
      </w:r>
      <w:r w:rsidR="00D212B4">
        <w:rPr>
          <w:rFonts w:cs="Arial"/>
          <w:sz w:val="22"/>
          <w:szCs w:val="22"/>
          <w:lang w:val="es-CR"/>
        </w:rPr>
        <w:t>o</w:t>
      </w:r>
      <w:r w:rsidR="00D212B4" w:rsidRPr="00D212B4">
        <w:rPr>
          <w:rFonts w:cs="Arial"/>
          <w:sz w:val="22"/>
          <w:szCs w:val="22"/>
          <w:lang w:val="es-CR"/>
        </w:rPr>
        <w:t>n t</w:t>
      </w:r>
      <w:r w:rsidR="00D212B4">
        <w:rPr>
          <w:rFonts w:cs="Arial"/>
          <w:sz w:val="22"/>
          <w:szCs w:val="22"/>
          <w:lang w:val="es-CR"/>
        </w:rPr>
        <w:t>o</w:t>
      </w:r>
      <w:r w:rsidR="00D212B4" w:rsidRPr="00D212B4">
        <w:rPr>
          <w:rFonts w:cs="Arial"/>
          <w:sz w:val="22"/>
          <w:szCs w:val="22"/>
          <w:lang w:val="es-CR"/>
        </w:rPr>
        <w:t xml:space="preserve">dos los requisitos que </w:t>
      </w:r>
      <w:r w:rsidR="00D212B4">
        <w:rPr>
          <w:rFonts w:cs="Arial"/>
          <w:sz w:val="22"/>
          <w:szCs w:val="22"/>
          <w:lang w:val="es-CR"/>
        </w:rPr>
        <w:t>la ley</w:t>
      </w:r>
      <w:r w:rsidR="00D212B4" w:rsidRPr="00D212B4">
        <w:rPr>
          <w:rFonts w:cs="Arial"/>
          <w:sz w:val="22"/>
          <w:szCs w:val="22"/>
          <w:lang w:val="es-CR"/>
        </w:rPr>
        <w:t xml:space="preserve"> exige y apr</w:t>
      </w:r>
      <w:r w:rsidR="00D212B4">
        <w:rPr>
          <w:rFonts w:cs="Arial"/>
          <w:sz w:val="22"/>
          <w:szCs w:val="22"/>
          <w:lang w:val="es-CR"/>
        </w:rPr>
        <w:t>o</w:t>
      </w:r>
      <w:r w:rsidR="00D212B4" w:rsidRPr="00D212B4">
        <w:rPr>
          <w:rFonts w:cs="Arial"/>
          <w:sz w:val="22"/>
          <w:szCs w:val="22"/>
          <w:lang w:val="es-CR"/>
        </w:rPr>
        <w:t>bar las</w:t>
      </w:r>
      <w:r w:rsidR="00D212B4">
        <w:rPr>
          <w:rFonts w:cs="Arial"/>
          <w:sz w:val="22"/>
          <w:szCs w:val="22"/>
          <w:lang w:val="es-CR"/>
        </w:rPr>
        <w:t xml:space="preserve"> </w:t>
      </w:r>
      <w:r w:rsidR="00D212B4" w:rsidRPr="00D212B4">
        <w:rPr>
          <w:rFonts w:cs="Arial"/>
          <w:sz w:val="22"/>
          <w:szCs w:val="22"/>
          <w:lang w:val="es-CR"/>
        </w:rPr>
        <w:t>operaciones del bono.</w:t>
      </w:r>
    </w:p>
    <w:p w:rsidR="00D212B4" w:rsidRPr="00D212B4" w:rsidRDefault="009F54A5" w:rsidP="00D212B4">
      <w:pPr>
        <w:spacing w:line="360" w:lineRule="auto"/>
        <w:jc w:val="both"/>
        <w:rPr>
          <w:rFonts w:cs="Arial"/>
          <w:sz w:val="22"/>
          <w:szCs w:val="22"/>
          <w:lang w:val="es-CR"/>
        </w:rPr>
      </w:pPr>
      <w:r>
        <w:rPr>
          <w:rFonts w:cs="Arial"/>
          <w:sz w:val="22"/>
          <w:szCs w:val="22"/>
          <w:lang w:val="es-CR"/>
        </w:rPr>
        <w:t xml:space="preserve"> </w:t>
      </w:r>
    </w:p>
    <w:p w:rsidR="00D212B4" w:rsidRDefault="000C36CA" w:rsidP="00D212B4">
      <w:pPr>
        <w:spacing w:line="360" w:lineRule="auto"/>
        <w:jc w:val="both"/>
        <w:rPr>
          <w:rFonts w:cs="Arial"/>
          <w:sz w:val="22"/>
          <w:szCs w:val="22"/>
          <w:lang w:val="es-CR"/>
        </w:rPr>
      </w:pPr>
      <w:r>
        <w:rPr>
          <w:rFonts w:cs="Arial"/>
          <w:sz w:val="22"/>
          <w:szCs w:val="22"/>
          <w:lang w:val="es-CR"/>
        </w:rPr>
        <w:t>El</w:t>
      </w:r>
      <w:r w:rsidR="00D212B4" w:rsidRPr="00D212B4">
        <w:rPr>
          <w:rFonts w:cs="Arial"/>
          <w:sz w:val="22"/>
          <w:szCs w:val="22"/>
          <w:lang w:val="es-CR"/>
        </w:rPr>
        <w:t xml:space="preserve"> BANHVI podr</w:t>
      </w:r>
      <w:r w:rsidR="00D212B4">
        <w:rPr>
          <w:rFonts w:cs="Arial"/>
          <w:sz w:val="22"/>
          <w:szCs w:val="22"/>
          <w:lang w:val="es-CR"/>
        </w:rPr>
        <w:t>á</w:t>
      </w:r>
      <w:r w:rsidR="00D212B4" w:rsidRPr="00D212B4">
        <w:rPr>
          <w:rFonts w:cs="Arial"/>
          <w:sz w:val="22"/>
          <w:szCs w:val="22"/>
          <w:lang w:val="es-CR"/>
        </w:rPr>
        <w:t xml:space="preserve"> realizar</w:t>
      </w:r>
      <w:r w:rsidR="00D212B4">
        <w:rPr>
          <w:rFonts w:cs="Arial"/>
          <w:sz w:val="22"/>
          <w:szCs w:val="22"/>
          <w:lang w:val="es-CR"/>
        </w:rPr>
        <w:t>,</w:t>
      </w:r>
      <w:r w:rsidR="00D212B4" w:rsidRPr="00D212B4">
        <w:rPr>
          <w:rFonts w:cs="Arial"/>
          <w:sz w:val="22"/>
          <w:szCs w:val="22"/>
          <w:lang w:val="es-CR"/>
        </w:rPr>
        <w:t xml:space="preserve"> cuand</w:t>
      </w:r>
      <w:r w:rsidR="00D212B4">
        <w:rPr>
          <w:rFonts w:cs="Arial"/>
          <w:sz w:val="22"/>
          <w:szCs w:val="22"/>
          <w:lang w:val="es-CR"/>
        </w:rPr>
        <w:t>o</w:t>
      </w:r>
      <w:r w:rsidR="00D212B4" w:rsidRPr="00D212B4">
        <w:rPr>
          <w:rFonts w:cs="Arial"/>
          <w:sz w:val="22"/>
          <w:szCs w:val="22"/>
          <w:lang w:val="es-CR"/>
        </w:rPr>
        <w:t xml:space="preserve"> as</w:t>
      </w:r>
      <w:r w:rsidR="00D212B4">
        <w:rPr>
          <w:rFonts w:cs="Arial"/>
          <w:sz w:val="22"/>
          <w:szCs w:val="22"/>
          <w:lang w:val="es-CR"/>
        </w:rPr>
        <w:t>í lo</w:t>
      </w:r>
      <w:r w:rsidR="00D212B4" w:rsidRPr="00D212B4">
        <w:rPr>
          <w:rFonts w:cs="Arial"/>
          <w:sz w:val="22"/>
          <w:szCs w:val="22"/>
          <w:lang w:val="es-CR"/>
        </w:rPr>
        <w:t xml:space="preserve"> desee</w:t>
      </w:r>
      <w:r w:rsidR="00D212B4">
        <w:rPr>
          <w:rFonts w:cs="Arial"/>
          <w:sz w:val="22"/>
          <w:szCs w:val="22"/>
          <w:lang w:val="es-CR"/>
        </w:rPr>
        <w:t>,</w:t>
      </w:r>
      <w:r w:rsidR="00D212B4" w:rsidRPr="00D212B4">
        <w:rPr>
          <w:rFonts w:cs="Arial"/>
          <w:sz w:val="22"/>
          <w:szCs w:val="22"/>
          <w:lang w:val="es-CR"/>
        </w:rPr>
        <w:t xml:space="preserve"> </w:t>
      </w:r>
      <w:r w:rsidR="00D212B4">
        <w:rPr>
          <w:rFonts w:cs="Arial"/>
          <w:sz w:val="22"/>
          <w:szCs w:val="22"/>
          <w:lang w:val="es-CR"/>
        </w:rPr>
        <w:t xml:space="preserve">por medio de </w:t>
      </w:r>
      <w:r w:rsidR="00D212B4" w:rsidRPr="00D212B4">
        <w:rPr>
          <w:rFonts w:cs="Arial"/>
          <w:sz w:val="22"/>
          <w:szCs w:val="22"/>
          <w:lang w:val="es-CR"/>
        </w:rPr>
        <w:t>su Auditor</w:t>
      </w:r>
      <w:r w:rsidR="00D212B4">
        <w:rPr>
          <w:rFonts w:cs="Arial"/>
          <w:sz w:val="22"/>
          <w:szCs w:val="22"/>
          <w:lang w:val="es-CR"/>
        </w:rPr>
        <w:t>í</w:t>
      </w:r>
      <w:r w:rsidR="00D212B4" w:rsidRPr="00D212B4">
        <w:rPr>
          <w:rFonts w:cs="Arial"/>
          <w:sz w:val="22"/>
          <w:szCs w:val="22"/>
          <w:lang w:val="es-CR"/>
        </w:rPr>
        <w:t xml:space="preserve">a Interna y </w:t>
      </w:r>
      <w:r w:rsidR="00D212B4">
        <w:rPr>
          <w:rFonts w:cs="Arial"/>
          <w:sz w:val="22"/>
          <w:szCs w:val="22"/>
          <w:lang w:val="es-CR"/>
        </w:rPr>
        <w:t>l</w:t>
      </w:r>
      <w:r w:rsidR="00D212B4" w:rsidRPr="00D212B4">
        <w:rPr>
          <w:rFonts w:cs="Arial"/>
          <w:sz w:val="22"/>
          <w:szCs w:val="22"/>
          <w:lang w:val="es-CR"/>
        </w:rPr>
        <w:t>a</w:t>
      </w:r>
      <w:r w:rsidR="00D212B4">
        <w:rPr>
          <w:rFonts w:cs="Arial"/>
          <w:sz w:val="22"/>
          <w:szCs w:val="22"/>
          <w:lang w:val="es-CR"/>
        </w:rPr>
        <w:t xml:space="preserve"> Dirección de </w:t>
      </w:r>
      <w:r w:rsidR="00D212B4" w:rsidRPr="00D212B4">
        <w:rPr>
          <w:rFonts w:cs="Arial"/>
          <w:sz w:val="22"/>
          <w:szCs w:val="22"/>
          <w:lang w:val="es-CR"/>
        </w:rPr>
        <w:t>Supervisi</w:t>
      </w:r>
      <w:r w:rsidR="00D212B4">
        <w:rPr>
          <w:rFonts w:cs="Arial"/>
          <w:sz w:val="22"/>
          <w:szCs w:val="22"/>
          <w:lang w:val="es-CR"/>
        </w:rPr>
        <w:t>ón</w:t>
      </w:r>
      <w:r w:rsidR="00D212B4" w:rsidRPr="00D212B4">
        <w:rPr>
          <w:rFonts w:cs="Arial"/>
          <w:sz w:val="22"/>
          <w:szCs w:val="22"/>
          <w:lang w:val="es-CR"/>
        </w:rPr>
        <w:t xml:space="preserve"> de Entidades Autorizadas, revisiones aleatorias de expedientes</w:t>
      </w:r>
      <w:r w:rsidR="00D212B4">
        <w:rPr>
          <w:rFonts w:cs="Arial"/>
          <w:sz w:val="22"/>
          <w:szCs w:val="22"/>
          <w:lang w:val="es-CR"/>
        </w:rPr>
        <w:t xml:space="preserve"> </w:t>
      </w:r>
      <w:r w:rsidR="00D212B4" w:rsidRPr="00D212B4">
        <w:rPr>
          <w:rFonts w:cs="Arial"/>
          <w:sz w:val="22"/>
          <w:szCs w:val="22"/>
          <w:lang w:val="es-CR"/>
        </w:rPr>
        <w:t>concerniente</w:t>
      </w:r>
      <w:r w:rsidR="00D212B4">
        <w:rPr>
          <w:rFonts w:cs="Arial"/>
          <w:sz w:val="22"/>
          <w:szCs w:val="22"/>
          <w:lang w:val="es-CR"/>
        </w:rPr>
        <w:t>s</w:t>
      </w:r>
      <w:r w:rsidR="00D212B4" w:rsidRPr="00D212B4">
        <w:rPr>
          <w:rFonts w:cs="Arial"/>
          <w:sz w:val="22"/>
          <w:szCs w:val="22"/>
          <w:lang w:val="es-CR"/>
        </w:rPr>
        <w:t xml:space="preserve"> a este programa. De igual forma las </w:t>
      </w:r>
      <w:r>
        <w:rPr>
          <w:rFonts w:cs="Arial"/>
          <w:sz w:val="22"/>
          <w:szCs w:val="22"/>
          <w:lang w:val="es-CR"/>
        </w:rPr>
        <w:t>e</w:t>
      </w:r>
      <w:r w:rsidR="00D212B4" w:rsidRPr="00D212B4">
        <w:rPr>
          <w:rFonts w:cs="Arial"/>
          <w:sz w:val="22"/>
          <w:szCs w:val="22"/>
          <w:lang w:val="es-CR"/>
        </w:rPr>
        <w:t xml:space="preserve">ntidades </w:t>
      </w:r>
      <w:r>
        <w:rPr>
          <w:rFonts w:cs="Arial"/>
          <w:sz w:val="22"/>
          <w:szCs w:val="22"/>
          <w:lang w:val="es-CR"/>
        </w:rPr>
        <w:t>a</w:t>
      </w:r>
      <w:r w:rsidR="00D212B4" w:rsidRPr="00D212B4">
        <w:rPr>
          <w:rFonts w:cs="Arial"/>
          <w:sz w:val="22"/>
          <w:szCs w:val="22"/>
          <w:lang w:val="es-CR"/>
        </w:rPr>
        <w:t>utorizadas deber</w:t>
      </w:r>
      <w:r w:rsidR="00D212B4">
        <w:rPr>
          <w:rFonts w:cs="Arial"/>
          <w:sz w:val="22"/>
          <w:szCs w:val="22"/>
          <w:lang w:val="es-CR"/>
        </w:rPr>
        <w:t>á</w:t>
      </w:r>
      <w:r w:rsidR="00D212B4" w:rsidRPr="00D212B4">
        <w:rPr>
          <w:rFonts w:cs="Arial"/>
          <w:sz w:val="22"/>
          <w:szCs w:val="22"/>
          <w:lang w:val="es-CR"/>
        </w:rPr>
        <w:t>n</w:t>
      </w:r>
      <w:r w:rsidR="00D212B4">
        <w:rPr>
          <w:rFonts w:cs="Arial"/>
          <w:sz w:val="22"/>
          <w:szCs w:val="22"/>
          <w:lang w:val="es-CR"/>
        </w:rPr>
        <w:t xml:space="preserve"> </w:t>
      </w:r>
      <w:r w:rsidR="00D212B4" w:rsidRPr="00D212B4">
        <w:rPr>
          <w:rFonts w:cs="Arial"/>
          <w:sz w:val="22"/>
          <w:szCs w:val="22"/>
          <w:lang w:val="es-CR"/>
        </w:rPr>
        <w:t>inc</w:t>
      </w:r>
      <w:r w:rsidR="00D212B4">
        <w:rPr>
          <w:rFonts w:cs="Arial"/>
          <w:sz w:val="22"/>
          <w:szCs w:val="22"/>
          <w:lang w:val="es-CR"/>
        </w:rPr>
        <w:t>o</w:t>
      </w:r>
      <w:r w:rsidR="00D212B4" w:rsidRPr="00D212B4">
        <w:rPr>
          <w:rFonts w:cs="Arial"/>
          <w:sz w:val="22"/>
          <w:szCs w:val="22"/>
          <w:lang w:val="es-CR"/>
        </w:rPr>
        <w:t>rp</w:t>
      </w:r>
      <w:r w:rsidR="00D212B4">
        <w:rPr>
          <w:rFonts w:cs="Arial"/>
          <w:sz w:val="22"/>
          <w:szCs w:val="22"/>
          <w:lang w:val="es-CR"/>
        </w:rPr>
        <w:t>o</w:t>
      </w:r>
      <w:r w:rsidR="00D212B4" w:rsidRPr="00D212B4">
        <w:rPr>
          <w:rFonts w:cs="Arial"/>
          <w:sz w:val="22"/>
          <w:szCs w:val="22"/>
          <w:lang w:val="es-CR"/>
        </w:rPr>
        <w:t>rar en su programa de revisi</w:t>
      </w:r>
      <w:r w:rsidR="00D212B4">
        <w:rPr>
          <w:rFonts w:cs="Arial"/>
          <w:sz w:val="22"/>
          <w:szCs w:val="22"/>
          <w:lang w:val="es-CR"/>
        </w:rPr>
        <w:t>ón</w:t>
      </w:r>
      <w:r w:rsidR="00D212B4" w:rsidRPr="00D212B4">
        <w:rPr>
          <w:rFonts w:cs="Arial"/>
          <w:sz w:val="22"/>
          <w:szCs w:val="22"/>
          <w:lang w:val="es-CR"/>
        </w:rPr>
        <w:t xml:space="preserve"> anual</w:t>
      </w:r>
      <w:r w:rsidR="00D212B4">
        <w:rPr>
          <w:rFonts w:cs="Arial"/>
          <w:sz w:val="22"/>
          <w:szCs w:val="22"/>
          <w:lang w:val="es-CR"/>
        </w:rPr>
        <w:t>, po</w:t>
      </w:r>
      <w:r w:rsidR="00D212B4" w:rsidRPr="00D212B4">
        <w:rPr>
          <w:rFonts w:cs="Arial"/>
          <w:sz w:val="22"/>
          <w:szCs w:val="22"/>
          <w:lang w:val="es-CR"/>
        </w:rPr>
        <w:t xml:space="preserve">r parte de </w:t>
      </w:r>
      <w:r w:rsidR="00D212B4">
        <w:rPr>
          <w:rFonts w:cs="Arial"/>
          <w:sz w:val="22"/>
          <w:szCs w:val="22"/>
          <w:lang w:val="es-CR"/>
        </w:rPr>
        <w:t>l</w:t>
      </w:r>
      <w:r w:rsidR="00D212B4" w:rsidRPr="00D212B4">
        <w:rPr>
          <w:rFonts w:cs="Arial"/>
          <w:sz w:val="22"/>
          <w:szCs w:val="22"/>
          <w:lang w:val="es-CR"/>
        </w:rPr>
        <w:t>a Audit</w:t>
      </w:r>
      <w:r w:rsidR="00D212B4">
        <w:rPr>
          <w:rFonts w:cs="Arial"/>
          <w:sz w:val="22"/>
          <w:szCs w:val="22"/>
          <w:lang w:val="es-CR"/>
        </w:rPr>
        <w:t>o</w:t>
      </w:r>
      <w:r w:rsidR="00D212B4" w:rsidRPr="00D212B4">
        <w:rPr>
          <w:rFonts w:cs="Arial"/>
          <w:sz w:val="22"/>
          <w:szCs w:val="22"/>
          <w:lang w:val="es-CR"/>
        </w:rPr>
        <w:t>r</w:t>
      </w:r>
      <w:r w:rsidR="00D212B4">
        <w:rPr>
          <w:rFonts w:cs="Arial"/>
          <w:sz w:val="22"/>
          <w:szCs w:val="22"/>
          <w:lang w:val="es-CR"/>
        </w:rPr>
        <w:t>í</w:t>
      </w:r>
      <w:r w:rsidR="00D212B4" w:rsidRPr="00D212B4">
        <w:rPr>
          <w:rFonts w:cs="Arial"/>
          <w:sz w:val="22"/>
          <w:szCs w:val="22"/>
          <w:lang w:val="es-CR"/>
        </w:rPr>
        <w:t>a Interna</w:t>
      </w:r>
      <w:r w:rsidR="00D212B4">
        <w:rPr>
          <w:rFonts w:cs="Arial"/>
          <w:sz w:val="22"/>
          <w:szCs w:val="22"/>
          <w:lang w:val="es-CR"/>
        </w:rPr>
        <w:t xml:space="preserve">, </w:t>
      </w:r>
      <w:r w:rsidR="00D212B4" w:rsidRPr="00D212B4">
        <w:rPr>
          <w:rFonts w:cs="Arial"/>
          <w:sz w:val="22"/>
          <w:szCs w:val="22"/>
          <w:lang w:val="es-CR"/>
        </w:rPr>
        <w:t xml:space="preserve">revisiones de las </w:t>
      </w:r>
      <w:r w:rsidR="00D212B4">
        <w:rPr>
          <w:rFonts w:cs="Arial"/>
          <w:sz w:val="22"/>
          <w:szCs w:val="22"/>
          <w:lang w:val="es-CR"/>
        </w:rPr>
        <w:t>o</w:t>
      </w:r>
      <w:r w:rsidR="00D212B4" w:rsidRPr="00D212B4">
        <w:rPr>
          <w:rFonts w:cs="Arial"/>
          <w:sz w:val="22"/>
          <w:szCs w:val="22"/>
          <w:lang w:val="es-CR"/>
        </w:rPr>
        <w:t>peraciones otorgadas baj</w:t>
      </w:r>
      <w:r w:rsidR="00D212B4">
        <w:rPr>
          <w:rFonts w:cs="Arial"/>
          <w:sz w:val="22"/>
          <w:szCs w:val="22"/>
          <w:lang w:val="es-CR"/>
        </w:rPr>
        <w:t>o</w:t>
      </w:r>
      <w:r w:rsidR="00D212B4" w:rsidRPr="00D212B4">
        <w:rPr>
          <w:rFonts w:cs="Arial"/>
          <w:sz w:val="22"/>
          <w:szCs w:val="22"/>
          <w:lang w:val="es-CR"/>
        </w:rPr>
        <w:t xml:space="preserve"> este programa.</w:t>
      </w:r>
    </w:p>
    <w:p w:rsidR="00D212B4" w:rsidRPr="00D212B4" w:rsidRDefault="00D212B4" w:rsidP="00D212B4">
      <w:pPr>
        <w:spacing w:line="360" w:lineRule="auto"/>
        <w:jc w:val="both"/>
        <w:rPr>
          <w:rFonts w:cs="Arial"/>
          <w:sz w:val="22"/>
          <w:szCs w:val="22"/>
          <w:lang w:val="es-CR"/>
        </w:rPr>
      </w:pPr>
    </w:p>
    <w:p w:rsidR="00D212B4" w:rsidRDefault="00D212B4" w:rsidP="00D212B4">
      <w:pPr>
        <w:spacing w:line="360" w:lineRule="auto"/>
        <w:jc w:val="both"/>
        <w:rPr>
          <w:rFonts w:cs="Arial"/>
          <w:sz w:val="22"/>
          <w:szCs w:val="22"/>
          <w:lang w:val="es-CR"/>
        </w:rPr>
      </w:pPr>
      <w:r w:rsidRPr="00D212B4">
        <w:rPr>
          <w:rFonts w:cs="Arial"/>
          <w:sz w:val="22"/>
          <w:szCs w:val="22"/>
          <w:lang w:val="es-CR"/>
        </w:rPr>
        <w:t>En caso que se detecte alguna an</w:t>
      </w:r>
      <w:r>
        <w:rPr>
          <w:rFonts w:cs="Arial"/>
          <w:sz w:val="22"/>
          <w:szCs w:val="22"/>
          <w:lang w:val="es-CR"/>
        </w:rPr>
        <w:t>o</w:t>
      </w:r>
      <w:r w:rsidRPr="00D212B4">
        <w:rPr>
          <w:rFonts w:cs="Arial"/>
          <w:sz w:val="22"/>
          <w:szCs w:val="22"/>
          <w:lang w:val="es-CR"/>
        </w:rPr>
        <w:t>mal</w:t>
      </w:r>
      <w:r>
        <w:rPr>
          <w:rFonts w:cs="Arial"/>
          <w:sz w:val="22"/>
          <w:szCs w:val="22"/>
          <w:lang w:val="es-CR"/>
        </w:rPr>
        <w:t>ía</w:t>
      </w:r>
      <w:r w:rsidRPr="00D212B4">
        <w:rPr>
          <w:rFonts w:cs="Arial"/>
          <w:sz w:val="22"/>
          <w:szCs w:val="22"/>
          <w:lang w:val="es-CR"/>
        </w:rPr>
        <w:t xml:space="preserve"> en el ot</w:t>
      </w:r>
      <w:r>
        <w:rPr>
          <w:rFonts w:cs="Arial"/>
          <w:sz w:val="22"/>
          <w:szCs w:val="22"/>
          <w:lang w:val="es-CR"/>
        </w:rPr>
        <w:t>o</w:t>
      </w:r>
      <w:r w:rsidRPr="00D212B4">
        <w:rPr>
          <w:rFonts w:cs="Arial"/>
          <w:sz w:val="22"/>
          <w:szCs w:val="22"/>
          <w:lang w:val="es-CR"/>
        </w:rPr>
        <w:t>rgamient</w:t>
      </w:r>
      <w:r>
        <w:rPr>
          <w:rFonts w:cs="Arial"/>
          <w:sz w:val="22"/>
          <w:szCs w:val="22"/>
          <w:lang w:val="es-CR"/>
        </w:rPr>
        <w:t>o</w:t>
      </w:r>
      <w:r w:rsidRPr="00D212B4">
        <w:rPr>
          <w:rFonts w:cs="Arial"/>
          <w:sz w:val="22"/>
          <w:szCs w:val="22"/>
          <w:lang w:val="es-CR"/>
        </w:rPr>
        <w:t xml:space="preserve"> del b</w:t>
      </w:r>
      <w:r>
        <w:rPr>
          <w:rFonts w:cs="Arial"/>
          <w:sz w:val="22"/>
          <w:szCs w:val="22"/>
          <w:lang w:val="es-CR"/>
        </w:rPr>
        <w:t>o</w:t>
      </w:r>
      <w:r w:rsidRPr="00D212B4">
        <w:rPr>
          <w:rFonts w:cs="Arial"/>
          <w:sz w:val="22"/>
          <w:szCs w:val="22"/>
          <w:lang w:val="es-CR"/>
        </w:rPr>
        <w:t>no y se</w:t>
      </w:r>
      <w:r>
        <w:rPr>
          <w:rFonts w:cs="Arial"/>
          <w:sz w:val="22"/>
          <w:szCs w:val="22"/>
          <w:lang w:val="es-CR"/>
        </w:rPr>
        <w:t xml:space="preserve"> </w:t>
      </w:r>
      <w:r w:rsidRPr="00D212B4">
        <w:rPr>
          <w:rFonts w:cs="Arial"/>
          <w:sz w:val="22"/>
          <w:szCs w:val="22"/>
          <w:lang w:val="es-CR"/>
        </w:rPr>
        <w:t xml:space="preserve">determine que </w:t>
      </w:r>
      <w:r>
        <w:rPr>
          <w:rFonts w:cs="Arial"/>
          <w:sz w:val="22"/>
          <w:szCs w:val="22"/>
          <w:lang w:val="es-CR"/>
        </w:rPr>
        <w:t>l</w:t>
      </w:r>
      <w:r w:rsidRPr="00D212B4">
        <w:rPr>
          <w:rFonts w:cs="Arial"/>
          <w:sz w:val="22"/>
          <w:szCs w:val="22"/>
          <w:lang w:val="es-CR"/>
        </w:rPr>
        <w:t>a Entidad Autorizada no realiz</w:t>
      </w:r>
      <w:r>
        <w:rPr>
          <w:rFonts w:cs="Arial"/>
          <w:sz w:val="22"/>
          <w:szCs w:val="22"/>
          <w:lang w:val="es-CR"/>
        </w:rPr>
        <w:t>ó</w:t>
      </w:r>
      <w:r w:rsidRPr="00D212B4">
        <w:rPr>
          <w:rFonts w:cs="Arial"/>
          <w:sz w:val="22"/>
          <w:szCs w:val="22"/>
          <w:lang w:val="es-CR"/>
        </w:rPr>
        <w:t xml:space="preserve"> una calificaci</w:t>
      </w:r>
      <w:r>
        <w:rPr>
          <w:rFonts w:cs="Arial"/>
          <w:sz w:val="22"/>
          <w:szCs w:val="22"/>
          <w:lang w:val="es-CR"/>
        </w:rPr>
        <w:t>ón</w:t>
      </w:r>
      <w:r w:rsidRPr="00D212B4">
        <w:rPr>
          <w:rFonts w:cs="Arial"/>
          <w:sz w:val="22"/>
          <w:szCs w:val="22"/>
          <w:lang w:val="es-CR"/>
        </w:rPr>
        <w:t xml:space="preserve"> adecuada de </w:t>
      </w:r>
      <w:r>
        <w:rPr>
          <w:rFonts w:cs="Arial"/>
          <w:sz w:val="22"/>
          <w:szCs w:val="22"/>
          <w:lang w:val="es-CR"/>
        </w:rPr>
        <w:t>l</w:t>
      </w:r>
      <w:r w:rsidRPr="00D212B4">
        <w:rPr>
          <w:rFonts w:cs="Arial"/>
          <w:sz w:val="22"/>
          <w:szCs w:val="22"/>
          <w:lang w:val="es-CR"/>
        </w:rPr>
        <w:t>a</w:t>
      </w:r>
      <w:r>
        <w:rPr>
          <w:rFonts w:cs="Arial"/>
          <w:sz w:val="22"/>
          <w:szCs w:val="22"/>
          <w:lang w:val="es-CR"/>
        </w:rPr>
        <w:t xml:space="preserve"> </w:t>
      </w:r>
      <w:r w:rsidR="000C36CA">
        <w:rPr>
          <w:rFonts w:cs="Arial"/>
          <w:sz w:val="22"/>
          <w:szCs w:val="22"/>
          <w:lang w:val="es-CR"/>
        </w:rPr>
        <w:t>familia</w:t>
      </w:r>
      <w:r w:rsidRPr="00D212B4">
        <w:rPr>
          <w:rFonts w:cs="Arial"/>
          <w:sz w:val="22"/>
          <w:szCs w:val="22"/>
          <w:lang w:val="es-CR"/>
        </w:rPr>
        <w:t xml:space="preserve"> y existen incumplimientos de </w:t>
      </w:r>
      <w:r>
        <w:rPr>
          <w:rFonts w:cs="Arial"/>
          <w:sz w:val="22"/>
          <w:szCs w:val="22"/>
          <w:lang w:val="es-CR"/>
        </w:rPr>
        <w:t>l</w:t>
      </w:r>
      <w:r w:rsidRPr="00D212B4">
        <w:rPr>
          <w:rFonts w:cs="Arial"/>
          <w:sz w:val="22"/>
          <w:szCs w:val="22"/>
          <w:lang w:val="es-CR"/>
        </w:rPr>
        <w:t xml:space="preserve">a ley 7052, </w:t>
      </w:r>
      <w:r>
        <w:rPr>
          <w:rFonts w:cs="Arial"/>
          <w:sz w:val="22"/>
          <w:szCs w:val="22"/>
          <w:lang w:val="es-CR"/>
        </w:rPr>
        <w:t>l</w:t>
      </w:r>
      <w:r w:rsidRPr="00D212B4">
        <w:rPr>
          <w:rFonts w:cs="Arial"/>
          <w:sz w:val="22"/>
          <w:szCs w:val="22"/>
          <w:lang w:val="es-CR"/>
        </w:rPr>
        <w:t>a entidad deber</w:t>
      </w:r>
      <w:r>
        <w:rPr>
          <w:rFonts w:cs="Arial"/>
          <w:sz w:val="22"/>
          <w:szCs w:val="22"/>
          <w:lang w:val="es-CR"/>
        </w:rPr>
        <w:t>á</w:t>
      </w:r>
      <w:r w:rsidRPr="00D212B4">
        <w:rPr>
          <w:rFonts w:cs="Arial"/>
          <w:sz w:val="22"/>
          <w:szCs w:val="22"/>
          <w:lang w:val="es-CR"/>
        </w:rPr>
        <w:t xml:space="preserve"> someterse a</w:t>
      </w:r>
      <w:r>
        <w:rPr>
          <w:rFonts w:cs="Arial"/>
          <w:sz w:val="22"/>
          <w:szCs w:val="22"/>
          <w:lang w:val="es-CR"/>
        </w:rPr>
        <w:t xml:space="preserve"> </w:t>
      </w:r>
      <w:r w:rsidRPr="00D212B4">
        <w:rPr>
          <w:rFonts w:cs="Arial"/>
          <w:sz w:val="22"/>
          <w:szCs w:val="22"/>
          <w:lang w:val="es-CR"/>
        </w:rPr>
        <w:t>los procedimient</w:t>
      </w:r>
      <w:r>
        <w:rPr>
          <w:rFonts w:cs="Arial"/>
          <w:sz w:val="22"/>
          <w:szCs w:val="22"/>
          <w:lang w:val="es-CR"/>
        </w:rPr>
        <w:t>o</w:t>
      </w:r>
      <w:r w:rsidRPr="00D212B4">
        <w:rPr>
          <w:rFonts w:cs="Arial"/>
          <w:sz w:val="22"/>
          <w:szCs w:val="22"/>
          <w:lang w:val="es-CR"/>
        </w:rPr>
        <w:t>s administrativos que correspondan, con el</w:t>
      </w:r>
      <w:r>
        <w:rPr>
          <w:rFonts w:cs="Arial"/>
          <w:sz w:val="22"/>
          <w:szCs w:val="22"/>
          <w:lang w:val="es-CR"/>
        </w:rPr>
        <w:t xml:space="preserve"> </w:t>
      </w:r>
      <w:r w:rsidRPr="00D212B4">
        <w:rPr>
          <w:rFonts w:cs="Arial"/>
          <w:sz w:val="22"/>
          <w:szCs w:val="22"/>
          <w:lang w:val="es-CR"/>
        </w:rPr>
        <w:t xml:space="preserve">fin de determinar </w:t>
      </w:r>
      <w:r>
        <w:rPr>
          <w:rFonts w:cs="Arial"/>
          <w:sz w:val="22"/>
          <w:szCs w:val="22"/>
          <w:lang w:val="es-CR"/>
        </w:rPr>
        <w:t>l</w:t>
      </w:r>
      <w:r w:rsidRPr="00D212B4">
        <w:rPr>
          <w:rFonts w:cs="Arial"/>
          <w:sz w:val="22"/>
          <w:szCs w:val="22"/>
          <w:lang w:val="es-CR"/>
        </w:rPr>
        <w:t>a</w:t>
      </w:r>
      <w:r>
        <w:rPr>
          <w:rFonts w:cs="Arial"/>
          <w:sz w:val="22"/>
          <w:szCs w:val="22"/>
          <w:lang w:val="es-CR"/>
        </w:rPr>
        <w:t xml:space="preserve"> </w:t>
      </w:r>
      <w:r w:rsidRPr="00D212B4">
        <w:rPr>
          <w:rFonts w:cs="Arial"/>
          <w:sz w:val="22"/>
          <w:szCs w:val="22"/>
          <w:lang w:val="es-CR"/>
        </w:rPr>
        <w:t>veracidad de los hechos. Al respecto</w:t>
      </w:r>
      <w:r>
        <w:rPr>
          <w:rFonts w:cs="Arial"/>
          <w:sz w:val="22"/>
          <w:szCs w:val="22"/>
          <w:lang w:val="es-CR"/>
        </w:rPr>
        <w:t>,</w:t>
      </w:r>
      <w:r w:rsidRPr="00D212B4">
        <w:rPr>
          <w:rFonts w:cs="Arial"/>
          <w:sz w:val="22"/>
          <w:szCs w:val="22"/>
          <w:lang w:val="es-CR"/>
        </w:rPr>
        <w:t xml:space="preserve"> el BANHVI t</w:t>
      </w:r>
      <w:r>
        <w:rPr>
          <w:rFonts w:cs="Arial"/>
          <w:sz w:val="22"/>
          <w:szCs w:val="22"/>
          <w:lang w:val="es-CR"/>
        </w:rPr>
        <w:t>o</w:t>
      </w:r>
      <w:r w:rsidRPr="00D212B4">
        <w:rPr>
          <w:rFonts w:cs="Arial"/>
          <w:sz w:val="22"/>
          <w:szCs w:val="22"/>
          <w:lang w:val="es-CR"/>
        </w:rPr>
        <w:t>mar</w:t>
      </w:r>
      <w:r>
        <w:rPr>
          <w:rFonts w:cs="Arial"/>
          <w:sz w:val="22"/>
          <w:szCs w:val="22"/>
          <w:lang w:val="es-CR"/>
        </w:rPr>
        <w:t>á</w:t>
      </w:r>
      <w:r w:rsidRPr="00D212B4">
        <w:rPr>
          <w:rFonts w:cs="Arial"/>
          <w:sz w:val="22"/>
          <w:szCs w:val="22"/>
          <w:lang w:val="es-CR"/>
        </w:rPr>
        <w:t xml:space="preserve"> las acci</w:t>
      </w:r>
      <w:r>
        <w:rPr>
          <w:rFonts w:cs="Arial"/>
          <w:sz w:val="22"/>
          <w:szCs w:val="22"/>
          <w:lang w:val="es-CR"/>
        </w:rPr>
        <w:t>o</w:t>
      </w:r>
      <w:r w:rsidRPr="00D212B4">
        <w:rPr>
          <w:rFonts w:cs="Arial"/>
          <w:sz w:val="22"/>
          <w:szCs w:val="22"/>
          <w:lang w:val="es-CR"/>
        </w:rPr>
        <w:t>nes que considere</w:t>
      </w:r>
      <w:r>
        <w:rPr>
          <w:rFonts w:cs="Arial"/>
          <w:sz w:val="22"/>
          <w:szCs w:val="22"/>
          <w:lang w:val="es-CR"/>
        </w:rPr>
        <w:t xml:space="preserve"> </w:t>
      </w:r>
      <w:r w:rsidRPr="00D212B4">
        <w:rPr>
          <w:rFonts w:cs="Arial"/>
          <w:sz w:val="22"/>
          <w:szCs w:val="22"/>
          <w:lang w:val="es-CR"/>
        </w:rPr>
        <w:t>necesarias en cas</w:t>
      </w:r>
      <w:r>
        <w:rPr>
          <w:rFonts w:cs="Arial"/>
          <w:sz w:val="22"/>
          <w:szCs w:val="22"/>
          <w:lang w:val="es-CR"/>
        </w:rPr>
        <w:t>o</w:t>
      </w:r>
      <w:r w:rsidRPr="00D212B4">
        <w:rPr>
          <w:rFonts w:cs="Arial"/>
          <w:sz w:val="22"/>
          <w:szCs w:val="22"/>
          <w:lang w:val="es-CR"/>
        </w:rPr>
        <w:t xml:space="preserve"> de enc</w:t>
      </w:r>
      <w:r>
        <w:rPr>
          <w:rFonts w:cs="Arial"/>
          <w:sz w:val="22"/>
          <w:szCs w:val="22"/>
          <w:lang w:val="es-CR"/>
        </w:rPr>
        <w:t>o</w:t>
      </w:r>
      <w:r w:rsidRPr="00D212B4">
        <w:rPr>
          <w:rFonts w:cs="Arial"/>
          <w:sz w:val="22"/>
          <w:szCs w:val="22"/>
          <w:lang w:val="es-CR"/>
        </w:rPr>
        <w:t>ntrar d</w:t>
      </w:r>
      <w:r>
        <w:rPr>
          <w:rFonts w:cs="Arial"/>
          <w:sz w:val="22"/>
          <w:szCs w:val="22"/>
          <w:lang w:val="es-CR"/>
        </w:rPr>
        <w:t>olo o</w:t>
      </w:r>
      <w:r w:rsidRPr="00D212B4">
        <w:rPr>
          <w:rFonts w:cs="Arial"/>
          <w:sz w:val="22"/>
          <w:szCs w:val="22"/>
          <w:lang w:val="es-CR"/>
        </w:rPr>
        <w:t xml:space="preserve"> negligencia en </w:t>
      </w:r>
      <w:r>
        <w:rPr>
          <w:rFonts w:cs="Arial"/>
          <w:sz w:val="22"/>
          <w:szCs w:val="22"/>
          <w:lang w:val="es-CR"/>
        </w:rPr>
        <w:t>l</w:t>
      </w:r>
      <w:r w:rsidRPr="00D212B4">
        <w:rPr>
          <w:rFonts w:cs="Arial"/>
          <w:sz w:val="22"/>
          <w:szCs w:val="22"/>
          <w:lang w:val="es-CR"/>
        </w:rPr>
        <w:t>a aprobaci</w:t>
      </w:r>
      <w:r>
        <w:rPr>
          <w:rFonts w:cs="Arial"/>
          <w:sz w:val="22"/>
          <w:szCs w:val="22"/>
          <w:lang w:val="es-CR"/>
        </w:rPr>
        <w:t>ón</w:t>
      </w:r>
      <w:r w:rsidRPr="00D212B4">
        <w:rPr>
          <w:rFonts w:cs="Arial"/>
          <w:sz w:val="22"/>
          <w:szCs w:val="22"/>
          <w:lang w:val="es-CR"/>
        </w:rPr>
        <w:t xml:space="preserve"> de</w:t>
      </w:r>
      <w:r>
        <w:rPr>
          <w:rFonts w:cs="Arial"/>
          <w:sz w:val="22"/>
          <w:szCs w:val="22"/>
          <w:lang w:val="es-CR"/>
        </w:rPr>
        <w:t xml:space="preserve"> </w:t>
      </w:r>
      <w:r w:rsidRPr="00D212B4">
        <w:rPr>
          <w:rFonts w:cs="Arial"/>
          <w:sz w:val="22"/>
          <w:szCs w:val="22"/>
          <w:lang w:val="es-CR"/>
        </w:rPr>
        <w:t>operaciones de bon</w:t>
      </w:r>
      <w:r>
        <w:rPr>
          <w:rFonts w:cs="Arial"/>
          <w:sz w:val="22"/>
          <w:szCs w:val="22"/>
          <w:lang w:val="es-CR"/>
        </w:rPr>
        <w:t>o</w:t>
      </w:r>
      <w:r w:rsidRPr="00D212B4">
        <w:rPr>
          <w:rFonts w:cs="Arial"/>
          <w:sz w:val="22"/>
          <w:szCs w:val="22"/>
          <w:lang w:val="es-CR"/>
        </w:rPr>
        <w:t>, pudiend</w:t>
      </w:r>
      <w:r>
        <w:rPr>
          <w:rFonts w:cs="Arial"/>
          <w:sz w:val="22"/>
          <w:szCs w:val="22"/>
          <w:lang w:val="es-CR"/>
        </w:rPr>
        <w:t>o</w:t>
      </w:r>
      <w:r w:rsidRPr="00D212B4">
        <w:rPr>
          <w:rFonts w:cs="Arial"/>
          <w:sz w:val="22"/>
          <w:szCs w:val="22"/>
          <w:lang w:val="es-CR"/>
        </w:rPr>
        <w:t xml:space="preserve"> </w:t>
      </w:r>
      <w:r>
        <w:rPr>
          <w:rFonts w:cs="Arial"/>
          <w:sz w:val="22"/>
          <w:szCs w:val="22"/>
          <w:lang w:val="es-CR"/>
        </w:rPr>
        <w:t>ll</w:t>
      </w:r>
      <w:r w:rsidRPr="00D212B4">
        <w:rPr>
          <w:rFonts w:cs="Arial"/>
          <w:sz w:val="22"/>
          <w:szCs w:val="22"/>
          <w:lang w:val="es-CR"/>
        </w:rPr>
        <w:t xml:space="preserve">egar </w:t>
      </w:r>
      <w:r w:rsidR="000C36CA">
        <w:rPr>
          <w:rFonts w:cs="Arial"/>
          <w:sz w:val="22"/>
          <w:szCs w:val="22"/>
          <w:lang w:val="es-CR"/>
        </w:rPr>
        <w:t>estas</w:t>
      </w:r>
      <w:r w:rsidRPr="00D212B4">
        <w:rPr>
          <w:rFonts w:cs="Arial"/>
          <w:sz w:val="22"/>
          <w:szCs w:val="22"/>
          <w:lang w:val="es-CR"/>
        </w:rPr>
        <w:t xml:space="preserve"> a ser desde </w:t>
      </w:r>
      <w:r>
        <w:rPr>
          <w:rFonts w:cs="Arial"/>
          <w:sz w:val="22"/>
          <w:szCs w:val="22"/>
          <w:lang w:val="es-CR"/>
        </w:rPr>
        <w:t>l</w:t>
      </w:r>
      <w:r w:rsidRPr="00D212B4">
        <w:rPr>
          <w:rFonts w:cs="Arial"/>
          <w:sz w:val="22"/>
          <w:szCs w:val="22"/>
          <w:lang w:val="es-CR"/>
        </w:rPr>
        <w:t>a dev</w:t>
      </w:r>
      <w:r>
        <w:rPr>
          <w:rFonts w:cs="Arial"/>
          <w:sz w:val="22"/>
          <w:szCs w:val="22"/>
          <w:lang w:val="es-CR"/>
        </w:rPr>
        <w:t>o</w:t>
      </w:r>
      <w:r w:rsidRPr="00D212B4">
        <w:rPr>
          <w:rFonts w:cs="Arial"/>
          <w:sz w:val="22"/>
          <w:szCs w:val="22"/>
          <w:lang w:val="es-CR"/>
        </w:rPr>
        <w:t>luci</w:t>
      </w:r>
      <w:r>
        <w:rPr>
          <w:rFonts w:cs="Arial"/>
          <w:sz w:val="22"/>
          <w:szCs w:val="22"/>
          <w:lang w:val="es-CR"/>
        </w:rPr>
        <w:t xml:space="preserve">ón </w:t>
      </w:r>
      <w:r w:rsidRPr="00D212B4">
        <w:rPr>
          <w:rFonts w:cs="Arial"/>
          <w:sz w:val="22"/>
          <w:szCs w:val="22"/>
          <w:lang w:val="es-CR"/>
        </w:rPr>
        <w:t>del BFV p</w:t>
      </w:r>
      <w:r>
        <w:rPr>
          <w:rFonts w:cs="Arial"/>
          <w:sz w:val="22"/>
          <w:szCs w:val="22"/>
          <w:lang w:val="es-CR"/>
        </w:rPr>
        <w:t>o</w:t>
      </w:r>
      <w:r w:rsidRPr="00D212B4">
        <w:rPr>
          <w:rFonts w:cs="Arial"/>
          <w:sz w:val="22"/>
          <w:szCs w:val="22"/>
          <w:lang w:val="es-CR"/>
        </w:rPr>
        <w:t>r</w:t>
      </w:r>
      <w:r>
        <w:rPr>
          <w:rFonts w:cs="Arial"/>
          <w:sz w:val="22"/>
          <w:szCs w:val="22"/>
          <w:lang w:val="es-CR"/>
        </w:rPr>
        <w:t xml:space="preserve"> </w:t>
      </w:r>
      <w:r w:rsidRPr="00D212B4">
        <w:rPr>
          <w:rFonts w:cs="Arial"/>
          <w:sz w:val="22"/>
          <w:szCs w:val="22"/>
          <w:lang w:val="es-CR"/>
        </w:rPr>
        <w:t xml:space="preserve">parte de </w:t>
      </w:r>
      <w:r>
        <w:rPr>
          <w:rFonts w:cs="Arial"/>
          <w:sz w:val="22"/>
          <w:szCs w:val="22"/>
          <w:lang w:val="es-CR"/>
        </w:rPr>
        <w:t>l</w:t>
      </w:r>
      <w:r w:rsidRPr="00D212B4">
        <w:rPr>
          <w:rFonts w:cs="Arial"/>
          <w:sz w:val="22"/>
          <w:szCs w:val="22"/>
          <w:lang w:val="es-CR"/>
        </w:rPr>
        <w:t>a Entidad Aut</w:t>
      </w:r>
      <w:r>
        <w:rPr>
          <w:rFonts w:cs="Arial"/>
          <w:sz w:val="22"/>
          <w:szCs w:val="22"/>
          <w:lang w:val="es-CR"/>
        </w:rPr>
        <w:t>o</w:t>
      </w:r>
      <w:r w:rsidRPr="00D212B4">
        <w:rPr>
          <w:rFonts w:cs="Arial"/>
          <w:sz w:val="22"/>
          <w:szCs w:val="22"/>
          <w:lang w:val="es-CR"/>
        </w:rPr>
        <w:t xml:space="preserve">rizada al BANHVI, </w:t>
      </w:r>
      <w:r>
        <w:rPr>
          <w:rFonts w:cs="Arial"/>
          <w:sz w:val="22"/>
          <w:szCs w:val="22"/>
          <w:lang w:val="es-CR"/>
        </w:rPr>
        <w:t xml:space="preserve">hasta </w:t>
      </w:r>
      <w:r w:rsidRPr="00D212B4">
        <w:rPr>
          <w:rFonts w:cs="Arial"/>
          <w:sz w:val="22"/>
          <w:szCs w:val="22"/>
          <w:lang w:val="es-CR"/>
        </w:rPr>
        <w:t>una eventual exclusi</w:t>
      </w:r>
      <w:r>
        <w:rPr>
          <w:rFonts w:cs="Arial"/>
          <w:sz w:val="22"/>
          <w:szCs w:val="22"/>
          <w:lang w:val="es-CR"/>
        </w:rPr>
        <w:t>ón</w:t>
      </w:r>
      <w:r w:rsidRPr="00D212B4">
        <w:rPr>
          <w:rFonts w:cs="Arial"/>
          <w:sz w:val="22"/>
          <w:szCs w:val="22"/>
          <w:lang w:val="es-CR"/>
        </w:rPr>
        <w:t xml:space="preserve"> de </w:t>
      </w:r>
      <w:r>
        <w:rPr>
          <w:rFonts w:cs="Arial"/>
          <w:sz w:val="22"/>
          <w:szCs w:val="22"/>
          <w:lang w:val="es-CR"/>
        </w:rPr>
        <w:t>l</w:t>
      </w:r>
      <w:r w:rsidRPr="00D212B4">
        <w:rPr>
          <w:rFonts w:cs="Arial"/>
          <w:sz w:val="22"/>
          <w:szCs w:val="22"/>
          <w:lang w:val="es-CR"/>
        </w:rPr>
        <w:t>a</w:t>
      </w:r>
      <w:r>
        <w:rPr>
          <w:rFonts w:cs="Arial"/>
          <w:sz w:val="22"/>
          <w:szCs w:val="22"/>
          <w:lang w:val="es-CR"/>
        </w:rPr>
        <w:t xml:space="preserve"> </w:t>
      </w:r>
      <w:r w:rsidRPr="00D212B4">
        <w:rPr>
          <w:rFonts w:cs="Arial"/>
          <w:sz w:val="22"/>
          <w:szCs w:val="22"/>
          <w:lang w:val="es-CR"/>
        </w:rPr>
        <w:t>entidad c</w:t>
      </w:r>
      <w:r>
        <w:rPr>
          <w:rFonts w:cs="Arial"/>
          <w:sz w:val="22"/>
          <w:szCs w:val="22"/>
          <w:lang w:val="es-CR"/>
        </w:rPr>
        <w:t>o</w:t>
      </w:r>
      <w:r w:rsidRPr="00D212B4">
        <w:rPr>
          <w:rFonts w:cs="Arial"/>
          <w:sz w:val="22"/>
          <w:szCs w:val="22"/>
          <w:lang w:val="es-CR"/>
        </w:rPr>
        <w:t>mo Ente Aut</w:t>
      </w:r>
      <w:r>
        <w:rPr>
          <w:rFonts w:cs="Arial"/>
          <w:sz w:val="22"/>
          <w:szCs w:val="22"/>
          <w:lang w:val="es-CR"/>
        </w:rPr>
        <w:t>o</w:t>
      </w:r>
      <w:r w:rsidRPr="00D212B4">
        <w:rPr>
          <w:rFonts w:cs="Arial"/>
          <w:sz w:val="22"/>
          <w:szCs w:val="22"/>
          <w:lang w:val="es-CR"/>
        </w:rPr>
        <w:t>rizado.</w:t>
      </w:r>
    </w:p>
    <w:p w:rsidR="00D212B4" w:rsidRPr="00D212B4" w:rsidRDefault="00D212B4" w:rsidP="00D212B4">
      <w:pPr>
        <w:spacing w:line="360" w:lineRule="auto"/>
        <w:jc w:val="both"/>
        <w:rPr>
          <w:rFonts w:cs="Arial"/>
          <w:sz w:val="22"/>
          <w:szCs w:val="22"/>
          <w:lang w:val="es-CR"/>
        </w:rPr>
      </w:pPr>
    </w:p>
    <w:p w:rsidR="007175FA" w:rsidRPr="00EC47C1" w:rsidRDefault="000C36CA" w:rsidP="007175FA">
      <w:pPr>
        <w:spacing w:line="360" w:lineRule="auto"/>
        <w:jc w:val="both"/>
        <w:rPr>
          <w:rFonts w:cs="Arial"/>
          <w:sz w:val="22"/>
          <w:szCs w:val="22"/>
        </w:rPr>
      </w:pPr>
      <w:r>
        <w:rPr>
          <w:rFonts w:cs="Arial"/>
          <w:b/>
          <w:sz w:val="22"/>
          <w:szCs w:val="22"/>
        </w:rPr>
        <w:t>3</w:t>
      </w:r>
      <w:r w:rsidR="007175FA">
        <w:rPr>
          <w:rFonts w:cs="Arial"/>
          <w:b/>
          <w:sz w:val="22"/>
          <w:szCs w:val="22"/>
        </w:rPr>
        <w:t xml:space="preserve">) </w:t>
      </w:r>
      <w:r w:rsidR="007175FA" w:rsidRPr="00EC47C1">
        <w:rPr>
          <w:rFonts w:cs="Arial"/>
          <w:sz w:val="22"/>
          <w:szCs w:val="22"/>
        </w:rPr>
        <w:t>Con fundamento</w:t>
      </w:r>
      <w:r w:rsidR="007175FA">
        <w:rPr>
          <w:rFonts w:cs="Arial"/>
          <w:b/>
          <w:sz w:val="22"/>
          <w:szCs w:val="22"/>
        </w:rPr>
        <w:t xml:space="preserve"> </w:t>
      </w:r>
      <w:r w:rsidR="007175FA" w:rsidRPr="00EC47C1">
        <w:rPr>
          <w:rFonts w:cs="Arial"/>
          <w:sz w:val="22"/>
          <w:szCs w:val="22"/>
        </w:rPr>
        <w:t xml:space="preserve">en los artículos 150 de la Ley del SFNV y 123 del Reglamento de Operaciones del SFNV, </w:t>
      </w:r>
      <w:r w:rsidR="007175FA">
        <w:rPr>
          <w:rFonts w:cs="Arial"/>
          <w:sz w:val="22"/>
          <w:szCs w:val="22"/>
        </w:rPr>
        <w:t xml:space="preserve">se fija el Tope de Vivienda de Interés Social en la suma de ¢65.801.000,00 (sesenta y cinco millones ochocientos un mil colones exactos); el cual </w:t>
      </w:r>
      <w:r w:rsidR="007175FA" w:rsidRPr="00DC56E4">
        <w:rPr>
          <w:rFonts w:cs="Arial"/>
          <w:sz w:val="22"/>
          <w:szCs w:val="22"/>
        </w:rPr>
        <w:t xml:space="preserve">rige a partir de </w:t>
      </w:r>
      <w:r w:rsidR="00DC56E4" w:rsidRPr="00DC56E4">
        <w:rPr>
          <w:rFonts w:cs="Arial"/>
          <w:sz w:val="22"/>
          <w:szCs w:val="22"/>
        </w:rPr>
        <w:t>esta</w:t>
      </w:r>
      <w:r w:rsidR="007175FA" w:rsidRPr="00DC56E4">
        <w:rPr>
          <w:rFonts w:cs="Arial"/>
          <w:sz w:val="22"/>
          <w:szCs w:val="22"/>
        </w:rPr>
        <w:t xml:space="preserve"> fecha.</w:t>
      </w:r>
    </w:p>
    <w:p w:rsidR="00EC47C1" w:rsidRDefault="00EC47C1" w:rsidP="002B71CC">
      <w:pPr>
        <w:spacing w:line="360" w:lineRule="auto"/>
        <w:jc w:val="both"/>
        <w:rPr>
          <w:rFonts w:cs="Arial"/>
          <w:sz w:val="22"/>
          <w:szCs w:val="22"/>
        </w:rPr>
      </w:pPr>
    </w:p>
    <w:p w:rsidR="00EC47C1" w:rsidRDefault="00280F7F" w:rsidP="002B71CC">
      <w:pPr>
        <w:spacing w:line="360" w:lineRule="auto"/>
        <w:jc w:val="both"/>
        <w:rPr>
          <w:rFonts w:cs="Arial"/>
          <w:sz w:val="22"/>
          <w:szCs w:val="22"/>
        </w:rPr>
      </w:pPr>
      <w:r>
        <w:rPr>
          <w:rFonts w:cs="Arial"/>
          <w:b/>
          <w:sz w:val="22"/>
          <w:szCs w:val="22"/>
        </w:rPr>
        <w:t>4</w:t>
      </w:r>
      <w:r w:rsidR="007175FA" w:rsidRPr="00280F7F">
        <w:rPr>
          <w:rFonts w:cs="Arial"/>
          <w:b/>
          <w:sz w:val="22"/>
          <w:szCs w:val="22"/>
        </w:rPr>
        <w:t>)</w:t>
      </w:r>
      <w:r w:rsidR="007175FA">
        <w:rPr>
          <w:rFonts w:cs="Arial"/>
          <w:sz w:val="22"/>
          <w:szCs w:val="22"/>
        </w:rPr>
        <w:t xml:space="preserve"> Se derogan las siguientes disposiciones:</w:t>
      </w:r>
    </w:p>
    <w:p w:rsidR="007175FA" w:rsidRDefault="007175FA" w:rsidP="007175FA">
      <w:pPr>
        <w:spacing w:line="360" w:lineRule="auto"/>
        <w:jc w:val="both"/>
        <w:rPr>
          <w:rFonts w:cs="Arial"/>
          <w:sz w:val="22"/>
          <w:szCs w:val="22"/>
        </w:rPr>
      </w:pPr>
      <w:r>
        <w:rPr>
          <w:rFonts w:cs="Arial"/>
          <w:sz w:val="22"/>
          <w:szCs w:val="22"/>
          <w:lang w:val="es-CR"/>
        </w:rPr>
        <w:t xml:space="preserve">a. </w:t>
      </w:r>
      <w:r w:rsidRPr="007175FA">
        <w:rPr>
          <w:rFonts w:cs="Arial"/>
          <w:sz w:val="22"/>
          <w:szCs w:val="22"/>
          <w:lang w:val="es-CR"/>
        </w:rPr>
        <w:t>Acuerd</w:t>
      </w:r>
      <w:r>
        <w:rPr>
          <w:rFonts w:cs="Arial"/>
          <w:sz w:val="22"/>
          <w:szCs w:val="22"/>
          <w:lang w:val="es-CR"/>
        </w:rPr>
        <w:t>o</w:t>
      </w:r>
      <w:r w:rsidRPr="007175FA">
        <w:rPr>
          <w:rFonts w:cs="Arial"/>
          <w:sz w:val="22"/>
          <w:szCs w:val="22"/>
          <w:lang w:val="es-CR"/>
        </w:rPr>
        <w:t xml:space="preserve"> #</w:t>
      </w:r>
      <w:r>
        <w:rPr>
          <w:rFonts w:cs="Arial"/>
          <w:sz w:val="22"/>
          <w:szCs w:val="22"/>
          <w:lang w:val="es-CR"/>
        </w:rPr>
        <w:t xml:space="preserve"> </w:t>
      </w:r>
      <w:r w:rsidRPr="007175FA">
        <w:rPr>
          <w:rFonts w:cs="Arial"/>
          <w:sz w:val="22"/>
          <w:szCs w:val="22"/>
          <w:lang w:val="es-CR"/>
        </w:rPr>
        <w:t>1</w:t>
      </w:r>
      <w:r>
        <w:rPr>
          <w:rFonts w:cs="Arial"/>
          <w:sz w:val="22"/>
          <w:szCs w:val="22"/>
          <w:lang w:val="es-CR"/>
        </w:rPr>
        <w:t xml:space="preserve"> de la sesión </w:t>
      </w:r>
      <w:r w:rsidRPr="007175FA">
        <w:rPr>
          <w:rFonts w:cs="Arial"/>
          <w:sz w:val="22"/>
          <w:szCs w:val="22"/>
          <w:lang w:val="es-CR"/>
        </w:rPr>
        <w:t>73-2002</w:t>
      </w:r>
      <w:r>
        <w:rPr>
          <w:rFonts w:cs="Arial"/>
          <w:sz w:val="22"/>
          <w:szCs w:val="22"/>
          <w:lang w:val="es-CR"/>
        </w:rPr>
        <w:t>,</w:t>
      </w:r>
      <w:r w:rsidRPr="007175FA">
        <w:rPr>
          <w:rFonts w:cs="Arial"/>
          <w:sz w:val="22"/>
          <w:szCs w:val="22"/>
          <w:lang w:val="es-CR"/>
        </w:rPr>
        <w:t xml:space="preserve"> del 07 de n</w:t>
      </w:r>
      <w:r>
        <w:rPr>
          <w:rFonts w:cs="Arial"/>
          <w:sz w:val="22"/>
          <w:szCs w:val="22"/>
          <w:lang w:val="es-CR"/>
        </w:rPr>
        <w:t>o</w:t>
      </w:r>
      <w:r w:rsidRPr="007175FA">
        <w:rPr>
          <w:rFonts w:cs="Arial"/>
          <w:sz w:val="22"/>
          <w:szCs w:val="22"/>
          <w:lang w:val="es-CR"/>
        </w:rPr>
        <w:t xml:space="preserve">viembre de 2002 </w:t>
      </w:r>
      <w:r>
        <w:rPr>
          <w:rFonts w:cs="Arial"/>
          <w:sz w:val="22"/>
          <w:szCs w:val="22"/>
          <w:lang w:val="es-CR"/>
        </w:rPr>
        <w:t>(a</w:t>
      </w:r>
      <w:r w:rsidRPr="007175FA">
        <w:rPr>
          <w:rFonts w:cs="Arial"/>
          <w:sz w:val="22"/>
          <w:szCs w:val="22"/>
          <w:lang w:val="es-CR"/>
        </w:rPr>
        <w:t>pr</w:t>
      </w:r>
      <w:r>
        <w:rPr>
          <w:rFonts w:cs="Arial"/>
          <w:sz w:val="22"/>
          <w:szCs w:val="22"/>
          <w:lang w:val="es-CR"/>
        </w:rPr>
        <w:t>obación</w:t>
      </w:r>
      <w:r w:rsidRPr="007175FA">
        <w:rPr>
          <w:rFonts w:cs="Arial"/>
          <w:sz w:val="22"/>
          <w:szCs w:val="22"/>
          <w:lang w:val="es-CR"/>
        </w:rPr>
        <w:t xml:space="preserve"> de</w:t>
      </w:r>
      <w:r>
        <w:rPr>
          <w:rFonts w:cs="Arial"/>
          <w:sz w:val="22"/>
          <w:szCs w:val="22"/>
          <w:lang w:val="es-CR"/>
        </w:rPr>
        <w:t xml:space="preserve">l </w:t>
      </w:r>
      <w:r w:rsidRPr="007175FA">
        <w:rPr>
          <w:rFonts w:cs="Arial"/>
          <w:sz w:val="22"/>
          <w:szCs w:val="22"/>
          <w:lang w:val="es-CR"/>
        </w:rPr>
        <w:t>Pr</w:t>
      </w:r>
      <w:r>
        <w:rPr>
          <w:rFonts w:cs="Arial"/>
          <w:sz w:val="22"/>
          <w:szCs w:val="22"/>
          <w:lang w:val="es-CR"/>
        </w:rPr>
        <w:t>o</w:t>
      </w:r>
      <w:r w:rsidRPr="007175FA">
        <w:rPr>
          <w:rFonts w:cs="Arial"/>
          <w:sz w:val="22"/>
          <w:szCs w:val="22"/>
          <w:lang w:val="es-CR"/>
        </w:rPr>
        <w:t>grama Ah</w:t>
      </w:r>
      <w:r>
        <w:rPr>
          <w:rFonts w:cs="Arial"/>
          <w:sz w:val="22"/>
          <w:szCs w:val="22"/>
          <w:lang w:val="es-CR"/>
        </w:rPr>
        <w:t>orro</w:t>
      </w:r>
      <w:r w:rsidRPr="007175FA">
        <w:rPr>
          <w:rFonts w:cs="Arial"/>
          <w:sz w:val="22"/>
          <w:szCs w:val="22"/>
          <w:lang w:val="es-CR"/>
        </w:rPr>
        <w:t xml:space="preserve"> B</w:t>
      </w:r>
      <w:r>
        <w:rPr>
          <w:rFonts w:cs="Arial"/>
          <w:sz w:val="22"/>
          <w:szCs w:val="22"/>
          <w:lang w:val="es-CR"/>
        </w:rPr>
        <w:t>ono</w:t>
      </w:r>
      <w:r w:rsidRPr="007175FA">
        <w:rPr>
          <w:rFonts w:cs="Arial"/>
          <w:sz w:val="22"/>
          <w:szCs w:val="22"/>
          <w:lang w:val="es-CR"/>
        </w:rPr>
        <w:t xml:space="preserve"> Cr</w:t>
      </w:r>
      <w:r>
        <w:rPr>
          <w:rFonts w:cs="Arial"/>
          <w:sz w:val="22"/>
          <w:szCs w:val="22"/>
          <w:lang w:val="es-CR"/>
        </w:rPr>
        <w:t>é</w:t>
      </w:r>
      <w:r w:rsidRPr="007175FA">
        <w:rPr>
          <w:rFonts w:cs="Arial"/>
          <w:sz w:val="22"/>
          <w:szCs w:val="22"/>
          <w:lang w:val="es-CR"/>
        </w:rPr>
        <w:t>dit</w:t>
      </w:r>
      <w:r>
        <w:rPr>
          <w:rFonts w:cs="Arial"/>
          <w:sz w:val="22"/>
          <w:szCs w:val="22"/>
          <w:lang w:val="es-CR"/>
        </w:rPr>
        <w:t>o)</w:t>
      </w:r>
      <w:r w:rsidRPr="007175FA">
        <w:rPr>
          <w:rFonts w:cs="Arial"/>
          <w:sz w:val="22"/>
          <w:szCs w:val="22"/>
          <w:lang w:val="es-CR"/>
        </w:rPr>
        <w:t>.</w:t>
      </w:r>
    </w:p>
    <w:p w:rsidR="007175FA" w:rsidRPr="007175FA" w:rsidRDefault="007175FA" w:rsidP="007175FA">
      <w:pPr>
        <w:spacing w:line="360" w:lineRule="auto"/>
        <w:jc w:val="both"/>
        <w:rPr>
          <w:rFonts w:cs="Arial"/>
          <w:sz w:val="22"/>
          <w:szCs w:val="22"/>
          <w:lang w:val="es-CR"/>
        </w:rPr>
      </w:pPr>
      <w:r>
        <w:rPr>
          <w:rFonts w:cs="Arial"/>
          <w:sz w:val="22"/>
          <w:szCs w:val="22"/>
          <w:lang w:val="es-CR"/>
        </w:rPr>
        <w:t xml:space="preserve">b. </w:t>
      </w:r>
      <w:r w:rsidRPr="007175FA">
        <w:rPr>
          <w:rFonts w:cs="Arial"/>
          <w:sz w:val="22"/>
          <w:szCs w:val="22"/>
          <w:lang w:val="es-CR"/>
        </w:rPr>
        <w:t>Acuerdo #</w:t>
      </w:r>
      <w:r>
        <w:rPr>
          <w:rFonts w:cs="Arial"/>
          <w:sz w:val="22"/>
          <w:szCs w:val="22"/>
          <w:lang w:val="es-CR"/>
        </w:rPr>
        <w:t xml:space="preserve"> </w:t>
      </w:r>
      <w:r w:rsidRPr="007175FA">
        <w:rPr>
          <w:rFonts w:cs="Arial"/>
          <w:sz w:val="22"/>
          <w:szCs w:val="22"/>
          <w:lang w:val="es-CR"/>
        </w:rPr>
        <w:t>2</w:t>
      </w:r>
      <w:r>
        <w:rPr>
          <w:rFonts w:cs="Arial"/>
          <w:sz w:val="22"/>
          <w:szCs w:val="22"/>
          <w:lang w:val="es-CR"/>
        </w:rPr>
        <w:t xml:space="preserve"> de la </w:t>
      </w:r>
      <w:r w:rsidRPr="007175FA">
        <w:rPr>
          <w:rFonts w:cs="Arial"/>
          <w:sz w:val="22"/>
          <w:szCs w:val="22"/>
          <w:lang w:val="es-CR"/>
        </w:rPr>
        <w:t>sesi</w:t>
      </w:r>
      <w:r>
        <w:rPr>
          <w:rFonts w:cs="Arial"/>
          <w:sz w:val="22"/>
          <w:szCs w:val="22"/>
          <w:lang w:val="es-CR"/>
        </w:rPr>
        <w:t xml:space="preserve">ón </w:t>
      </w:r>
      <w:r w:rsidRPr="007175FA">
        <w:rPr>
          <w:rFonts w:cs="Arial"/>
          <w:sz w:val="22"/>
          <w:szCs w:val="22"/>
          <w:lang w:val="es-CR"/>
        </w:rPr>
        <w:t>12-2003</w:t>
      </w:r>
      <w:r>
        <w:rPr>
          <w:rFonts w:cs="Arial"/>
          <w:sz w:val="22"/>
          <w:szCs w:val="22"/>
          <w:lang w:val="es-CR"/>
        </w:rPr>
        <w:t>,</w:t>
      </w:r>
      <w:r w:rsidRPr="007175FA">
        <w:rPr>
          <w:rFonts w:cs="Arial"/>
          <w:sz w:val="22"/>
          <w:szCs w:val="22"/>
          <w:lang w:val="es-CR"/>
        </w:rPr>
        <w:t xml:space="preserve"> del 06 de marzo de 2003</w:t>
      </w:r>
      <w:r>
        <w:rPr>
          <w:rFonts w:cs="Arial"/>
          <w:sz w:val="22"/>
          <w:szCs w:val="22"/>
          <w:lang w:val="es-CR"/>
        </w:rPr>
        <w:t xml:space="preserve"> (aval </w:t>
      </w:r>
      <w:r w:rsidRPr="007175FA">
        <w:rPr>
          <w:rFonts w:cs="Arial"/>
          <w:sz w:val="22"/>
          <w:szCs w:val="22"/>
          <w:lang w:val="es-CR"/>
        </w:rPr>
        <w:t>a par</w:t>
      </w:r>
      <w:r>
        <w:rPr>
          <w:rFonts w:cs="Arial"/>
          <w:sz w:val="22"/>
          <w:szCs w:val="22"/>
          <w:lang w:val="es-CR"/>
        </w:rPr>
        <w:t>á</w:t>
      </w:r>
      <w:r w:rsidRPr="007175FA">
        <w:rPr>
          <w:rFonts w:cs="Arial"/>
          <w:sz w:val="22"/>
          <w:szCs w:val="22"/>
          <w:lang w:val="es-CR"/>
        </w:rPr>
        <w:t>metros para</w:t>
      </w:r>
      <w:r>
        <w:rPr>
          <w:rFonts w:cs="Arial"/>
          <w:sz w:val="22"/>
          <w:szCs w:val="22"/>
          <w:lang w:val="es-CR"/>
        </w:rPr>
        <w:t xml:space="preserve"> ajustar el Programa ABC al mo</w:t>
      </w:r>
      <w:r w:rsidRPr="007175FA">
        <w:rPr>
          <w:rFonts w:cs="Arial"/>
          <w:sz w:val="22"/>
          <w:szCs w:val="22"/>
          <w:lang w:val="es-CR"/>
        </w:rPr>
        <w:t>nto m</w:t>
      </w:r>
      <w:r>
        <w:rPr>
          <w:rFonts w:cs="Arial"/>
          <w:sz w:val="22"/>
          <w:szCs w:val="22"/>
          <w:lang w:val="es-CR"/>
        </w:rPr>
        <w:t>áximo</w:t>
      </w:r>
      <w:r w:rsidRPr="007175FA">
        <w:rPr>
          <w:rFonts w:cs="Arial"/>
          <w:sz w:val="22"/>
          <w:szCs w:val="22"/>
          <w:lang w:val="es-CR"/>
        </w:rPr>
        <w:t xml:space="preserve"> y m</w:t>
      </w:r>
      <w:r>
        <w:rPr>
          <w:rFonts w:cs="Arial"/>
          <w:sz w:val="22"/>
          <w:szCs w:val="22"/>
          <w:lang w:val="es-CR"/>
        </w:rPr>
        <w:t>ínimo</w:t>
      </w:r>
      <w:r w:rsidRPr="007175FA">
        <w:rPr>
          <w:rFonts w:cs="Arial"/>
          <w:sz w:val="22"/>
          <w:szCs w:val="22"/>
          <w:lang w:val="es-CR"/>
        </w:rPr>
        <w:t xml:space="preserve"> del Bono Familiar de</w:t>
      </w:r>
      <w:r>
        <w:rPr>
          <w:rFonts w:cs="Arial"/>
          <w:sz w:val="22"/>
          <w:szCs w:val="22"/>
          <w:lang w:val="es-CR"/>
        </w:rPr>
        <w:t xml:space="preserve"> </w:t>
      </w:r>
      <w:r w:rsidRPr="007175FA">
        <w:rPr>
          <w:rFonts w:cs="Arial"/>
          <w:sz w:val="22"/>
          <w:szCs w:val="22"/>
          <w:lang w:val="es-CR"/>
        </w:rPr>
        <w:t>Vivienda</w:t>
      </w:r>
      <w:r>
        <w:rPr>
          <w:rFonts w:cs="Arial"/>
          <w:sz w:val="22"/>
          <w:szCs w:val="22"/>
          <w:lang w:val="es-CR"/>
        </w:rPr>
        <w:t>)</w:t>
      </w:r>
      <w:r w:rsidRPr="007175FA">
        <w:rPr>
          <w:rFonts w:cs="Arial"/>
          <w:sz w:val="22"/>
          <w:szCs w:val="22"/>
          <w:lang w:val="es-CR"/>
        </w:rPr>
        <w:t>.</w:t>
      </w:r>
    </w:p>
    <w:p w:rsidR="007175FA" w:rsidRPr="007175FA" w:rsidRDefault="007175FA" w:rsidP="007175FA">
      <w:pPr>
        <w:spacing w:line="360" w:lineRule="auto"/>
        <w:jc w:val="both"/>
        <w:rPr>
          <w:rFonts w:cs="Arial"/>
          <w:sz w:val="22"/>
          <w:szCs w:val="22"/>
          <w:lang w:val="es-CR"/>
        </w:rPr>
      </w:pPr>
      <w:r>
        <w:rPr>
          <w:rFonts w:cs="Arial"/>
          <w:sz w:val="22"/>
          <w:szCs w:val="22"/>
          <w:lang w:val="es-CR"/>
        </w:rPr>
        <w:t xml:space="preserve">c. </w:t>
      </w:r>
      <w:r w:rsidRPr="007175FA">
        <w:rPr>
          <w:rFonts w:cs="Arial"/>
          <w:sz w:val="22"/>
          <w:szCs w:val="22"/>
          <w:lang w:val="es-CR"/>
        </w:rPr>
        <w:t>Acuerdo #</w:t>
      </w:r>
      <w:r>
        <w:rPr>
          <w:rFonts w:cs="Arial"/>
          <w:sz w:val="22"/>
          <w:szCs w:val="22"/>
          <w:lang w:val="es-CR"/>
        </w:rPr>
        <w:t xml:space="preserve"> </w:t>
      </w:r>
      <w:r w:rsidRPr="007175FA">
        <w:rPr>
          <w:rFonts w:cs="Arial"/>
          <w:sz w:val="22"/>
          <w:szCs w:val="22"/>
          <w:lang w:val="es-CR"/>
        </w:rPr>
        <w:t>6</w:t>
      </w:r>
      <w:r>
        <w:rPr>
          <w:rFonts w:cs="Arial"/>
          <w:sz w:val="22"/>
          <w:szCs w:val="22"/>
          <w:lang w:val="es-CR"/>
        </w:rPr>
        <w:t xml:space="preserve"> de la </w:t>
      </w:r>
      <w:r w:rsidRPr="007175FA">
        <w:rPr>
          <w:rFonts w:cs="Arial"/>
          <w:sz w:val="22"/>
          <w:szCs w:val="22"/>
          <w:lang w:val="es-CR"/>
        </w:rPr>
        <w:t>sesi</w:t>
      </w:r>
      <w:r>
        <w:rPr>
          <w:rFonts w:cs="Arial"/>
          <w:sz w:val="22"/>
          <w:szCs w:val="22"/>
          <w:lang w:val="es-CR"/>
        </w:rPr>
        <w:t xml:space="preserve">ón </w:t>
      </w:r>
      <w:r w:rsidRPr="007175FA">
        <w:rPr>
          <w:rFonts w:cs="Arial"/>
          <w:sz w:val="22"/>
          <w:szCs w:val="22"/>
          <w:lang w:val="es-CR"/>
        </w:rPr>
        <w:t>57-2004</w:t>
      </w:r>
      <w:r>
        <w:rPr>
          <w:rFonts w:cs="Arial"/>
          <w:sz w:val="22"/>
          <w:szCs w:val="22"/>
          <w:lang w:val="es-CR"/>
        </w:rPr>
        <w:t>,</w:t>
      </w:r>
      <w:r w:rsidRPr="007175FA">
        <w:rPr>
          <w:rFonts w:cs="Arial"/>
          <w:sz w:val="22"/>
          <w:szCs w:val="22"/>
          <w:lang w:val="es-CR"/>
        </w:rPr>
        <w:t xml:space="preserve"> del 30 de setiembre de 2004</w:t>
      </w:r>
      <w:r>
        <w:rPr>
          <w:rFonts w:cs="Arial"/>
          <w:sz w:val="22"/>
          <w:szCs w:val="22"/>
          <w:lang w:val="es-CR"/>
        </w:rPr>
        <w:t xml:space="preserve"> (adición</w:t>
      </w:r>
      <w:r w:rsidRPr="007175FA">
        <w:rPr>
          <w:rFonts w:cs="Arial"/>
          <w:sz w:val="22"/>
          <w:szCs w:val="22"/>
          <w:lang w:val="es-CR"/>
        </w:rPr>
        <w:t xml:space="preserve"> al</w:t>
      </w:r>
      <w:r>
        <w:rPr>
          <w:rFonts w:cs="Arial"/>
          <w:sz w:val="22"/>
          <w:szCs w:val="22"/>
          <w:lang w:val="es-CR"/>
        </w:rPr>
        <w:t xml:space="preserve"> </w:t>
      </w:r>
      <w:r w:rsidRPr="007175FA">
        <w:rPr>
          <w:rFonts w:cs="Arial"/>
          <w:sz w:val="22"/>
          <w:szCs w:val="22"/>
          <w:lang w:val="es-CR"/>
        </w:rPr>
        <w:t xml:space="preserve">Programa ABC para permitir </w:t>
      </w:r>
      <w:r>
        <w:rPr>
          <w:rFonts w:cs="Arial"/>
          <w:sz w:val="22"/>
          <w:szCs w:val="22"/>
          <w:lang w:val="es-CR"/>
        </w:rPr>
        <w:t>l</w:t>
      </w:r>
      <w:r w:rsidRPr="007175FA">
        <w:rPr>
          <w:rFonts w:cs="Arial"/>
          <w:sz w:val="22"/>
          <w:szCs w:val="22"/>
          <w:lang w:val="es-CR"/>
        </w:rPr>
        <w:t>a compra de viviendas usadas</w:t>
      </w:r>
      <w:r>
        <w:rPr>
          <w:rFonts w:cs="Arial"/>
          <w:sz w:val="22"/>
          <w:szCs w:val="22"/>
          <w:lang w:val="es-CR"/>
        </w:rPr>
        <w:t>)</w:t>
      </w:r>
      <w:r w:rsidRPr="007175FA">
        <w:rPr>
          <w:rFonts w:cs="Arial"/>
          <w:sz w:val="22"/>
          <w:szCs w:val="22"/>
          <w:lang w:val="es-CR"/>
        </w:rPr>
        <w:t>.</w:t>
      </w:r>
    </w:p>
    <w:p w:rsidR="007175FA" w:rsidRPr="007175FA" w:rsidRDefault="007175FA" w:rsidP="007175FA">
      <w:pPr>
        <w:spacing w:line="360" w:lineRule="auto"/>
        <w:jc w:val="both"/>
        <w:rPr>
          <w:rFonts w:cs="Arial"/>
          <w:sz w:val="22"/>
          <w:szCs w:val="22"/>
          <w:lang w:val="es-CR"/>
        </w:rPr>
      </w:pPr>
      <w:r>
        <w:rPr>
          <w:rFonts w:cs="Arial"/>
          <w:sz w:val="22"/>
          <w:szCs w:val="22"/>
          <w:lang w:val="es-CR"/>
        </w:rPr>
        <w:t xml:space="preserve">d. </w:t>
      </w:r>
      <w:r w:rsidRPr="007175FA">
        <w:rPr>
          <w:rFonts w:cs="Arial"/>
          <w:sz w:val="22"/>
          <w:szCs w:val="22"/>
          <w:lang w:val="es-CR"/>
        </w:rPr>
        <w:t>Acuerdo #</w:t>
      </w:r>
      <w:r>
        <w:rPr>
          <w:rFonts w:cs="Arial"/>
          <w:sz w:val="22"/>
          <w:szCs w:val="22"/>
          <w:lang w:val="es-CR"/>
        </w:rPr>
        <w:t xml:space="preserve"> </w:t>
      </w:r>
      <w:r w:rsidRPr="007175FA">
        <w:rPr>
          <w:rFonts w:cs="Arial"/>
          <w:sz w:val="22"/>
          <w:szCs w:val="22"/>
          <w:lang w:val="es-CR"/>
        </w:rPr>
        <w:t>2</w:t>
      </w:r>
      <w:r>
        <w:rPr>
          <w:rFonts w:cs="Arial"/>
          <w:sz w:val="22"/>
          <w:szCs w:val="22"/>
          <w:lang w:val="es-CR"/>
        </w:rPr>
        <w:t xml:space="preserve"> de la </w:t>
      </w:r>
      <w:r w:rsidRPr="007175FA">
        <w:rPr>
          <w:rFonts w:cs="Arial"/>
          <w:sz w:val="22"/>
          <w:szCs w:val="22"/>
          <w:lang w:val="es-CR"/>
        </w:rPr>
        <w:t>sesi</w:t>
      </w:r>
      <w:r>
        <w:rPr>
          <w:rFonts w:cs="Arial"/>
          <w:sz w:val="22"/>
          <w:szCs w:val="22"/>
          <w:lang w:val="es-CR"/>
        </w:rPr>
        <w:t xml:space="preserve">ón </w:t>
      </w:r>
      <w:r w:rsidRPr="007175FA">
        <w:rPr>
          <w:rFonts w:cs="Arial"/>
          <w:sz w:val="22"/>
          <w:szCs w:val="22"/>
          <w:lang w:val="es-CR"/>
        </w:rPr>
        <w:t>56-2008</w:t>
      </w:r>
      <w:r>
        <w:rPr>
          <w:rFonts w:cs="Arial"/>
          <w:sz w:val="22"/>
          <w:szCs w:val="22"/>
          <w:lang w:val="es-CR"/>
        </w:rPr>
        <w:t>,</w:t>
      </w:r>
      <w:r w:rsidRPr="007175FA">
        <w:rPr>
          <w:rFonts w:cs="Arial"/>
          <w:sz w:val="22"/>
          <w:szCs w:val="22"/>
          <w:lang w:val="es-CR"/>
        </w:rPr>
        <w:t xml:space="preserve"> del 12 de agosto de 2008</w:t>
      </w:r>
      <w:r>
        <w:rPr>
          <w:rFonts w:cs="Arial"/>
          <w:sz w:val="22"/>
          <w:szCs w:val="22"/>
          <w:lang w:val="es-CR"/>
        </w:rPr>
        <w:t xml:space="preserve"> (aprobación </w:t>
      </w:r>
      <w:r w:rsidRPr="007175FA">
        <w:rPr>
          <w:rFonts w:cs="Arial"/>
          <w:sz w:val="22"/>
          <w:szCs w:val="22"/>
          <w:lang w:val="es-CR"/>
        </w:rPr>
        <w:t>del</w:t>
      </w:r>
      <w:r>
        <w:rPr>
          <w:rFonts w:cs="Arial"/>
          <w:sz w:val="22"/>
          <w:szCs w:val="22"/>
          <w:lang w:val="es-CR"/>
        </w:rPr>
        <w:t xml:space="preserve"> Programa Cré</w:t>
      </w:r>
      <w:r w:rsidRPr="007175FA">
        <w:rPr>
          <w:rFonts w:cs="Arial"/>
          <w:sz w:val="22"/>
          <w:szCs w:val="22"/>
          <w:lang w:val="es-CR"/>
        </w:rPr>
        <w:t>dito-Bono-Aporte Familiar</w:t>
      </w:r>
      <w:r>
        <w:rPr>
          <w:rFonts w:cs="Arial"/>
          <w:sz w:val="22"/>
          <w:szCs w:val="22"/>
          <w:lang w:val="es-CR"/>
        </w:rPr>
        <w:t>)</w:t>
      </w:r>
      <w:r w:rsidRPr="007175FA">
        <w:rPr>
          <w:rFonts w:cs="Arial"/>
          <w:sz w:val="22"/>
          <w:szCs w:val="22"/>
          <w:lang w:val="es-CR"/>
        </w:rPr>
        <w:t>.</w:t>
      </w:r>
    </w:p>
    <w:p w:rsidR="007175FA" w:rsidRPr="007175FA" w:rsidRDefault="007175FA" w:rsidP="007175FA">
      <w:pPr>
        <w:spacing w:line="360" w:lineRule="auto"/>
        <w:jc w:val="both"/>
        <w:rPr>
          <w:rFonts w:cs="Arial"/>
          <w:sz w:val="22"/>
          <w:szCs w:val="22"/>
          <w:lang w:val="es-CR"/>
        </w:rPr>
      </w:pPr>
      <w:r>
        <w:rPr>
          <w:rFonts w:cs="Arial"/>
          <w:sz w:val="22"/>
          <w:szCs w:val="22"/>
          <w:lang w:val="es-CR"/>
        </w:rPr>
        <w:t xml:space="preserve">e. </w:t>
      </w:r>
      <w:r w:rsidRPr="007175FA">
        <w:rPr>
          <w:rFonts w:cs="Arial"/>
          <w:sz w:val="22"/>
          <w:szCs w:val="22"/>
          <w:lang w:val="es-CR"/>
        </w:rPr>
        <w:t>Acuerdo #</w:t>
      </w:r>
      <w:r>
        <w:rPr>
          <w:rFonts w:cs="Arial"/>
          <w:sz w:val="22"/>
          <w:szCs w:val="22"/>
          <w:lang w:val="es-CR"/>
        </w:rPr>
        <w:t xml:space="preserve"> </w:t>
      </w:r>
      <w:r w:rsidRPr="007175FA">
        <w:rPr>
          <w:rFonts w:cs="Arial"/>
          <w:sz w:val="22"/>
          <w:szCs w:val="22"/>
          <w:lang w:val="es-CR"/>
        </w:rPr>
        <w:t>3</w:t>
      </w:r>
      <w:r>
        <w:rPr>
          <w:rFonts w:cs="Arial"/>
          <w:sz w:val="22"/>
          <w:szCs w:val="22"/>
          <w:lang w:val="es-CR"/>
        </w:rPr>
        <w:t xml:space="preserve"> de la </w:t>
      </w:r>
      <w:r w:rsidRPr="007175FA">
        <w:rPr>
          <w:rFonts w:cs="Arial"/>
          <w:sz w:val="22"/>
          <w:szCs w:val="22"/>
          <w:lang w:val="es-CR"/>
        </w:rPr>
        <w:t>sesi</w:t>
      </w:r>
      <w:r>
        <w:rPr>
          <w:rFonts w:cs="Arial"/>
          <w:sz w:val="22"/>
          <w:szCs w:val="22"/>
          <w:lang w:val="es-CR"/>
        </w:rPr>
        <w:t xml:space="preserve">ón </w:t>
      </w:r>
      <w:r w:rsidRPr="007175FA">
        <w:rPr>
          <w:rFonts w:cs="Arial"/>
          <w:sz w:val="22"/>
          <w:szCs w:val="22"/>
          <w:lang w:val="es-CR"/>
        </w:rPr>
        <w:t>46-2009</w:t>
      </w:r>
      <w:r>
        <w:rPr>
          <w:rFonts w:cs="Arial"/>
          <w:sz w:val="22"/>
          <w:szCs w:val="22"/>
          <w:lang w:val="es-CR"/>
        </w:rPr>
        <w:t>,</w:t>
      </w:r>
      <w:r w:rsidRPr="007175FA">
        <w:rPr>
          <w:rFonts w:cs="Arial"/>
          <w:sz w:val="22"/>
          <w:szCs w:val="22"/>
          <w:lang w:val="es-CR"/>
        </w:rPr>
        <w:t xml:space="preserve"> del 17 de junio de 2009</w:t>
      </w:r>
      <w:r>
        <w:rPr>
          <w:rFonts w:cs="Arial"/>
          <w:sz w:val="22"/>
          <w:szCs w:val="22"/>
          <w:lang w:val="es-CR"/>
        </w:rPr>
        <w:t xml:space="preserve"> (modificación a los </w:t>
      </w:r>
      <w:r w:rsidRPr="007175FA">
        <w:rPr>
          <w:rFonts w:cs="Arial"/>
          <w:sz w:val="22"/>
          <w:szCs w:val="22"/>
          <w:lang w:val="es-CR"/>
        </w:rPr>
        <w:t>par</w:t>
      </w:r>
      <w:r>
        <w:rPr>
          <w:rFonts w:cs="Arial"/>
          <w:sz w:val="22"/>
          <w:szCs w:val="22"/>
          <w:lang w:val="es-CR"/>
        </w:rPr>
        <w:t>á</w:t>
      </w:r>
      <w:r w:rsidRPr="007175FA">
        <w:rPr>
          <w:rFonts w:cs="Arial"/>
          <w:sz w:val="22"/>
          <w:szCs w:val="22"/>
          <w:lang w:val="es-CR"/>
        </w:rPr>
        <w:t xml:space="preserve">metros del programa ABC-Vivienda Vertical, incorporando </w:t>
      </w:r>
      <w:r>
        <w:rPr>
          <w:rFonts w:cs="Arial"/>
          <w:sz w:val="22"/>
          <w:szCs w:val="22"/>
          <w:lang w:val="es-CR"/>
        </w:rPr>
        <w:t>l</w:t>
      </w:r>
      <w:r w:rsidRPr="007175FA">
        <w:rPr>
          <w:rFonts w:cs="Arial"/>
          <w:sz w:val="22"/>
          <w:szCs w:val="22"/>
          <w:lang w:val="es-CR"/>
        </w:rPr>
        <w:t>a modalidad</w:t>
      </w:r>
      <w:r>
        <w:rPr>
          <w:rFonts w:cs="Arial"/>
          <w:sz w:val="22"/>
          <w:szCs w:val="22"/>
          <w:lang w:val="es-CR"/>
        </w:rPr>
        <w:t xml:space="preserve"> </w:t>
      </w:r>
      <w:r w:rsidRPr="007175FA">
        <w:rPr>
          <w:rFonts w:cs="Arial"/>
          <w:sz w:val="22"/>
          <w:szCs w:val="22"/>
          <w:lang w:val="es-CR"/>
        </w:rPr>
        <w:t>de Cr</w:t>
      </w:r>
      <w:r>
        <w:rPr>
          <w:rFonts w:cs="Arial"/>
          <w:sz w:val="22"/>
          <w:szCs w:val="22"/>
          <w:lang w:val="es-CR"/>
        </w:rPr>
        <w:t>é</w:t>
      </w:r>
      <w:r w:rsidRPr="007175FA">
        <w:rPr>
          <w:rFonts w:cs="Arial"/>
          <w:sz w:val="22"/>
          <w:szCs w:val="22"/>
          <w:lang w:val="es-CR"/>
        </w:rPr>
        <w:t>dito-Bono-Aporte</w:t>
      </w:r>
      <w:r>
        <w:rPr>
          <w:rFonts w:cs="Arial"/>
          <w:sz w:val="22"/>
          <w:szCs w:val="22"/>
          <w:lang w:val="es-CR"/>
        </w:rPr>
        <w:t>)</w:t>
      </w:r>
      <w:r w:rsidRPr="007175FA">
        <w:rPr>
          <w:rFonts w:cs="Arial"/>
          <w:sz w:val="22"/>
          <w:szCs w:val="22"/>
          <w:lang w:val="es-CR"/>
        </w:rPr>
        <w:t>.</w:t>
      </w:r>
    </w:p>
    <w:p w:rsidR="007175FA" w:rsidRDefault="007175FA" w:rsidP="007175FA">
      <w:pPr>
        <w:spacing w:line="360" w:lineRule="auto"/>
        <w:jc w:val="both"/>
        <w:rPr>
          <w:rFonts w:cs="Arial"/>
          <w:sz w:val="22"/>
          <w:szCs w:val="22"/>
        </w:rPr>
      </w:pPr>
      <w:r>
        <w:rPr>
          <w:rFonts w:cs="Arial"/>
          <w:sz w:val="22"/>
          <w:szCs w:val="22"/>
          <w:lang w:val="es-CR"/>
        </w:rPr>
        <w:t xml:space="preserve">f. </w:t>
      </w:r>
      <w:r w:rsidRPr="007175FA">
        <w:rPr>
          <w:rFonts w:cs="Arial"/>
          <w:sz w:val="22"/>
          <w:szCs w:val="22"/>
          <w:lang w:val="es-CR"/>
        </w:rPr>
        <w:t>Acuerdo #</w:t>
      </w:r>
      <w:r>
        <w:rPr>
          <w:rFonts w:cs="Arial"/>
          <w:sz w:val="22"/>
          <w:szCs w:val="22"/>
          <w:lang w:val="es-CR"/>
        </w:rPr>
        <w:t xml:space="preserve"> </w:t>
      </w:r>
      <w:r w:rsidRPr="007175FA">
        <w:rPr>
          <w:rFonts w:cs="Arial"/>
          <w:sz w:val="22"/>
          <w:szCs w:val="22"/>
          <w:lang w:val="es-CR"/>
        </w:rPr>
        <w:t>12</w:t>
      </w:r>
      <w:r>
        <w:rPr>
          <w:rFonts w:cs="Arial"/>
          <w:sz w:val="22"/>
          <w:szCs w:val="22"/>
          <w:lang w:val="es-CR"/>
        </w:rPr>
        <w:t xml:space="preserve"> de la </w:t>
      </w:r>
      <w:r w:rsidRPr="007175FA">
        <w:rPr>
          <w:rFonts w:cs="Arial"/>
          <w:sz w:val="22"/>
          <w:szCs w:val="22"/>
          <w:lang w:val="es-CR"/>
        </w:rPr>
        <w:t>sesi</w:t>
      </w:r>
      <w:r>
        <w:rPr>
          <w:rFonts w:cs="Arial"/>
          <w:sz w:val="22"/>
          <w:szCs w:val="22"/>
          <w:lang w:val="es-CR"/>
        </w:rPr>
        <w:t xml:space="preserve">ón </w:t>
      </w:r>
      <w:r w:rsidRPr="007175FA">
        <w:rPr>
          <w:rFonts w:cs="Arial"/>
          <w:sz w:val="22"/>
          <w:szCs w:val="22"/>
          <w:lang w:val="es-CR"/>
        </w:rPr>
        <w:t>70-2013</w:t>
      </w:r>
      <w:r>
        <w:rPr>
          <w:rFonts w:cs="Arial"/>
          <w:sz w:val="22"/>
          <w:szCs w:val="22"/>
          <w:lang w:val="es-CR"/>
        </w:rPr>
        <w:t>,</w:t>
      </w:r>
      <w:r w:rsidRPr="007175FA">
        <w:rPr>
          <w:rFonts w:cs="Arial"/>
          <w:sz w:val="22"/>
          <w:szCs w:val="22"/>
          <w:lang w:val="es-CR"/>
        </w:rPr>
        <w:t xml:space="preserve"> del 07 de octubre de 2010</w:t>
      </w:r>
      <w:r>
        <w:rPr>
          <w:rFonts w:cs="Arial"/>
          <w:sz w:val="22"/>
          <w:szCs w:val="22"/>
          <w:lang w:val="es-CR"/>
        </w:rPr>
        <w:t xml:space="preserve"> (estandarización del aporte mínimo </w:t>
      </w:r>
      <w:r w:rsidRPr="007175FA">
        <w:rPr>
          <w:rFonts w:cs="Arial"/>
          <w:sz w:val="22"/>
          <w:szCs w:val="22"/>
          <w:lang w:val="es-CR"/>
        </w:rPr>
        <w:t>de las familias dentro de las pr</w:t>
      </w:r>
      <w:r>
        <w:rPr>
          <w:rFonts w:cs="Arial"/>
          <w:sz w:val="22"/>
          <w:szCs w:val="22"/>
          <w:lang w:val="es-CR"/>
        </w:rPr>
        <w:t>o</w:t>
      </w:r>
      <w:r w:rsidRPr="007175FA">
        <w:rPr>
          <w:rFonts w:cs="Arial"/>
          <w:sz w:val="22"/>
          <w:szCs w:val="22"/>
          <w:lang w:val="es-CR"/>
        </w:rPr>
        <w:t>gramas ABC, ABC</w:t>
      </w:r>
      <w:r>
        <w:rPr>
          <w:rFonts w:cs="Arial"/>
          <w:sz w:val="22"/>
          <w:szCs w:val="22"/>
          <w:lang w:val="es-CR"/>
        </w:rPr>
        <w:t>-Vivienda Vertical y CB</w:t>
      </w:r>
      <w:r w:rsidRPr="007175FA">
        <w:rPr>
          <w:rFonts w:cs="Arial"/>
          <w:sz w:val="22"/>
          <w:szCs w:val="22"/>
          <w:lang w:val="es-CR"/>
        </w:rPr>
        <w:t>A</w:t>
      </w:r>
      <w:r>
        <w:rPr>
          <w:rFonts w:cs="Arial"/>
          <w:sz w:val="22"/>
          <w:szCs w:val="22"/>
          <w:lang w:val="es-CR"/>
        </w:rPr>
        <w:t>)</w:t>
      </w:r>
      <w:r w:rsidRPr="007175FA">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Pr="008F3DD4" w:rsidRDefault="00761E42" w:rsidP="002B71CC">
      <w:pPr>
        <w:spacing w:line="360" w:lineRule="auto"/>
        <w:jc w:val="both"/>
        <w:rPr>
          <w:rFonts w:cs="Arial"/>
          <w:b/>
          <w:sz w:val="22"/>
          <w:szCs w:val="22"/>
        </w:rPr>
      </w:pPr>
      <w:r w:rsidRPr="008F3DD4">
        <w:rPr>
          <w:rFonts w:cs="Arial"/>
          <w:b/>
          <w:sz w:val="22"/>
          <w:szCs w:val="22"/>
        </w:rPr>
        <w:t>Considerando:</w:t>
      </w:r>
    </w:p>
    <w:p w:rsidR="00761E42" w:rsidRDefault="00761E42" w:rsidP="002B71CC">
      <w:pPr>
        <w:spacing w:line="360" w:lineRule="auto"/>
        <w:jc w:val="both"/>
        <w:rPr>
          <w:rFonts w:cs="Arial"/>
          <w:sz w:val="22"/>
          <w:szCs w:val="22"/>
        </w:rPr>
      </w:pPr>
      <w:r w:rsidRPr="008F3DD4">
        <w:rPr>
          <w:rFonts w:cs="Arial"/>
          <w:b/>
          <w:sz w:val="22"/>
          <w:szCs w:val="22"/>
        </w:rPr>
        <w:t>Primero:</w:t>
      </w:r>
      <w:r>
        <w:rPr>
          <w:rFonts w:cs="Arial"/>
          <w:sz w:val="22"/>
          <w:szCs w:val="22"/>
        </w:rPr>
        <w:t xml:space="preserve"> Que por medio del oficio GG-ME-</w:t>
      </w:r>
      <w:r w:rsidR="00A03F89">
        <w:rPr>
          <w:rFonts w:cs="Arial"/>
          <w:sz w:val="22"/>
          <w:szCs w:val="22"/>
        </w:rPr>
        <w:t xml:space="preserve">0724-2019 del 11 de julio de 2019 y atendiendo lo dispuesto por esta Junta Directiva en el acuerdo N° 12 de la sesión 46-2019, celebrada el 17 de junio de 2019, la </w:t>
      </w:r>
      <w:r w:rsidR="00A03F89" w:rsidRPr="00A03F89">
        <w:rPr>
          <w:rFonts w:cs="Arial"/>
          <w:sz w:val="22"/>
          <w:szCs w:val="22"/>
        </w:rPr>
        <w:t>Gerencia General</w:t>
      </w:r>
      <w:r w:rsidR="00A03F89">
        <w:rPr>
          <w:rFonts w:cs="Arial"/>
          <w:sz w:val="22"/>
          <w:szCs w:val="22"/>
        </w:rPr>
        <w:t xml:space="preserve"> </w:t>
      </w:r>
      <w:r w:rsidR="00E86C01">
        <w:rPr>
          <w:rFonts w:cs="Arial"/>
          <w:sz w:val="22"/>
          <w:szCs w:val="22"/>
        </w:rPr>
        <w:t xml:space="preserve">somete a la consideración de este Órgano Colegiado, </w:t>
      </w:r>
      <w:r w:rsidR="006F4555">
        <w:rPr>
          <w:rFonts w:cs="Arial"/>
          <w:sz w:val="22"/>
          <w:szCs w:val="22"/>
        </w:rPr>
        <w:t>una</w:t>
      </w:r>
      <w:r w:rsidR="00E86C01">
        <w:rPr>
          <w:rFonts w:cs="Arial"/>
          <w:sz w:val="22"/>
          <w:szCs w:val="22"/>
        </w:rPr>
        <w:t xml:space="preserve"> </w:t>
      </w:r>
      <w:r w:rsidR="00A03F89">
        <w:rPr>
          <w:rFonts w:cs="Arial"/>
          <w:sz w:val="22"/>
          <w:szCs w:val="22"/>
        </w:rPr>
        <w:t xml:space="preserve">propuesta </w:t>
      </w:r>
      <w:r w:rsidR="006F4555">
        <w:rPr>
          <w:rFonts w:cs="Arial"/>
          <w:sz w:val="22"/>
          <w:szCs w:val="22"/>
        </w:rPr>
        <w:t xml:space="preserve">de “Programa integral de financiamiento para familias de ingresos medios, años 2019 y 2020”, </w:t>
      </w:r>
      <w:r w:rsidR="00E86C01">
        <w:rPr>
          <w:rFonts w:cs="Arial"/>
          <w:sz w:val="22"/>
          <w:szCs w:val="22"/>
        </w:rPr>
        <w:t>elaborada por la Dirección d</w:t>
      </w:r>
      <w:r w:rsidR="006F4555">
        <w:rPr>
          <w:rFonts w:cs="Arial"/>
          <w:sz w:val="22"/>
          <w:szCs w:val="22"/>
        </w:rPr>
        <w:t xml:space="preserve">el Fondo Nacional para Vivienda y cuyo objetivo es facilitar el acceso a una solución de vivienda para las familias de los segmentos de ingresos medios, mediante una mejora en las condiciones de los créditos para vivienda ofrecidos por las entidades autorizadas del </w:t>
      </w:r>
      <w:r w:rsidR="006F4555" w:rsidRPr="006F4555">
        <w:rPr>
          <w:rFonts w:cs="Arial"/>
          <w:sz w:val="22"/>
          <w:szCs w:val="22"/>
        </w:rPr>
        <w:t>Sistema Financiero Nacional para la Vivienda</w:t>
      </w:r>
      <w:r w:rsidR="006F4555">
        <w:rPr>
          <w:rFonts w:cs="Arial"/>
          <w:sz w:val="22"/>
          <w:szCs w:val="22"/>
        </w:rPr>
        <w:t>.</w:t>
      </w:r>
    </w:p>
    <w:p w:rsidR="008F3DD4" w:rsidRDefault="008F3DD4" w:rsidP="002B71CC">
      <w:pPr>
        <w:spacing w:line="360" w:lineRule="auto"/>
        <w:jc w:val="both"/>
        <w:rPr>
          <w:rFonts w:cs="Arial"/>
          <w:sz w:val="22"/>
          <w:szCs w:val="22"/>
        </w:rPr>
      </w:pPr>
    </w:p>
    <w:p w:rsidR="008F3DD4" w:rsidRDefault="008F3DD4" w:rsidP="002B71CC">
      <w:pPr>
        <w:spacing w:line="360" w:lineRule="auto"/>
        <w:jc w:val="both"/>
        <w:rPr>
          <w:rFonts w:cs="Arial"/>
          <w:sz w:val="22"/>
          <w:szCs w:val="22"/>
        </w:rPr>
      </w:pPr>
      <w:r w:rsidRPr="008F3DD4">
        <w:rPr>
          <w:rFonts w:cs="Arial"/>
          <w:b/>
          <w:sz w:val="22"/>
          <w:szCs w:val="22"/>
        </w:rPr>
        <w:t>Segundo:</w:t>
      </w:r>
      <w:r>
        <w:rPr>
          <w:rFonts w:cs="Arial"/>
          <w:sz w:val="22"/>
          <w:szCs w:val="22"/>
        </w:rPr>
        <w:t xml:space="preserve"> Que esta Junta Directiva estima pertinente actuar de la forma que recomienda la </w:t>
      </w:r>
      <w:r w:rsidRPr="008F3DD4">
        <w:rPr>
          <w:rFonts w:cs="Arial"/>
          <w:sz w:val="22"/>
          <w:szCs w:val="22"/>
        </w:rPr>
        <w:t>Administración</w:t>
      </w:r>
      <w:r>
        <w:rPr>
          <w:rFonts w:cs="Arial"/>
          <w:sz w:val="22"/>
          <w:szCs w:val="22"/>
        </w:rPr>
        <w:t>, en el tanto, dicha propuesta ha sido avalada por el Comité de Crédito en su sesión N° 04-2019 del 10 de junio de 2019, y además permite</w:t>
      </w:r>
      <w:r>
        <w:rPr>
          <w:rFonts w:cs="Arial"/>
          <w:sz w:val="22"/>
          <w:szCs w:val="22"/>
          <w:lang w:val="es-ES_tradnl"/>
        </w:rPr>
        <w:t xml:space="preserve"> articular diferentes instrumentos a disposición del </w:t>
      </w:r>
      <w:r w:rsidRPr="008F3DD4">
        <w:rPr>
          <w:rFonts w:cs="Arial"/>
          <w:sz w:val="22"/>
          <w:szCs w:val="22"/>
          <w:lang w:val="es-ES_tradnl"/>
        </w:rPr>
        <w:t>Sistema Financiero Nacional para la Vivienda</w:t>
      </w:r>
      <w:r>
        <w:rPr>
          <w:rFonts w:cs="Arial"/>
          <w:sz w:val="22"/>
          <w:szCs w:val="22"/>
          <w:lang w:val="es-ES_tradnl"/>
        </w:rPr>
        <w:t>, integrándolos en un programa dirigido a la atención de las necesidades habitacionales de los segmentos medios de la población, según se establecen en la Ley 7052, mediante la aplicación de instrumentos que fortalezcan la capacidad adquisitiva de</w:t>
      </w:r>
      <w:r w:rsidR="008D45B4">
        <w:rPr>
          <w:rFonts w:cs="Arial"/>
          <w:sz w:val="22"/>
          <w:szCs w:val="22"/>
          <w:lang w:val="es-ES_tradnl"/>
        </w:rPr>
        <w:t xml:space="preserve"> esas</w:t>
      </w:r>
      <w:r>
        <w:rPr>
          <w:rFonts w:cs="Arial"/>
          <w:sz w:val="22"/>
          <w:szCs w:val="22"/>
          <w:lang w:val="es-ES_tradnl"/>
        </w:rPr>
        <w:t>, procurando la oferta de casos individuales y proyectos de vivienda, a partir de la combinación de herramientas ya existentes y a disposición del BANHVI y de las entidades autorizadas.</w:t>
      </w:r>
    </w:p>
    <w:p w:rsidR="00D70373" w:rsidRDefault="00D70373" w:rsidP="002B71CC">
      <w:pPr>
        <w:spacing w:line="360" w:lineRule="auto"/>
        <w:jc w:val="both"/>
        <w:rPr>
          <w:rFonts w:cs="Arial"/>
          <w:sz w:val="22"/>
          <w:szCs w:val="22"/>
        </w:rPr>
      </w:pPr>
    </w:p>
    <w:p w:rsidR="008F3DD4" w:rsidRPr="008F3DD4" w:rsidRDefault="008F3DD4" w:rsidP="002B71CC">
      <w:pPr>
        <w:spacing w:line="360" w:lineRule="auto"/>
        <w:jc w:val="both"/>
        <w:rPr>
          <w:rFonts w:cs="Arial"/>
          <w:b/>
          <w:sz w:val="22"/>
          <w:szCs w:val="22"/>
        </w:rPr>
      </w:pPr>
      <w:r w:rsidRPr="008F3DD4">
        <w:rPr>
          <w:rFonts w:cs="Arial"/>
          <w:b/>
          <w:sz w:val="22"/>
          <w:szCs w:val="22"/>
        </w:rPr>
        <w:t>Por tanto, se acuerda:</w:t>
      </w:r>
    </w:p>
    <w:p w:rsidR="008F3DD4" w:rsidRDefault="008F3DD4" w:rsidP="002B71CC">
      <w:pPr>
        <w:spacing w:line="360" w:lineRule="auto"/>
        <w:jc w:val="both"/>
        <w:rPr>
          <w:rFonts w:cs="Arial"/>
          <w:sz w:val="22"/>
          <w:szCs w:val="22"/>
        </w:rPr>
      </w:pPr>
      <w:r w:rsidRPr="008F3DD4">
        <w:rPr>
          <w:rFonts w:cs="Arial"/>
          <w:b/>
          <w:sz w:val="22"/>
          <w:szCs w:val="22"/>
        </w:rPr>
        <w:t>A-)</w:t>
      </w:r>
      <w:r>
        <w:rPr>
          <w:rFonts w:cs="Arial"/>
          <w:sz w:val="22"/>
          <w:szCs w:val="22"/>
        </w:rPr>
        <w:t xml:space="preserve"> Aprobar y emitir el siguiente:</w:t>
      </w:r>
    </w:p>
    <w:p w:rsidR="008F3DD4" w:rsidRPr="00742ECB" w:rsidRDefault="008F3DD4" w:rsidP="00D06EC9">
      <w:pPr>
        <w:jc w:val="both"/>
        <w:rPr>
          <w:rFonts w:cs="Arial"/>
          <w:b/>
          <w:sz w:val="22"/>
          <w:szCs w:val="22"/>
          <w:lang w:val="es-ES_tradnl"/>
        </w:rPr>
      </w:pPr>
    </w:p>
    <w:p w:rsidR="008F3DD4" w:rsidRDefault="00742ECB" w:rsidP="00D06EC9">
      <w:pPr>
        <w:jc w:val="center"/>
        <w:rPr>
          <w:rFonts w:cs="Arial"/>
          <w:b/>
          <w:sz w:val="22"/>
          <w:szCs w:val="22"/>
          <w:lang w:val="es-ES_tradnl"/>
        </w:rPr>
      </w:pPr>
      <w:r w:rsidRPr="00D70373">
        <w:rPr>
          <w:rFonts w:cs="Arial"/>
          <w:b/>
          <w:sz w:val="22"/>
          <w:szCs w:val="22"/>
          <w:lang w:val="es-ES_tradnl"/>
        </w:rPr>
        <w:t xml:space="preserve">PROGRAMA INTEGRAL </w:t>
      </w:r>
      <w:r w:rsidR="008F3DD4">
        <w:rPr>
          <w:rFonts w:cs="Arial"/>
          <w:b/>
          <w:sz w:val="22"/>
          <w:szCs w:val="22"/>
          <w:lang w:val="es-ES_tradnl"/>
        </w:rPr>
        <w:t>DE FINANCIAMIENTO PARA FAMILIAS</w:t>
      </w:r>
    </w:p>
    <w:p w:rsidR="00742ECB" w:rsidRPr="00D70373" w:rsidRDefault="00742ECB" w:rsidP="00D06EC9">
      <w:pPr>
        <w:jc w:val="center"/>
        <w:rPr>
          <w:rFonts w:cs="Arial"/>
          <w:b/>
          <w:sz w:val="22"/>
          <w:szCs w:val="22"/>
          <w:lang w:val="es-ES_tradnl"/>
        </w:rPr>
      </w:pPr>
      <w:r w:rsidRPr="00D70373">
        <w:rPr>
          <w:rFonts w:cs="Arial"/>
          <w:b/>
          <w:sz w:val="22"/>
          <w:szCs w:val="22"/>
          <w:lang w:val="es-ES_tradnl"/>
        </w:rPr>
        <w:t>DE INGRESOS MEDIOS, AÑOS 2019 Y 2020</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5"/>
        </w:numPr>
        <w:jc w:val="both"/>
        <w:rPr>
          <w:rFonts w:cs="Arial"/>
          <w:sz w:val="22"/>
          <w:szCs w:val="22"/>
          <w:lang w:val="es-ES_tradnl"/>
        </w:rPr>
      </w:pPr>
      <w:r w:rsidRPr="00742ECB">
        <w:rPr>
          <w:rFonts w:cs="Arial"/>
          <w:b/>
          <w:sz w:val="22"/>
          <w:szCs w:val="22"/>
          <w:lang w:val="es-ES_tradnl"/>
        </w:rPr>
        <w:t>Objetivo:</w:t>
      </w:r>
      <w:r w:rsidRPr="00742ECB">
        <w:rPr>
          <w:rFonts w:cs="Arial"/>
          <w:sz w:val="22"/>
          <w:szCs w:val="22"/>
          <w:lang w:val="es-ES_tradnl"/>
        </w:rPr>
        <w:t xml:space="preserve"> Facilitar el acceso a una solución de vivienda para las familias de los segmentos de ingresos medios, mediante una mejora en las condiciones de los créditos para vivienda ofrecidos por las Entidades Autorizadas del Sistema Financiero Nacional para la Vivienda.</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5"/>
        </w:numPr>
        <w:jc w:val="both"/>
        <w:rPr>
          <w:rFonts w:cs="Arial"/>
          <w:b/>
          <w:sz w:val="22"/>
          <w:szCs w:val="22"/>
          <w:lang w:val="es-ES_tradnl"/>
        </w:rPr>
      </w:pPr>
      <w:r w:rsidRPr="00742ECB">
        <w:rPr>
          <w:rFonts w:cs="Arial"/>
          <w:b/>
          <w:sz w:val="22"/>
          <w:szCs w:val="22"/>
          <w:lang w:val="es-ES_tradnl"/>
        </w:rPr>
        <w:t>Monto Total del Programa:</w:t>
      </w:r>
      <w:r w:rsidRPr="00742ECB">
        <w:rPr>
          <w:rFonts w:cs="Arial"/>
          <w:sz w:val="22"/>
          <w:szCs w:val="22"/>
          <w:lang w:val="es-ES_tradnl"/>
        </w:rPr>
        <w:t xml:space="preserve"> Se establece un monto global para el Programa Integral de </w:t>
      </w:r>
      <w:r w:rsidR="00052861" w:rsidRPr="00742ECB">
        <w:rPr>
          <w:rFonts w:cs="Arial"/>
          <w:sz w:val="22"/>
          <w:szCs w:val="22"/>
          <w:lang w:val="es-ES_tradnl"/>
        </w:rPr>
        <w:t>Financiamiento</w:t>
      </w:r>
      <w:r w:rsidRPr="00742ECB">
        <w:rPr>
          <w:rFonts w:cs="Arial"/>
          <w:sz w:val="22"/>
          <w:szCs w:val="22"/>
          <w:lang w:val="es-ES_tradnl"/>
        </w:rPr>
        <w:t xml:space="preserve"> para Familias de Ingresos Medios</w:t>
      </w:r>
      <w:r w:rsidR="004055FB">
        <w:rPr>
          <w:rFonts w:cs="Arial"/>
          <w:sz w:val="22"/>
          <w:szCs w:val="22"/>
          <w:lang w:val="es-ES_tradnl"/>
        </w:rPr>
        <w:t>,</w:t>
      </w:r>
      <w:r w:rsidRPr="00742ECB">
        <w:rPr>
          <w:rFonts w:cs="Arial"/>
          <w:sz w:val="22"/>
          <w:szCs w:val="22"/>
          <w:lang w:val="es-ES_tradnl"/>
        </w:rPr>
        <w:t xml:space="preserve"> de ¢43</w:t>
      </w:r>
      <w:r w:rsidR="004055FB">
        <w:rPr>
          <w:rFonts w:cs="Arial"/>
          <w:sz w:val="22"/>
          <w:szCs w:val="22"/>
          <w:lang w:val="es-ES_tradnl"/>
        </w:rPr>
        <w:t>.</w:t>
      </w:r>
      <w:r w:rsidRPr="00742ECB">
        <w:rPr>
          <w:rFonts w:cs="Arial"/>
          <w:sz w:val="22"/>
          <w:szCs w:val="22"/>
          <w:lang w:val="es-ES_tradnl"/>
        </w:rPr>
        <w:t>000</w:t>
      </w:r>
      <w:r w:rsidR="004055FB">
        <w:rPr>
          <w:rFonts w:cs="Arial"/>
          <w:sz w:val="22"/>
          <w:szCs w:val="22"/>
          <w:lang w:val="es-ES_tradnl"/>
        </w:rPr>
        <w:t>,0</w:t>
      </w:r>
      <w:r w:rsidRPr="00742ECB">
        <w:rPr>
          <w:rFonts w:cs="Arial"/>
          <w:sz w:val="22"/>
          <w:szCs w:val="22"/>
          <w:lang w:val="es-ES_tradnl"/>
        </w:rPr>
        <w:t xml:space="preserve"> millones, con participaciones del 70% para los recursos asociados al financiamiento del BANHVI y 30% procedente de las Entidades Autorizadas.  </w:t>
      </w:r>
    </w:p>
    <w:p w:rsidR="00742ECB" w:rsidRPr="00742ECB" w:rsidRDefault="00742ECB" w:rsidP="00D06EC9">
      <w:pPr>
        <w:jc w:val="both"/>
        <w:rPr>
          <w:rFonts w:cs="Arial"/>
          <w:b/>
          <w:sz w:val="22"/>
          <w:szCs w:val="22"/>
          <w:lang w:val="es-ES_tradnl"/>
        </w:rPr>
      </w:pPr>
    </w:p>
    <w:p w:rsidR="00742ECB" w:rsidRPr="00742ECB" w:rsidRDefault="00742ECB" w:rsidP="00D06EC9">
      <w:pPr>
        <w:numPr>
          <w:ilvl w:val="0"/>
          <w:numId w:val="25"/>
        </w:numPr>
        <w:jc w:val="both"/>
        <w:rPr>
          <w:rFonts w:cs="Arial"/>
          <w:sz w:val="22"/>
          <w:szCs w:val="22"/>
          <w:lang w:val="es-ES_tradnl"/>
        </w:rPr>
      </w:pPr>
      <w:r w:rsidRPr="00742ECB">
        <w:rPr>
          <w:rFonts w:cs="Arial"/>
          <w:b/>
          <w:sz w:val="22"/>
          <w:szCs w:val="22"/>
          <w:lang w:val="es-ES_tradnl"/>
        </w:rPr>
        <w:t xml:space="preserve">Entidades Participantes: </w:t>
      </w:r>
      <w:r w:rsidRPr="00742ECB">
        <w:rPr>
          <w:rFonts w:cs="Arial"/>
          <w:sz w:val="22"/>
          <w:szCs w:val="22"/>
          <w:lang w:val="es-ES_tradnl"/>
        </w:rPr>
        <w:t xml:space="preserve">El Programa Integral de </w:t>
      </w:r>
      <w:r w:rsidR="00052861" w:rsidRPr="00742ECB">
        <w:rPr>
          <w:rFonts w:cs="Arial"/>
          <w:sz w:val="22"/>
          <w:szCs w:val="22"/>
          <w:lang w:val="es-ES_tradnl"/>
        </w:rPr>
        <w:t>Financiamiento</w:t>
      </w:r>
      <w:r w:rsidRPr="00742ECB">
        <w:rPr>
          <w:rFonts w:cs="Arial"/>
          <w:sz w:val="22"/>
          <w:szCs w:val="22"/>
          <w:lang w:val="es-ES_tradnl"/>
        </w:rPr>
        <w:t xml:space="preserve"> para Familias de Ingresos Medios estará disponible para su aplicación a través de todas las Entidades Autorizadas que cumplan con las siguientes condiciones:  </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3"/>
        </w:numPr>
        <w:jc w:val="both"/>
        <w:rPr>
          <w:rFonts w:cs="Arial"/>
          <w:sz w:val="22"/>
          <w:szCs w:val="22"/>
          <w:lang w:val="es-ES_tradnl"/>
        </w:rPr>
      </w:pPr>
      <w:r w:rsidRPr="00742ECB">
        <w:rPr>
          <w:rFonts w:cs="Arial"/>
          <w:sz w:val="22"/>
          <w:szCs w:val="22"/>
          <w:lang w:val="es-ES_tradnl"/>
        </w:rPr>
        <w:t>Debe tratarse de Entidades Autorizadas que se han mantenido activas en los últimos 3 años en la obtención de financiamiento del FONAVI.</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3"/>
        </w:numPr>
        <w:jc w:val="both"/>
        <w:rPr>
          <w:rFonts w:cs="Arial"/>
          <w:sz w:val="22"/>
          <w:szCs w:val="22"/>
          <w:lang w:val="es-ES_tradnl"/>
        </w:rPr>
      </w:pPr>
      <w:r w:rsidRPr="00742ECB">
        <w:rPr>
          <w:rFonts w:cs="Arial"/>
          <w:sz w:val="22"/>
          <w:szCs w:val="22"/>
          <w:lang w:val="es-ES_tradnl"/>
        </w:rPr>
        <w:t xml:space="preserve">Las operaciones de crédito que formalicen las Entidades Autorizadas para las familias beneficiarias del Programa deben cumplir con los siguientes aspectos:  </w:t>
      </w:r>
    </w:p>
    <w:p w:rsidR="00742ECB" w:rsidRPr="00742ECB" w:rsidRDefault="00742ECB" w:rsidP="00D06EC9">
      <w:pPr>
        <w:numPr>
          <w:ilvl w:val="0"/>
          <w:numId w:val="24"/>
        </w:numPr>
        <w:jc w:val="both"/>
        <w:rPr>
          <w:rFonts w:cs="Arial"/>
          <w:sz w:val="22"/>
          <w:szCs w:val="22"/>
          <w:lang w:val="es-ES_tradnl"/>
        </w:rPr>
      </w:pPr>
      <w:r w:rsidRPr="00742ECB">
        <w:rPr>
          <w:rFonts w:cs="Arial"/>
          <w:sz w:val="22"/>
          <w:szCs w:val="22"/>
          <w:lang w:val="es-ES_tradnl"/>
        </w:rPr>
        <w:t xml:space="preserve">Tratarse de operaciones de crédito formalizadas incorporando el beneficio del </w:t>
      </w:r>
      <w:r w:rsidR="004055FB">
        <w:rPr>
          <w:rFonts w:cs="Arial"/>
          <w:sz w:val="22"/>
          <w:szCs w:val="22"/>
          <w:lang w:val="es-ES_tradnl"/>
        </w:rPr>
        <w:t>Bono Familiar de Vivienda.</w:t>
      </w:r>
    </w:p>
    <w:p w:rsidR="00742ECB" w:rsidRPr="00742ECB" w:rsidRDefault="00742ECB" w:rsidP="00D06EC9">
      <w:pPr>
        <w:numPr>
          <w:ilvl w:val="0"/>
          <w:numId w:val="24"/>
        </w:numPr>
        <w:jc w:val="both"/>
        <w:rPr>
          <w:rFonts w:cs="Arial"/>
          <w:sz w:val="22"/>
          <w:szCs w:val="22"/>
          <w:lang w:val="es-ES_tradnl"/>
        </w:rPr>
      </w:pPr>
      <w:r w:rsidRPr="00742ECB">
        <w:rPr>
          <w:rFonts w:cs="Arial"/>
          <w:sz w:val="22"/>
          <w:szCs w:val="22"/>
          <w:lang w:val="es-ES_tradnl"/>
        </w:rPr>
        <w:t>El monto máximo de la solución habitacional debe ser el equivalente al tope de la vivienda de interés social vigente.</w:t>
      </w:r>
    </w:p>
    <w:p w:rsidR="00742ECB" w:rsidRPr="00742ECB" w:rsidRDefault="00742ECB" w:rsidP="00D06EC9">
      <w:pPr>
        <w:numPr>
          <w:ilvl w:val="0"/>
          <w:numId w:val="24"/>
        </w:numPr>
        <w:jc w:val="both"/>
        <w:rPr>
          <w:rFonts w:cs="Arial"/>
          <w:sz w:val="22"/>
          <w:szCs w:val="22"/>
          <w:lang w:val="es-ES_tradnl"/>
        </w:rPr>
      </w:pPr>
      <w:r w:rsidRPr="00742ECB">
        <w:rPr>
          <w:rFonts w:cs="Arial"/>
          <w:sz w:val="22"/>
          <w:szCs w:val="22"/>
          <w:lang w:val="es-ES_tradnl"/>
        </w:rPr>
        <w:t>La tasa de interés máxima de las operaciones es equivalente a Tasa Básica Pasiva (TBP) más 2.20 puntos porcentuales durante los primeros 3 años del crédito y de TBP m</w:t>
      </w:r>
      <w:r w:rsidR="004055FB">
        <w:rPr>
          <w:rFonts w:cs="Arial"/>
          <w:sz w:val="22"/>
          <w:szCs w:val="22"/>
          <w:lang w:val="es-ES_tradnl"/>
        </w:rPr>
        <w:t>á</w:t>
      </w:r>
      <w:r w:rsidRPr="00742ECB">
        <w:rPr>
          <w:rFonts w:cs="Arial"/>
          <w:sz w:val="22"/>
          <w:szCs w:val="22"/>
          <w:lang w:val="es-ES_tradnl"/>
        </w:rPr>
        <w:t xml:space="preserve">s 2.65 puntos porcentuales a partir del año 4. </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3"/>
        </w:numPr>
        <w:jc w:val="both"/>
        <w:rPr>
          <w:rFonts w:cs="Arial"/>
          <w:sz w:val="22"/>
          <w:szCs w:val="22"/>
          <w:lang w:val="es-ES_tradnl"/>
        </w:rPr>
      </w:pPr>
      <w:r w:rsidRPr="00742ECB">
        <w:rPr>
          <w:rFonts w:cs="Arial"/>
          <w:sz w:val="22"/>
          <w:szCs w:val="22"/>
          <w:lang w:val="es-ES_tradnl"/>
        </w:rPr>
        <w:t>El monto total de los recursos dirigidos a la ejecución del Programa</w:t>
      </w:r>
      <w:r w:rsidR="001123C0">
        <w:rPr>
          <w:rFonts w:cs="Arial"/>
          <w:sz w:val="22"/>
          <w:szCs w:val="22"/>
          <w:lang w:val="es-ES_tradnl"/>
        </w:rPr>
        <w:t>,</w:t>
      </w:r>
      <w:r w:rsidRPr="00742ECB">
        <w:rPr>
          <w:rFonts w:cs="Arial"/>
          <w:sz w:val="22"/>
          <w:szCs w:val="22"/>
          <w:lang w:val="es-ES_tradnl"/>
        </w:rPr>
        <w:t xml:space="preserve"> debe atender las participaciones establecidas de 70% asociado al financiamiento del BANHVI y 30% procedente de otras fuentes de fondeo de la Entidad Autorizada.</w:t>
      </w:r>
    </w:p>
    <w:p w:rsidR="00742ECB" w:rsidRPr="00742ECB" w:rsidRDefault="00742ECB" w:rsidP="00D06EC9">
      <w:pPr>
        <w:jc w:val="both"/>
        <w:rPr>
          <w:rFonts w:cs="Arial"/>
          <w:sz w:val="22"/>
          <w:szCs w:val="22"/>
          <w:lang w:val="es-ES_tradnl"/>
        </w:rPr>
      </w:pPr>
    </w:p>
    <w:p w:rsidR="00742ECB" w:rsidRPr="00742ECB" w:rsidRDefault="00742ECB" w:rsidP="00D06EC9">
      <w:pPr>
        <w:jc w:val="both"/>
        <w:rPr>
          <w:rFonts w:cs="Arial"/>
          <w:sz w:val="22"/>
          <w:szCs w:val="22"/>
          <w:lang w:val="es-ES_tradnl"/>
        </w:rPr>
      </w:pPr>
      <w:r w:rsidRPr="00742ECB">
        <w:rPr>
          <w:rFonts w:cs="Arial"/>
          <w:sz w:val="22"/>
          <w:szCs w:val="22"/>
          <w:lang w:val="es-ES_tradnl"/>
        </w:rPr>
        <w:t xml:space="preserve">Las Entidades Autorizadas que deseen participar del Programa Integral de </w:t>
      </w:r>
      <w:r w:rsidR="00052861" w:rsidRPr="00742ECB">
        <w:rPr>
          <w:rFonts w:cs="Arial"/>
          <w:sz w:val="22"/>
          <w:szCs w:val="22"/>
          <w:lang w:val="es-ES_tradnl"/>
        </w:rPr>
        <w:t>Financiamiento</w:t>
      </w:r>
      <w:r w:rsidRPr="00742ECB">
        <w:rPr>
          <w:rFonts w:cs="Arial"/>
          <w:sz w:val="22"/>
          <w:szCs w:val="22"/>
          <w:lang w:val="es-ES_tradnl"/>
        </w:rPr>
        <w:t xml:space="preserve"> para Familias de Ingresos Medios</w:t>
      </w:r>
      <w:r w:rsidR="001123C0">
        <w:rPr>
          <w:rFonts w:cs="Arial"/>
          <w:sz w:val="22"/>
          <w:szCs w:val="22"/>
          <w:lang w:val="es-ES_tradnl"/>
        </w:rPr>
        <w:t>,</w:t>
      </w:r>
      <w:r w:rsidRPr="00742ECB">
        <w:rPr>
          <w:rFonts w:cs="Arial"/>
          <w:sz w:val="22"/>
          <w:szCs w:val="22"/>
          <w:lang w:val="es-ES_tradnl"/>
        </w:rPr>
        <w:t xml:space="preserve"> deberán informar al BANHVI sobre su interés de participación antes de </w:t>
      </w:r>
      <w:r w:rsidR="00052861" w:rsidRPr="00742ECB">
        <w:rPr>
          <w:rFonts w:cs="Arial"/>
          <w:sz w:val="22"/>
          <w:szCs w:val="22"/>
          <w:lang w:val="es-ES_tradnl"/>
        </w:rPr>
        <w:t>iniciar</w:t>
      </w:r>
      <w:r w:rsidRPr="00742ECB">
        <w:rPr>
          <w:rFonts w:cs="Arial"/>
          <w:sz w:val="22"/>
          <w:szCs w:val="22"/>
          <w:lang w:val="es-ES_tradnl"/>
        </w:rPr>
        <w:t xml:space="preserve"> con la formalización de operaciones; lo anterior con el fin de que el BANHVI determine la factibilidad de su participación en función de los requisitos que han sido establecidos al efecto. </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5"/>
        </w:numPr>
        <w:jc w:val="both"/>
        <w:rPr>
          <w:rFonts w:cs="Arial"/>
          <w:b/>
          <w:sz w:val="22"/>
          <w:szCs w:val="22"/>
          <w:lang w:val="es-ES_tradnl"/>
        </w:rPr>
      </w:pPr>
      <w:r w:rsidRPr="00742ECB">
        <w:rPr>
          <w:rFonts w:cs="Arial"/>
          <w:b/>
          <w:sz w:val="22"/>
          <w:szCs w:val="22"/>
          <w:lang w:val="es-ES_tradnl"/>
        </w:rPr>
        <w:t>Mecanismos de Ejecución del Programa:</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2"/>
        </w:numPr>
        <w:jc w:val="both"/>
        <w:rPr>
          <w:rFonts w:cs="Arial"/>
          <w:sz w:val="22"/>
          <w:szCs w:val="22"/>
          <w:lang w:val="es-ES_tradnl"/>
        </w:rPr>
      </w:pPr>
      <w:r w:rsidRPr="00742ECB">
        <w:rPr>
          <w:rFonts w:cs="Arial"/>
          <w:sz w:val="22"/>
          <w:szCs w:val="22"/>
          <w:lang w:val="es-ES_tradnl"/>
        </w:rPr>
        <w:t>Para las Entidades Autorizadas que se encuentran muy cercanas al límite de operaciones activas vigente, se ejecutará un ajuste en la condición de la tasa de interés de las operaciones de crédito vigentes, manteniendo el resto de las condiciones financieras de las operaciones sin ninguna modificación.</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2"/>
        </w:numPr>
        <w:jc w:val="both"/>
        <w:rPr>
          <w:rFonts w:cs="Arial"/>
          <w:sz w:val="22"/>
          <w:szCs w:val="22"/>
          <w:lang w:val="es-ES_tradnl"/>
        </w:rPr>
      </w:pPr>
      <w:r w:rsidRPr="00742ECB">
        <w:rPr>
          <w:rFonts w:cs="Arial"/>
          <w:sz w:val="22"/>
          <w:szCs w:val="22"/>
          <w:lang w:val="es-ES_tradnl"/>
        </w:rPr>
        <w:t xml:space="preserve">En el caso de las Entidades Autorizadas que cuentan con montos disponibles en función del límite de operaciones activas, se formalizarán nuevas operaciones crediticias considerando la condición de tasa de interés ajustada; el resto de las condiciones financieras de las nuevas operaciones se mantienen sin modificación respecto del programa de financiamiento de largo plazo en colones vigente.  </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2"/>
        </w:numPr>
        <w:jc w:val="both"/>
        <w:rPr>
          <w:rFonts w:cs="Arial"/>
          <w:sz w:val="22"/>
          <w:szCs w:val="22"/>
          <w:lang w:val="es-ES_tradnl"/>
        </w:rPr>
      </w:pPr>
      <w:r w:rsidRPr="00742ECB">
        <w:rPr>
          <w:rFonts w:cs="Arial"/>
          <w:sz w:val="22"/>
          <w:szCs w:val="22"/>
          <w:lang w:val="es-ES_tradnl"/>
        </w:rPr>
        <w:t>Cada Entidad Autorizada podrá participar del Programa</w:t>
      </w:r>
      <w:r w:rsidR="001123C0">
        <w:rPr>
          <w:rFonts w:cs="Arial"/>
          <w:sz w:val="22"/>
          <w:szCs w:val="22"/>
          <w:lang w:val="es-ES_tradnl"/>
        </w:rPr>
        <w:t>,</w:t>
      </w:r>
      <w:r w:rsidRPr="00742ECB">
        <w:rPr>
          <w:rFonts w:cs="Arial"/>
          <w:sz w:val="22"/>
          <w:szCs w:val="22"/>
          <w:lang w:val="es-ES_tradnl"/>
        </w:rPr>
        <w:t xml:space="preserve"> tanto a través de nuevas operaciones como mediante ajustes en la tasa de interés de sus operaciones vigentes</w:t>
      </w:r>
      <w:r w:rsidR="001123C0">
        <w:rPr>
          <w:rFonts w:cs="Arial"/>
          <w:sz w:val="22"/>
          <w:szCs w:val="22"/>
          <w:lang w:val="es-ES_tradnl"/>
        </w:rPr>
        <w:t>,</w:t>
      </w:r>
      <w:r w:rsidRPr="00742ECB">
        <w:rPr>
          <w:rFonts w:cs="Arial"/>
          <w:sz w:val="22"/>
          <w:szCs w:val="22"/>
          <w:lang w:val="es-ES_tradnl"/>
        </w:rPr>
        <w:t xml:space="preserve"> en función del disponible respecto del </w:t>
      </w:r>
      <w:r w:rsidR="00052861" w:rsidRPr="00742ECB">
        <w:rPr>
          <w:rFonts w:cs="Arial"/>
          <w:sz w:val="22"/>
          <w:szCs w:val="22"/>
          <w:lang w:val="es-ES_tradnl"/>
        </w:rPr>
        <w:t>límite</w:t>
      </w:r>
      <w:r w:rsidRPr="00742ECB">
        <w:rPr>
          <w:rFonts w:cs="Arial"/>
          <w:sz w:val="22"/>
          <w:szCs w:val="22"/>
          <w:lang w:val="es-ES_tradnl"/>
        </w:rPr>
        <w:t xml:space="preserve"> de operaciones activas y de su capacidad para formalizar operaciones de crédito para las familias beneficiarias del Programa.</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2"/>
        </w:numPr>
        <w:jc w:val="both"/>
        <w:rPr>
          <w:rFonts w:cs="Arial"/>
          <w:sz w:val="22"/>
          <w:szCs w:val="22"/>
          <w:lang w:val="es-ES_tradnl"/>
        </w:rPr>
      </w:pPr>
      <w:r w:rsidRPr="00742ECB">
        <w:rPr>
          <w:rFonts w:cs="Arial"/>
          <w:sz w:val="22"/>
          <w:szCs w:val="22"/>
          <w:lang w:val="es-ES_tradnl"/>
        </w:rPr>
        <w:t>Las Entidades Autorizadas iniciarán con la formalización de las operaciones para las familias beneficiarias del Programa y podrán solicitar al BANHVI el ajuste en la tasa de interés de una de sus operaciones de crédito vigentes o el desembolso de los recursos de un nuevo financiamiento al amparo del Programa</w:t>
      </w:r>
      <w:r w:rsidR="001123C0">
        <w:rPr>
          <w:rFonts w:cs="Arial"/>
          <w:sz w:val="22"/>
          <w:szCs w:val="22"/>
          <w:lang w:val="es-ES_tradnl"/>
        </w:rPr>
        <w:t>,</w:t>
      </w:r>
      <w:r w:rsidRPr="00742ECB">
        <w:rPr>
          <w:rFonts w:cs="Arial"/>
          <w:sz w:val="22"/>
          <w:szCs w:val="22"/>
          <w:lang w:val="es-ES_tradnl"/>
        </w:rPr>
        <w:t xml:space="preserve"> una vez que alcance un monto por formalizaciones equivalente al menos al 50% del monto que resulta de sumar el saldo de la operación de crédito que será ajustada o del desembolso requerido y el monto adicional que estaría aportando la Entidad para cumplir con las participaciones de recursos establecidas para el Programa </w:t>
      </w:r>
      <w:r w:rsidR="001123C0">
        <w:rPr>
          <w:rFonts w:cs="Arial"/>
          <w:sz w:val="22"/>
          <w:szCs w:val="22"/>
          <w:lang w:val="es-ES_tradnl"/>
        </w:rPr>
        <w:t>–</w:t>
      </w:r>
      <w:r w:rsidRPr="00742ECB">
        <w:rPr>
          <w:rFonts w:cs="Arial"/>
          <w:sz w:val="22"/>
          <w:szCs w:val="22"/>
          <w:lang w:val="es-ES_tradnl"/>
        </w:rPr>
        <w:t>70% asociado a financiamiento BANHVI y 30% procedente de otras fuentes de fondeo de la Entidad Autorizada</w:t>
      </w:r>
      <w:r w:rsidR="001123C0">
        <w:rPr>
          <w:rFonts w:cs="Arial"/>
          <w:sz w:val="22"/>
          <w:szCs w:val="22"/>
          <w:lang w:val="es-ES_tradnl"/>
        </w:rPr>
        <w:t>–</w:t>
      </w:r>
      <w:r w:rsidRPr="00742ECB">
        <w:rPr>
          <w:rFonts w:cs="Arial"/>
          <w:sz w:val="22"/>
          <w:szCs w:val="22"/>
          <w:lang w:val="es-ES_tradnl"/>
        </w:rPr>
        <w:t xml:space="preserve">. </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2"/>
        </w:numPr>
        <w:jc w:val="both"/>
        <w:rPr>
          <w:rFonts w:cs="Arial"/>
          <w:sz w:val="22"/>
          <w:szCs w:val="22"/>
          <w:lang w:val="es-ES_tradnl"/>
        </w:rPr>
      </w:pPr>
      <w:r w:rsidRPr="00742ECB">
        <w:rPr>
          <w:rFonts w:cs="Arial"/>
          <w:sz w:val="22"/>
          <w:szCs w:val="22"/>
          <w:lang w:val="es-ES_tradnl"/>
        </w:rPr>
        <w:t xml:space="preserve">Para solicitar el ajuste a otra de las operaciones de crédito vigentes con el BANHVI o un nuevo desembolso de recursos por el </w:t>
      </w:r>
      <w:r w:rsidR="00052861" w:rsidRPr="00742ECB">
        <w:rPr>
          <w:rFonts w:cs="Arial"/>
          <w:sz w:val="22"/>
          <w:szCs w:val="22"/>
          <w:lang w:val="es-ES_tradnl"/>
        </w:rPr>
        <w:t>financiamiento</w:t>
      </w:r>
      <w:r w:rsidRPr="00742ECB">
        <w:rPr>
          <w:rFonts w:cs="Arial"/>
          <w:sz w:val="22"/>
          <w:szCs w:val="22"/>
          <w:lang w:val="es-ES_tradnl"/>
        </w:rPr>
        <w:t xml:space="preserve"> otorgado, la Entidad Autorizada deberá haber </w:t>
      </w:r>
      <w:r w:rsidR="00052861" w:rsidRPr="00742ECB">
        <w:rPr>
          <w:rFonts w:cs="Arial"/>
          <w:sz w:val="22"/>
          <w:szCs w:val="22"/>
          <w:lang w:val="es-ES_tradnl"/>
        </w:rPr>
        <w:t>alcanzado</w:t>
      </w:r>
      <w:r w:rsidRPr="00742ECB">
        <w:rPr>
          <w:rFonts w:cs="Arial"/>
          <w:sz w:val="22"/>
          <w:szCs w:val="22"/>
          <w:lang w:val="es-ES_tradnl"/>
        </w:rPr>
        <w:t xml:space="preserve"> un monto por formalización de operaciones al amparo del Programa</w:t>
      </w:r>
      <w:r w:rsidR="0091406A">
        <w:rPr>
          <w:rFonts w:cs="Arial"/>
          <w:sz w:val="22"/>
          <w:szCs w:val="22"/>
          <w:lang w:val="es-ES_tradnl"/>
        </w:rPr>
        <w:t>,</w:t>
      </w:r>
      <w:r w:rsidRPr="00742ECB">
        <w:rPr>
          <w:rFonts w:cs="Arial"/>
          <w:sz w:val="22"/>
          <w:szCs w:val="22"/>
          <w:lang w:val="es-ES_tradnl"/>
        </w:rPr>
        <w:t xml:space="preserve"> por la totalidad del saldo de la operación de crédito previamente ajustada o el desembolso ejecutado, más el monto necesario para atender las participaciones de recursos mencionadas.</w:t>
      </w:r>
    </w:p>
    <w:p w:rsidR="00742ECB" w:rsidRPr="00742ECB" w:rsidRDefault="00742ECB" w:rsidP="00D06EC9">
      <w:pPr>
        <w:jc w:val="both"/>
        <w:rPr>
          <w:rFonts w:cs="Arial"/>
          <w:sz w:val="22"/>
          <w:szCs w:val="22"/>
          <w:lang w:val="es-ES_tradnl"/>
        </w:rPr>
      </w:pPr>
    </w:p>
    <w:p w:rsidR="00742ECB" w:rsidRPr="0091406A" w:rsidRDefault="00742ECB" w:rsidP="00D06EC9">
      <w:pPr>
        <w:numPr>
          <w:ilvl w:val="0"/>
          <w:numId w:val="22"/>
        </w:numPr>
        <w:jc w:val="both"/>
        <w:rPr>
          <w:rFonts w:cs="Arial"/>
          <w:sz w:val="22"/>
          <w:szCs w:val="22"/>
          <w:lang w:val="es-ES_tradnl"/>
        </w:rPr>
      </w:pPr>
      <w:r w:rsidRPr="00742ECB">
        <w:rPr>
          <w:rFonts w:cs="Arial"/>
          <w:sz w:val="22"/>
          <w:szCs w:val="22"/>
          <w:lang w:val="es-ES_tradnl"/>
        </w:rPr>
        <w:t>Únicamente podrán ejecutarse ajustes en las tasas de interés de operaciones de crédito vigentes del BANHVI</w:t>
      </w:r>
      <w:r w:rsidR="00A23F95">
        <w:rPr>
          <w:rFonts w:cs="Arial"/>
          <w:sz w:val="22"/>
          <w:szCs w:val="22"/>
          <w:lang w:val="es-ES_tradnl"/>
        </w:rPr>
        <w:t>,</w:t>
      </w:r>
      <w:r w:rsidRPr="00742ECB">
        <w:rPr>
          <w:rFonts w:cs="Arial"/>
          <w:sz w:val="22"/>
          <w:szCs w:val="22"/>
          <w:lang w:val="es-ES_tradnl"/>
        </w:rPr>
        <w:t xml:space="preserve"> de manera fraccionada y no por el saldo total de cada operación vigente, en los casos en los que la Entidad Autorizada mantenga líneas de crédito vigentes.  En este caso</w:t>
      </w:r>
      <w:r w:rsidR="00A23F95">
        <w:rPr>
          <w:rFonts w:cs="Arial"/>
          <w:sz w:val="22"/>
          <w:szCs w:val="22"/>
          <w:lang w:val="es-ES_tradnl"/>
        </w:rPr>
        <w:t>,</w:t>
      </w:r>
      <w:r w:rsidRPr="00742ECB">
        <w:rPr>
          <w:rFonts w:cs="Arial"/>
          <w:sz w:val="22"/>
          <w:szCs w:val="22"/>
          <w:lang w:val="es-ES_tradnl"/>
        </w:rPr>
        <w:t xml:space="preserve"> los ajustes a montos fraccionados se estarían operativizando </w:t>
      </w:r>
      <w:r w:rsidR="0091406A">
        <w:rPr>
          <w:rFonts w:cs="Arial"/>
          <w:sz w:val="22"/>
          <w:szCs w:val="22"/>
          <w:lang w:val="es-ES_tradnl"/>
        </w:rPr>
        <w:t>–</w:t>
      </w:r>
      <w:r w:rsidRPr="00742ECB">
        <w:rPr>
          <w:rFonts w:cs="Arial"/>
          <w:sz w:val="22"/>
          <w:szCs w:val="22"/>
          <w:lang w:val="es-ES_tradnl"/>
        </w:rPr>
        <w:t>únicamente para efectos del registro en los sistemas internos</w:t>
      </w:r>
      <w:r w:rsidR="0091406A">
        <w:rPr>
          <w:rFonts w:cs="Arial"/>
          <w:sz w:val="22"/>
          <w:szCs w:val="22"/>
          <w:lang w:val="es-ES_tradnl"/>
        </w:rPr>
        <w:t>–</w:t>
      </w:r>
      <w:r w:rsidRPr="00742ECB">
        <w:rPr>
          <w:rFonts w:cs="Arial"/>
          <w:sz w:val="22"/>
          <w:szCs w:val="22"/>
          <w:lang w:val="es-ES_tradnl"/>
        </w:rPr>
        <w:t xml:space="preserve"> como</w:t>
      </w:r>
      <w:r w:rsidR="0091406A">
        <w:rPr>
          <w:rFonts w:cs="Arial"/>
          <w:sz w:val="22"/>
          <w:szCs w:val="22"/>
          <w:lang w:val="es-ES_tradnl"/>
        </w:rPr>
        <w:t xml:space="preserve"> </w:t>
      </w:r>
      <w:r w:rsidRPr="0091406A">
        <w:rPr>
          <w:rFonts w:cs="Arial"/>
          <w:sz w:val="22"/>
          <w:szCs w:val="22"/>
          <w:lang w:val="es-ES_tradnl"/>
        </w:rPr>
        <w:t xml:space="preserve"> si se tratara de un pago anticipado y un nuevo desembolso al amparo de la línea de crédito existente; siendo que en la práctica no existe un pago anticipado por parte de la Entidad Autorizada, ni tampoco un nuevo desembolso de recursos a su favor por parte del BANHVI, no se estarían aplicando para estos casos comisiones de pago anticipado, ni de desembolso, lo cual se estaría aclarando en la adenda que se firme para hacer efectiva la modificación en la tasa de interés.</w:t>
      </w:r>
    </w:p>
    <w:p w:rsidR="00742ECB" w:rsidRPr="00742ECB" w:rsidRDefault="00742ECB" w:rsidP="00D06EC9">
      <w:pPr>
        <w:jc w:val="both"/>
        <w:rPr>
          <w:rFonts w:cs="Arial"/>
          <w:sz w:val="22"/>
          <w:szCs w:val="22"/>
          <w:lang w:val="es-ES_tradnl"/>
        </w:rPr>
      </w:pPr>
      <w:r w:rsidRPr="00742ECB">
        <w:rPr>
          <w:rFonts w:cs="Arial"/>
          <w:sz w:val="22"/>
          <w:szCs w:val="22"/>
          <w:lang w:val="es-ES_tradnl"/>
        </w:rPr>
        <w:t xml:space="preserve"> </w:t>
      </w:r>
    </w:p>
    <w:p w:rsidR="00742ECB" w:rsidRPr="00742ECB" w:rsidRDefault="00742ECB" w:rsidP="00D06EC9">
      <w:pPr>
        <w:numPr>
          <w:ilvl w:val="0"/>
          <w:numId w:val="22"/>
        </w:numPr>
        <w:jc w:val="both"/>
        <w:rPr>
          <w:rFonts w:cs="Arial"/>
          <w:sz w:val="22"/>
          <w:szCs w:val="22"/>
          <w:lang w:val="es-ES_tradnl"/>
        </w:rPr>
      </w:pPr>
      <w:r w:rsidRPr="00742ECB">
        <w:rPr>
          <w:rFonts w:cs="Arial"/>
          <w:sz w:val="22"/>
          <w:szCs w:val="22"/>
          <w:lang w:val="es-ES_tradnl"/>
        </w:rPr>
        <w:t xml:space="preserve">Para solicitar el ajuste en la tasa de interés para una fracción del saldo de una línea de crédito vigente, la Entidad Autorizada deberá presentar al BANHVI la evidencia de la colocación del 100% del monto para el que se requiere el ajuste.  Posteriormente, para solicitar el </w:t>
      </w:r>
      <w:r w:rsidR="00052861" w:rsidRPr="00742ECB">
        <w:rPr>
          <w:rFonts w:cs="Arial"/>
          <w:sz w:val="22"/>
          <w:szCs w:val="22"/>
          <w:lang w:val="es-ES_tradnl"/>
        </w:rPr>
        <w:t>ajuste</w:t>
      </w:r>
      <w:r w:rsidRPr="00742ECB">
        <w:rPr>
          <w:rFonts w:cs="Arial"/>
          <w:sz w:val="22"/>
          <w:szCs w:val="22"/>
          <w:lang w:val="es-ES_tradnl"/>
        </w:rPr>
        <w:t xml:space="preserve"> a una nueva fracción del saldo de la línea de crédito deberá evidenciarse la colocación de los recursos adicionales aportados por la Entidad Autorizada de conformidad con las participaciones establecidas (70% y 30%) correspondiente a la fracción previamente ajustada.  </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2"/>
        </w:numPr>
        <w:jc w:val="both"/>
        <w:rPr>
          <w:rFonts w:cs="Arial"/>
          <w:sz w:val="22"/>
          <w:szCs w:val="22"/>
          <w:lang w:val="es-ES_tradnl"/>
        </w:rPr>
      </w:pPr>
      <w:r w:rsidRPr="00742ECB">
        <w:rPr>
          <w:rFonts w:cs="Arial"/>
          <w:sz w:val="22"/>
          <w:szCs w:val="22"/>
          <w:lang w:val="es-ES_tradnl"/>
        </w:rPr>
        <w:t>En los casos de ajustes a las tasas de interés de líneas de crédito por montos fraccionados</w:t>
      </w:r>
      <w:r w:rsidR="0091406A">
        <w:rPr>
          <w:rFonts w:cs="Arial"/>
          <w:sz w:val="22"/>
          <w:szCs w:val="22"/>
          <w:lang w:val="es-ES_tradnl"/>
        </w:rPr>
        <w:t>,</w:t>
      </w:r>
      <w:r w:rsidRPr="00742ECB">
        <w:rPr>
          <w:rFonts w:cs="Arial"/>
          <w:sz w:val="22"/>
          <w:szCs w:val="22"/>
          <w:lang w:val="es-ES_tradnl"/>
        </w:rPr>
        <w:t xml:space="preserve"> se tramitará como máximo una solicitud por mes por Entidad Autorizada, por montos de al menos ¢1.000 millones de colones.</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5"/>
        </w:numPr>
        <w:jc w:val="both"/>
        <w:rPr>
          <w:rFonts w:cs="Arial"/>
          <w:b/>
          <w:sz w:val="22"/>
          <w:szCs w:val="22"/>
          <w:lang w:val="es-ES_tradnl"/>
        </w:rPr>
      </w:pPr>
      <w:r w:rsidRPr="00742ECB">
        <w:rPr>
          <w:rFonts w:cs="Arial"/>
          <w:b/>
          <w:sz w:val="22"/>
          <w:szCs w:val="22"/>
          <w:lang w:val="es-ES_tradnl"/>
        </w:rPr>
        <w:t>Distribución del monto del Programa entre Entidades Autorizadas:</w:t>
      </w:r>
    </w:p>
    <w:p w:rsidR="00742ECB" w:rsidRPr="00742ECB" w:rsidRDefault="00742ECB" w:rsidP="00D06EC9">
      <w:pPr>
        <w:jc w:val="both"/>
        <w:rPr>
          <w:rFonts w:cs="Arial"/>
          <w:sz w:val="22"/>
          <w:szCs w:val="22"/>
          <w:lang w:val="es-ES_tradnl"/>
        </w:rPr>
      </w:pPr>
    </w:p>
    <w:p w:rsidR="00742ECB" w:rsidRPr="00742ECB" w:rsidRDefault="00742ECB" w:rsidP="00D06EC9">
      <w:pPr>
        <w:jc w:val="both"/>
        <w:rPr>
          <w:rFonts w:cs="Arial"/>
          <w:sz w:val="22"/>
          <w:szCs w:val="22"/>
          <w:lang w:val="es-ES_tradnl"/>
        </w:rPr>
      </w:pPr>
      <w:r w:rsidRPr="00742ECB">
        <w:rPr>
          <w:rFonts w:cs="Arial"/>
          <w:sz w:val="22"/>
          <w:szCs w:val="22"/>
          <w:lang w:val="es-ES_tradnl"/>
        </w:rPr>
        <w:t xml:space="preserve">El monto del Programa Integral de </w:t>
      </w:r>
      <w:r w:rsidR="00052861" w:rsidRPr="00742ECB">
        <w:rPr>
          <w:rFonts w:cs="Arial"/>
          <w:sz w:val="22"/>
          <w:szCs w:val="22"/>
          <w:lang w:val="es-ES_tradnl"/>
        </w:rPr>
        <w:t>Financiamiento</w:t>
      </w:r>
      <w:r w:rsidRPr="00742ECB">
        <w:rPr>
          <w:rFonts w:cs="Arial"/>
          <w:sz w:val="22"/>
          <w:szCs w:val="22"/>
          <w:lang w:val="es-ES_tradnl"/>
        </w:rPr>
        <w:t xml:space="preserve"> para Familias de Ingresos Medios con recursos asociados a financiamiento del BANHVI</w:t>
      </w:r>
      <w:r w:rsidR="00311321">
        <w:rPr>
          <w:rFonts w:cs="Arial"/>
          <w:sz w:val="22"/>
          <w:szCs w:val="22"/>
          <w:lang w:val="es-ES_tradnl"/>
        </w:rPr>
        <w:t>,</w:t>
      </w:r>
      <w:r w:rsidRPr="00742ECB">
        <w:rPr>
          <w:rFonts w:cs="Arial"/>
          <w:sz w:val="22"/>
          <w:szCs w:val="22"/>
          <w:lang w:val="es-ES_tradnl"/>
        </w:rPr>
        <w:t xml:space="preserve"> se establece en la suma de ¢30.000 millones.</w:t>
      </w:r>
    </w:p>
    <w:p w:rsidR="00742ECB" w:rsidRPr="00742ECB" w:rsidRDefault="00742ECB" w:rsidP="00D06EC9">
      <w:pPr>
        <w:jc w:val="both"/>
        <w:rPr>
          <w:rFonts w:cs="Arial"/>
          <w:sz w:val="22"/>
          <w:szCs w:val="22"/>
          <w:lang w:val="es-ES_tradnl"/>
        </w:rPr>
      </w:pPr>
    </w:p>
    <w:p w:rsidR="00742ECB" w:rsidRPr="00742ECB" w:rsidRDefault="00742ECB" w:rsidP="00D06EC9">
      <w:pPr>
        <w:jc w:val="both"/>
        <w:rPr>
          <w:rFonts w:cs="Arial"/>
          <w:sz w:val="22"/>
          <w:szCs w:val="22"/>
          <w:lang w:val="es-ES_tradnl"/>
        </w:rPr>
      </w:pPr>
      <w:r w:rsidRPr="00742ECB">
        <w:rPr>
          <w:rFonts w:cs="Arial"/>
          <w:sz w:val="22"/>
          <w:szCs w:val="22"/>
          <w:lang w:val="es-ES_tradnl"/>
        </w:rPr>
        <w:t>Las solicitudes de ajuste de tasa de interés o de nuevo desembolso al amparo del Programa presentadas por las Entidades Autorizadas</w:t>
      </w:r>
      <w:r w:rsidR="00311321">
        <w:rPr>
          <w:rFonts w:cs="Arial"/>
          <w:sz w:val="22"/>
          <w:szCs w:val="22"/>
          <w:lang w:val="es-ES_tradnl"/>
        </w:rPr>
        <w:t>,</w:t>
      </w:r>
      <w:r w:rsidRPr="00742ECB">
        <w:rPr>
          <w:rFonts w:cs="Arial"/>
          <w:sz w:val="22"/>
          <w:szCs w:val="22"/>
          <w:lang w:val="es-ES_tradnl"/>
        </w:rPr>
        <w:t xml:space="preserve"> serán tramitadas según orden de presentación hasta agotar la suma disponible de ¢30.000 millones.  </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5"/>
        </w:numPr>
        <w:jc w:val="both"/>
        <w:rPr>
          <w:rFonts w:cs="Arial"/>
          <w:b/>
          <w:sz w:val="22"/>
          <w:szCs w:val="22"/>
          <w:lang w:val="es-ES_tradnl"/>
        </w:rPr>
      </w:pPr>
      <w:r w:rsidRPr="00742ECB">
        <w:rPr>
          <w:rFonts w:cs="Arial"/>
          <w:b/>
          <w:sz w:val="22"/>
          <w:szCs w:val="22"/>
          <w:lang w:val="es-ES_tradnl"/>
        </w:rPr>
        <w:t>Condiciones específicas del Programa en el BANHVI:</w:t>
      </w:r>
    </w:p>
    <w:p w:rsidR="00742ECB" w:rsidRPr="00742ECB" w:rsidRDefault="00742ECB" w:rsidP="00D06EC9">
      <w:pPr>
        <w:jc w:val="both"/>
        <w:rPr>
          <w:rFonts w:cs="Arial"/>
          <w:sz w:val="22"/>
          <w:szCs w:val="22"/>
          <w:lang w:val="es-ES_tradnl"/>
        </w:rPr>
      </w:pPr>
    </w:p>
    <w:p w:rsidR="00742ECB" w:rsidRPr="00742ECB" w:rsidRDefault="00742ECB" w:rsidP="00D06EC9">
      <w:pPr>
        <w:jc w:val="both"/>
        <w:rPr>
          <w:rFonts w:cs="Arial"/>
          <w:sz w:val="22"/>
          <w:szCs w:val="22"/>
          <w:lang w:val="es-ES_tradnl"/>
        </w:rPr>
      </w:pPr>
      <w:r w:rsidRPr="00742ECB">
        <w:rPr>
          <w:rFonts w:cs="Arial"/>
          <w:sz w:val="22"/>
          <w:szCs w:val="22"/>
          <w:lang w:val="es-ES_tradnl"/>
        </w:rPr>
        <w:t xml:space="preserve">Las condiciones para el Programa Integral de </w:t>
      </w:r>
      <w:r w:rsidR="00052861" w:rsidRPr="00742ECB">
        <w:rPr>
          <w:rFonts w:cs="Arial"/>
          <w:sz w:val="22"/>
          <w:szCs w:val="22"/>
          <w:lang w:val="es-ES_tradnl"/>
        </w:rPr>
        <w:t>Financiamiento</w:t>
      </w:r>
      <w:r w:rsidRPr="00742ECB">
        <w:rPr>
          <w:rFonts w:cs="Arial"/>
          <w:sz w:val="22"/>
          <w:szCs w:val="22"/>
          <w:lang w:val="es-ES_tradnl"/>
        </w:rPr>
        <w:t xml:space="preserve"> para Familias de Ingresos Medios, a ejecutarse entre los periodos 2019 y 2020, son las que se detallan a continuación:</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Monto global del programa</w:t>
      </w:r>
      <w:r w:rsidRPr="00742ECB">
        <w:rPr>
          <w:rFonts w:cs="Arial"/>
          <w:sz w:val="22"/>
          <w:szCs w:val="22"/>
          <w:lang w:val="es-ES_tradnl"/>
        </w:rPr>
        <w:t>: ¢30,000 millones.</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Población objetivo:</w:t>
      </w:r>
      <w:r w:rsidRPr="00742ECB">
        <w:rPr>
          <w:rFonts w:cs="Arial"/>
          <w:sz w:val="22"/>
          <w:szCs w:val="22"/>
          <w:lang w:val="es-ES_tradnl"/>
        </w:rPr>
        <w:t xml:space="preserve"> El programa está dirigido a las familias de los segmentos medios, identificados concretamente como los estratos III, IV, V y VI</w:t>
      </w:r>
      <w:r w:rsidR="00E573C1">
        <w:rPr>
          <w:rFonts w:cs="Arial"/>
          <w:sz w:val="22"/>
          <w:szCs w:val="22"/>
          <w:lang w:val="es-ES_tradnl"/>
        </w:rPr>
        <w:t>,</w:t>
      </w:r>
      <w:r w:rsidRPr="00742ECB">
        <w:rPr>
          <w:rFonts w:cs="Arial"/>
          <w:sz w:val="22"/>
          <w:szCs w:val="22"/>
          <w:lang w:val="es-ES_tradnl"/>
        </w:rPr>
        <w:t xml:space="preserve"> según la definición de la Ley 7052.</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Plan de inversión</w:t>
      </w:r>
      <w:r w:rsidRPr="00742ECB">
        <w:rPr>
          <w:rFonts w:cs="Arial"/>
          <w:sz w:val="22"/>
          <w:szCs w:val="22"/>
          <w:lang w:val="es-ES_tradnl"/>
        </w:rPr>
        <w:t xml:space="preserve">: Financiamiento de soluciones individuales de vivienda, bajo las modalidades de compra de vivienda, compra de lote y construcción, construcción de vivienda en lote propio.  El monto máximo de cada solución habitacional financiada </w:t>
      </w:r>
      <w:r w:rsidR="00862711">
        <w:rPr>
          <w:rFonts w:cs="Arial"/>
          <w:sz w:val="22"/>
          <w:szCs w:val="22"/>
          <w:lang w:val="es-ES_tradnl"/>
        </w:rPr>
        <w:t>–</w:t>
      </w:r>
      <w:r w:rsidRPr="00742ECB">
        <w:rPr>
          <w:rFonts w:cs="Arial"/>
          <w:sz w:val="22"/>
          <w:szCs w:val="22"/>
          <w:lang w:val="es-ES_tradnl"/>
        </w:rPr>
        <w:t>incluyendo el terreno y la construcción</w:t>
      </w:r>
      <w:r w:rsidR="00862711">
        <w:rPr>
          <w:rFonts w:cs="Arial"/>
          <w:sz w:val="22"/>
          <w:szCs w:val="22"/>
          <w:lang w:val="es-ES_tradnl"/>
        </w:rPr>
        <w:t>–</w:t>
      </w:r>
      <w:r w:rsidRPr="00742ECB">
        <w:rPr>
          <w:rFonts w:cs="Arial"/>
          <w:sz w:val="22"/>
          <w:szCs w:val="22"/>
          <w:lang w:val="es-ES_tradnl"/>
        </w:rPr>
        <w:t xml:space="preserve"> será</w:t>
      </w:r>
      <w:r w:rsidR="00862711">
        <w:rPr>
          <w:rFonts w:cs="Arial"/>
          <w:sz w:val="22"/>
          <w:szCs w:val="22"/>
          <w:lang w:val="es-ES_tradnl"/>
        </w:rPr>
        <w:t xml:space="preserve"> </w:t>
      </w:r>
      <w:r w:rsidRPr="00742ECB">
        <w:rPr>
          <w:rFonts w:cs="Arial"/>
          <w:sz w:val="22"/>
          <w:szCs w:val="22"/>
          <w:lang w:val="es-ES_tradnl"/>
        </w:rPr>
        <w:t>el equivalente al tope de la vivienda de interés social vigente.</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Tasa de interés corriente</w:t>
      </w:r>
      <w:r w:rsidRPr="00742ECB">
        <w:rPr>
          <w:rFonts w:cs="Arial"/>
          <w:sz w:val="22"/>
          <w:szCs w:val="22"/>
          <w:lang w:val="es-ES_tradnl"/>
        </w:rPr>
        <w:t xml:space="preserve">: Tasa Básica (TB) calculada por el Banco Central de Costa Rica menos 1.00 punto porcentual, ajustable mensualmente. </w:t>
      </w:r>
    </w:p>
    <w:p w:rsidR="00742ECB" w:rsidRPr="00742ECB" w:rsidRDefault="00742ECB" w:rsidP="00D06EC9">
      <w:pPr>
        <w:jc w:val="both"/>
        <w:rPr>
          <w:rFonts w:cs="Arial"/>
          <w:sz w:val="22"/>
          <w:szCs w:val="22"/>
          <w:lang w:val="es-ES_tradnl"/>
        </w:rPr>
      </w:pPr>
    </w:p>
    <w:p w:rsidR="00742ECB" w:rsidRPr="00742ECB" w:rsidRDefault="00742ECB" w:rsidP="00D06EC9">
      <w:pPr>
        <w:jc w:val="both"/>
        <w:rPr>
          <w:rFonts w:cs="Arial"/>
          <w:sz w:val="22"/>
          <w:szCs w:val="22"/>
          <w:lang w:val="es-ES_tradnl"/>
        </w:rPr>
      </w:pPr>
      <w:r w:rsidRPr="00742ECB">
        <w:rPr>
          <w:rFonts w:cs="Arial"/>
          <w:sz w:val="22"/>
          <w:szCs w:val="22"/>
          <w:lang w:val="es-ES_tradnl"/>
        </w:rPr>
        <w:t xml:space="preserve">El resto de las condiciones son equivalentes a las del Programa de </w:t>
      </w:r>
      <w:r w:rsidR="00052861" w:rsidRPr="00742ECB">
        <w:rPr>
          <w:rFonts w:cs="Arial"/>
          <w:sz w:val="22"/>
          <w:szCs w:val="22"/>
          <w:lang w:val="es-ES_tradnl"/>
        </w:rPr>
        <w:t>Crédito</w:t>
      </w:r>
      <w:r w:rsidRPr="00742ECB">
        <w:rPr>
          <w:rFonts w:cs="Arial"/>
          <w:sz w:val="22"/>
          <w:szCs w:val="22"/>
          <w:lang w:val="es-ES_tradnl"/>
        </w:rPr>
        <w:t xml:space="preserve"> de Largo Plazo en Colones actualmente vigente</w:t>
      </w:r>
      <w:r w:rsidR="00862711">
        <w:rPr>
          <w:rFonts w:cs="Arial"/>
          <w:sz w:val="22"/>
          <w:szCs w:val="22"/>
          <w:lang w:val="es-ES_tradnl"/>
        </w:rPr>
        <w:t>;</w:t>
      </w:r>
      <w:r w:rsidRPr="00742ECB">
        <w:rPr>
          <w:rFonts w:cs="Arial"/>
          <w:sz w:val="22"/>
          <w:szCs w:val="22"/>
          <w:lang w:val="es-ES_tradnl"/>
        </w:rPr>
        <w:t xml:space="preserve"> estas son:</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Tasa de interés moratoria</w:t>
      </w:r>
      <w:r w:rsidRPr="00742ECB">
        <w:rPr>
          <w:rFonts w:cs="Arial"/>
          <w:sz w:val="22"/>
          <w:szCs w:val="22"/>
          <w:lang w:val="es-ES_tradnl"/>
        </w:rPr>
        <w:t xml:space="preserve">: Equivalente a la tasa de interés corriente más dos puntos porcentuales. </w:t>
      </w:r>
      <w:r w:rsidR="00CD1BE9" w:rsidRPr="00CD1BE9">
        <w:rPr>
          <w:rFonts w:cs="Arial"/>
          <w:sz w:val="22"/>
          <w:szCs w:val="22"/>
        </w:rPr>
        <w:t>En caso de que ese valor exceda al límite del 30% que establece el artículo 498 del Código de Comercio, se ajustará al nivel máximo factible sin que llegue a exceder el límite de referencia.</w:t>
      </w:r>
    </w:p>
    <w:p w:rsidR="00742ECB" w:rsidRPr="00742ECB" w:rsidRDefault="00742ECB" w:rsidP="00D06EC9">
      <w:pPr>
        <w:jc w:val="both"/>
        <w:rPr>
          <w:rFonts w:cs="Arial"/>
          <w:sz w:val="22"/>
          <w:szCs w:val="22"/>
          <w:lang w:val="es-ES_tradnl"/>
        </w:rPr>
      </w:pPr>
    </w:p>
    <w:p w:rsidR="00742ECB" w:rsidRPr="00CD1BE9" w:rsidRDefault="00742ECB" w:rsidP="00D06EC9">
      <w:pPr>
        <w:numPr>
          <w:ilvl w:val="0"/>
          <w:numId w:val="21"/>
        </w:numPr>
        <w:jc w:val="both"/>
        <w:rPr>
          <w:rFonts w:cs="Arial"/>
          <w:sz w:val="22"/>
          <w:szCs w:val="22"/>
          <w:lang w:val="es-ES_tradnl"/>
        </w:rPr>
      </w:pPr>
      <w:r w:rsidRPr="00742ECB">
        <w:rPr>
          <w:rFonts w:cs="Arial"/>
          <w:b/>
          <w:sz w:val="22"/>
          <w:szCs w:val="22"/>
          <w:lang w:val="es-ES_tradnl"/>
        </w:rPr>
        <w:t>Comisión de formalización</w:t>
      </w:r>
      <w:r w:rsidRPr="00742ECB">
        <w:rPr>
          <w:rFonts w:cs="Arial"/>
          <w:sz w:val="22"/>
          <w:szCs w:val="22"/>
          <w:lang w:val="es-ES_tradnl"/>
        </w:rPr>
        <w:t>: Uno por ciento (1%) sobre el monto desembolsado.</w:t>
      </w:r>
      <w:r w:rsidR="00CD1BE9" w:rsidRPr="00CD1BE9">
        <w:rPr>
          <w:rFonts w:ascii="Garamond" w:hAnsi="Garamond"/>
          <w:vertAlign w:val="superscript"/>
        </w:rPr>
        <w:t xml:space="preserve"> </w:t>
      </w:r>
      <w:r w:rsidR="00CD1BE9" w:rsidRPr="00CD1BE9">
        <w:rPr>
          <w:rFonts w:cs="Arial"/>
          <w:sz w:val="22"/>
          <w:szCs w:val="22"/>
        </w:rPr>
        <w:t>Aplica únicamente en el caso de que se realicen nuevos desembolsos de recursos, siendo que para las operaciones vigentes esta comisión ya fue aplicada</w:t>
      </w:r>
      <w:r w:rsidR="00CD1BE9">
        <w:rPr>
          <w:rFonts w:cs="Arial"/>
          <w:sz w:val="22"/>
          <w:szCs w:val="22"/>
        </w:rPr>
        <w:t>.</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Comisión por pago anticipado:</w:t>
      </w:r>
      <w:r w:rsidRPr="00742ECB">
        <w:rPr>
          <w:rFonts w:cs="Arial"/>
          <w:sz w:val="22"/>
          <w:szCs w:val="22"/>
          <w:lang w:val="es-ES_tradnl"/>
        </w:rPr>
        <w:t xml:space="preserve"> Tres por ciento (3%) sobre el monto del pago extraordinario durante los primeros 5 años del plazo del financiamiento. </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Plazo del financiamiento</w:t>
      </w:r>
      <w:r w:rsidRPr="00742ECB">
        <w:rPr>
          <w:rFonts w:cs="Arial"/>
          <w:sz w:val="22"/>
          <w:szCs w:val="22"/>
          <w:lang w:val="es-ES_tradnl"/>
        </w:rPr>
        <w:t>: Máximo de 15 años.</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Forma de pago</w:t>
      </w:r>
      <w:r w:rsidRPr="00742ECB">
        <w:rPr>
          <w:rFonts w:cs="Arial"/>
          <w:sz w:val="22"/>
          <w:szCs w:val="22"/>
          <w:lang w:val="es-ES_tradnl"/>
        </w:rPr>
        <w:t>: Cuotas mensuales niveladas por mes vencido.</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Monto máximo del crédito</w:t>
      </w:r>
      <w:r w:rsidRPr="00742ECB">
        <w:rPr>
          <w:rFonts w:cs="Arial"/>
          <w:sz w:val="22"/>
          <w:szCs w:val="22"/>
          <w:lang w:val="es-ES_tradnl"/>
        </w:rPr>
        <w:t>: El monto máximo de los créditos otorgados se establece en función de la capacidad de pago de las Entidades solicitantes y contemplando el límite de operaciones activas</w:t>
      </w:r>
      <w:r w:rsidR="00F92AE6">
        <w:rPr>
          <w:rFonts w:cs="Arial"/>
          <w:sz w:val="22"/>
          <w:szCs w:val="22"/>
          <w:lang w:val="es-ES_tradnl"/>
        </w:rPr>
        <w:t>,</w:t>
      </w:r>
      <w:r w:rsidRPr="00742ECB">
        <w:rPr>
          <w:rFonts w:cs="Arial"/>
          <w:sz w:val="22"/>
          <w:szCs w:val="22"/>
          <w:lang w:val="es-ES_tradnl"/>
        </w:rPr>
        <w:t xml:space="preserve"> establecido de conformidad con la Ley Nº 7558 y el oficio SUGEF-2046-20080443 de la Superintendencia General de Entidades Financieras.</w:t>
      </w:r>
    </w:p>
    <w:p w:rsidR="00742ECB" w:rsidRPr="00742ECB" w:rsidRDefault="00742ECB" w:rsidP="00D06EC9">
      <w:pPr>
        <w:jc w:val="both"/>
        <w:rPr>
          <w:rFonts w:cs="Arial"/>
          <w:b/>
          <w:sz w:val="22"/>
          <w:szCs w:val="22"/>
          <w:lang w:val="es-ES_tradnl"/>
        </w:rPr>
      </w:pP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 xml:space="preserve">Tipo de Garantías: </w:t>
      </w:r>
      <w:r w:rsidRPr="00742ECB">
        <w:rPr>
          <w:rFonts w:cs="Arial"/>
          <w:sz w:val="22"/>
          <w:szCs w:val="22"/>
          <w:lang w:val="es-ES_tradnl"/>
        </w:rPr>
        <w:t>Alternativas incorporadas en el “Reglamento de los Programas de Crédito y Avales del Fondo Nacional para la Vivienda del Banco Hipotecario de la Vivienda” vigente.</w:t>
      </w:r>
    </w:p>
    <w:p w:rsidR="00742ECB" w:rsidRPr="00742ECB" w:rsidRDefault="00742ECB" w:rsidP="00D06EC9">
      <w:pPr>
        <w:jc w:val="both"/>
        <w:rPr>
          <w:rFonts w:cs="Arial"/>
          <w:sz w:val="22"/>
          <w:szCs w:val="22"/>
          <w:lang w:val="es-ES_tradnl"/>
        </w:rPr>
      </w:pPr>
    </w:p>
    <w:p w:rsidR="00742ECB" w:rsidRPr="00742ECB" w:rsidRDefault="00742ECB" w:rsidP="00D06EC9">
      <w:pPr>
        <w:jc w:val="both"/>
        <w:rPr>
          <w:rFonts w:cs="Arial"/>
          <w:sz w:val="22"/>
          <w:szCs w:val="22"/>
          <w:lang w:val="es-ES_tradnl"/>
        </w:rPr>
      </w:pPr>
      <w:r w:rsidRPr="00742ECB">
        <w:rPr>
          <w:rFonts w:cs="Arial"/>
          <w:sz w:val="22"/>
          <w:szCs w:val="22"/>
          <w:lang w:val="es-ES_tradnl"/>
        </w:rPr>
        <w:t>Adicionalmente, en el caso de financiamiento mediante línea de crédito, se aplicarán las siguientes condiciones:</w:t>
      </w:r>
    </w:p>
    <w:p w:rsidR="00742ECB" w:rsidRPr="00742ECB" w:rsidRDefault="00742ECB" w:rsidP="00D06EC9">
      <w:pPr>
        <w:jc w:val="both"/>
        <w:rPr>
          <w:rFonts w:cs="Arial"/>
          <w:sz w:val="22"/>
          <w:szCs w:val="22"/>
          <w:lang w:val="es-ES_tradnl"/>
        </w:rPr>
      </w:pPr>
      <w:r w:rsidRPr="00742ECB">
        <w:rPr>
          <w:rFonts w:cs="Arial"/>
          <w:sz w:val="22"/>
          <w:szCs w:val="22"/>
          <w:lang w:val="es-ES_tradnl"/>
        </w:rPr>
        <w:t xml:space="preserve"> </w:t>
      </w: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 xml:space="preserve">Tipo de línea de crédito: </w:t>
      </w:r>
      <w:r w:rsidRPr="00742ECB">
        <w:rPr>
          <w:rFonts w:cs="Arial"/>
          <w:sz w:val="22"/>
          <w:szCs w:val="22"/>
          <w:lang w:val="es-ES_tradnl"/>
        </w:rPr>
        <w:t xml:space="preserve">Revolutiva, sin compromiso de desembolso y sujeta al límite de operaciones activas vigente. </w:t>
      </w:r>
    </w:p>
    <w:p w:rsidR="00742ECB" w:rsidRPr="00742ECB" w:rsidRDefault="00742ECB" w:rsidP="00D06EC9">
      <w:pPr>
        <w:jc w:val="both"/>
        <w:rPr>
          <w:rFonts w:cs="Arial"/>
          <w:sz w:val="22"/>
          <w:szCs w:val="22"/>
          <w:lang w:val="es-ES_tradnl"/>
        </w:rPr>
      </w:pPr>
    </w:p>
    <w:p w:rsidR="00742ECB" w:rsidRPr="00742ECB" w:rsidRDefault="00742ECB" w:rsidP="00D06EC9">
      <w:pPr>
        <w:numPr>
          <w:ilvl w:val="0"/>
          <w:numId w:val="21"/>
        </w:numPr>
        <w:jc w:val="both"/>
        <w:rPr>
          <w:rFonts w:cs="Arial"/>
          <w:sz w:val="22"/>
          <w:szCs w:val="22"/>
          <w:lang w:val="es-ES_tradnl"/>
        </w:rPr>
      </w:pPr>
      <w:r w:rsidRPr="00742ECB">
        <w:rPr>
          <w:rFonts w:cs="Arial"/>
          <w:b/>
          <w:sz w:val="22"/>
          <w:szCs w:val="22"/>
          <w:lang w:val="es-ES_tradnl"/>
        </w:rPr>
        <w:t>Plazo de la línea de crédito:</w:t>
      </w:r>
      <w:r w:rsidRPr="00742ECB">
        <w:rPr>
          <w:rFonts w:cs="Arial"/>
          <w:sz w:val="22"/>
          <w:szCs w:val="22"/>
          <w:lang w:val="es-ES_tradnl"/>
        </w:rPr>
        <w:t xml:space="preserve"> 20 años; el plazo de los subpréstamos que se formalicen al amparo de la línea de crédito será como máximo de 15 años y no podrá superar el plazo máximo de la línea de crédito.</w:t>
      </w:r>
    </w:p>
    <w:p w:rsidR="00742ECB" w:rsidRPr="00742ECB" w:rsidRDefault="00742ECB" w:rsidP="00742ECB">
      <w:pPr>
        <w:spacing w:line="360" w:lineRule="auto"/>
        <w:jc w:val="both"/>
        <w:rPr>
          <w:rFonts w:cs="Arial"/>
          <w:sz w:val="22"/>
          <w:szCs w:val="22"/>
          <w:lang w:val="es-ES_tradnl"/>
        </w:rPr>
      </w:pPr>
    </w:p>
    <w:p w:rsidR="002B71CC" w:rsidRDefault="00C54F6E" w:rsidP="002B71CC">
      <w:pPr>
        <w:spacing w:line="360" w:lineRule="auto"/>
        <w:jc w:val="both"/>
        <w:rPr>
          <w:rFonts w:cs="Arial"/>
          <w:sz w:val="22"/>
          <w:szCs w:val="22"/>
        </w:rPr>
      </w:pPr>
      <w:r>
        <w:rPr>
          <w:rFonts w:cs="Arial"/>
          <w:b/>
          <w:sz w:val="22"/>
          <w:szCs w:val="22"/>
        </w:rPr>
        <w:t>B</w:t>
      </w:r>
      <w:r w:rsidRPr="008F3DD4">
        <w:rPr>
          <w:rFonts w:cs="Arial"/>
          <w:b/>
          <w:sz w:val="22"/>
          <w:szCs w:val="22"/>
        </w:rPr>
        <w:t>-)</w:t>
      </w:r>
      <w:r>
        <w:rPr>
          <w:rFonts w:cs="Arial"/>
          <w:sz w:val="22"/>
          <w:szCs w:val="22"/>
        </w:rPr>
        <w:t xml:space="preserve"> </w:t>
      </w:r>
      <w:r w:rsidR="006B0BDA">
        <w:rPr>
          <w:rFonts w:cs="Arial"/>
          <w:sz w:val="22"/>
          <w:szCs w:val="22"/>
        </w:rPr>
        <w:t xml:space="preserve">Instruir a la </w:t>
      </w:r>
      <w:r w:rsidR="00A23F95" w:rsidRPr="00A23F95">
        <w:rPr>
          <w:rFonts w:cs="Arial"/>
          <w:sz w:val="22"/>
          <w:szCs w:val="22"/>
        </w:rPr>
        <w:t>Administración</w:t>
      </w:r>
      <w:r w:rsidR="00A23F95">
        <w:rPr>
          <w:rFonts w:cs="Arial"/>
          <w:sz w:val="22"/>
          <w:szCs w:val="22"/>
        </w:rPr>
        <w:t xml:space="preserve">, para que </w:t>
      </w:r>
      <w:r w:rsidR="00FB40A3">
        <w:rPr>
          <w:rFonts w:cs="Arial"/>
          <w:sz w:val="22"/>
          <w:szCs w:val="22"/>
        </w:rPr>
        <w:t xml:space="preserve">someta </w:t>
      </w:r>
      <w:r w:rsidR="00AE3F69">
        <w:rPr>
          <w:rFonts w:cs="Arial"/>
          <w:sz w:val="22"/>
          <w:szCs w:val="22"/>
        </w:rPr>
        <w:t xml:space="preserve">las </w:t>
      </w:r>
      <w:r w:rsidR="00142449">
        <w:rPr>
          <w:rFonts w:cs="Arial"/>
          <w:sz w:val="22"/>
          <w:szCs w:val="22"/>
        </w:rPr>
        <w:t xml:space="preserve">sugerencias </w:t>
      </w:r>
      <w:r w:rsidR="00AE3F69">
        <w:rPr>
          <w:rFonts w:cs="Arial"/>
          <w:sz w:val="22"/>
          <w:szCs w:val="22"/>
        </w:rPr>
        <w:t xml:space="preserve">planteadas por el Comité de Crédito, </w:t>
      </w:r>
      <w:r w:rsidR="00FB40A3">
        <w:rPr>
          <w:rFonts w:cs="Arial"/>
          <w:sz w:val="22"/>
          <w:szCs w:val="22"/>
        </w:rPr>
        <w:t xml:space="preserve">a la </w:t>
      </w:r>
      <w:r w:rsidR="00142449">
        <w:rPr>
          <w:rFonts w:cs="Arial"/>
          <w:sz w:val="22"/>
          <w:szCs w:val="22"/>
        </w:rPr>
        <w:t xml:space="preserve">consideración </w:t>
      </w:r>
      <w:r w:rsidR="00FB40A3">
        <w:rPr>
          <w:rFonts w:cs="Arial"/>
          <w:sz w:val="22"/>
          <w:szCs w:val="22"/>
        </w:rPr>
        <w:t xml:space="preserve">de la comisión de trabajo conformada para </w:t>
      </w:r>
      <w:r w:rsidR="00142449">
        <w:rPr>
          <w:rFonts w:cs="Arial"/>
          <w:sz w:val="22"/>
          <w:szCs w:val="22"/>
        </w:rPr>
        <w:t>impulsar</w:t>
      </w:r>
      <w:r w:rsidR="00FB40A3">
        <w:rPr>
          <w:rFonts w:cs="Arial"/>
          <w:sz w:val="22"/>
          <w:szCs w:val="22"/>
        </w:rPr>
        <w:t xml:space="preserve"> programas dirigidos a la clase media</w:t>
      </w:r>
      <w:r w:rsidR="00BE3412">
        <w:rPr>
          <w:rFonts w:cs="Arial"/>
          <w:sz w:val="22"/>
          <w:szCs w:val="22"/>
        </w:rPr>
        <w:t>, y presente luego a esta Junta Directiva las recomendaciones que sean pertinentes.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8C05DD" w:rsidRDefault="008C05DD"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9B78B7" w:rsidRPr="002114E6" w:rsidRDefault="009B78B7" w:rsidP="009B78B7">
      <w:pPr>
        <w:spacing w:line="360" w:lineRule="auto"/>
        <w:jc w:val="both"/>
        <w:rPr>
          <w:rFonts w:cs="Arial"/>
          <w:b/>
          <w:sz w:val="22"/>
          <w:szCs w:val="22"/>
        </w:rPr>
      </w:pPr>
      <w:r w:rsidRPr="002114E6">
        <w:rPr>
          <w:rFonts w:cs="Arial"/>
          <w:b/>
          <w:sz w:val="22"/>
          <w:szCs w:val="22"/>
        </w:rPr>
        <w:t>Considerando:</w:t>
      </w:r>
    </w:p>
    <w:p w:rsidR="009B78B7" w:rsidRPr="002114E6" w:rsidRDefault="009B78B7" w:rsidP="009B78B7">
      <w:pPr>
        <w:spacing w:line="360" w:lineRule="auto"/>
        <w:jc w:val="both"/>
        <w:rPr>
          <w:rFonts w:cs="Arial"/>
          <w:sz w:val="22"/>
          <w:szCs w:val="22"/>
        </w:rPr>
      </w:pPr>
      <w:r w:rsidRPr="002114E6">
        <w:rPr>
          <w:rFonts w:cs="Arial"/>
          <w:b/>
          <w:sz w:val="22"/>
          <w:szCs w:val="22"/>
        </w:rPr>
        <w:t>Primero:</w:t>
      </w:r>
      <w:r w:rsidRPr="002114E6">
        <w:rPr>
          <w:rFonts w:cs="Arial"/>
          <w:sz w:val="22"/>
          <w:szCs w:val="22"/>
        </w:rPr>
        <w:t xml:space="preserve"> Que </w:t>
      </w:r>
      <w:r w:rsidR="00D50D4A">
        <w:rPr>
          <w:rFonts w:cs="Arial"/>
          <w:sz w:val="22"/>
          <w:szCs w:val="22"/>
        </w:rPr>
        <w:t>ASEDEMASA</w:t>
      </w:r>
      <w:r w:rsidRPr="002114E6">
        <w:rPr>
          <w:rFonts w:cs="Arial"/>
          <w:sz w:val="22"/>
          <w:szCs w:val="22"/>
        </w:rPr>
        <w:t xml:space="preserve"> ha presentado solicitud para financiar –al amparo de</w:t>
      </w:r>
      <w:r>
        <w:rPr>
          <w:rFonts w:cs="Arial"/>
          <w:sz w:val="22"/>
          <w:szCs w:val="22"/>
        </w:rPr>
        <w:t xml:space="preserve"> la modalidad de “Compra de grupo de lotes urbanizados de 5 a 10 casos y construcción de viviendas al amparo del artículo 59 de la Ley del </w:t>
      </w:r>
      <w:r w:rsidRPr="008E591D">
        <w:rPr>
          <w:rFonts w:cs="Arial"/>
          <w:sz w:val="22"/>
          <w:szCs w:val="22"/>
        </w:rPr>
        <w:t>Sistema Financiero Nacional para la Vivienda</w:t>
      </w:r>
      <w:r w:rsidR="00D50D4A">
        <w:rPr>
          <w:rFonts w:cs="Arial"/>
          <w:sz w:val="22"/>
          <w:szCs w:val="22"/>
        </w:rPr>
        <w:t>”, la</w:t>
      </w:r>
      <w:r>
        <w:rPr>
          <w:rFonts w:cs="Arial"/>
          <w:sz w:val="22"/>
          <w:szCs w:val="22"/>
        </w:rPr>
        <w:t xml:space="preserve"> compra de </w:t>
      </w:r>
      <w:r w:rsidR="00D50D4A">
        <w:rPr>
          <w:rFonts w:cs="Arial"/>
          <w:sz w:val="22"/>
          <w:szCs w:val="22"/>
        </w:rPr>
        <w:t>ocho</w:t>
      </w:r>
      <w:r>
        <w:rPr>
          <w:rFonts w:cs="Arial"/>
          <w:sz w:val="22"/>
          <w:szCs w:val="22"/>
        </w:rPr>
        <w:t xml:space="preserve"> lotes urbanizados y la construcción de igual número de </w:t>
      </w:r>
      <w:r w:rsidRPr="002114E6">
        <w:rPr>
          <w:rFonts w:cs="Arial"/>
          <w:sz w:val="22"/>
          <w:szCs w:val="22"/>
        </w:rPr>
        <w:t>viviendas</w:t>
      </w:r>
      <w:r>
        <w:rPr>
          <w:rFonts w:cs="Arial"/>
          <w:sz w:val="22"/>
          <w:szCs w:val="22"/>
        </w:rPr>
        <w:t>,</w:t>
      </w:r>
      <w:r w:rsidRPr="002114E6">
        <w:rPr>
          <w:rFonts w:cs="Arial"/>
          <w:sz w:val="22"/>
          <w:szCs w:val="22"/>
        </w:rPr>
        <w:t xml:space="preserve"> en el proyecto habitacional </w:t>
      </w:r>
      <w:r w:rsidR="00D50D4A">
        <w:rPr>
          <w:rFonts w:cs="Arial"/>
          <w:sz w:val="22"/>
          <w:szCs w:val="22"/>
        </w:rPr>
        <w:t>Santa Rosa de Pocosol</w:t>
      </w:r>
      <w:r w:rsidRPr="00EF3F93">
        <w:rPr>
          <w:rFonts w:cs="Arial"/>
          <w:sz w:val="22"/>
          <w:szCs w:val="22"/>
        </w:rPr>
        <w:t>, ubicado en el distrito</w:t>
      </w:r>
      <w:r>
        <w:rPr>
          <w:rFonts w:cs="Arial"/>
          <w:sz w:val="22"/>
          <w:szCs w:val="22"/>
        </w:rPr>
        <w:t xml:space="preserve"> </w:t>
      </w:r>
      <w:r w:rsidR="00D50D4A">
        <w:rPr>
          <w:rFonts w:cs="Arial"/>
          <w:sz w:val="22"/>
          <w:szCs w:val="22"/>
        </w:rPr>
        <w:t xml:space="preserve">San Rafael </w:t>
      </w:r>
      <w:r>
        <w:rPr>
          <w:rFonts w:cs="Arial"/>
          <w:sz w:val="22"/>
          <w:szCs w:val="22"/>
        </w:rPr>
        <w:t xml:space="preserve">del </w:t>
      </w:r>
      <w:r w:rsidRPr="00EF3F93">
        <w:rPr>
          <w:rFonts w:cs="Arial"/>
          <w:sz w:val="22"/>
          <w:szCs w:val="22"/>
        </w:rPr>
        <w:t xml:space="preserve">cantón de </w:t>
      </w:r>
      <w:r>
        <w:rPr>
          <w:rFonts w:cs="Arial"/>
          <w:sz w:val="22"/>
          <w:szCs w:val="22"/>
        </w:rPr>
        <w:t>Guatuso</w:t>
      </w:r>
      <w:r w:rsidRPr="00EF3F93">
        <w:rPr>
          <w:rFonts w:cs="Arial"/>
          <w:sz w:val="22"/>
          <w:szCs w:val="22"/>
        </w:rPr>
        <w:t xml:space="preserve">, provincia de </w:t>
      </w:r>
      <w:r>
        <w:rPr>
          <w:rFonts w:cs="Arial"/>
          <w:sz w:val="22"/>
          <w:szCs w:val="22"/>
        </w:rPr>
        <w:t>Alajuela</w:t>
      </w:r>
      <w:r w:rsidRPr="002114E6">
        <w:rPr>
          <w:rFonts w:cs="Arial"/>
          <w:sz w:val="22"/>
          <w:szCs w:val="22"/>
        </w:rPr>
        <w:t xml:space="preserve">, dando solución habitacional a </w:t>
      </w:r>
      <w:r w:rsidR="00D50D4A">
        <w:rPr>
          <w:rFonts w:cs="Arial"/>
          <w:sz w:val="22"/>
          <w:szCs w:val="22"/>
        </w:rPr>
        <w:t>ocho</w:t>
      </w:r>
      <w:r>
        <w:rPr>
          <w:rFonts w:cs="Arial"/>
          <w:sz w:val="22"/>
          <w:szCs w:val="22"/>
        </w:rPr>
        <w:t xml:space="preserve"> </w:t>
      </w:r>
      <w:r w:rsidRPr="002114E6">
        <w:rPr>
          <w:rFonts w:cs="Arial"/>
          <w:sz w:val="22"/>
          <w:szCs w:val="22"/>
        </w:rPr>
        <w:t>familias</w:t>
      </w:r>
      <w:r>
        <w:rPr>
          <w:rFonts w:cs="Arial"/>
          <w:sz w:val="22"/>
          <w:szCs w:val="22"/>
        </w:rPr>
        <w:t xml:space="preserve"> que habitan en situación de extrema necesidad</w:t>
      </w:r>
      <w:r w:rsidRPr="002114E6">
        <w:rPr>
          <w:rFonts w:cs="Arial"/>
          <w:sz w:val="22"/>
          <w:szCs w:val="22"/>
        </w:rPr>
        <w:t>.</w:t>
      </w:r>
    </w:p>
    <w:p w:rsidR="009B78B7" w:rsidRPr="002114E6" w:rsidRDefault="009B78B7" w:rsidP="009B78B7">
      <w:pPr>
        <w:spacing w:line="360" w:lineRule="auto"/>
        <w:jc w:val="both"/>
        <w:rPr>
          <w:rFonts w:cs="Arial"/>
          <w:sz w:val="22"/>
          <w:szCs w:val="22"/>
        </w:rPr>
      </w:pPr>
    </w:p>
    <w:p w:rsidR="00B270F6" w:rsidRDefault="009B78B7" w:rsidP="009B78B7">
      <w:pPr>
        <w:spacing w:line="360" w:lineRule="auto"/>
        <w:jc w:val="both"/>
        <w:rPr>
          <w:rFonts w:cs="Arial"/>
          <w:sz w:val="22"/>
          <w:szCs w:val="22"/>
        </w:rPr>
      </w:pPr>
      <w:r w:rsidRPr="002114E6">
        <w:rPr>
          <w:rFonts w:cs="Arial"/>
          <w:b/>
          <w:bCs/>
          <w:sz w:val="22"/>
          <w:szCs w:val="22"/>
        </w:rPr>
        <w:t>Segundo:</w:t>
      </w:r>
      <w:r w:rsidRPr="002114E6">
        <w:rPr>
          <w:rFonts w:cs="Arial"/>
          <w:sz w:val="22"/>
          <w:szCs w:val="22"/>
        </w:rPr>
        <w:t xml:space="preserve"> Que por medio del informe DF-DT-IN-0</w:t>
      </w:r>
      <w:r w:rsidR="007F3137">
        <w:rPr>
          <w:rFonts w:cs="Arial"/>
          <w:sz w:val="22"/>
          <w:szCs w:val="22"/>
        </w:rPr>
        <w:t>553</w:t>
      </w:r>
      <w:r w:rsidRPr="002114E6">
        <w:rPr>
          <w:rFonts w:cs="Arial"/>
          <w:sz w:val="22"/>
          <w:szCs w:val="22"/>
        </w:rPr>
        <w:t>-201</w:t>
      </w:r>
      <w:r>
        <w:rPr>
          <w:rFonts w:cs="Arial"/>
          <w:sz w:val="22"/>
          <w:szCs w:val="22"/>
        </w:rPr>
        <w:t>9</w:t>
      </w:r>
      <w:r w:rsidRPr="002114E6">
        <w:rPr>
          <w:rFonts w:cs="Arial"/>
          <w:sz w:val="22"/>
          <w:szCs w:val="22"/>
        </w:rPr>
        <w:t xml:space="preserve"> del </w:t>
      </w:r>
      <w:r w:rsidR="007F3137">
        <w:rPr>
          <w:rFonts w:cs="Arial"/>
          <w:sz w:val="22"/>
          <w:szCs w:val="22"/>
        </w:rPr>
        <w:t>1</w:t>
      </w:r>
      <w:r>
        <w:rPr>
          <w:rFonts w:cs="Arial"/>
          <w:sz w:val="22"/>
          <w:szCs w:val="22"/>
        </w:rPr>
        <w:t>1</w:t>
      </w:r>
      <w:r w:rsidRPr="002114E6">
        <w:rPr>
          <w:rFonts w:cs="Arial"/>
          <w:sz w:val="22"/>
          <w:szCs w:val="22"/>
        </w:rPr>
        <w:t xml:space="preserve"> de </w:t>
      </w:r>
      <w:r w:rsidR="007F3137">
        <w:rPr>
          <w:rFonts w:cs="Arial"/>
          <w:sz w:val="22"/>
          <w:szCs w:val="22"/>
        </w:rPr>
        <w:t>junio</w:t>
      </w:r>
      <w:r w:rsidRPr="002114E6">
        <w:rPr>
          <w:rFonts w:cs="Arial"/>
          <w:sz w:val="22"/>
          <w:szCs w:val="22"/>
        </w:rPr>
        <w:t xml:space="preserve"> de 201</w:t>
      </w:r>
      <w:r>
        <w:rPr>
          <w:rFonts w:cs="Arial"/>
          <w:sz w:val="22"/>
          <w:szCs w:val="22"/>
        </w:rPr>
        <w:t>9</w:t>
      </w:r>
      <w:r w:rsidRPr="002114E6">
        <w:rPr>
          <w:rFonts w:cs="Arial"/>
          <w:sz w:val="22"/>
          <w:szCs w:val="22"/>
        </w:rPr>
        <w:t>, el Departamento Técnico de la Dirección FOSUVI presenta el correspondiente dictamen técnico sobre la solicitud d</w:t>
      </w:r>
      <w:r>
        <w:rPr>
          <w:rFonts w:cs="Arial"/>
          <w:sz w:val="22"/>
          <w:szCs w:val="22"/>
        </w:rPr>
        <w:t xml:space="preserve">e </w:t>
      </w:r>
      <w:r w:rsidR="007F3137">
        <w:rPr>
          <w:rFonts w:cs="Arial"/>
          <w:sz w:val="22"/>
          <w:szCs w:val="22"/>
        </w:rPr>
        <w:t>ASEDEMASA</w:t>
      </w:r>
      <w:r>
        <w:rPr>
          <w:rFonts w:cs="Arial"/>
          <w:sz w:val="22"/>
          <w:szCs w:val="22"/>
        </w:rPr>
        <w:t>,</w:t>
      </w:r>
      <w:r w:rsidRPr="002114E6">
        <w:rPr>
          <w:rFonts w:cs="Arial"/>
          <w:sz w:val="22"/>
          <w:szCs w:val="22"/>
        </w:rPr>
        <w:t xml:space="preserve"> y con base en la documentación presentada por la entidad y los estudios realizados por ese Departamento, concluye que </w:t>
      </w:r>
      <w:r>
        <w:rPr>
          <w:rFonts w:cs="Arial"/>
          <w:sz w:val="22"/>
          <w:szCs w:val="22"/>
        </w:rPr>
        <w:t xml:space="preserve">el valor de los lotes es razonable y </w:t>
      </w:r>
      <w:r w:rsidRPr="002114E6">
        <w:rPr>
          <w:rFonts w:cs="Arial"/>
          <w:sz w:val="22"/>
          <w:szCs w:val="22"/>
        </w:rPr>
        <w:t xml:space="preserve">los costos </w:t>
      </w:r>
      <w:r>
        <w:rPr>
          <w:rFonts w:cs="Arial"/>
          <w:sz w:val="22"/>
          <w:szCs w:val="22"/>
        </w:rPr>
        <w:t xml:space="preserve">de las obras a construir </w:t>
      </w:r>
      <w:r w:rsidRPr="002114E6">
        <w:rPr>
          <w:rFonts w:cs="Arial"/>
          <w:sz w:val="22"/>
          <w:szCs w:val="22"/>
          <w:lang w:val="es-ES_tradnl"/>
        </w:rPr>
        <w:t xml:space="preserve">son </w:t>
      </w:r>
      <w:r>
        <w:rPr>
          <w:rFonts w:cs="Arial"/>
          <w:sz w:val="22"/>
          <w:szCs w:val="22"/>
          <w:lang w:val="es-ES_tradnl"/>
        </w:rPr>
        <w:t>adecuados para las características propuestas</w:t>
      </w:r>
      <w:r w:rsidRPr="002114E6">
        <w:rPr>
          <w:rFonts w:cs="Arial"/>
          <w:sz w:val="22"/>
          <w:szCs w:val="22"/>
          <w:lang w:val="es-ES_tradnl"/>
        </w:rPr>
        <w:t xml:space="preserve"> y</w:t>
      </w:r>
      <w:r>
        <w:rPr>
          <w:rFonts w:cs="Arial"/>
          <w:sz w:val="22"/>
          <w:szCs w:val="22"/>
          <w:lang w:val="es-ES_tradnl"/>
        </w:rPr>
        <w:t>,</w:t>
      </w:r>
      <w:r w:rsidRPr="002114E6">
        <w:rPr>
          <w:rFonts w:cs="Arial"/>
          <w:sz w:val="22"/>
          <w:szCs w:val="22"/>
          <w:lang w:val="es-ES_tradnl"/>
        </w:rPr>
        <w:t xml:space="preserve"> por ende</w:t>
      </w:r>
      <w:r>
        <w:rPr>
          <w:rFonts w:cs="Arial"/>
          <w:sz w:val="22"/>
          <w:szCs w:val="22"/>
          <w:lang w:val="es-ES_tradnl"/>
        </w:rPr>
        <w:t>,</w:t>
      </w:r>
      <w:r w:rsidRPr="002114E6">
        <w:rPr>
          <w:rFonts w:cs="Arial"/>
          <w:sz w:val="22"/>
          <w:szCs w:val="22"/>
          <w:lang w:val="es-ES_tradnl"/>
        </w:rPr>
        <w:t xml:space="preserve"> recomienda acoger </w:t>
      </w:r>
      <w:r w:rsidRPr="002114E6">
        <w:rPr>
          <w:rFonts w:cs="Arial"/>
          <w:sz w:val="22"/>
          <w:szCs w:val="22"/>
        </w:rPr>
        <w:t xml:space="preserve">la solicitud planteada por esa </w:t>
      </w:r>
      <w:r w:rsidR="0073035B">
        <w:rPr>
          <w:rFonts w:cs="Arial"/>
          <w:sz w:val="22"/>
          <w:szCs w:val="22"/>
        </w:rPr>
        <w:t>Asociación Solidarista</w:t>
      </w:r>
      <w:r w:rsidRPr="002114E6">
        <w:rPr>
          <w:rFonts w:cs="Arial"/>
          <w:sz w:val="22"/>
          <w:szCs w:val="22"/>
        </w:rPr>
        <w:t xml:space="preserve">, estableciendo </w:t>
      </w:r>
      <w:r w:rsidRPr="00B270F6">
        <w:rPr>
          <w:rFonts w:cs="Arial"/>
          <w:sz w:val="22"/>
          <w:szCs w:val="22"/>
        </w:rPr>
        <w:t>algunas condiciones con respecto a</w:t>
      </w:r>
      <w:r w:rsidRPr="002114E6">
        <w:rPr>
          <w:rFonts w:cs="Arial"/>
          <w:sz w:val="22"/>
          <w:szCs w:val="22"/>
        </w:rPr>
        <w:t xml:space="preserve"> </w:t>
      </w:r>
      <w:r>
        <w:rPr>
          <w:rFonts w:cs="Arial"/>
          <w:sz w:val="22"/>
          <w:szCs w:val="22"/>
        </w:rPr>
        <w:t>la vigencia de los permisos de construcción,</w:t>
      </w:r>
      <w:r w:rsidRPr="008E591D">
        <w:rPr>
          <w:rFonts w:cs="Arial"/>
          <w:sz w:val="22"/>
          <w:szCs w:val="22"/>
        </w:rPr>
        <w:t xml:space="preserve"> </w:t>
      </w:r>
      <w:r w:rsidR="00B270F6">
        <w:rPr>
          <w:rFonts w:cs="Arial"/>
          <w:sz w:val="22"/>
          <w:szCs w:val="22"/>
        </w:rPr>
        <w:t xml:space="preserve">el </w:t>
      </w:r>
      <w:r w:rsidR="00B270F6" w:rsidRPr="002114E6">
        <w:rPr>
          <w:rFonts w:cs="Arial"/>
          <w:sz w:val="22"/>
          <w:szCs w:val="22"/>
        </w:rPr>
        <w:t>cumplimiento de la Directriz Gubernamental N° 27</w:t>
      </w:r>
      <w:r w:rsidR="00B270F6">
        <w:rPr>
          <w:rFonts w:cs="Arial"/>
          <w:sz w:val="22"/>
          <w:szCs w:val="22"/>
        </w:rPr>
        <w:t>,</w:t>
      </w:r>
      <w:r w:rsidR="00B270F6" w:rsidRPr="008E591D">
        <w:rPr>
          <w:rFonts w:cs="Arial"/>
          <w:sz w:val="22"/>
          <w:szCs w:val="22"/>
        </w:rPr>
        <w:t xml:space="preserve"> </w:t>
      </w:r>
      <w:r w:rsidR="00B270F6">
        <w:rPr>
          <w:rFonts w:cs="Arial"/>
          <w:sz w:val="22"/>
          <w:szCs w:val="22"/>
        </w:rPr>
        <w:t xml:space="preserve">el acatamiento de las especificaciones técnicas establecidas, la </w:t>
      </w:r>
      <w:r w:rsidR="00E02B22">
        <w:rPr>
          <w:rFonts w:cs="Arial"/>
          <w:sz w:val="22"/>
          <w:szCs w:val="22"/>
        </w:rPr>
        <w:t xml:space="preserve">segregación </w:t>
      </w:r>
      <w:r w:rsidR="00B270F6">
        <w:rPr>
          <w:rFonts w:cs="Arial"/>
          <w:sz w:val="22"/>
          <w:szCs w:val="22"/>
        </w:rPr>
        <w:t>de</w:t>
      </w:r>
      <w:r w:rsidR="00E02B22">
        <w:rPr>
          <w:rFonts w:cs="Arial"/>
          <w:sz w:val="22"/>
          <w:szCs w:val="22"/>
        </w:rPr>
        <w:t xml:space="preserve"> los planos catastro</w:t>
      </w:r>
      <w:r w:rsidR="00B270F6">
        <w:rPr>
          <w:rFonts w:cs="Arial"/>
          <w:sz w:val="22"/>
          <w:szCs w:val="22"/>
        </w:rPr>
        <w:t xml:space="preserve"> </w:t>
      </w:r>
      <w:r w:rsidR="00E02B22">
        <w:rPr>
          <w:rFonts w:cs="Arial"/>
          <w:sz w:val="22"/>
          <w:szCs w:val="22"/>
        </w:rPr>
        <w:t>y la liquidación de los diferentes rubros presupuestarios.</w:t>
      </w:r>
    </w:p>
    <w:p w:rsidR="00B270F6" w:rsidRDefault="00B270F6" w:rsidP="009B78B7">
      <w:pPr>
        <w:spacing w:line="360" w:lineRule="auto"/>
        <w:jc w:val="both"/>
        <w:rPr>
          <w:rFonts w:cs="Arial"/>
          <w:sz w:val="22"/>
          <w:szCs w:val="22"/>
        </w:rPr>
      </w:pPr>
    </w:p>
    <w:p w:rsidR="009B78B7" w:rsidRDefault="009B78B7" w:rsidP="009B78B7">
      <w:pPr>
        <w:spacing w:line="360" w:lineRule="auto"/>
        <w:jc w:val="both"/>
        <w:rPr>
          <w:rFonts w:cs="Arial"/>
          <w:sz w:val="22"/>
          <w:szCs w:val="22"/>
        </w:rPr>
      </w:pPr>
      <w:r w:rsidRPr="002114E6">
        <w:rPr>
          <w:rFonts w:cs="Arial"/>
          <w:b/>
          <w:sz w:val="22"/>
          <w:szCs w:val="22"/>
        </w:rPr>
        <w:t>Tercero:</w:t>
      </w:r>
      <w:r w:rsidRPr="002114E6">
        <w:rPr>
          <w:rFonts w:cs="Arial"/>
          <w:sz w:val="22"/>
          <w:szCs w:val="22"/>
        </w:rPr>
        <w:t xml:space="preserve"> Que mediante el oficio </w:t>
      </w:r>
      <w:r w:rsidRPr="00EF3F93">
        <w:rPr>
          <w:rFonts w:cs="Arial"/>
          <w:sz w:val="22"/>
          <w:szCs w:val="22"/>
        </w:rPr>
        <w:t>DF-OF-</w:t>
      </w:r>
      <w:r>
        <w:rPr>
          <w:rFonts w:cs="Arial"/>
          <w:sz w:val="22"/>
          <w:szCs w:val="22"/>
        </w:rPr>
        <w:t>0</w:t>
      </w:r>
      <w:r w:rsidR="00E02B22">
        <w:rPr>
          <w:rFonts w:cs="Arial"/>
          <w:sz w:val="22"/>
          <w:szCs w:val="22"/>
        </w:rPr>
        <w:t>794</w:t>
      </w:r>
      <w:r>
        <w:rPr>
          <w:rFonts w:cs="Arial"/>
          <w:sz w:val="22"/>
          <w:szCs w:val="22"/>
        </w:rPr>
        <w:t>-2019</w:t>
      </w:r>
      <w:r w:rsidR="00E07DA7">
        <w:rPr>
          <w:rFonts w:cs="Arial"/>
          <w:sz w:val="22"/>
          <w:szCs w:val="22"/>
        </w:rPr>
        <w:t xml:space="preserve"> del</w:t>
      </w:r>
      <w:r w:rsidR="00E02B22">
        <w:rPr>
          <w:rFonts w:cs="Arial"/>
          <w:sz w:val="22"/>
          <w:szCs w:val="22"/>
        </w:rPr>
        <w:t xml:space="preserve"> 12 de julio de 2019</w:t>
      </w:r>
      <w:r w:rsidRPr="00EF3F93">
        <w:rPr>
          <w:rFonts w:cs="Arial"/>
          <w:sz w:val="22"/>
          <w:szCs w:val="22"/>
        </w:rPr>
        <w:t xml:space="preserve"> </w:t>
      </w:r>
      <w:r w:rsidRPr="002114E6">
        <w:rPr>
          <w:rFonts w:cs="Arial"/>
          <w:sz w:val="22"/>
          <w:szCs w:val="22"/>
        </w:rPr>
        <w:t>–el cual es avalado por la Gerencia General con la nota GG-ME-</w:t>
      </w:r>
      <w:r>
        <w:rPr>
          <w:rFonts w:cs="Arial"/>
          <w:sz w:val="22"/>
          <w:szCs w:val="22"/>
        </w:rPr>
        <w:t>0</w:t>
      </w:r>
      <w:r w:rsidR="00E02B22">
        <w:rPr>
          <w:rFonts w:cs="Arial"/>
          <w:sz w:val="22"/>
          <w:szCs w:val="22"/>
        </w:rPr>
        <w:t>730</w:t>
      </w:r>
      <w:r w:rsidRPr="002114E6">
        <w:rPr>
          <w:rFonts w:cs="Arial"/>
          <w:sz w:val="22"/>
          <w:szCs w:val="22"/>
        </w:rPr>
        <w:t>-201</w:t>
      </w:r>
      <w:r>
        <w:rPr>
          <w:rFonts w:cs="Arial"/>
          <w:sz w:val="22"/>
          <w:szCs w:val="22"/>
        </w:rPr>
        <w:t>9</w:t>
      </w:r>
      <w:r w:rsidRPr="002114E6">
        <w:rPr>
          <w:rFonts w:cs="Arial"/>
          <w:sz w:val="22"/>
          <w:szCs w:val="22"/>
        </w:rPr>
        <w:t>, de</w:t>
      </w:r>
      <w:r w:rsidR="00E02B22">
        <w:rPr>
          <w:rFonts w:cs="Arial"/>
          <w:sz w:val="22"/>
          <w:szCs w:val="22"/>
        </w:rPr>
        <w:t xml:space="preserve"> esa misma fecha</w:t>
      </w:r>
      <w:r w:rsidRPr="002114E6">
        <w:rPr>
          <w:rFonts w:cs="Arial"/>
          <w:sz w:val="22"/>
          <w:szCs w:val="22"/>
        </w:rPr>
        <w:t xml:space="preserve">– la </w:t>
      </w:r>
      <w:r w:rsidRPr="00EF3F93">
        <w:rPr>
          <w:rFonts w:cs="Arial"/>
          <w:sz w:val="22"/>
          <w:szCs w:val="22"/>
        </w:rPr>
        <w:t>Dirección FOSUVI</w:t>
      </w:r>
      <w:r w:rsidRPr="002114E6">
        <w:rPr>
          <w:rFonts w:cs="Arial"/>
          <w:sz w:val="22"/>
          <w:szCs w:val="22"/>
        </w:rPr>
        <w:t xml:space="preserve"> se refiere a los aspectos más relevantes de la solicitud presentada por </w:t>
      </w:r>
      <w:r w:rsidR="00E02B22">
        <w:rPr>
          <w:rFonts w:cs="Arial"/>
          <w:sz w:val="22"/>
          <w:szCs w:val="22"/>
        </w:rPr>
        <w:t>ASEDEMASA</w:t>
      </w:r>
      <w:r w:rsidRPr="002114E6">
        <w:rPr>
          <w:rFonts w:cs="Arial"/>
          <w:sz w:val="22"/>
          <w:szCs w:val="22"/>
        </w:rPr>
        <w:t xml:space="preserve">, así como al detalle de las obras a ejecutar, la lista de potenciales beneficiarios, los costos propuestos y las condiciones bajo las cuales </w:t>
      </w:r>
      <w:r>
        <w:rPr>
          <w:rFonts w:cs="Arial"/>
          <w:sz w:val="22"/>
          <w:szCs w:val="22"/>
        </w:rPr>
        <w:t>se</w:t>
      </w:r>
      <w:r w:rsidRPr="002114E6">
        <w:rPr>
          <w:rFonts w:cs="Arial"/>
          <w:sz w:val="22"/>
          <w:szCs w:val="22"/>
        </w:rPr>
        <w:t xml:space="preserve"> recomienda acoger la solicitud de la entidad autorizada.</w:t>
      </w:r>
    </w:p>
    <w:p w:rsidR="009B78B7" w:rsidRDefault="009B78B7" w:rsidP="009B78B7">
      <w:pPr>
        <w:spacing w:line="360" w:lineRule="auto"/>
        <w:jc w:val="both"/>
        <w:rPr>
          <w:rFonts w:cs="Arial"/>
          <w:sz w:val="22"/>
          <w:szCs w:val="22"/>
        </w:rPr>
      </w:pPr>
    </w:p>
    <w:p w:rsidR="00E07DA7" w:rsidRDefault="009B78B7" w:rsidP="009B78B7">
      <w:pPr>
        <w:spacing w:line="360" w:lineRule="auto"/>
        <w:jc w:val="both"/>
        <w:rPr>
          <w:rFonts w:cs="Arial"/>
          <w:sz w:val="22"/>
          <w:szCs w:val="22"/>
          <w:lang w:val="es-CR"/>
        </w:rPr>
      </w:pPr>
      <w:r>
        <w:rPr>
          <w:rFonts w:cs="Arial"/>
          <w:b/>
          <w:bCs/>
          <w:sz w:val="22"/>
          <w:szCs w:val="22"/>
          <w:lang w:val="es-CR"/>
        </w:rPr>
        <w:t>Cuarto</w:t>
      </w:r>
      <w:r w:rsidRPr="002114E6">
        <w:rPr>
          <w:rFonts w:cs="Arial"/>
          <w:b/>
          <w:bCs/>
          <w:sz w:val="22"/>
          <w:szCs w:val="22"/>
          <w:lang w:val="es-CR"/>
        </w:rPr>
        <w:t>:</w:t>
      </w:r>
      <w:r w:rsidRPr="002114E6">
        <w:rPr>
          <w:rFonts w:cs="Arial"/>
          <w:sz w:val="22"/>
          <w:szCs w:val="22"/>
          <w:lang w:val="es-CR"/>
        </w:rPr>
        <w:t xml:space="preserve"> Que habiéndose analizado los documentos que al respecto han </w:t>
      </w:r>
      <w:r>
        <w:rPr>
          <w:rFonts w:cs="Arial"/>
          <w:sz w:val="22"/>
          <w:szCs w:val="22"/>
          <w:lang w:val="es-CR"/>
        </w:rPr>
        <w:t>sido sometidos a la consideración de</w:t>
      </w:r>
      <w:r w:rsidRPr="002114E6">
        <w:rPr>
          <w:rFonts w:cs="Arial"/>
          <w:sz w:val="22"/>
          <w:szCs w:val="22"/>
          <w:lang w:val="es-CR"/>
        </w:rPr>
        <w:t xml:space="preserve"> esta Junta Directiva, se estima procedente acoger la recomendación de la Administración</w:t>
      </w:r>
      <w:r>
        <w:rPr>
          <w:rFonts w:cs="Arial"/>
          <w:sz w:val="22"/>
          <w:szCs w:val="22"/>
          <w:lang w:val="es-CR"/>
        </w:rPr>
        <w:t>,</w:t>
      </w:r>
      <w:r w:rsidRPr="002114E6">
        <w:rPr>
          <w:rFonts w:cs="Arial"/>
          <w:sz w:val="22"/>
          <w:szCs w:val="22"/>
          <w:lang w:val="es-CR"/>
        </w:rPr>
        <w:t xml:space="preserve"> en los mismos términos </w:t>
      </w:r>
      <w:r>
        <w:rPr>
          <w:rFonts w:cs="Arial"/>
          <w:sz w:val="22"/>
          <w:szCs w:val="22"/>
          <w:lang w:val="es-CR"/>
        </w:rPr>
        <w:t xml:space="preserve">que se indican </w:t>
      </w:r>
      <w:r w:rsidRPr="002114E6">
        <w:rPr>
          <w:rFonts w:cs="Arial"/>
          <w:sz w:val="22"/>
          <w:szCs w:val="22"/>
          <w:lang w:val="es-CR"/>
        </w:rPr>
        <w:t xml:space="preserve">en </w:t>
      </w:r>
      <w:r>
        <w:rPr>
          <w:rFonts w:cs="Arial"/>
          <w:sz w:val="22"/>
          <w:szCs w:val="22"/>
          <w:lang w:val="es-CR"/>
        </w:rPr>
        <w:t>el</w:t>
      </w:r>
      <w:r w:rsidRPr="002114E6">
        <w:rPr>
          <w:rFonts w:cs="Arial"/>
          <w:sz w:val="22"/>
          <w:szCs w:val="22"/>
          <w:lang w:val="es-CR"/>
        </w:rPr>
        <w:t xml:space="preserve"> informe </w:t>
      </w:r>
      <w:r w:rsidRPr="00EF3F93">
        <w:rPr>
          <w:rFonts w:cs="Arial"/>
          <w:sz w:val="22"/>
          <w:szCs w:val="22"/>
        </w:rPr>
        <w:t>DF-OF-</w:t>
      </w:r>
      <w:r>
        <w:rPr>
          <w:rFonts w:cs="Arial"/>
          <w:sz w:val="22"/>
          <w:szCs w:val="22"/>
        </w:rPr>
        <w:t>0</w:t>
      </w:r>
      <w:r w:rsidR="00E07DA7">
        <w:rPr>
          <w:rFonts w:cs="Arial"/>
          <w:sz w:val="22"/>
          <w:szCs w:val="22"/>
        </w:rPr>
        <w:t>794</w:t>
      </w:r>
      <w:r>
        <w:rPr>
          <w:rFonts w:cs="Arial"/>
          <w:sz w:val="22"/>
          <w:szCs w:val="22"/>
        </w:rPr>
        <w:t>-2019</w:t>
      </w:r>
      <w:r w:rsidRPr="00EF3F93">
        <w:rPr>
          <w:rFonts w:cs="Arial"/>
          <w:sz w:val="22"/>
          <w:szCs w:val="22"/>
        </w:rPr>
        <w:t xml:space="preserve"> </w:t>
      </w:r>
      <w:r w:rsidRPr="002114E6">
        <w:rPr>
          <w:rFonts w:cs="Arial"/>
          <w:sz w:val="22"/>
          <w:szCs w:val="22"/>
          <w:lang w:val="es-CR"/>
        </w:rPr>
        <w:t>de la Dirección FOSUVI</w:t>
      </w:r>
      <w:r>
        <w:rPr>
          <w:rFonts w:cs="Arial"/>
          <w:sz w:val="22"/>
          <w:szCs w:val="22"/>
          <w:lang w:val="es-CR"/>
        </w:rPr>
        <w:t>.</w:t>
      </w:r>
    </w:p>
    <w:p w:rsidR="009B78B7" w:rsidRPr="002114E6" w:rsidRDefault="009B78B7" w:rsidP="009B78B7">
      <w:pPr>
        <w:spacing w:line="360" w:lineRule="auto"/>
        <w:jc w:val="both"/>
        <w:rPr>
          <w:rFonts w:cs="Arial"/>
          <w:b/>
          <w:sz w:val="22"/>
          <w:szCs w:val="22"/>
        </w:rPr>
      </w:pPr>
    </w:p>
    <w:p w:rsidR="009B78B7" w:rsidRPr="002114E6" w:rsidRDefault="009B78B7" w:rsidP="009B78B7">
      <w:pPr>
        <w:spacing w:line="360" w:lineRule="auto"/>
        <w:jc w:val="both"/>
        <w:rPr>
          <w:rFonts w:cs="Arial"/>
          <w:b/>
          <w:sz w:val="22"/>
          <w:szCs w:val="22"/>
        </w:rPr>
      </w:pPr>
      <w:r w:rsidRPr="002114E6">
        <w:rPr>
          <w:rFonts w:cs="Arial"/>
          <w:b/>
          <w:sz w:val="22"/>
          <w:szCs w:val="22"/>
        </w:rPr>
        <w:t>Por tanto, se acuerda:</w:t>
      </w:r>
    </w:p>
    <w:p w:rsidR="009B78B7" w:rsidRPr="002114E6" w:rsidRDefault="009B78B7" w:rsidP="009B78B7">
      <w:pPr>
        <w:spacing w:line="360" w:lineRule="auto"/>
        <w:jc w:val="both"/>
        <w:rPr>
          <w:rFonts w:cs="Arial"/>
          <w:sz w:val="22"/>
          <w:szCs w:val="22"/>
        </w:rPr>
      </w:pPr>
      <w:r w:rsidRPr="002114E6">
        <w:rPr>
          <w:rFonts w:cs="Arial"/>
          <w:b/>
          <w:bCs/>
          <w:sz w:val="22"/>
          <w:szCs w:val="22"/>
        </w:rPr>
        <w:t>1.</w:t>
      </w:r>
      <w:r w:rsidRPr="002114E6">
        <w:rPr>
          <w:rFonts w:cs="Arial"/>
          <w:sz w:val="22"/>
          <w:szCs w:val="22"/>
        </w:rPr>
        <w:t xml:space="preserve"> Otorgar a</w:t>
      </w:r>
      <w:r>
        <w:rPr>
          <w:rFonts w:cs="Arial"/>
          <w:sz w:val="22"/>
          <w:szCs w:val="22"/>
        </w:rPr>
        <w:t xml:space="preserve"> </w:t>
      </w:r>
      <w:r w:rsidR="00E07DA7">
        <w:rPr>
          <w:rFonts w:cs="Arial"/>
          <w:sz w:val="22"/>
          <w:szCs w:val="22"/>
        </w:rPr>
        <w:t>ASEDEMASA</w:t>
      </w:r>
      <w:r>
        <w:rPr>
          <w:rFonts w:cs="Arial"/>
          <w:sz w:val="22"/>
          <w:szCs w:val="22"/>
          <w:lang w:val="es-ES_tradnl"/>
        </w:rPr>
        <w:t>,</w:t>
      </w:r>
      <w:r w:rsidRPr="002114E6">
        <w:rPr>
          <w:rFonts w:cs="Arial"/>
          <w:sz w:val="22"/>
          <w:szCs w:val="22"/>
        </w:rPr>
        <w:t xml:space="preserve"> al amparo del artículo 59 de la Ley del </w:t>
      </w:r>
      <w:r w:rsidRPr="00B117DE">
        <w:rPr>
          <w:rFonts w:cs="Arial"/>
          <w:sz w:val="22"/>
          <w:szCs w:val="22"/>
        </w:rPr>
        <w:t>Sistema Financiero Nacional para la Vivienda</w:t>
      </w:r>
      <w:r w:rsidRPr="002114E6">
        <w:rPr>
          <w:rFonts w:cs="Arial"/>
          <w:sz w:val="22"/>
          <w:szCs w:val="22"/>
        </w:rPr>
        <w:t xml:space="preserve">, los recursos requeridos en administración, para </w:t>
      </w:r>
      <w:r>
        <w:rPr>
          <w:rFonts w:cs="Arial"/>
          <w:sz w:val="22"/>
          <w:szCs w:val="22"/>
        </w:rPr>
        <w:t xml:space="preserve">la compra de </w:t>
      </w:r>
      <w:r w:rsidR="00E07DA7">
        <w:rPr>
          <w:rFonts w:cs="Arial"/>
          <w:sz w:val="22"/>
          <w:szCs w:val="22"/>
        </w:rPr>
        <w:t>ocho</w:t>
      </w:r>
      <w:r>
        <w:rPr>
          <w:rFonts w:cs="Arial"/>
          <w:sz w:val="22"/>
          <w:szCs w:val="22"/>
        </w:rPr>
        <w:t xml:space="preserve"> lotes urbanizados y la </w:t>
      </w:r>
      <w:r w:rsidRPr="002114E6">
        <w:rPr>
          <w:rFonts w:cs="Arial"/>
          <w:sz w:val="22"/>
          <w:szCs w:val="22"/>
        </w:rPr>
        <w:t xml:space="preserve">construcción de </w:t>
      </w:r>
      <w:r>
        <w:rPr>
          <w:rFonts w:cs="Arial"/>
          <w:sz w:val="22"/>
          <w:szCs w:val="22"/>
        </w:rPr>
        <w:t xml:space="preserve">igual número de </w:t>
      </w:r>
      <w:r w:rsidRPr="002114E6">
        <w:rPr>
          <w:rFonts w:cs="Arial"/>
          <w:sz w:val="22"/>
          <w:szCs w:val="22"/>
        </w:rPr>
        <w:t>viviendas</w:t>
      </w:r>
      <w:r>
        <w:rPr>
          <w:rFonts w:cs="Arial"/>
          <w:sz w:val="22"/>
          <w:szCs w:val="22"/>
        </w:rPr>
        <w:t>,</w:t>
      </w:r>
      <w:r w:rsidRPr="002114E6">
        <w:rPr>
          <w:rFonts w:cs="Arial"/>
          <w:sz w:val="22"/>
          <w:szCs w:val="22"/>
        </w:rPr>
        <w:t xml:space="preserve"> en el proyecto habitacional </w:t>
      </w:r>
      <w:r w:rsidR="00E07DA7">
        <w:rPr>
          <w:rFonts w:cs="Arial"/>
          <w:sz w:val="22"/>
          <w:szCs w:val="22"/>
        </w:rPr>
        <w:t>Santa Rosa de Pocosol</w:t>
      </w:r>
      <w:r w:rsidR="00E07DA7" w:rsidRPr="00EF3F93">
        <w:rPr>
          <w:rFonts w:cs="Arial"/>
          <w:sz w:val="22"/>
          <w:szCs w:val="22"/>
        </w:rPr>
        <w:t>, ubicado en el distrito</w:t>
      </w:r>
      <w:r w:rsidR="00E07DA7">
        <w:rPr>
          <w:rFonts w:cs="Arial"/>
          <w:sz w:val="22"/>
          <w:szCs w:val="22"/>
        </w:rPr>
        <w:t xml:space="preserve"> San Rafael del </w:t>
      </w:r>
      <w:r w:rsidR="00E07DA7" w:rsidRPr="00EF3F93">
        <w:rPr>
          <w:rFonts w:cs="Arial"/>
          <w:sz w:val="22"/>
          <w:szCs w:val="22"/>
        </w:rPr>
        <w:t xml:space="preserve">cantón de </w:t>
      </w:r>
      <w:r w:rsidR="00E07DA7">
        <w:rPr>
          <w:rFonts w:cs="Arial"/>
          <w:sz w:val="22"/>
          <w:szCs w:val="22"/>
        </w:rPr>
        <w:t>Guatuso</w:t>
      </w:r>
      <w:r w:rsidR="00E07DA7" w:rsidRPr="00EF3F93">
        <w:rPr>
          <w:rFonts w:cs="Arial"/>
          <w:sz w:val="22"/>
          <w:szCs w:val="22"/>
        </w:rPr>
        <w:t xml:space="preserve">, provincia de </w:t>
      </w:r>
      <w:r w:rsidR="00E07DA7">
        <w:rPr>
          <w:rFonts w:cs="Arial"/>
          <w:sz w:val="22"/>
          <w:szCs w:val="22"/>
        </w:rPr>
        <w:t>Alajuela</w:t>
      </w:r>
      <w:r w:rsidRPr="002114E6">
        <w:rPr>
          <w:rFonts w:cs="Arial"/>
          <w:sz w:val="22"/>
          <w:szCs w:val="22"/>
        </w:rPr>
        <w:t>.  Lo anterior, bajo los términos que se indi</w:t>
      </w:r>
      <w:r>
        <w:rPr>
          <w:rFonts w:cs="Arial"/>
          <w:sz w:val="22"/>
          <w:szCs w:val="22"/>
        </w:rPr>
        <w:t xml:space="preserve">can en el informe </w:t>
      </w:r>
      <w:r w:rsidRPr="00EF3F93">
        <w:rPr>
          <w:rFonts w:cs="Arial"/>
          <w:sz w:val="22"/>
          <w:szCs w:val="22"/>
        </w:rPr>
        <w:t>DF-OF-</w:t>
      </w:r>
      <w:r>
        <w:rPr>
          <w:rFonts w:cs="Arial"/>
          <w:sz w:val="22"/>
          <w:szCs w:val="22"/>
        </w:rPr>
        <w:t>0</w:t>
      </w:r>
      <w:r w:rsidR="00E07DA7">
        <w:rPr>
          <w:rFonts w:cs="Arial"/>
          <w:sz w:val="22"/>
          <w:szCs w:val="22"/>
        </w:rPr>
        <w:t>794</w:t>
      </w:r>
      <w:r>
        <w:rPr>
          <w:rFonts w:cs="Arial"/>
          <w:sz w:val="22"/>
          <w:szCs w:val="22"/>
        </w:rPr>
        <w:t>-2019</w:t>
      </w:r>
      <w:r w:rsidRPr="00EF3F93">
        <w:rPr>
          <w:rFonts w:cs="Arial"/>
          <w:sz w:val="22"/>
          <w:szCs w:val="22"/>
        </w:rPr>
        <w:t xml:space="preserve"> </w:t>
      </w:r>
      <w:r w:rsidRPr="002114E6">
        <w:rPr>
          <w:rFonts w:cs="Arial"/>
          <w:sz w:val="22"/>
          <w:szCs w:val="22"/>
        </w:rPr>
        <w:t>de la Dirección FOSUVI</w:t>
      </w:r>
      <w:r>
        <w:rPr>
          <w:rFonts w:cs="Arial"/>
          <w:sz w:val="22"/>
          <w:szCs w:val="22"/>
        </w:rPr>
        <w:t xml:space="preserve"> y actuando la empresa </w:t>
      </w:r>
      <w:r w:rsidR="00E07DA7">
        <w:rPr>
          <w:rFonts w:cs="Arial"/>
          <w:sz w:val="22"/>
          <w:szCs w:val="22"/>
        </w:rPr>
        <w:t xml:space="preserve">Constructora de Vivienda Técnica Social COVITES, </w:t>
      </w:r>
      <w:r>
        <w:rPr>
          <w:rFonts w:cs="Arial"/>
          <w:sz w:val="22"/>
          <w:szCs w:val="22"/>
        </w:rPr>
        <w:t>cédula jurídica 3-101-</w:t>
      </w:r>
      <w:r w:rsidR="00E07DA7">
        <w:rPr>
          <w:rFonts w:cs="Arial"/>
          <w:sz w:val="22"/>
          <w:szCs w:val="22"/>
        </w:rPr>
        <w:t>301781</w:t>
      </w:r>
      <w:r>
        <w:rPr>
          <w:rFonts w:cs="Arial"/>
          <w:sz w:val="22"/>
          <w:szCs w:val="22"/>
        </w:rPr>
        <w:t>, como desarrolladora, por un monto total de ¢</w:t>
      </w:r>
      <w:r w:rsidR="00E07DA7">
        <w:rPr>
          <w:rFonts w:cs="Arial"/>
          <w:sz w:val="22"/>
          <w:szCs w:val="22"/>
        </w:rPr>
        <w:t>113</w:t>
      </w:r>
      <w:r>
        <w:rPr>
          <w:rFonts w:cs="Arial"/>
          <w:sz w:val="22"/>
          <w:szCs w:val="22"/>
        </w:rPr>
        <w:t>.</w:t>
      </w:r>
      <w:r w:rsidR="00E07DA7">
        <w:rPr>
          <w:rFonts w:cs="Arial"/>
          <w:sz w:val="22"/>
          <w:szCs w:val="22"/>
        </w:rPr>
        <w:t>767</w:t>
      </w:r>
      <w:r>
        <w:rPr>
          <w:rFonts w:cs="Arial"/>
          <w:sz w:val="22"/>
          <w:szCs w:val="22"/>
        </w:rPr>
        <w:t>.</w:t>
      </w:r>
      <w:r w:rsidR="00E07DA7">
        <w:rPr>
          <w:rFonts w:cs="Arial"/>
          <w:sz w:val="22"/>
          <w:szCs w:val="22"/>
        </w:rPr>
        <w:t>218</w:t>
      </w:r>
      <w:r>
        <w:rPr>
          <w:rFonts w:cs="Arial"/>
          <w:sz w:val="22"/>
          <w:szCs w:val="22"/>
        </w:rPr>
        <w:t>,</w:t>
      </w:r>
      <w:r w:rsidR="00E07DA7">
        <w:rPr>
          <w:rFonts w:cs="Arial"/>
          <w:sz w:val="22"/>
          <w:szCs w:val="22"/>
        </w:rPr>
        <w:t>24</w:t>
      </w:r>
      <w:r>
        <w:rPr>
          <w:rFonts w:cs="Arial"/>
          <w:sz w:val="22"/>
          <w:szCs w:val="22"/>
        </w:rPr>
        <w:t xml:space="preserve"> (ciento </w:t>
      </w:r>
      <w:r w:rsidR="00E07DA7">
        <w:rPr>
          <w:rFonts w:cs="Arial"/>
          <w:sz w:val="22"/>
          <w:szCs w:val="22"/>
        </w:rPr>
        <w:t>trece</w:t>
      </w:r>
      <w:r>
        <w:rPr>
          <w:rFonts w:cs="Arial"/>
          <w:sz w:val="22"/>
          <w:szCs w:val="22"/>
        </w:rPr>
        <w:t xml:space="preserve"> millones </w:t>
      </w:r>
      <w:r w:rsidR="00E07DA7">
        <w:rPr>
          <w:rFonts w:cs="Arial"/>
          <w:sz w:val="22"/>
          <w:szCs w:val="22"/>
        </w:rPr>
        <w:t>sete</w:t>
      </w:r>
      <w:r>
        <w:rPr>
          <w:rFonts w:cs="Arial"/>
          <w:sz w:val="22"/>
          <w:szCs w:val="22"/>
        </w:rPr>
        <w:t>cientos</w:t>
      </w:r>
      <w:r w:rsidR="00E07DA7">
        <w:rPr>
          <w:rFonts w:cs="Arial"/>
          <w:sz w:val="22"/>
          <w:szCs w:val="22"/>
        </w:rPr>
        <w:t xml:space="preserve"> sesenta y siete mil doscientos dieciocho </w:t>
      </w:r>
      <w:r>
        <w:rPr>
          <w:rFonts w:cs="Arial"/>
          <w:sz w:val="22"/>
          <w:szCs w:val="22"/>
        </w:rPr>
        <w:t xml:space="preserve">colones con </w:t>
      </w:r>
      <w:r w:rsidR="00E07DA7">
        <w:rPr>
          <w:rFonts w:cs="Arial"/>
          <w:sz w:val="22"/>
          <w:szCs w:val="22"/>
        </w:rPr>
        <w:t>24</w:t>
      </w:r>
      <w:r>
        <w:rPr>
          <w:rFonts w:cs="Arial"/>
          <w:sz w:val="22"/>
          <w:szCs w:val="22"/>
        </w:rPr>
        <w:t>/100)</w:t>
      </w:r>
      <w:r w:rsidRPr="000209D7">
        <w:rPr>
          <w:rFonts w:cs="Arial"/>
          <w:bCs/>
          <w:sz w:val="22"/>
          <w:szCs w:val="22"/>
        </w:rPr>
        <w:t>,</w:t>
      </w:r>
      <w:r w:rsidRPr="002114E6">
        <w:rPr>
          <w:rFonts w:cs="Arial"/>
          <w:bCs/>
          <w:sz w:val="22"/>
          <w:szCs w:val="22"/>
        </w:rPr>
        <w:t xml:space="preserve"> según el siguiente detalle:</w:t>
      </w:r>
    </w:p>
    <w:p w:rsidR="009B78B7" w:rsidRPr="00E415C2" w:rsidRDefault="009B78B7" w:rsidP="009B78B7">
      <w:pPr>
        <w:spacing w:line="360" w:lineRule="auto"/>
        <w:jc w:val="both"/>
        <w:rPr>
          <w:rFonts w:cs="Arial"/>
          <w:sz w:val="22"/>
          <w:szCs w:val="22"/>
        </w:rPr>
      </w:pPr>
      <w:r>
        <w:rPr>
          <w:rFonts w:cs="Arial"/>
          <w:sz w:val="22"/>
          <w:szCs w:val="22"/>
        </w:rPr>
        <w:t xml:space="preserve">a) </w:t>
      </w:r>
      <w:r w:rsidRPr="00E415C2">
        <w:rPr>
          <w:rFonts w:cs="Arial"/>
          <w:sz w:val="22"/>
          <w:szCs w:val="22"/>
        </w:rPr>
        <w:t xml:space="preserve">Compra de </w:t>
      </w:r>
      <w:r w:rsidR="00E07DA7">
        <w:rPr>
          <w:rFonts w:cs="Arial"/>
          <w:sz w:val="22"/>
          <w:szCs w:val="22"/>
        </w:rPr>
        <w:t>ocho</w:t>
      </w:r>
      <w:r w:rsidRPr="00E415C2">
        <w:rPr>
          <w:rFonts w:cs="Arial"/>
          <w:sz w:val="22"/>
          <w:szCs w:val="22"/>
        </w:rPr>
        <w:t xml:space="preserve"> lotes</w:t>
      </w:r>
      <w:r>
        <w:rPr>
          <w:rFonts w:cs="Arial"/>
          <w:sz w:val="22"/>
          <w:szCs w:val="22"/>
        </w:rPr>
        <w:t>,</w:t>
      </w:r>
      <w:r w:rsidRPr="00E415C2">
        <w:rPr>
          <w:rFonts w:cs="Arial"/>
          <w:sz w:val="22"/>
          <w:szCs w:val="22"/>
        </w:rPr>
        <w:t xml:space="preserve"> por un monto total de ¢</w:t>
      </w:r>
      <w:r w:rsidR="00E07DA7">
        <w:rPr>
          <w:rFonts w:cs="Arial"/>
          <w:sz w:val="22"/>
          <w:szCs w:val="22"/>
        </w:rPr>
        <w:t>45</w:t>
      </w:r>
      <w:r w:rsidRPr="00E415C2">
        <w:rPr>
          <w:rFonts w:cs="Arial"/>
          <w:sz w:val="22"/>
          <w:szCs w:val="22"/>
        </w:rPr>
        <w:t>.</w:t>
      </w:r>
      <w:r w:rsidR="00E07DA7">
        <w:rPr>
          <w:rFonts w:cs="Arial"/>
          <w:sz w:val="22"/>
          <w:szCs w:val="22"/>
        </w:rPr>
        <w:t>487</w:t>
      </w:r>
      <w:r w:rsidRPr="00E415C2">
        <w:rPr>
          <w:rFonts w:cs="Arial"/>
          <w:sz w:val="22"/>
          <w:szCs w:val="22"/>
        </w:rPr>
        <w:t>.</w:t>
      </w:r>
      <w:r w:rsidR="00E07DA7">
        <w:rPr>
          <w:rFonts w:cs="Arial"/>
          <w:sz w:val="22"/>
          <w:szCs w:val="22"/>
        </w:rPr>
        <w:t>500</w:t>
      </w:r>
      <w:r>
        <w:rPr>
          <w:rFonts w:cs="Arial"/>
          <w:sz w:val="22"/>
          <w:szCs w:val="22"/>
        </w:rPr>
        <w:t>,00</w:t>
      </w:r>
      <w:r w:rsidRPr="00E415C2">
        <w:rPr>
          <w:rFonts w:cs="Arial"/>
          <w:sz w:val="22"/>
          <w:szCs w:val="22"/>
        </w:rPr>
        <w:t>.</w:t>
      </w:r>
    </w:p>
    <w:p w:rsidR="009B78B7" w:rsidRDefault="009B78B7" w:rsidP="009B78B7">
      <w:pPr>
        <w:spacing w:line="360" w:lineRule="auto"/>
        <w:jc w:val="both"/>
        <w:rPr>
          <w:rFonts w:cs="Arial"/>
          <w:sz w:val="22"/>
          <w:szCs w:val="22"/>
        </w:rPr>
      </w:pPr>
      <w:r>
        <w:rPr>
          <w:rFonts w:cs="Arial"/>
          <w:sz w:val="22"/>
          <w:szCs w:val="22"/>
        </w:rPr>
        <w:t xml:space="preserve">b) </w:t>
      </w:r>
      <w:r w:rsidRPr="00E415C2">
        <w:rPr>
          <w:rFonts w:cs="Arial"/>
          <w:sz w:val="22"/>
          <w:szCs w:val="22"/>
        </w:rPr>
        <w:t xml:space="preserve">Construcción de </w:t>
      </w:r>
      <w:r w:rsidR="00E07DA7">
        <w:rPr>
          <w:rFonts w:cs="Arial"/>
          <w:sz w:val="22"/>
          <w:szCs w:val="22"/>
        </w:rPr>
        <w:t>ocho</w:t>
      </w:r>
      <w:r>
        <w:rPr>
          <w:rFonts w:cs="Arial"/>
          <w:sz w:val="22"/>
          <w:szCs w:val="22"/>
        </w:rPr>
        <w:t xml:space="preserve"> v</w:t>
      </w:r>
      <w:r w:rsidRPr="00E415C2">
        <w:rPr>
          <w:rFonts w:cs="Arial"/>
          <w:sz w:val="22"/>
          <w:szCs w:val="22"/>
        </w:rPr>
        <w:t>iviendas</w:t>
      </w:r>
      <w:r>
        <w:rPr>
          <w:rFonts w:cs="Arial"/>
          <w:sz w:val="22"/>
          <w:szCs w:val="22"/>
        </w:rPr>
        <w:t xml:space="preserve">, </w:t>
      </w:r>
      <w:r w:rsidRPr="00E415C2">
        <w:rPr>
          <w:rFonts w:cs="Arial"/>
          <w:sz w:val="22"/>
          <w:szCs w:val="22"/>
        </w:rPr>
        <w:t>por un monto total de ¢</w:t>
      </w:r>
      <w:r w:rsidR="00E07DA7">
        <w:rPr>
          <w:rFonts w:cs="Arial"/>
          <w:sz w:val="22"/>
          <w:szCs w:val="22"/>
        </w:rPr>
        <w:t>65</w:t>
      </w:r>
      <w:r w:rsidRPr="00E415C2">
        <w:rPr>
          <w:rFonts w:cs="Arial"/>
          <w:sz w:val="22"/>
          <w:szCs w:val="22"/>
        </w:rPr>
        <w:t>.</w:t>
      </w:r>
      <w:r w:rsidR="00E07DA7">
        <w:rPr>
          <w:rFonts w:cs="Arial"/>
          <w:sz w:val="22"/>
          <w:szCs w:val="22"/>
        </w:rPr>
        <w:t>520</w:t>
      </w:r>
      <w:r w:rsidRPr="00E415C2">
        <w:rPr>
          <w:rFonts w:cs="Arial"/>
          <w:sz w:val="22"/>
          <w:szCs w:val="22"/>
        </w:rPr>
        <w:t>.</w:t>
      </w:r>
      <w:r w:rsidR="00E07DA7">
        <w:rPr>
          <w:rFonts w:cs="Arial"/>
          <w:sz w:val="22"/>
          <w:szCs w:val="22"/>
        </w:rPr>
        <w:t>000</w:t>
      </w:r>
      <w:r>
        <w:rPr>
          <w:rFonts w:cs="Arial"/>
          <w:sz w:val="22"/>
          <w:szCs w:val="22"/>
        </w:rPr>
        <w:t>,</w:t>
      </w:r>
      <w:r w:rsidR="00E07DA7">
        <w:rPr>
          <w:rFonts w:cs="Arial"/>
          <w:sz w:val="22"/>
          <w:szCs w:val="22"/>
        </w:rPr>
        <w:t>00</w:t>
      </w:r>
      <w:r w:rsidRPr="00E415C2">
        <w:rPr>
          <w:rFonts w:cs="Arial"/>
          <w:sz w:val="22"/>
          <w:szCs w:val="22"/>
        </w:rPr>
        <w:t xml:space="preserve">. </w:t>
      </w:r>
    </w:p>
    <w:p w:rsidR="009B78B7" w:rsidRDefault="009B78B7" w:rsidP="009B78B7">
      <w:pPr>
        <w:spacing w:line="360" w:lineRule="auto"/>
        <w:jc w:val="both"/>
        <w:rPr>
          <w:rFonts w:cs="Arial"/>
          <w:sz w:val="22"/>
          <w:szCs w:val="22"/>
        </w:rPr>
      </w:pPr>
      <w:r>
        <w:rPr>
          <w:rFonts w:cs="Arial"/>
          <w:sz w:val="22"/>
          <w:szCs w:val="22"/>
        </w:rPr>
        <w:t xml:space="preserve">c) </w:t>
      </w:r>
      <w:r w:rsidRPr="00E415C2">
        <w:rPr>
          <w:rFonts w:cs="Arial"/>
          <w:sz w:val="22"/>
          <w:szCs w:val="22"/>
        </w:rPr>
        <w:t>Gastos de f</w:t>
      </w:r>
      <w:r>
        <w:rPr>
          <w:rFonts w:cs="Arial"/>
          <w:sz w:val="22"/>
          <w:szCs w:val="22"/>
        </w:rPr>
        <w:t xml:space="preserve">iscalización, por </w:t>
      </w:r>
      <w:r w:rsidRPr="00E415C2">
        <w:rPr>
          <w:rFonts w:cs="Arial"/>
          <w:sz w:val="22"/>
          <w:szCs w:val="22"/>
        </w:rPr>
        <w:t>un monto total de ¢</w:t>
      </w:r>
      <w:r w:rsidR="00E07DA7">
        <w:rPr>
          <w:rFonts w:cs="Arial"/>
          <w:sz w:val="22"/>
          <w:szCs w:val="22"/>
        </w:rPr>
        <w:t>491</w:t>
      </w:r>
      <w:r w:rsidRPr="00E415C2">
        <w:rPr>
          <w:rFonts w:cs="Arial"/>
          <w:sz w:val="22"/>
          <w:szCs w:val="22"/>
        </w:rPr>
        <w:t>.</w:t>
      </w:r>
      <w:r w:rsidR="00E07DA7">
        <w:rPr>
          <w:rFonts w:cs="Arial"/>
          <w:sz w:val="22"/>
          <w:szCs w:val="22"/>
        </w:rPr>
        <w:t>000</w:t>
      </w:r>
      <w:r>
        <w:rPr>
          <w:rFonts w:cs="Arial"/>
          <w:sz w:val="22"/>
          <w:szCs w:val="22"/>
        </w:rPr>
        <w:t>,</w:t>
      </w:r>
      <w:r w:rsidR="00E07DA7">
        <w:rPr>
          <w:rFonts w:cs="Arial"/>
          <w:sz w:val="22"/>
          <w:szCs w:val="22"/>
        </w:rPr>
        <w:t>00</w:t>
      </w:r>
      <w:r>
        <w:rPr>
          <w:rFonts w:cs="Arial"/>
          <w:sz w:val="22"/>
          <w:szCs w:val="22"/>
        </w:rPr>
        <w:t>.</w:t>
      </w:r>
    </w:p>
    <w:p w:rsidR="009B78B7" w:rsidRDefault="009B78B7" w:rsidP="009B78B7">
      <w:pPr>
        <w:spacing w:line="360" w:lineRule="auto"/>
        <w:jc w:val="both"/>
        <w:rPr>
          <w:rFonts w:cs="Arial"/>
          <w:sz w:val="22"/>
          <w:szCs w:val="22"/>
        </w:rPr>
      </w:pPr>
      <w:r>
        <w:rPr>
          <w:rFonts w:cs="Arial"/>
          <w:sz w:val="22"/>
          <w:szCs w:val="22"/>
        </w:rPr>
        <w:t xml:space="preserve">d) Gastos de kilometraje para la fiscalización de las </w:t>
      </w:r>
      <w:r w:rsidR="00E07DA7">
        <w:rPr>
          <w:rFonts w:cs="Arial"/>
          <w:sz w:val="22"/>
          <w:szCs w:val="22"/>
        </w:rPr>
        <w:t>ocho</w:t>
      </w:r>
      <w:r>
        <w:rPr>
          <w:rFonts w:cs="Arial"/>
          <w:sz w:val="22"/>
          <w:szCs w:val="22"/>
        </w:rPr>
        <w:t xml:space="preserve"> soluciones, por un monto total de ¢</w:t>
      </w:r>
      <w:r w:rsidR="00E07DA7">
        <w:rPr>
          <w:rFonts w:cs="Arial"/>
          <w:sz w:val="22"/>
          <w:szCs w:val="22"/>
        </w:rPr>
        <w:t>491</w:t>
      </w:r>
      <w:r>
        <w:rPr>
          <w:rFonts w:cs="Arial"/>
          <w:sz w:val="22"/>
          <w:szCs w:val="22"/>
        </w:rPr>
        <w:t>.</w:t>
      </w:r>
      <w:r w:rsidR="00E07DA7">
        <w:rPr>
          <w:rFonts w:cs="Arial"/>
          <w:sz w:val="22"/>
          <w:szCs w:val="22"/>
        </w:rPr>
        <w:t>000</w:t>
      </w:r>
      <w:r>
        <w:rPr>
          <w:rFonts w:cs="Arial"/>
          <w:sz w:val="22"/>
          <w:szCs w:val="22"/>
        </w:rPr>
        <w:t>,00.</w:t>
      </w:r>
    </w:p>
    <w:p w:rsidR="009B78B7" w:rsidRDefault="009B78B7" w:rsidP="009B78B7">
      <w:pPr>
        <w:spacing w:line="360" w:lineRule="auto"/>
        <w:jc w:val="both"/>
        <w:rPr>
          <w:rFonts w:cs="Arial"/>
          <w:sz w:val="22"/>
          <w:szCs w:val="22"/>
        </w:rPr>
      </w:pPr>
      <w:r>
        <w:rPr>
          <w:rFonts w:cs="Arial"/>
          <w:sz w:val="22"/>
          <w:szCs w:val="22"/>
        </w:rPr>
        <w:t xml:space="preserve">e) </w:t>
      </w:r>
      <w:r w:rsidRPr="00E415C2">
        <w:rPr>
          <w:rFonts w:cs="Arial"/>
          <w:sz w:val="22"/>
          <w:szCs w:val="22"/>
        </w:rPr>
        <w:t xml:space="preserve">Gastos de formalización de </w:t>
      </w:r>
      <w:r>
        <w:rPr>
          <w:rFonts w:cs="Arial"/>
          <w:sz w:val="22"/>
          <w:szCs w:val="22"/>
        </w:rPr>
        <w:t xml:space="preserve">las </w:t>
      </w:r>
      <w:r w:rsidR="00E07DA7">
        <w:rPr>
          <w:rFonts w:cs="Arial"/>
          <w:sz w:val="22"/>
          <w:szCs w:val="22"/>
        </w:rPr>
        <w:t>ocho</w:t>
      </w:r>
      <w:r w:rsidRPr="00E415C2">
        <w:rPr>
          <w:rFonts w:cs="Arial"/>
          <w:sz w:val="22"/>
          <w:szCs w:val="22"/>
        </w:rPr>
        <w:t xml:space="preserve"> operaciones</w:t>
      </w:r>
      <w:r>
        <w:rPr>
          <w:rFonts w:cs="Arial"/>
          <w:sz w:val="22"/>
          <w:szCs w:val="22"/>
        </w:rPr>
        <w:t>,</w:t>
      </w:r>
      <w:r w:rsidRPr="00E415C2">
        <w:rPr>
          <w:rFonts w:cs="Arial"/>
          <w:sz w:val="22"/>
          <w:szCs w:val="22"/>
        </w:rPr>
        <w:t xml:space="preserve"> por un monto total de ¢</w:t>
      </w:r>
      <w:r>
        <w:rPr>
          <w:rFonts w:cs="Arial"/>
          <w:sz w:val="22"/>
          <w:szCs w:val="22"/>
        </w:rPr>
        <w:t>1</w:t>
      </w:r>
      <w:r w:rsidRPr="00E415C2">
        <w:rPr>
          <w:rFonts w:cs="Arial"/>
          <w:sz w:val="22"/>
          <w:szCs w:val="22"/>
        </w:rPr>
        <w:t>.</w:t>
      </w:r>
      <w:r w:rsidR="00E07DA7">
        <w:rPr>
          <w:rFonts w:cs="Arial"/>
          <w:sz w:val="22"/>
          <w:szCs w:val="22"/>
        </w:rPr>
        <w:t>617</w:t>
      </w:r>
      <w:r w:rsidRPr="00E415C2">
        <w:rPr>
          <w:rFonts w:cs="Arial"/>
          <w:sz w:val="22"/>
          <w:szCs w:val="22"/>
        </w:rPr>
        <w:t>.</w:t>
      </w:r>
      <w:r w:rsidR="00E07DA7">
        <w:rPr>
          <w:rFonts w:cs="Arial"/>
          <w:sz w:val="22"/>
          <w:szCs w:val="22"/>
        </w:rPr>
        <w:t>934</w:t>
      </w:r>
      <w:r>
        <w:rPr>
          <w:rFonts w:cs="Arial"/>
          <w:sz w:val="22"/>
          <w:szCs w:val="22"/>
        </w:rPr>
        <w:t>,</w:t>
      </w:r>
      <w:r w:rsidR="00E07DA7">
        <w:rPr>
          <w:rFonts w:cs="Arial"/>
          <w:sz w:val="22"/>
          <w:szCs w:val="22"/>
        </w:rPr>
        <w:t>18</w:t>
      </w:r>
      <w:r>
        <w:rPr>
          <w:rFonts w:cs="Arial"/>
          <w:sz w:val="22"/>
          <w:szCs w:val="22"/>
        </w:rPr>
        <w:t>.</w:t>
      </w:r>
    </w:p>
    <w:p w:rsidR="00E07DA7" w:rsidRDefault="00E07DA7" w:rsidP="009B78B7">
      <w:pPr>
        <w:spacing w:line="360" w:lineRule="auto"/>
        <w:jc w:val="both"/>
        <w:rPr>
          <w:rFonts w:cs="Arial"/>
          <w:sz w:val="22"/>
          <w:szCs w:val="22"/>
        </w:rPr>
      </w:pPr>
      <w:r>
        <w:rPr>
          <w:rFonts w:cs="Arial"/>
          <w:sz w:val="22"/>
          <w:szCs w:val="22"/>
        </w:rPr>
        <w:t xml:space="preserve">f) Reconocimiento BANHVI del I.V.A. 13% Gastos Legales de Formalización, por el monto de </w:t>
      </w:r>
      <w:r w:rsidR="00DB77C4">
        <w:rPr>
          <w:rFonts w:cs="Arial"/>
          <w:sz w:val="22"/>
          <w:szCs w:val="22"/>
        </w:rPr>
        <w:t>¢158.984,06 y según se detalla en el cuadro de la página 12 del informe DF-OF-0794-2019 de la Dirección FOSUVI.</w:t>
      </w:r>
    </w:p>
    <w:p w:rsidR="009B78B7" w:rsidRPr="00B01E20" w:rsidRDefault="009B78B7" w:rsidP="009B78B7">
      <w:pPr>
        <w:spacing w:line="360" w:lineRule="auto"/>
        <w:jc w:val="both"/>
        <w:rPr>
          <w:rFonts w:cs="Arial"/>
          <w:bCs/>
          <w:sz w:val="22"/>
          <w:szCs w:val="22"/>
        </w:rPr>
      </w:pPr>
    </w:p>
    <w:p w:rsidR="008C05DD" w:rsidRDefault="008C05DD" w:rsidP="008C05DD">
      <w:pPr>
        <w:spacing w:line="360" w:lineRule="auto"/>
        <w:jc w:val="both"/>
        <w:rPr>
          <w:rFonts w:cs="Arial"/>
          <w:sz w:val="22"/>
          <w:szCs w:val="22"/>
        </w:rPr>
      </w:pPr>
      <w:r>
        <w:rPr>
          <w:rFonts w:cs="Arial"/>
          <w:b/>
          <w:bCs/>
          <w:sz w:val="22"/>
          <w:szCs w:val="22"/>
        </w:rPr>
        <w:t>2.</w:t>
      </w:r>
      <w:r w:rsidRPr="002114E6">
        <w:rPr>
          <w:rFonts w:cs="Arial"/>
          <w:sz w:val="22"/>
          <w:szCs w:val="22"/>
        </w:rPr>
        <w:t xml:space="preserve"> Se autoriza el indicado financiamiento, de conformidad con el siguiente detalle de potenciales beneficiarios</w:t>
      </w:r>
      <w:r w:rsidRPr="002114E6">
        <w:rPr>
          <w:rFonts w:cs="Arial"/>
          <w:sz w:val="22"/>
          <w:szCs w:val="22"/>
          <w:lang w:val="es-CR"/>
        </w:rPr>
        <w:t>,</w:t>
      </w:r>
      <w:r w:rsidRPr="002114E6">
        <w:rPr>
          <w:rFonts w:cs="Arial"/>
          <w:sz w:val="22"/>
          <w:szCs w:val="22"/>
        </w:rPr>
        <w:t xml:space="preserve"> quedando la validez y la eficacia de la aprobación de cada Bono Familiar de Vivienda, sujetas a que la entidad autorizada y la Dirección FOSUVI, verifiquen que la familia cumple con los requisitos correspondientes:</w:t>
      </w:r>
    </w:p>
    <w:p w:rsidR="008C05DD" w:rsidRDefault="008C05DD" w:rsidP="008C05DD">
      <w:pPr>
        <w:spacing w:line="360" w:lineRule="auto"/>
        <w:jc w:val="both"/>
        <w:rPr>
          <w:rFonts w:cs="Arial"/>
          <w:sz w:val="22"/>
          <w:szCs w:val="22"/>
        </w:rPr>
      </w:pPr>
    </w:p>
    <w:tbl>
      <w:tblPr>
        <w:tblW w:w="8946" w:type="dxa"/>
        <w:tblInd w:w="55" w:type="dxa"/>
        <w:tblLayout w:type="fixed"/>
        <w:tblCellMar>
          <w:left w:w="70" w:type="dxa"/>
          <w:right w:w="70" w:type="dxa"/>
        </w:tblCellMar>
        <w:tblLook w:val="04A0" w:firstRow="1" w:lastRow="0" w:firstColumn="1" w:lastColumn="0" w:noHBand="0" w:noVBand="1"/>
      </w:tblPr>
      <w:tblGrid>
        <w:gridCol w:w="866"/>
        <w:gridCol w:w="709"/>
        <w:gridCol w:w="708"/>
        <w:gridCol w:w="851"/>
        <w:gridCol w:w="850"/>
        <w:gridCol w:w="709"/>
        <w:gridCol w:w="709"/>
        <w:gridCol w:w="850"/>
        <w:gridCol w:w="851"/>
        <w:gridCol w:w="850"/>
        <w:gridCol w:w="993"/>
      </w:tblGrid>
      <w:tr w:rsidR="008C05DD" w:rsidRPr="00E56F0B" w:rsidTr="006B1E77">
        <w:trPr>
          <w:trHeight w:val="765"/>
        </w:trPr>
        <w:tc>
          <w:tcPr>
            <w:tcW w:w="866" w:type="dxa"/>
            <w:tcBorders>
              <w:top w:val="single" w:sz="4" w:space="0" w:color="auto"/>
              <w:left w:val="single" w:sz="4" w:space="0" w:color="auto"/>
              <w:bottom w:val="nil"/>
              <w:right w:val="single" w:sz="4" w:space="0" w:color="auto"/>
            </w:tcBorders>
            <w:shd w:val="clear" w:color="auto" w:fill="auto"/>
            <w:vAlign w:val="center"/>
            <w:hideMark/>
          </w:tcPr>
          <w:p w:rsidR="008C05DD" w:rsidRPr="0053467F" w:rsidRDefault="008C05DD" w:rsidP="006B1E77">
            <w:pPr>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Jefe de Familia</w:t>
            </w:r>
          </w:p>
        </w:tc>
        <w:tc>
          <w:tcPr>
            <w:tcW w:w="709" w:type="dxa"/>
            <w:tcBorders>
              <w:top w:val="single" w:sz="4" w:space="0" w:color="auto"/>
              <w:left w:val="nil"/>
              <w:bottom w:val="nil"/>
              <w:right w:val="single" w:sz="4" w:space="0" w:color="auto"/>
            </w:tcBorders>
            <w:shd w:val="clear" w:color="auto" w:fill="auto"/>
            <w:vAlign w:val="center"/>
            <w:hideMark/>
          </w:tcPr>
          <w:p w:rsidR="008C05DD" w:rsidRPr="0053467F" w:rsidRDefault="008C05DD" w:rsidP="006B1E77">
            <w:pPr>
              <w:ind w:left="-70"/>
              <w:jc w:val="right"/>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Cédula de identidad</w:t>
            </w:r>
          </w:p>
        </w:tc>
        <w:tc>
          <w:tcPr>
            <w:tcW w:w="708" w:type="dxa"/>
            <w:tcBorders>
              <w:top w:val="single" w:sz="4" w:space="0" w:color="auto"/>
              <w:left w:val="nil"/>
              <w:bottom w:val="nil"/>
              <w:right w:val="single" w:sz="4" w:space="0" w:color="auto"/>
            </w:tcBorders>
            <w:shd w:val="clear" w:color="auto" w:fill="auto"/>
            <w:vAlign w:val="center"/>
            <w:hideMark/>
          </w:tcPr>
          <w:p w:rsidR="008C05DD" w:rsidRPr="0053467F" w:rsidRDefault="008C05DD" w:rsidP="006B1E77">
            <w:pPr>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Folio Real</w:t>
            </w:r>
          </w:p>
        </w:tc>
        <w:tc>
          <w:tcPr>
            <w:tcW w:w="851" w:type="dxa"/>
            <w:tcBorders>
              <w:top w:val="single" w:sz="4" w:space="0" w:color="auto"/>
              <w:left w:val="nil"/>
              <w:bottom w:val="nil"/>
              <w:right w:val="single" w:sz="4" w:space="0" w:color="auto"/>
            </w:tcBorders>
            <w:shd w:val="clear" w:color="auto" w:fill="auto"/>
            <w:vAlign w:val="center"/>
            <w:hideMark/>
          </w:tcPr>
          <w:p w:rsidR="008C05DD" w:rsidRPr="0053467F" w:rsidRDefault="008C05DD" w:rsidP="006B1E77">
            <w:pPr>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 xml:space="preserve"> Monto de terreno (¢)</w:t>
            </w:r>
          </w:p>
        </w:tc>
        <w:tc>
          <w:tcPr>
            <w:tcW w:w="850" w:type="dxa"/>
            <w:tcBorders>
              <w:top w:val="single" w:sz="4" w:space="0" w:color="auto"/>
              <w:left w:val="nil"/>
              <w:bottom w:val="nil"/>
              <w:right w:val="single" w:sz="4" w:space="0" w:color="auto"/>
            </w:tcBorders>
            <w:shd w:val="clear" w:color="auto" w:fill="auto"/>
            <w:vAlign w:val="center"/>
            <w:hideMark/>
          </w:tcPr>
          <w:p w:rsidR="008C05DD" w:rsidRPr="0053467F" w:rsidRDefault="008C05DD" w:rsidP="006B1E77">
            <w:pPr>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 xml:space="preserve"> Monto de vivienda (¢)</w:t>
            </w:r>
          </w:p>
        </w:tc>
        <w:tc>
          <w:tcPr>
            <w:tcW w:w="709" w:type="dxa"/>
            <w:tcBorders>
              <w:top w:val="single" w:sz="4" w:space="0" w:color="auto"/>
              <w:left w:val="nil"/>
              <w:bottom w:val="nil"/>
              <w:right w:val="single" w:sz="4" w:space="0" w:color="auto"/>
            </w:tcBorders>
            <w:shd w:val="clear" w:color="auto" w:fill="auto"/>
            <w:vAlign w:val="center"/>
            <w:hideMark/>
          </w:tcPr>
          <w:p w:rsidR="008C05DD" w:rsidRPr="0053467F" w:rsidRDefault="008C05DD" w:rsidP="006B1E77">
            <w:pPr>
              <w:ind w:left="-70"/>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 xml:space="preserve"> Fiscaliza-ción (¢)</w:t>
            </w:r>
          </w:p>
        </w:tc>
        <w:tc>
          <w:tcPr>
            <w:tcW w:w="709" w:type="dxa"/>
            <w:tcBorders>
              <w:top w:val="single" w:sz="4" w:space="0" w:color="auto"/>
              <w:left w:val="nil"/>
              <w:bottom w:val="single" w:sz="4" w:space="0" w:color="auto"/>
              <w:right w:val="single" w:sz="4" w:space="0" w:color="auto"/>
            </w:tcBorders>
            <w:vAlign w:val="center"/>
          </w:tcPr>
          <w:p w:rsidR="008C05DD" w:rsidRPr="0053467F" w:rsidRDefault="008C05DD" w:rsidP="006B1E77">
            <w:pPr>
              <w:jc w:val="center"/>
              <w:rPr>
                <w:rFonts w:ascii="Arial Narrow" w:hAnsi="Arial Narrow" w:cs="Arial"/>
                <w:b/>
                <w:bCs/>
                <w:sz w:val="15"/>
                <w:szCs w:val="15"/>
              </w:rPr>
            </w:pPr>
            <w:r>
              <w:rPr>
                <w:rFonts w:ascii="Arial Narrow" w:hAnsi="Arial Narrow" w:cs="Arial"/>
                <w:b/>
                <w:bCs/>
                <w:sz w:val="15"/>
                <w:szCs w:val="15"/>
              </w:rPr>
              <w:t>Kilome-traje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8C05DD" w:rsidRPr="0053467F" w:rsidRDefault="008C05DD" w:rsidP="006B1E77">
            <w:pPr>
              <w:jc w:val="center"/>
              <w:rPr>
                <w:rFonts w:ascii="Arial Narrow" w:hAnsi="Arial Narrow" w:cs="Calibri"/>
                <w:b/>
                <w:bCs/>
                <w:iCs/>
                <w:sz w:val="15"/>
                <w:szCs w:val="15"/>
                <w:lang w:val="es-CR" w:eastAsia="es-CR"/>
              </w:rPr>
            </w:pPr>
            <w:r w:rsidRPr="0053467F">
              <w:rPr>
                <w:rFonts w:ascii="Arial Narrow" w:hAnsi="Arial Narrow" w:cs="Arial"/>
                <w:b/>
                <w:bCs/>
                <w:sz w:val="15"/>
                <w:szCs w:val="15"/>
              </w:rPr>
              <w:t>Gastos de formali</w:t>
            </w:r>
            <w:r>
              <w:rPr>
                <w:rFonts w:ascii="Arial Narrow" w:hAnsi="Arial Narrow" w:cs="Arial"/>
                <w:b/>
                <w:bCs/>
                <w:sz w:val="15"/>
                <w:szCs w:val="15"/>
              </w:rPr>
              <w:t>-</w:t>
            </w:r>
            <w:r w:rsidRPr="0053467F">
              <w:rPr>
                <w:rFonts w:ascii="Arial Narrow" w:hAnsi="Arial Narrow" w:cs="Arial"/>
                <w:b/>
                <w:bCs/>
                <w:sz w:val="15"/>
                <w:szCs w:val="15"/>
              </w:rPr>
              <w:t>zación (¢)</w:t>
            </w:r>
          </w:p>
        </w:tc>
        <w:tc>
          <w:tcPr>
            <w:tcW w:w="851" w:type="dxa"/>
            <w:tcBorders>
              <w:top w:val="single" w:sz="4" w:space="0" w:color="auto"/>
              <w:left w:val="single" w:sz="4" w:space="0" w:color="auto"/>
              <w:bottom w:val="single" w:sz="4" w:space="0" w:color="auto"/>
              <w:right w:val="single" w:sz="4" w:space="0" w:color="auto"/>
            </w:tcBorders>
          </w:tcPr>
          <w:p w:rsidR="008C05DD" w:rsidRPr="0053467F" w:rsidRDefault="008C05DD" w:rsidP="006B1E77">
            <w:pPr>
              <w:jc w:val="center"/>
              <w:rPr>
                <w:rFonts w:ascii="Arial Narrow" w:hAnsi="Arial Narrow" w:cs="Calibri"/>
                <w:b/>
                <w:bCs/>
                <w:iCs/>
                <w:sz w:val="15"/>
                <w:szCs w:val="15"/>
                <w:lang w:val="es-CR" w:eastAsia="es-CR"/>
              </w:rPr>
            </w:pPr>
            <w:r w:rsidRPr="0053467F">
              <w:rPr>
                <w:rFonts w:ascii="Arial Narrow" w:hAnsi="Arial Narrow" w:cs="Arial"/>
                <w:b/>
                <w:bCs/>
                <w:sz w:val="15"/>
                <w:szCs w:val="15"/>
              </w:rPr>
              <w:t>Gastos de formaliza</w:t>
            </w:r>
            <w:r>
              <w:rPr>
                <w:rFonts w:ascii="Arial Narrow" w:hAnsi="Arial Narrow" w:cs="Arial"/>
                <w:b/>
                <w:bCs/>
                <w:sz w:val="15"/>
                <w:szCs w:val="15"/>
              </w:rPr>
              <w:t>-</w:t>
            </w:r>
            <w:r w:rsidRPr="0053467F">
              <w:rPr>
                <w:rFonts w:ascii="Arial Narrow" w:hAnsi="Arial Narrow" w:cs="Arial"/>
                <w:b/>
                <w:bCs/>
                <w:sz w:val="15"/>
                <w:szCs w:val="15"/>
              </w:rPr>
              <w:t>ción a financiar por BANHVI (¢)</w:t>
            </w:r>
          </w:p>
        </w:tc>
        <w:tc>
          <w:tcPr>
            <w:tcW w:w="850" w:type="dxa"/>
            <w:tcBorders>
              <w:top w:val="single" w:sz="4" w:space="0" w:color="auto"/>
              <w:left w:val="single" w:sz="4" w:space="0" w:color="auto"/>
              <w:bottom w:val="nil"/>
              <w:right w:val="single" w:sz="4" w:space="0" w:color="auto"/>
            </w:tcBorders>
            <w:vAlign w:val="center"/>
          </w:tcPr>
          <w:p w:rsidR="008C05DD" w:rsidRPr="0053467F" w:rsidRDefault="008C05DD" w:rsidP="006B1E77">
            <w:pPr>
              <w:jc w:val="center"/>
              <w:rPr>
                <w:rFonts w:ascii="Arial Narrow" w:hAnsi="Arial Narrow" w:cs="Calibri"/>
                <w:b/>
                <w:bCs/>
                <w:iCs/>
                <w:sz w:val="15"/>
                <w:szCs w:val="15"/>
                <w:lang w:val="es-CR" w:eastAsia="es-CR"/>
              </w:rPr>
            </w:pPr>
            <w:r>
              <w:rPr>
                <w:rFonts w:ascii="Arial Narrow" w:hAnsi="Arial Narrow" w:cs="Calibri"/>
                <w:b/>
                <w:bCs/>
                <w:iCs/>
                <w:sz w:val="15"/>
                <w:szCs w:val="15"/>
                <w:lang w:val="es-CR" w:eastAsia="es-CR"/>
              </w:rPr>
              <w:t>Reconoci-miento I.V.A. 13% gastos legales de formaliza-ción (¢)</w:t>
            </w:r>
          </w:p>
        </w:tc>
        <w:tc>
          <w:tcPr>
            <w:tcW w:w="993" w:type="dxa"/>
            <w:tcBorders>
              <w:top w:val="single" w:sz="4" w:space="0" w:color="auto"/>
              <w:left w:val="single" w:sz="4" w:space="0" w:color="auto"/>
              <w:bottom w:val="nil"/>
              <w:right w:val="single" w:sz="4" w:space="0" w:color="auto"/>
            </w:tcBorders>
            <w:shd w:val="clear" w:color="auto" w:fill="auto"/>
            <w:vAlign w:val="center"/>
            <w:hideMark/>
          </w:tcPr>
          <w:p w:rsidR="008C05DD" w:rsidRPr="0053467F" w:rsidRDefault="008C05DD" w:rsidP="006B1E77">
            <w:pPr>
              <w:jc w:val="center"/>
              <w:rPr>
                <w:rFonts w:ascii="Arial Narrow" w:hAnsi="Arial Narrow" w:cs="Calibri"/>
                <w:b/>
                <w:bCs/>
                <w:iCs/>
                <w:sz w:val="15"/>
                <w:szCs w:val="15"/>
                <w:lang w:val="es-CR" w:eastAsia="es-CR"/>
              </w:rPr>
            </w:pPr>
            <w:r w:rsidRPr="0053467F">
              <w:rPr>
                <w:rFonts w:ascii="Arial Narrow" w:hAnsi="Arial Narrow" w:cs="Calibri"/>
                <w:b/>
                <w:bCs/>
                <w:iCs/>
                <w:sz w:val="15"/>
                <w:szCs w:val="15"/>
                <w:lang w:val="es-CR" w:eastAsia="es-CR"/>
              </w:rPr>
              <w:t>Monto del Bono (¢)</w:t>
            </w:r>
          </w:p>
        </w:tc>
      </w:tr>
      <w:tr w:rsidR="008C05DD" w:rsidRPr="0034588F" w:rsidTr="006B1E7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rPr>
                <w:rFonts w:ascii="Arial Narrow" w:hAnsi="Arial Narrow" w:cs="Calibri"/>
                <w:sz w:val="15"/>
                <w:szCs w:val="15"/>
                <w:lang w:val="es-CR" w:eastAsia="es-CR"/>
              </w:rPr>
            </w:pPr>
            <w:r>
              <w:rPr>
                <w:rFonts w:ascii="Arial Narrow" w:hAnsi="Arial Narrow" w:cs="Calibri"/>
                <w:sz w:val="15"/>
                <w:szCs w:val="15"/>
                <w:lang w:val="es-CR" w:eastAsia="es-CR"/>
              </w:rPr>
              <w:t>Solano Chacón Luis Alberto</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jc w:val="center"/>
              <w:rPr>
                <w:rFonts w:ascii="Arial Narrow" w:hAnsi="Arial Narrow" w:cs="Calibri"/>
                <w:sz w:val="15"/>
                <w:szCs w:val="15"/>
                <w:lang w:val="es-CR" w:eastAsia="es-CR"/>
              </w:rPr>
            </w:pPr>
            <w:r>
              <w:rPr>
                <w:rFonts w:ascii="Arial Narrow" w:hAnsi="Arial Narrow" w:cs="Calibri"/>
                <w:sz w:val="15"/>
                <w:szCs w:val="15"/>
                <w:lang w:val="es-CR" w:eastAsia="es-CR"/>
              </w:rPr>
              <w:t>2-0717-0193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05DD" w:rsidRPr="0053467F" w:rsidRDefault="008C05DD" w:rsidP="006B1E77">
            <w:pPr>
              <w:jc w:val="center"/>
              <w:rPr>
                <w:rFonts w:ascii="Arial Narrow" w:hAnsi="Arial Narrow" w:cs="Arial"/>
                <w:color w:val="000000"/>
                <w:sz w:val="15"/>
                <w:szCs w:val="15"/>
                <w:lang w:val="es-CR" w:eastAsia="es-CR"/>
              </w:rPr>
            </w:pPr>
            <w:r>
              <w:rPr>
                <w:rFonts w:ascii="Arial Narrow" w:hAnsi="Arial Narrow" w:cs="Arial"/>
                <w:color w:val="000000"/>
                <w:sz w:val="15"/>
                <w:szCs w:val="15"/>
                <w:lang w:val="es-CR" w:eastAsia="es-CR"/>
              </w:rPr>
              <w:t>2-381054-000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w:t>
            </w:r>
            <w:r w:rsidRPr="0053467F">
              <w:rPr>
                <w:rFonts w:ascii="Arial Narrow" w:hAnsi="Arial Narrow" w:cs="Calibri"/>
                <w:sz w:val="15"/>
                <w:szCs w:val="15"/>
                <w:lang w:val="es-CR" w:eastAsia="es-CR"/>
              </w:rPr>
              <w:t>.</w:t>
            </w:r>
            <w:r>
              <w:rPr>
                <w:rFonts w:ascii="Arial Narrow" w:hAnsi="Arial Narrow" w:cs="Calibri"/>
                <w:sz w:val="15"/>
                <w:szCs w:val="15"/>
                <w:lang w:val="es-CR" w:eastAsia="es-CR"/>
              </w:rPr>
              <w:t>750</w:t>
            </w:r>
            <w:r w:rsidRPr="0053467F">
              <w:rPr>
                <w:rFonts w:ascii="Arial Narrow" w:hAnsi="Arial Narrow" w:cs="Calibri"/>
                <w:sz w:val="15"/>
                <w:szCs w:val="15"/>
                <w:lang w:val="es-CR" w:eastAsia="es-CR"/>
              </w:rPr>
              <w:t>.000,00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8</w:t>
            </w:r>
            <w:r w:rsidRPr="0053467F">
              <w:rPr>
                <w:rFonts w:ascii="Arial Narrow" w:hAnsi="Arial Narrow" w:cs="Calibri"/>
                <w:sz w:val="15"/>
                <w:szCs w:val="15"/>
                <w:lang w:val="es-CR" w:eastAsia="es-CR"/>
              </w:rPr>
              <w:t>.</w:t>
            </w:r>
            <w:r>
              <w:rPr>
                <w:rFonts w:ascii="Arial Narrow" w:hAnsi="Arial Narrow" w:cs="Calibri"/>
                <w:sz w:val="15"/>
                <w:szCs w:val="15"/>
                <w:lang w:val="es-CR" w:eastAsia="es-CR"/>
              </w:rPr>
              <w:t>190</w:t>
            </w:r>
            <w:r w:rsidRPr="0053467F">
              <w:rPr>
                <w:rFonts w:ascii="Arial Narrow" w:hAnsi="Arial Narrow" w:cs="Calibri"/>
                <w:sz w:val="15"/>
                <w:szCs w:val="15"/>
                <w:lang w:val="es-CR" w:eastAsia="es-CR"/>
              </w:rPr>
              <w:t>.</w:t>
            </w:r>
            <w:r>
              <w:rPr>
                <w:rFonts w:ascii="Arial Narrow" w:hAnsi="Arial Narrow" w:cs="Calibri"/>
                <w:sz w:val="15"/>
                <w:szCs w:val="15"/>
                <w:lang w:val="es-CR" w:eastAsia="es-CR"/>
              </w:rPr>
              <w:t>000</w:t>
            </w:r>
            <w:r w:rsidRPr="0053467F">
              <w:rPr>
                <w:rFonts w:ascii="Arial Narrow" w:hAnsi="Arial Narrow" w:cs="Calibri"/>
                <w:sz w:val="15"/>
                <w:szCs w:val="15"/>
                <w:lang w:val="es-CR" w:eastAsia="es-CR"/>
              </w:rPr>
              <w:t>,</w:t>
            </w:r>
            <w:r>
              <w:rPr>
                <w:rFonts w:ascii="Arial Narrow" w:hAnsi="Arial Narrow" w:cs="Calibri"/>
                <w:sz w:val="15"/>
                <w:szCs w:val="15"/>
                <w:lang w:val="es-CR" w:eastAsia="es-CR"/>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w:t>
            </w:r>
            <w:r w:rsidRPr="0053467F">
              <w:rPr>
                <w:rFonts w:ascii="Arial Narrow" w:hAnsi="Arial Narrow" w:cs="Calibri"/>
                <w:sz w:val="15"/>
                <w:szCs w:val="15"/>
                <w:lang w:val="es-CR" w:eastAsia="es-CR"/>
              </w:rPr>
              <w:t>.</w:t>
            </w:r>
            <w:r>
              <w:rPr>
                <w:rFonts w:ascii="Arial Narrow" w:hAnsi="Arial Narrow" w:cs="Calibri"/>
                <w:sz w:val="15"/>
                <w:szCs w:val="15"/>
                <w:lang w:val="es-CR" w:eastAsia="es-CR"/>
              </w:rPr>
              <w:t>425</w:t>
            </w:r>
            <w:r w:rsidRPr="0053467F">
              <w:rPr>
                <w:rFonts w:ascii="Arial Narrow" w:hAnsi="Arial Narrow" w:cs="Calibri"/>
                <w:sz w:val="15"/>
                <w:szCs w:val="15"/>
                <w:lang w:val="es-CR" w:eastAsia="es-CR"/>
              </w:rPr>
              <w:t>,</w:t>
            </w:r>
            <w:r>
              <w:rPr>
                <w:rFonts w:ascii="Arial Narrow" w:hAnsi="Arial Narrow" w:cs="Calibri"/>
                <w:sz w:val="15"/>
                <w:szCs w:val="15"/>
                <w:lang w:val="es-CR" w:eastAsia="es-CR"/>
              </w:rPr>
              <w:t>00</w:t>
            </w:r>
          </w:p>
        </w:tc>
        <w:tc>
          <w:tcPr>
            <w:tcW w:w="709" w:type="dxa"/>
            <w:tcBorders>
              <w:top w:val="single" w:sz="4" w:space="0" w:color="auto"/>
              <w:left w:val="nil"/>
              <w:bottom w:val="single" w:sz="4" w:space="0" w:color="auto"/>
              <w:right w:val="single" w:sz="4" w:space="0" w:color="auto"/>
            </w:tcBorders>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61.425,00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307.792,13</w:t>
            </w:r>
          </w:p>
        </w:tc>
        <w:tc>
          <w:tcPr>
            <w:tcW w:w="851"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215.454,49</w:t>
            </w:r>
          </w:p>
        </w:tc>
        <w:tc>
          <w:tcPr>
            <w:tcW w:w="850" w:type="dxa"/>
            <w:tcBorders>
              <w:top w:val="single" w:sz="4" w:space="0" w:color="auto"/>
              <w:left w:val="single" w:sz="4" w:space="0" w:color="auto"/>
              <w:bottom w:val="single" w:sz="4" w:space="0" w:color="auto"/>
              <w:right w:val="single" w:sz="4" w:space="0" w:color="auto"/>
            </w:tcBorders>
            <w:vAlign w:val="center"/>
          </w:tcPr>
          <w:p w:rsidR="008C05DD"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21.590,66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15.299.895,15</w:t>
            </w:r>
          </w:p>
        </w:tc>
      </w:tr>
      <w:tr w:rsidR="008C05DD" w:rsidRPr="0034588F" w:rsidTr="006B1E7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rPr>
                <w:rFonts w:ascii="Arial Narrow" w:hAnsi="Arial Narrow" w:cs="Calibri"/>
                <w:sz w:val="15"/>
                <w:szCs w:val="15"/>
                <w:lang w:val="es-CR" w:eastAsia="es-CR"/>
              </w:rPr>
            </w:pPr>
            <w:r>
              <w:rPr>
                <w:rFonts w:ascii="Arial Narrow" w:hAnsi="Arial Narrow" w:cs="Calibri"/>
                <w:sz w:val="15"/>
                <w:szCs w:val="15"/>
                <w:lang w:val="es-CR" w:eastAsia="es-CR"/>
              </w:rPr>
              <w:t>Ugalde Obando Ginette Adriana</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jc w:val="center"/>
              <w:rPr>
                <w:rFonts w:ascii="Arial Narrow" w:hAnsi="Arial Narrow" w:cs="Calibri"/>
                <w:sz w:val="15"/>
                <w:szCs w:val="15"/>
                <w:lang w:val="es-CR" w:eastAsia="es-CR"/>
              </w:rPr>
            </w:pPr>
            <w:r>
              <w:rPr>
                <w:rFonts w:ascii="Arial Narrow" w:hAnsi="Arial Narrow" w:cs="Calibri"/>
                <w:sz w:val="15"/>
                <w:szCs w:val="15"/>
                <w:lang w:val="es-CR" w:eastAsia="es-CR"/>
              </w:rPr>
              <w:t>2-0712-0764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05DD" w:rsidRPr="0053467F" w:rsidRDefault="008C05DD" w:rsidP="006B1E77">
            <w:pPr>
              <w:jc w:val="center"/>
              <w:rPr>
                <w:rFonts w:ascii="Arial Narrow" w:hAnsi="Arial Narrow"/>
                <w:sz w:val="15"/>
                <w:szCs w:val="15"/>
              </w:rPr>
            </w:pPr>
            <w:r>
              <w:rPr>
                <w:rFonts w:ascii="Arial Narrow" w:hAnsi="Arial Narrow"/>
                <w:sz w:val="15"/>
                <w:szCs w:val="15"/>
              </w:rPr>
              <w:t>2-381054-000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sz w:val="15"/>
                <w:szCs w:val="15"/>
              </w:rPr>
            </w:pPr>
            <w:r>
              <w:rPr>
                <w:rFonts w:ascii="Arial Narrow" w:hAnsi="Arial Narrow"/>
                <w:sz w:val="15"/>
                <w:szCs w:val="15"/>
              </w:rPr>
              <w:t>5.197.500,00</w:t>
            </w:r>
          </w:p>
        </w:tc>
        <w:tc>
          <w:tcPr>
            <w:tcW w:w="850" w:type="dxa"/>
            <w:tcBorders>
              <w:top w:val="single" w:sz="4" w:space="0" w:color="auto"/>
              <w:left w:val="nil"/>
              <w:bottom w:val="single" w:sz="4" w:space="0" w:color="auto"/>
              <w:right w:val="single" w:sz="4" w:space="0" w:color="auto"/>
            </w:tcBorders>
            <w:shd w:val="clear" w:color="auto" w:fill="auto"/>
          </w:tcPr>
          <w:p w:rsidR="008C05DD" w:rsidRDefault="008C05DD" w:rsidP="006B1E77">
            <w:pPr>
              <w:ind w:left="-70"/>
              <w:jc w:val="right"/>
              <w:rPr>
                <w:rFonts w:ascii="Arial Narrow" w:hAnsi="Arial Narrow" w:cs="Calibri"/>
                <w:sz w:val="15"/>
                <w:szCs w:val="15"/>
                <w:lang w:val="es-CR" w:eastAsia="es-CR"/>
              </w:rPr>
            </w:pPr>
          </w:p>
          <w:p w:rsidR="008C05DD" w:rsidRDefault="008C05DD" w:rsidP="006B1E77">
            <w:pPr>
              <w:ind w:left="-70"/>
              <w:jc w:val="right"/>
            </w:pPr>
            <w:r w:rsidRPr="006F7DBC">
              <w:rPr>
                <w:rFonts w:ascii="Arial Narrow" w:hAnsi="Arial Narrow" w:cs="Calibri"/>
                <w:sz w:val="15"/>
                <w:szCs w:val="15"/>
                <w:lang w:val="es-CR" w:eastAsia="es-CR"/>
              </w:rPr>
              <w:t>8.190.000,00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w:t>
            </w:r>
            <w:r w:rsidRPr="0053467F">
              <w:rPr>
                <w:rFonts w:ascii="Arial Narrow" w:hAnsi="Arial Narrow" w:cs="Calibri"/>
                <w:sz w:val="15"/>
                <w:szCs w:val="15"/>
                <w:lang w:val="es-CR" w:eastAsia="es-CR"/>
              </w:rPr>
              <w:t>.</w:t>
            </w:r>
            <w:r>
              <w:rPr>
                <w:rFonts w:ascii="Arial Narrow" w:hAnsi="Arial Narrow" w:cs="Calibri"/>
                <w:sz w:val="15"/>
                <w:szCs w:val="15"/>
                <w:lang w:val="es-CR" w:eastAsia="es-CR"/>
              </w:rPr>
              <w:t>425</w:t>
            </w:r>
            <w:r w:rsidRPr="0053467F">
              <w:rPr>
                <w:rFonts w:ascii="Arial Narrow" w:hAnsi="Arial Narrow" w:cs="Calibri"/>
                <w:sz w:val="15"/>
                <w:szCs w:val="15"/>
                <w:lang w:val="es-CR" w:eastAsia="es-CR"/>
              </w:rPr>
              <w:t>,</w:t>
            </w:r>
            <w:r>
              <w:rPr>
                <w:rFonts w:ascii="Arial Narrow" w:hAnsi="Arial Narrow" w:cs="Calibri"/>
                <w:sz w:val="15"/>
                <w:szCs w:val="15"/>
                <w:lang w:val="es-CR" w:eastAsia="es-CR"/>
              </w:rPr>
              <w:t>00</w:t>
            </w:r>
          </w:p>
        </w:tc>
        <w:tc>
          <w:tcPr>
            <w:tcW w:w="709" w:type="dxa"/>
            <w:tcBorders>
              <w:top w:val="single" w:sz="4" w:space="0" w:color="auto"/>
              <w:left w:val="nil"/>
              <w:bottom w:val="single" w:sz="4" w:space="0" w:color="auto"/>
              <w:right w:val="single" w:sz="4" w:space="0" w:color="auto"/>
            </w:tcBorders>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61.425,00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280.632,13</w:t>
            </w:r>
          </w:p>
        </w:tc>
        <w:tc>
          <w:tcPr>
            <w:tcW w:w="851"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sz w:val="15"/>
                <w:szCs w:val="15"/>
              </w:rPr>
            </w:pPr>
            <w:r>
              <w:rPr>
                <w:rFonts w:ascii="Arial Narrow" w:hAnsi="Arial Narrow"/>
                <w:sz w:val="15"/>
                <w:szCs w:val="15"/>
              </w:rPr>
              <w:t>252.568,92</w:t>
            </w:r>
          </w:p>
        </w:tc>
        <w:tc>
          <w:tcPr>
            <w:tcW w:w="850"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24.581,70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13.787.500,62</w:t>
            </w:r>
          </w:p>
        </w:tc>
      </w:tr>
      <w:tr w:rsidR="008C05DD" w:rsidRPr="0034588F" w:rsidTr="006B1E7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rPr>
                <w:rFonts w:ascii="Arial Narrow" w:hAnsi="Arial Narrow" w:cs="Calibri"/>
                <w:sz w:val="15"/>
                <w:szCs w:val="15"/>
                <w:lang w:val="es-CR" w:eastAsia="es-CR"/>
              </w:rPr>
            </w:pPr>
            <w:r>
              <w:rPr>
                <w:rFonts w:ascii="Arial Narrow" w:hAnsi="Arial Narrow" w:cs="Calibri"/>
                <w:sz w:val="15"/>
                <w:szCs w:val="15"/>
                <w:lang w:val="es-CR" w:eastAsia="es-CR"/>
              </w:rPr>
              <w:t>Arias Guzmán Maricela</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jc w:val="center"/>
              <w:rPr>
                <w:rFonts w:ascii="Arial Narrow" w:hAnsi="Arial Narrow" w:cs="Calibri"/>
                <w:sz w:val="15"/>
                <w:szCs w:val="15"/>
                <w:lang w:val="es-CR" w:eastAsia="es-CR"/>
              </w:rPr>
            </w:pPr>
            <w:r>
              <w:rPr>
                <w:rFonts w:ascii="Arial Narrow" w:hAnsi="Arial Narrow" w:cs="Calibri"/>
                <w:sz w:val="15"/>
                <w:szCs w:val="15"/>
                <w:lang w:val="es-CR" w:eastAsia="es-CR"/>
              </w:rPr>
              <w:t>2-0641-0620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05DD" w:rsidRPr="0053467F" w:rsidRDefault="008C05DD" w:rsidP="006B1E77">
            <w:pPr>
              <w:jc w:val="center"/>
              <w:rPr>
                <w:rFonts w:ascii="Arial Narrow" w:hAnsi="Arial Narrow"/>
                <w:sz w:val="15"/>
                <w:szCs w:val="15"/>
              </w:rPr>
            </w:pPr>
            <w:r>
              <w:rPr>
                <w:rFonts w:ascii="Arial Narrow" w:hAnsi="Arial Narrow"/>
                <w:sz w:val="15"/>
                <w:szCs w:val="15"/>
              </w:rPr>
              <w:t>2-381054-000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sz w:val="15"/>
                <w:szCs w:val="15"/>
              </w:rPr>
            </w:pPr>
            <w:r>
              <w:rPr>
                <w:rFonts w:ascii="Arial Narrow" w:hAnsi="Arial Narrow"/>
                <w:sz w:val="15"/>
                <w:szCs w:val="15"/>
              </w:rPr>
              <w:t>5.550.000,00</w:t>
            </w:r>
          </w:p>
        </w:tc>
        <w:tc>
          <w:tcPr>
            <w:tcW w:w="850" w:type="dxa"/>
            <w:tcBorders>
              <w:top w:val="single" w:sz="4" w:space="0" w:color="auto"/>
              <w:left w:val="nil"/>
              <w:bottom w:val="single" w:sz="4" w:space="0" w:color="auto"/>
              <w:right w:val="single" w:sz="4" w:space="0" w:color="auto"/>
            </w:tcBorders>
            <w:shd w:val="clear" w:color="auto" w:fill="auto"/>
          </w:tcPr>
          <w:p w:rsidR="008C05DD" w:rsidRDefault="008C05DD" w:rsidP="006B1E77">
            <w:pPr>
              <w:ind w:left="-70"/>
              <w:jc w:val="right"/>
              <w:rPr>
                <w:rFonts w:ascii="Arial Narrow" w:hAnsi="Arial Narrow" w:cs="Calibri"/>
                <w:sz w:val="15"/>
                <w:szCs w:val="15"/>
                <w:lang w:val="es-CR" w:eastAsia="es-CR"/>
              </w:rPr>
            </w:pPr>
          </w:p>
          <w:p w:rsidR="008C05DD" w:rsidRDefault="008C05DD" w:rsidP="006B1E77">
            <w:pPr>
              <w:ind w:left="-70"/>
              <w:jc w:val="right"/>
            </w:pPr>
            <w:r w:rsidRPr="006F7DBC">
              <w:rPr>
                <w:rFonts w:ascii="Arial Narrow" w:hAnsi="Arial Narrow" w:cs="Calibri"/>
                <w:sz w:val="15"/>
                <w:szCs w:val="15"/>
                <w:lang w:val="es-CR" w:eastAsia="es-CR"/>
              </w:rPr>
              <w:t>8.190.000,00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w:t>
            </w:r>
            <w:r w:rsidRPr="0053467F">
              <w:rPr>
                <w:rFonts w:ascii="Arial Narrow" w:hAnsi="Arial Narrow" w:cs="Calibri"/>
                <w:sz w:val="15"/>
                <w:szCs w:val="15"/>
                <w:lang w:val="es-CR" w:eastAsia="es-CR"/>
              </w:rPr>
              <w:t>.</w:t>
            </w:r>
            <w:r>
              <w:rPr>
                <w:rFonts w:ascii="Arial Narrow" w:hAnsi="Arial Narrow" w:cs="Calibri"/>
                <w:sz w:val="15"/>
                <w:szCs w:val="15"/>
                <w:lang w:val="es-CR" w:eastAsia="es-CR"/>
              </w:rPr>
              <w:t>425</w:t>
            </w:r>
            <w:r w:rsidRPr="0053467F">
              <w:rPr>
                <w:rFonts w:ascii="Arial Narrow" w:hAnsi="Arial Narrow" w:cs="Calibri"/>
                <w:sz w:val="15"/>
                <w:szCs w:val="15"/>
                <w:lang w:val="es-CR" w:eastAsia="es-CR"/>
              </w:rPr>
              <w:t>,</w:t>
            </w:r>
            <w:r>
              <w:rPr>
                <w:rFonts w:ascii="Arial Narrow" w:hAnsi="Arial Narrow" w:cs="Calibri"/>
                <w:sz w:val="15"/>
                <w:szCs w:val="15"/>
                <w:lang w:val="es-CR" w:eastAsia="es-CR"/>
              </w:rPr>
              <w:t>00</w:t>
            </w:r>
          </w:p>
        </w:tc>
        <w:tc>
          <w:tcPr>
            <w:tcW w:w="709" w:type="dxa"/>
            <w:tcBorders>
              <w:top w:val="single" w:sz="4" w:space="0" w:color="auto"/>
              <w:left w:val="nil"/>
              <w:bottom w:val="single" w:sz="4" w:space="0" w:color="auto"/>
              <w:right w:val="single" w:sz="4" w:space="0" w:color="auto"/>
            </w:tcBorders>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61.425,00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286.792,13</w:t>
            </w:r>
          </w:p>
        </w:tc>
        <w:tc>
          <w:tcPr>
            <w:tcW w:w="851"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sz w:val="15"/>
                <w:szCs w:val="15"/>
              </w:rPr>
            </w:pPr>
            <w:r>
              <w:rPr>
                <w:rFonts w:ascii="Arial Narrow" w:hAnsi="Arial Narrow"/>
                <w:sz w:val="15"/>
                <w:szCs w:val="15"/>
              </w:rPr>
              <w:t>258.112,92</w:t>
            </w:r>
          </w:p>
        </w:tc>
        <w:tc>
          <w:tcPr>
            <w:tcW w:w="850"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25.302,42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14.146.265,34</w:t>
            </w:r>
          </w:p>
        </w:tc>
      </w:tr>
      <w:tr w:rsidR="008C05DD" w:rsidRPr="0034588F" w:rsidTr="006B1E7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rPr>
                <w:rFonts w:ascii="Arial Narrow" w:hAnsi="Arial Narrow" w:cs="Calibri"/>
                <w:sz w:val="15"/>
                <w:szCs w:val="15"/>
                <w:lang w:val="es-CR" w:eastAsia="es-CR"/>
              </w:rPr>
            </w:pPr>
            <w:r>
              <w:rPr>
                <w:rFonts w:ascii="Arial Narrow" w:hAnsi="Arial Narrow" w:cs="Calibri"/>
                <w:sz w:val="15"/>
                <w:szCs w:val="15"/>
                <w:lang w:val="es-CR" w:eastAsia="es-CR"/>
              </w:rPr>
              <w:t>Ortega Matuz Sebastián</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Default="008C05DD" w:rsidP="006B1E77">
            <w:pPr>
              <w:jc w:val="center"/>
              <w:rPr>
                <w:rFonts w:ascii="Arial Narrow" w:hAnsi="Arial Narrow" w:cs="Calibri"/>
                <w:sz w:val="15"/>
                <w:szCs w:val="15"/>
                <w:lang w:val="es-CR" w:eastAsia="es-CR"/>
              </w:rPr>
            </w:pPr>
            <w:r>
              <w:rPr>
                <w:rFonts w:ascii="Arial Narrow" w:hAnsi="Arial Narrow" w:cs="Calibri"/>
                <w:sz w:val="15"/>
                <w:szCs w:val="15"/>
                <w:lang w:val="es-CR" w:eastAsia="es-CR"/>
              </w:rPr>
              <w:t>155800</w:t>
            </w:r>
          </w:p>
          <w:p w:rsidR="008C05DD" w:rsidRPr="0053467F" w:rsidRDefault="008C05DD" w:rsidP="006B1E77">
            <w:pPr>
              <w:jc w:val="center"/>
              <w:rPr>
                <w:rFonts w:ascii="Arial Narrow" w:hAnsi="Arial Narrow" w:cs="Calibri"/>
                <w:sz w:val="15"/>
                <w:szCs w:val="15"/>
                <w:lang w:val="es-CR" w:eastAsia="es-CR"/>
              </w:rPr>
            </w:pPr>
            <w:r>
              <w:rPr>
                <w:rFonts w:ascii="Arial Narrow" w:hAnsi="Arial Narrow" w:cs="Calibri"/>
                <w:sz w:val="15"/>
                <w:szCs w:val="15"/>
                <w:lang w:val="es-CR" w:eastAsia="es-CR"/>
              </w:rPr>
              <w:t>329506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05DD" w:rsidRPr="0053467F" w:rsidRDefault="008C05DD" w:rsidP="006B1E77">
            <w:pPr>
              <w:jc w:val="center"/>
              <w:rPr>
                <w:rFonts w:ascii="Arial Narrow" w:hAnsi="Arial Narrow"/>
                <w:sz w:val="15"/>
                <w:szCs w:val="15"/>
              </w:rPr>
            </w:pPr>
            <w:r>
              <w:rPr>
                <w:rFonts w:ascii="Arial Narrow" w:hAnsi="Arial Narrow"/>
                <w:sz w:val="15"/>
                <w:szCs w:val="15"/>
              </w:rPr>
              <w:t>2-381054-000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sz w:val="15"/>
                <w:szCs w:val="15"/>
              </w:rPr>
            </w:pPr>
            <w:r>
              <w:rPr>
                <w:rFonts w:ascii="Arial Narrow" w:hAnsi="Arial Narrow"/>
                <w:sz w:val="15"/>
                <w:szCs w:val="15"/>
              </w:rPr>
              <w:t>5.445.000,00</w:t>
            </w:r>
          </w:p>
        </w:tc>
        <w:tc>
          <w:tcPr>
            <w:tcW w:w="850" w:type="dxa"/>
            <w:tcBorders>
              <w:top w:val="single" w:sz="4" w:space="0" w:color="auto"/>
              <w:left w:val="nil"/>
              <w:bottom w:val="single" w:sz="4" w:space="0" w:color="auto"/>
              <w:right w:val="single" w:sz="4" w:space="0" w:color="auto"/>
            </w:tcBorders>
            <w:shd w:val="clear" w:color="auto" w:fill="auto"/>
          </w:tcPr>
          <w:p w:rsidR="008C05DD" w:rsidRDefault="008C05DD" w:rsidP="006B1E77">
            <w:pPr>
              <w:ind w:left="-70"/>
              <w:jc w:val="right"/>
              <w:rPr>
                <w:rFonts w:ascii="Arial Narrow" w:hAnsi="Arial Narrow" w:cs="Calibri"/>
                <w:sz w:val="15"/>
                <w:szCs w:val="15"/>
                <w:lang w:val="es-CR" w:eastAsia="es-CR"/>
              </w:rPr>
            </w:pPr>
          </w:p>
          <w:p w:rsidR="008C05DD" w:rsidRDefault="008C05DD" w:rsidP="006B1E77">
            <w:pPr>
              <w:ind w:left="-70"/>
              <w:jc w:val="right"/>
            </w:pPr>
            <w:r w:rsidRPr="006F7DBC">
              <w:rPr>
                <w:rFonts w:ascii="Arial Narrow" w:hAnsi="Arial Narrow" w:cs="Calibri"/>
                <w:sz w:val="15"/>
                <w:szCs w:val="15"/>
                <w:lang w:val="es-CR" w:eastAsia="es-CR"/>
              </w:rPr>
              <w:t>8.190.000,00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w:t>
            </w:r>
            <w:r w:rsidRPr="0053467F">
              <w:rPr>
                <w:rFonts w:ascii="Arial Narrow" w:hAnsi="Arial Narrow" w:cs="Calibri"/>
                <w:sz w:val="15"/>
                <w:szCs w:val="15"/>
                <w:lang w:val="es-CR" w:eastAsia="es-CR"/>
              </w:rPr>
              <w:t>.</w:t>
            </w:r>
            <w:r>
              <w:rPr>
                <w:rFonts w:ascii="Arial Narrow" w:hAnsi="Arial Narrow" w:cs="Calibri"/>
                <w:sz w:val="15"/>
                <w:szCs w:val="15"/>
                <w:lang w:val="es-CR" w:eastAsia="es-CR"/>
              </w:rPr>
              <w:t>425</w:t>
            </w:r>
            <w:r w:rsidRPr="0053467F">
              <w:rPr>
                <w:rFonts w:ascii="Arial Narrow" w:hAnsi="Arial Narrow" w:cs="Calibri"/>
                <w:sz w:val="15"/>
                <w:szCs w:val="15"/>
                <w:lang w:val="es-CR" w:eastAsia="es-CR"/>
              </w:rPr>
              <w:t>,</w:t>
            </w:r>
            <w:r>
              <w:rPr>
                <w:rFonts w:ascii="Arial Narrow" w:hAnsi="Arial Narrow" w:cs="Calibri"/>
                <w:sz w:val="15"/>
                <w:szCs w:val="15"/>
                <w:lang w:val="es-CR" w:eastAsia="es-CR"/>
              </w:rPr>
              <w:t>00</w:t>
            </w:r>
          </w:p>
        </w:tc>
        <w:tc>
          <w:tcPr>
            <w:tcW w:w="709" w:type="dxa"/>
            <w:tcBorders>
              <w:top w:val="single" w:sz="4" w:space="0" w:color="auto"/>
              <w:left w:val="nil"/>
              <w:bottom w:val="single" w:sz="4" w:space="0" w:color="auto"/>
              <w:right w:val="single" w:sz="4" w:space="0" w:color="auto"/>
            </w:tcBorders>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61.425,00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284.954,63</w:t>
            </w:r>
          </w:p>
        </w:tc>
        <w:tc>
          <w:tcPr>
            <w:tcW w:w="851"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sz w:val="15"/>
                <w:szCs w:val="15"/>
              </w:rPr>
            </w:pPr>
            <w:r>
              <w:rPr>
                <w:rFonts w:ascii="Arial Narrow" w:hAnsi="Arial Narrow"/>
                <w:sz w:val="15"/>
                <w:szCs w:val="15"/>
              </w:rPr>
              <w:t>199.468,24</w:t>
            </w:r>
          </w:p>
        </w:tc>
        <w:tc>
          <w:tcPr>
            <w:tcW w:w="850"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19.512,45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13.976.830,69</w:t>
            </w:r>
          </w:p>
        </w:tc>
      </w:tr>
      <w:tr w:rsidR="008C05DD" w:rsidRPr="0034588F" w:rsidTr="006B1E7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rPr>
                <w:rFonts w:ascii="Arial Narrow" w:hAnsi="Arial Narrow" w:cs="Calibri"/>
                <w:sz w:val="15"/>
                <w:szCs w:val="15"/>
                <w:lang w:val="es-CR" w:eastAsia="es-CR"/>
              </w:rPr>
            </w:pPr>
            <w:r>
              <w:rPr>
                <w:rFonts w:ascii="Arial Narrow" w:hAnsi="Arial Narrow" w:cs="Calibri"/>
                <w:sz w:val="15"/>
                <w:szCs w:val="15"/>
                <w:lang w:val="es-CR" w:eastAsia="es-CR"/>
              </w:rPr>
              <w:t>Marenco Yitza Francisca</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Default="008C05DD" w:rsidP="006B1E77">
            <w:pPr>
              <w:jc w:val="center"/>
              <w:rPr>
                <w:rFonts w:ascii="Arial Narrow" w:hAnsi="Arial Narrow" w:cs="Calibri"/>
                <w:sz w:val="15"/>
                <w:szCs w:val="15"/>
                <w:lang w:val="es-CR" w:eastAsia="es-CR"/>
              </w:rPr>
            </w:pPr>
            <w:r>
              <w:rPr>
                <w:rFonts w:ascii="Arial Narrow" w:hAnsi="Arial Narrow" w:cs="Calibri"/>
                <w:sz w:val="15"/>
                <w:szCs w:val="15"/>
                <w:lang w:val="es-CR" w:eastAsia="es-CR"/>
              </w:rPr>
              <w:t>155822</w:t>
            </w:r>
          </w:p>
          <w:p w:rsidR="008C05DD" w:rsidRPr="0053467F" w:rsidRDefault="008C05DD" w:rsidP="006B1E77">
            <w:pPr>
              <w:jc w:val="center"/>
              <w:rPr>
                <w:rFonts w:ascii="Arial Narrow" w:hAnsi="Arial Narrow" w:cs="Calibri"/>
                <w:sz w:val="15"/>
                <w:szCs w:val="15"/>
                <w:lang w:val="es-CR" w:eastAsia="es-CR"/>
              </w:rPr>
            </w:pPr>
            <w:r>
              <w:rPr>
                <w:rFonts w:ascii="Arial Narrow" w:hAnsi="Arial Narrow" w:cs="Calibri"/>
                <w:sz w:val="15"/>
                <w:szCs w:val="15"/>
                <w:lang w:val="es-CR" w:eastAsia="es-CR"/>
              </w:rPr>
              <w:t>187907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05DD" w:rsidRPr="0053467F" w:rsidRDefault="008C05DD" w:rsidP="006B1E77">
            <w:pPr>
              <w:jc w:val="center"/>
              <w:rPr>
                <w:rFonts w:ascii="Arial Narrow" w:hAnsi="Arial Narrow"/>
                <w:sz w:val="15"/>
                <w:szCs w:val="15"/>
              </w:rPr>
            </w:pPr>
            <w:r>
              <w:rPr>
                <w:rFonts w:ascii="Arial Narrow" w:hAnsi="Arial Narrow"/>
                <w:sz w:val="15"/>
                <w:szCs w:val="15"/>
              </w:rPr>
              <w:t>2-381054-000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sz w:val="15"/>
                <w:szCs w:val="15"/>
              </w:rPr>
            </w:pPr>
            <w:r>
              <w:rPr>
                <w:rFonts w:ascii="Arial Narrow" w:hAnsi="Arial Narrow"/>
                <w:sz w:val="15"/>
                <w:szCs w:val="15"/>
              </w:rPr>
              <w:t>5.580.000,00</w:t>
            </w:r>
          </w:p>
        </w:tc>
        <w:tc>
          <w:tcPr>
            <w:tcW w:w="850" w:type="dxa"/>
            <w:tcBorders>
              <w:top w:val="single" w:sz="4" w:space="0" w:color="auto"/>
              <w:left w:val="nil"/>
              <w:bottom w:val="single" w:sz="4" w:space="0" w:color="auto"/>
              <w:right w:val="single" w:sz="4" w:space="0" w:color="auto"/>
            </w:tcBorders>
            <w:shd w:val="clear" w:color="auto" w:fill="auto"/>
          </w:tcPr>
          <w:p w:rsidR="008C05DD" w:rsidRDefault="008C05DD" w:rsidP="006B1E77">
            <w:pPr>
              <w:ind w:left="-70"/>
              <w:jc w:val="right"/>
              <w:rPr>
                <w:rFonts w:ascii="Arial Narrow" w:hAnsi="Arial Narrow" w:cs="Calibri"/>
                <w:sz w:val="15"/>
                <w:szCs w:val="15"/>
                <w:lang w:val="es-CR" w:eastAsia="es-CR"/>
              </w:rPr>
            </w:pPr>
          </w:p>
          <w:p w:rsidR="008C05DD" w:rsidRDefault="008C05DD" w:rsidP="006B1E77">
            <w:pPr>
              <w:ind w:left="-70"/>
              <w:jc w:val="right"/>
            </w:pPr>
            <w:r w:rsidRPr="006F7DBC">
              <w:rPr>
                <w:rFonts w:ascii="Arial Narrow" w:hAnsi="Arial Narrow" w:cs="Calibri"/>
                <w:sz w:val="15"/>
                <w:szCs w:val="15"/>
                <w:lang w:val="es-CR" w:eastAsia="es-CR"/>
              </w:rPr>
              <w:t>8.190.000,00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w:t>
            </w:r>
            <w:r w:rsidRPr="0053467F">
              <w:rPr>
                <w:rFonts w:ascii="Arial Narrow" w:hAnsi="Arial Narrow" w:cs="Calibri"/>
                <w:sz w:val="15"/>
                <w:szCs w:val="15"/>
                <w:lang w:val="es-CR" w:eastAsia="es-CR"/>
              </w:rPr>
              <w:t>.</w:t>
            </w:r>
            <w:r>
              <w:rPr>
                <w:rFonts w:ascii="Arial Narrow" w:hAnsi="Arial Narrow" w:cs="Calibri"/>
                <w:sz w:val="15"/>
                <w:szCs w:val="15"/>
                <w:lang w:val="es-CR" w:eastAsia="es-CR"/>
              </w:rPr>
              <w:t>425</w:t>
            </w:r>
            <w:r w:rsidRPr="0053467F">
              <w:rPr>
                <w:rFonts w:ascii="Arial Narrow" w:hAnsi="Arial Narrow" w:cs="Calibri"/>
                <w:sz w:val="15"/>
                <w:szCs w:val="15"/>
                <w:lang w:val="es-CR" w:eastAsia="es-CR"/>
              </w:rPr>
              <w:t>,</w:t>
            </w:r>
            <w:r>
              <w:rPr>
                <w:rFonts w:ascii="Arial Narrow" w:hAnsi="Arial Narrow" w:cs="Calibri"/>
                <w:sz w:val="15"/>
                <w:szCs w:val="15"/>
                <w:lang w:val="es-CR" w:eastAsia="es-CR"/>
              </w:rPr>
              <w:t>00</w:t>
            </w:r>
          </w:p>
        </w:tc>
        <w:tc>
          <w:tcPr>
            <w:tcW w:w="709" w:type="dxa"/>
            <w:tcBorders>
              <w:top w:val="single" w:sz="4" w:space="0" w:color="auto"/>
              <w:left w:val="nil"/>
              <w:bottom w:val="single" w:sz="4" w:space="0" w:color="auto"/>
              <w:right w:val="single" w:sz="4" w:space="0" w:color="auto"/>
            </w:tcBorders>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61.425,00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287.317,13</w:t>
            </w:r>
          </w:p>
        </w:tc>
        <w:tc>
          <w:tcPr>
            <w:tcW w:w="851"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sz w:val="15"/>
                <w:szCs w:val="15"/>
              </w:rPr>
            </w:pPr>
            <w:r>
              <w:rPr>
                <w:rFonts w:ascii="Arial Narrow" w:hAnsi="Arial Narrow"/>
                <w:sz w:val="15"/>
                <w:szCs w:val="15"/>
              </w:rPr>
              <w:t>143.658,57</w:t>
            </w:r>
          </w:p>
        </w:tc>
        <w:tc>
          <w:tcPr>
            <w:tcW w:w="850"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14.091,03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14.050.599,59</w:t>
            </w:r>
          </w:p>
        </w:tc>
      </w:tr>
      <w:tr w:rsidR="008C05DD" w:rsidRPr="0034588F" w:rsidTr="006B1E7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rPr>
                <w:rFonts w:ascii="Arial Narrow" w:hAnsi="Arial Narrow" w:cs="Calibri"/>
                <w:sz w:val="15"/>
                <w:szCs w:val="15"/>
                <w:lang w:val="es-CR" w:eastAsia="es-CR"/>
              </w:rPr>
            </w:pPr>
            <w:r>
              <w:rPr>
                <w:rFonts w:ascii="Arial Narrow" w:hAnsi="Arial Narrow" w:cs="Calibri"/>
                <w:sz w:val="15"/>
                <w:szCs w:val="15"/>
                <w:lang w:val="es-CR" w:eastAsia="es-CR"/>
              </w:rPr>
              <w:t>Galeano Alemán Kimberly</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jc w:val="center"/>
              <w:rPr>
                <w:rFonts w:ascii="Arial Narrow" w:hAnsi="Arial Narrow" w:cs="Calibri"/>
                <w:sz w:val="15"/>
                <w:szCs w:val="15"/>
                <w:lang w:val="es-CR" w:eastAsia="es-CR"/>
              </w:rPr>
            </w:pPr>
            <w:r>
              <w:rPr>
                <w:rFonts w:ascii="Arial Narrow" w:hAnsi="Arial Narrow" w:cs="Calibri"/>
                <w:sz w:val="15"/>
                <w:szCs w:val="15"/>
                <w:lang w:val="es-CR" w:eastAsia="es-CR"/>
              </w:rPr>
              <w:t>2-0663-0722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05DD" w:rsidRPr="0053467F" w:rsidRDefault="008C05DD" w:rsidP="006B1E77">
            <w:pPr>
              <w:jc w:val="center"/>
              <w:rPr>
                <w:rFonts w:ascii="Arial Narrow" w:hAnsi="Arial Narrow"/>
                <w:sz w:val="15"/>
                <w:szCs w:val="15"/>
              </w:rPr>
            </w:pPr>
            <w:r>
              <w:rPr>
                <w:rFonts w:ascii="Arial Narrow" w:hAnsi="Arial Narrow"/>
                <w:sz w:val="15"/>
                <w:szCs w:val="15"/>
              </w:rPr>
              <w:t>2-381054-000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sz w:val="15"/>
                <w:szCs w:val="15"/>
              </w:rPr>
            </w:pPr>
            <w:r>
              <w:rPr>
                <w:rFonts w:ascii="Arial Narrow" w:hAnsi="Arial Narrow"/>
                <w:sz w:val="15"/>
                <w:szCs w:val="15"/>
              </w:rPr>
              <w:t>5.692.500,00</w:t>
            </w:r>
          </w:p>
        </w:tc>
        <w:tc>
          <w:tcPr>
            <w:tcW w:w="850" w:type="dxa"/>
            <w:tcBorders>
              <w:top w:val="single" w:sz="4" w:space="0" w:color="auto"/>
              <w:left w:val="nil"/>
              <w:bottom w:val="single" w:sz="4" w:space="0" w:color="auto"/>
              <w:right w:val="single" w:sz="4" w:space="0" w:color="auto"/>
            </w:tcBorders>
            <w:shd w:val="clear" w:color="auto" w:fill="auto"/>
          </w:tcPr>
          <w:p w:rsidR="008C05DD" w:rsidRDefault="008C05DD" w:rsidP="006B1E77">
            <w:pPr>
              <w:ind w:left="-70"/>
              <w:jc w:val="right"/>
              <w:rPr>
                <w:rFonts w:ascii="Arial Narrow" w:hAnsi="Arial Narrow" w:cs="Calibri"/>
                <w:sz w:val="15"/>
                <w:szCs w:val="15"/>
                <w:lang w:val="es-CR" w:eastAsia="es-CR"/>
              </w:rPr>
            </w:pPr>
          </w:p>
          <w:p w:rsidR="008C05DD" w:rsidRDefault="008C05DD" w:rsidP="006B1E77">
            <w:pPr>
              <w:ind w:left="-70"/>
              <w:jc w:val="right"/>
            </w:pPr>
            <w:r w:rsidRPr="006F7DBC">
              <w:rPr>
                <w:rFonts w:ascii="Arial Narrow" w:hAnsi="Arial Narrow" w:cs="Calibri"/>
                <w:sz w:val="15"/>
                <w:szCs w:val="15"/>
                <w:lang w:val="es-CR" w:eastAsia="es-CR"/>
              </w:rPr>
              <w:t>8.190.000,00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w:t>
            </w:r>
            <w:r w:rsidRPr="0053467F">
              <w:rPr>
                <w:rFonts w:ascii="Arial Narrow" w:hAnsi="Arial Narrow" w:cs="Calibri"/>
                <w:sz w:val="15"/>
                <w:szCs w:val="15"/>
                <w:lang w:val="es-CR" w:eastAsia="es-CR"/>
              </w:rPr>
              <w:t>.</w:t>
            </w:r>
            <w:r>
              <w:rPr>
                <w:rFonts w:ascii="Arial Narrow" w:hAnsi="Arial Narrow" w:cs="Calibri"/>
                <w:sz w:val="15"/>
                <w:szCs w:val="15"/>
                <w:lang w:val="es-CR" w:eastAsia="es-CR"/>
              </w:rPr>
              <w:t>425</w:t>
            </w:r>
            <w:r w:rsidRPr="0053467F">
              <w:rPr>
                <w:rFonts w:ascii="Arial Narrow" w:hAnsi="Arial Narrow" w:cs="Calibri"/>
                <w:sz w:val="15"/>
                <w:szCs w:val="15"/>
                <w:lang w:val="es-CR" w:eastAsia="es-CR"/>
              </w:rPr>
              <w:t>,</w:t>
            </w:r>
            <w:r>
              <w:rPr>
                <w:rFonts w:ascii="Arial Narrow" w:hAnsi="Arial Narrow" w:cs="Calibri"/>
                <w:sz w:val="15"/>
                <w:szCs w:val="15"/>
                <w:lang w:val="es-CR" w:eastAsia="es-CR"/>
              </w:rPr>
              <w:t>00</w:t>
            </w:r>
          </w:p>
        </w:tc>
        <w:tc>
          <w:tcPr>
            <w:tcW w:w="709" w:type="dxa"/>
            <w:tcBorders>
              <w:top w:val="single" w:sz="4" w:space="0" w:color="auto"/>
              <w:left w:val="nil"/>
              <w:bottom w:val="single" w:sz="4" w:space="0" w:color="auto"/>
              <w:right w:val="single" w:sz="4" w:space="0" w:color="auto"/>
            </w:tcBorders>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61.425,00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289.294,63</w:t>
            </w:r>
          </w:p>
        </w:tc>
        <w:tc>
          <w:tcPr>
            <w:tcW w:w="851"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sz w:val="15"/>
                <w:szCs w:val="15"/>
              </w:rPr>
            </w:pPr>
            <w:r>
              <w:rPr>
                <w:rFonts w:ascii="Arial Narrow" w:hAnsi="Arial Narrow"/>
                <w:sz w:val="15"/>
                <w:szCs w:val="15"/>
              </w:rPr>
              <w:t>260.365,17</w:t>
            </w:r>
          </w:p>
        </w:tc>
        <w:tc>
          <w:tcPr>
            <w:tcW w:w="850"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25.595,22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14.291.310,38</w:t>
            </w:r>
          </w:p>
        </w:tc>
      </w:tr>
      <w:tr w:rsidR="008C05DD" w:rsidRPr="0034588F" w:rsidTr="006B1E7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rPr>
                <w:rFonts w:ascii="Arial Narrow" w:hAnsi="Arial Narrow" w:cs="Calibri"/>
                <w:sz w:val="15"/>
                <w:szCs w:val="15"/>
                <w:lang w:val="es-CR" w:eastAsia="es-CR"/>
              </w:rPr>
            </w:pPr>
            <w:r>
              <w:rPr>
                <w:rFonts w:ascii="Arial Narrow" w:hAnsi="Arial Narrow" w:cs="Calibri"/>
                <w:sz w:val="15"/>
                <w:szCs w:val="15"/>
                <w:lang w:val="es-CR" w:eastAsia="es-CR"/>
              </w:rPr>
              <w:t>Jarquín Avila Maikol Xavier</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jc w:val="center"/>
              <w:rPr>
                <w:rFonts w:ascii="Arial Narrow" w:hAnsi="Arial Narrow" w:cs="Calibri"/>
                <w:sz w:val="15"/>
                <w:szCs w:val="15"/>
                <w:lang w:val="es-CR" w:eastAsia="es-CR"/>
              </w:rPr>
            </w:pPr>
            <w:r>
              <w:rPr>
                <w:rFonts w:ascii="Arial Narrow" w:hAnsi="Arial Narrow" w:cs="Calibri"/>
                <w:sz w:val="15"/>
                <w:szCs w:val="15"/>
                <w:lang w:val="es-CR" w:eastAsia="es-CR"/>
              </w:rPr>
              <w:t>2-0587-0844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05DD" w:rsidRPr="0053467F" w:rsidRDefault="008C05DD" w:rsidP="006B1E77">
            <w:pPr>
              <w:jc w:val="center"/>
              <w:rPr>
                <w:rFonts w:ascii="Arial Narrow" w:hAnsi="Arial Narrow"/>
                <w:sz w:val="15"/>
                <w:szCs w:val="15"/>
              </w:rPr>
            </w:pPr>
            <w:r>
              <w:rPr>
                <w:rFonts w:ascii="Arial Narrow" w:hAnsi="Arial Narrow"/>
                <w:sz w:val="15"/>
                <w:szCs w:val="15"/>
              </w:rPr>
              <w:t>2-381054-000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sz w:val="15"/>
                <w:szCs w:val="15"/>
              </w:rPr>
            </w:pPr>
            <w:r>
              <w:rPr>
                <w:rFonts w:ascii="Arial Narrow" w:hAnsi="Arial Narrow"/>
                <w:sz w:val="15"/>
                <w:szCs w:val="15"/>
              </w:rPr>
              <w:t>5.827.500,00</w:t>
            </w:r>
          </w:p>
        </w:tc>
        <w:tc>
          <w:tcPr>
            <w:tcW w:w="850" w:type="dxa"/>
            <w:tcBorders>
              <w:top w:val="single" w:sz="4" w:space="0" w:color="auto"/>
              <w:left w:val="nil"/>
              <w:bottom w:val="single" w:sz="4" w:space="0" w:color="auto"/>
              <w:right w:val="single" w:sz="4" w:space="0" w:color="auto"/>
            </w:tcBorders>
            <w:shd w:val="clear" w:color="auto" w:fill="auto"/>
          </w:tcPr>
          <w:p w:rsidR="008C05DD" w:rsidRDefault="008C05DD" w:rsidP="006B1E77">
            <w:pPr>
              <w:ind w:left="-70"/>
              <w:jc w:val="right"/>
              <w:rPr>
                <w:rFonts w:ascii="Arial Narrow" w:hAnsi="Arial Narrow" w:cs="Calibri"/>
                <w:sz w:val="15"/>
                <w:szCs w:val="15"/>
                <w:lang w:val="es-CR" w:eastAsia="es-CR"/>
              </w:rPr>
            </w:pPr>
          </w:p>
          <w:p w:rsidR="008C05DD" w:rsidRDefault="008C05DD" w:rsidP="006B1E77">
            <w:pPr>
              <w:ind w:left="-70"/>
              <w:jc w:val="right"/>
            </w:pPr>
            <w:r w:rsidRPr="006F7DBC">
              <w:rPr>
                <w:rFonts w:ascii="Arial Narrow" w:hAnsi="Arial Narrow" w:cs="Calibri"/>
                <w:sz w:val="15"/>
                <w:szCs w:val="15"/>
                <w:lang w:val="es-CR" w:eastAsia="es-CR"/>
              </w:rPr>
              <w:t>8.190.000,00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w:t>
            </w:r>
            <w:r w:rsidRPr="0053467F">
              <w:rPr>
                <w:rFonts w:ascii="Arial Narrow" w:hAnsi="Arial Narrow" w:cs="Calibri"/>
                <w:sz w:val="15"/>
                <w:szCs w:val="15"/>
                <w:lang w:val="es-CR" w:eastAsia="es-CR"/>
              </w:rPr>
              <w:t>.</w:t>
            </w:r>
            <w:r>
              <w:rPr>
                <w:rFonts w:ascii="Arial Narrow" w:hAnsi="Arial Narrow" w:cs="Calibri"/>
                <w:sz w:val="15"/>
                <w:szCs w:val="15"/>
                <w:lang w:val="es-CR" w:eastAsia="es-CR"/>
              </w:rPr>
              <w:t>425</w:t>
            </w:r>
            <w:r w:rsidRPr="0053467F">
              <w:rPr>
                <w:rFonts w:ascii="Arial Narrow" w:hAnsi="Arial Narrow" w:cs="Calibri"/>
                <w:sz w:val="15"/>
                <w:szCs w:val="15"/>
                <w:lang w:val="es-CR" w:eastAsia="es-CR"/>
              </w:rPr>
              <w:t>,</w:t>
            </w:r>
            <w:r>
              <w:rPr>
                <w:rFonts w:ascii="Arial Narrow" w:hAnsi="Arial Narrow" w:cs="Calibri"/>
                <w:sz w:val="15"/>
                <w:szCs w:val="15"/>
                <w:lang w:val="es-CR" w:eastAsia="es-CR"/>
              </w:rPr>
              <w:t>00</w:t>
            </w:r>
          </w:p>
        </w:tc>
        <w:tc>
          <w:tcPr>
            <w:tcW w:w="709" w:type="dxa"/>
            <w:tcBorders>
              <w:top w:val="single" w:sz="4" w:space="0" w:color="auto"/>
              <w:left w:val="nil"/>
              <w:bottom w:val="single" w:sz="4" w:space="0" w:color="auto"/>
              <w:right w:val="single" w:sz="4" w:space="0" w:color="auto"/>
            </w:tcBorders>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61.425,00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291.657,13</w:t>
            </w:r>
          </w:p>
        </w:tc>
        <w:tc>
          <w:tcPr>
            <w:tcW w:w="851"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sz w:val="15"/>
                <w:szCs w:val="15"/>
              </w:rPr>
            </w:pPr>
            <w:r>
              <w:rPr>
                <w:rFonts w:ascii="Arial Narrow" w:hAnsi="Arial Narrow"/>
                <w:sz w:val="15"/>
                <w:szCs w:val="15"/>
              </w:rPr>
              <w:t>145.828,57</w:t>
            </w:r>
          </w:p>
        </w:tc>
        <w:tc>
          <w:tcPr>
            <w:tcW w:w="850"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14.373,13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14.300.551,69</w:t>
            </w:r>
          </w:p>
        </w:tc>
      </w:tr>
      <w:tr w:rsidR="008C05DD" w:rsidRPr="0034588F" w:rsidTr="006B1E7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rPr>
                <w:rFonts w:ascii="Arial Narrow" w:hAnsi="Arial Narrow" w:cs="Calibri"/>
                <w:sz w:val="15"/>
                <w:szCs w:val="15"/>
                <w:lang w:val="es-CR" w:eastAsia="es-CR"/>
              </w:rPr>
            </w:pPr>
            <w:r>
              <w:rPr>
                <w:rFonts w:ascii="Arial Narrow" w:hAnsi="Arial Narrow" w:cs="Calibri"/>
                <w:sz w:val="15"/>
                <w:szCs w:val="15"/>
                <w:lang w:val="es-CR" w:eastAsia="es-CR"/>
              </w:rPr>
              <w:t>Matamoros Romero Arlen Antonio</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Default="008C05DD" w:rsidP="006B1E77">
            <w:pPr>
              <w:jc w:val="center"/>
              <w:rPr>
                <w:rFonts w:ascii="Arial Narrow" w:hAnsi="Arial Narrow" w:cs="Calibri"/>
                <w:sz w:val="15"/>
                <w:szCs w:val="15"/>
                <w:lang w:val="es-CR" w:eastAsia="es-CR"/>
              </w:rPr>
            </w:pPr>
            <w:r>
              <w:rPr>
                <w:rFonts w:ascii="Arial Narrow" w:hAnsi="Arial Narrow" w:cs="Calibri"/>
                <w:sz w:val="15"/>
                <w:szCs w:val="15"/>
                <w:lang w:val="es-CR" w:eastAsia="es-CR"/>
              </w:rPr>
              <w:t>155801</w:t>
            </w:r>
          </w:p>
          <w:p w:rsidR="008C05DD" w:rsidRPr="0053467F" w:rsidRDefault="008C05DD" w:rsidP="006B1E77">
            <w:pPr>
              <w:jc w:val="center"/>
              <w:rPr>
                <w:rFonts w:ascii="Arial Narrow" w:hAnsi="Arial Narrow" w:cs="Calibri"/>
                <w:sz w:val="15"/>
                <w:szCs w:val="15"/>
                <w:lang w:val="es-CR" w:eastAsia="es-CR"/>
              </w:rPr>
            </w:pPr>
            <w:r>
              <w:rPr>
                <w:rFonts w:ascii="Arial Narrow" w:hAnsi="Arial Narrow" w:cs="Calibri"/>
                <w:sz w:val="15"/>
                <w:szCs w:val="15"/>
                <w:lang w:val="es-CR" w:eastAsia="es-CR"/>
              </w:rPr>
              <w:t>584711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05DD" w:rsidRPr="0053467F" w:rsidRDefault="008C05DD" w:rsidP="006B1E77">
            <w:pPr>
              <w:jc w:val="center"/>
              <w:rPr>
                <w:rFonts w:ascii="Arial Narrow" w:hAnsi="Arial Narrow"/>
                <w:sz w:val="15"/>
                <w:szCs w:val="15"/>
              </w:rPr>
            </w:pPr>
            <w:r>
              <w:rPr>
                <w:rFonts w:ascii="Arial Narrow" w:hAnsi="Arial Narrow"/>
                <w:sz w:val="15"/>
                <w:szCs w:val="15"/>
              </w:rPr>
              <w:t>2-381054-000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sz w:val="15"/>
                <w:szCs w:val="15"/>
              </w:rPr>
            </w:pPr>
            <w:r>
              <w:rPr>
                <w:rFonts w:ascii="Arial Narrow" w:hAnsi="Arial Narrow"/>
                <w:sz w:val="15"/>
                <w:szCs w:val="15"/>
              </w:rPr>
              <w:t>5.445.000,00</w:t>
            </w:r>
          </w:p>
        </w:tc>
        <w:tc>
          <w:tcPr>
            <w:tcW w:w="850" w:type="dxa"/>
            <w:tcBorders>
              <w:top w:val="single" w:sz="4" w:space="0" w:color="auto"/>
              <w:left w:val="nil"/>
              <w:bottom w:val="single" w:sz="4" w:space="0" w:color="auto"/>
              <w:right w:val="single" w:sz="4" w:space="0" w:color="auto"/>
            </w:tcBorders>
            <w:shd w:val="clear" w:color="auto" w:fill="auto"/>
          </w:tcPr>
          <w:p w:rsidR="008C05DD" w:rsidRDefault="008C05DD" w:rsidP="006B1E77">
            <w:pPr>
              <w:ind w:left="-70"/>
              <w:jc w:val="right"/>
              <w:rPr>
                <w:rFonts w:ascii="Arial Narrow" w:hAnsi="Arial Narrow" w:cs="Calibri"/>
                <w:sz w:val="15"/>
                <w:szCs w:val="15"/>
                <w:lang w:val="es-CR" w:eastAsia="es-CR"/>
              </w:rPr>
            </w:pPr>
          </w:p>
          <w:p w:rsidR="008C05DD" w:rsidRDefault="008C05DD" w:rsidP="006B1E77">
            <w:pPr>
              <w:ind w:left="-70"/>
              <w:jc w:val="right"/>
            </w:pPr>
            <w:r w:rsidRPr="006F7DBC">
              <w:rPr>
                <w:rFonts w:ascii="Arial Narrow" w:hAnsi="Arial Narrow" w:cs="Calibri"/>
                <w:sz w:val="15"/>
                <w:szCs w:val="15"/>
                <w:lang w:val="es-CR" w:eastAsia="es-CR"/>
              </w:rPr>
              <w:t>8.190.000,00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w:t>
            </w:r>
            <w:r w:rsidRPr="0053467F">
              <w:rPr>
                <w:rFonts w:ascii="Arial Narrow" w:hAnsi="Arial Narrow" w:cs="Calibri"/>
                <w:sz w:val="15"/>
                <w:szCs w:val="15"/>
                <w:lang w:val="es-CR" w:eastAsia="es-CR"/>
              </w:rPr>
              <w:t>.</w:t>
            </w:r>
            <w:r>
              <w:rPr>
                <w:rFonts w:ascii="Arial Narrow" w:hAnsi="Arial Narrow" w:cs="Calibri"/>
                <w:sz w:val="15"/>
                <w:szCs w:val="15"/>
                <w:lang w:val="es-CR" w:eastAsia="es-CR"/>
              </w:rPr>
              <w:t>425</w:t>
            </w:r>
            <w:r w:rsidRPr="0053467F">
              <w:rPr>
                <w:rFonts w:ascii="Arial Narrow" w:hAnsi="Arial Narrow" w:cs="Calibri"/>
                <w:sz w:val="15"/>
                <w:szCs w:val="15"/>
                <w:lang w:val="es-CR" w:eastAsia="es-CR"/>
              </w:rPr>
              <w:t>,</w:t>
            </w:r>
            <w:r>
              <w:rPr>
                <w:rFonts w:ascii="Arial Narrow" w:hAnsi="Arial Narrow" w:cs="Calibri"/>
                <w:sz w:val="15"/>
                <w:szCs w:val="15"/>
                <w:lang w:val="es-CR" w:eastAsia="es-CR"/>
              </w:rPr>
              <w:t>00</w:t>
            </w:r>
          </w:p>
        </w:tc>
        <w:tc>
          <w:tcPr>
            <w:tcW w:w="709" w:type="dxa"/>
            <w:tcBorders>
              <w:top w:val="single" w:sz="4" w:space="0" w:color="auto"/>
              <w:left w:val="nil"/>
              <w:bottom w:val="single" w:sz="4" w:space="0" w:color="auto"/>
              <w:right w:val="single" w:sz="4" w:space="0" w:color="auto"/>
            </w:tcBorders>
            <w:vAlign w:val="center"/>
          </w:tcPr>
          <w:p w:rsidR="008C05DD" w:rsidRPr="0053467F" w:rsidRDefault="008C05DD" w:rsidP="006B1E77">
            <w:pPr>
              <w:ind w:left="-70"/>
              <w:jc w:val="right"/>
              <w:rPr>
                <w:rFonts w:ascii="Arial Narrow" w:hAnsi="Arial Narrow" w:cs="Calibri"/>
                <w:sz w:val="15"/>
                <w:szCs w:val="15"/>
                <w:lang w:val="es-CR" w:eastAsia="es-CR"/>
              </w:rPr>
            </w:pPr>
            <w:r>
              <w:rPr>
                <w:rFonts w:ascii="Arial Narrow" w:hAnsi="Arial Narrow" w:cs="Calibri"/>
                <w:sz w:val="15"/>
                <w:szCs w:val="15"/>
                <w:lang w:val="es-CR" w:eastAsia="es-CR"/>
              </w:rPr>
              <w:t>61.425,00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284.954,63</w:t>
            </w:r>
          </w:p>
        </w:tc>
        <w:tc>
          <w:tcPr>
            <w:tcW w:w="851"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sz w:val="15"/>
                <w:szCs w:val="15"/>
              </w:rPr>
            </w:pPr>
            <w:r>
              <w:rPr>
                <w:rFonts w:ascii="Arial Narrow" w:hAnsi="Arial Narrow"/>
                <w:sz w:val="15"/>
                <w:szCs w:val="15"/>
              </w:rPr>
              <w:t>142.477,32</w:t>
            </w:r>
          </w:p>
        </w:tc>
        <w:tc>
          <w:tcPr>
            <w:tcW w:w="850" w:type="dxa"/>
            <w:tcBorders>
              <w:top w:val="single" w:sz="4" w:space="0" w:color="auto"/>
              <w:left w:val="single" w:sz="4" w:space="0" w:color="auto"/>
              <w:bottom w:val="single" w:sz="4" w:space="0" w:color="auto"/>
              <w:right w:val="single" w:sz="4" w:space="0" w:color="auto"/>
            </w:tcBorders>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13.937,47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C05DD" w:rsidRPr="0053467F" w:rsidRDefault="008C05DD" w:rsidP="006B1E77">
            <w:pPr>
              <w:jc w:val="right"/>
              <w:rPr>
                <w:rFonts w:ascii="Arial Narrow" w:hAnsi="Arial Narrow" w:cs="Calibri"/>
                <w:sz w:val="15"/>
                <w:szCs w:val="15"/>
                <w:lang w:val="es-CR" w:eastAsia="es-CR"/>
              </w:rPr>
            </w:pPr>
            <w:r>
              <w:rPr>
                <w:rFonts w:ascii="Arial Narrow" w:hAnsi="Arial Narrow" w:cs="Calibri"/>
                <w:sz w:val="15"/>
                <w:szCs w:val="15"/>
                <w:lang w:val="es-CR" w:eastAsia="es-CR"/>
              </w:rPr>
              <w:t>13.914.264,78</w:t>
            </w:r>
          </w:p>
        </w:tc>
      </w:tr>
    </w:tbl>
    <w:p w:rsidR="008C05DD" w:rsidRPr="001719E3" w:rsidRDefault="008C05DD" w:rsidP="008C05DD">
      <w:pPr>
        <w:spacing w:line="360" w:lineRule="auto"/>
        <w:jc w:val="both"/>
        <w:rPr>
          <w:rFonts w:cs="Arial"/>
        </w:rPr>
      </w:pPr>
    </w:p>
    <w:p w:rsidR="009B78B7" w:rsidRDefault="009B78B7" w:rsidP="009B78B7">
      <w:pPr>
        <w:spacing w:line="360" w:lineRule="auto"/>
        <w:jc w:val="both"/>
        <w:rPr>
          <w:rFonts w:cs="Arial"/>
          <w:sz w:val="22"/>
          <w:szCs w:val="22"/>
          <w:lang w:val="es-ES_tradnl"/>
        </w:rPr>
      </w:pPr>
      <w:r w:rsidRPr="00F72229">
        <w:rPr>
          <w:rFonts w:cs="Arial"/>
          <w:b/>
          <w:sz w:val="22"/>
          <w:szCs w:val="22"/>
          <w:lang w:val="es-ES_tradnl"/>
        </w:rPr>
        <w:t>3.</w:t>
      </w:r>
      <w:r>
        <w:rPr>
          <w:rFonts w:cs="Arial"/>
          <w:sz w:val="22"/>
          <w:szCs w:val="22"/>
          <w:lang w:val="es-ES_tradnl"/>
        </w:rPr>
        <w:t xml:space="preserve"> La entidad autorizada deberá formalizar las operaciones individuales, siguiendo estrictamente los términos del presente acuerdo, sin poder modificar tales condiciones y alcances.</w:t>
      </w:r>
    </w:p>
    <w:p w:rsidR="009B78B7" w:rsidRDefault="009B78B7" w:rsidP="009B78B7">
      <w:pPr>
        <w:spacing w:line="360" w:lineRule="auto"/>
        <w:jc w:val="both"/>
        <w:rPr>
          <w:rFonts w:cs="Arial"/>
          <w:sz w:val="22"/>
          <w:szCs w:val="22"/>
          <w:lang w:val="es-ES_tradnl"/>
        </w:rPr>
      </w:pPr>
    </w:p>
    <w:p w:rsidR="009B78B7" w:rsidRDefault="009B78B7" w:rsidP="009B78B7">
      <w:pPr>
        <w:spacing w:line="360" w:lineRule="auto"/>
        <w:jc w:val="both"/>
        <w:rPr>
          <w:rFonts w:cs="Arial"/>
          <w:sz w:val="22"/>
          <w:szCs w:val="22"/>
          <w:lang w:val="es-ES_tradnl"/>
        </w:rPr>
      </w:pPr>
      <w:r>
        <w:rPr>
          <w:rFonts w:cs="Arial"/>
          <w:b/>
          <w:sz w:val="22"/>
          <w:szCs w:val="22"/>
          <w:lang w:val="es-ES_tradnl"/>
        </w:rPr>
        <w:t>4.</w:t>
      </w:r>
      <w:r>
        <w:rPr>
          <w:rFonts w:cs="Arial"/>
          <w:sz w:val="22"/>
          <w:szCs w:val="22"/>
          <w:lang w:val="es-ES_tradnl"/>
        </w:rPr>
        <w:t xml:space="preserve"> </w:t>
      </w:r>
      <w:r w:rsidRPr="00E415C2">
        <w:rPr>
          <w:rFonts w:cs="Arial"/>
          <w:sz w:val="22"/>
          <w:szCs w:val="22"/>
          <w:lang w:val="es-ES_tradnl"/>
        </w:rPr>
        <w:t xml:space="preserve">Los recursos serán girados previa formalización individual de cada Bono Familiar de Vivienda, para lo cual se firmará el contrato de obra determinada entre la </w:t>
      </w:r>
      <w:r>
        <w:rPr>
          <w:rFonts w:cs="Arial"/>
          <w:sz w:val="22"/>
          <w:szCs w:val="22"/>
          <w:lang w:val="es-ES_tradnl"/>
        </w:rPr>
        <w:t>familia</w:t>
      </w:r>
      <w:r w:rsidRPr="00E415C2">
        <w:rPr>
          <w:rFonts w:cs="Arial"/>
          <w:sz w:val="22"/>
          <w:szCs w:val="22"/>
          <w:lang w:val="es-ES_tradnl"/>
        </w:rPr>
        <w:t xml:space="preserve"> y la empresa constructora.  Queda entendido que el monto de los contratos citados, corresponde al monto de financiamiento de las viviendas.</w:t>
      </w:r>
      <w:r>
        <w:rPr>
          <w:rFonts w:cs="Arial"/>
          <w:sz w:val="22"/>
          <w:szCs w:val="22"/>
          <w:lang w:val="es-ES_tradnl"/>
        </w:rPr>
        <w:t xml:space="preserve">  La entidad autorizada deberá verificar que estos contratos no contengan cláusulas abusivas que pudieran llegar a afectar a los beneficiarios.</w:t>
      </w:r>
    </w:p>
    <w:p w:rsidR="009B78B7" w:rsidRDefault="009B78B7" w:rsidP="009B78B7">
      <w:pPr>
        <w:spacing w:line="360" w:lineRule="auto"/>
        <w:jc w:val="both"/>
        <w:rPr>
          <w:rFonts w:cs="Arial"/>
          <w:sz w:val="22"/>
          <w:szCs w:val="22"/>
          <w:lang w:val="es-ES_tradnl"/>
        </w:rPr>
      </w:pPr>
    </w:p>
    <w:p w:rsidR="009B78B7" w:rsidRDefault="009B78B7" w:rsidP="009B78B7">
      <w:pPr>
        <w:spacing w:line="360" w:lineRule="auto"/>
        <w:jc w:val="both"/>
        <w:rPr>
          <w:sz w:val="22"/>
          <w:szCs w:val="22"/>
          <w:lang w:val="es-CR"/>
        </w:rPr>
      </w:pPr>
      <w:r>
        <w:rPr>
          <w:b/>
          <w:sz w:val="22"/>
          <w:szCs w:val="22"/>
          <w:lang w:val="es-CR"/>
        </w:rPr>
        <w:t>5.</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w:t>
      </w:r>
      <w:r>
        <w:rPr>
          <w:sz w:val="22"/>
          <w:szCs w:val="22"/>
          <w:lang w:val="es-CR"/>
        </w:rPr>
        <w:t xml:space="preserve">er por el giro de los recursos del primer desembolso de la construcción de las viviendas, </w:t>
      </w:r>
      <w:r w:rsidRPr="00F94A20">
        <w:rPr>
          <w:sz w:val="22"/>
          <w:szCs w:val="22"/>
          <w:lang w:val="es-CR"/>
        </w:rPr>
        <w:t xml:space="preserve">aplicándose también lo establecido en </w:t>
      </w:r>
      <w:r>
        <w:rPr>
          <w:sz w:val="22"/>
          <w:szCs w:val="22"/>
          <w:lang w:val="es-CR"/>
        </w:rPr>
        <w:t>los</w:t>
      </w:r>
      <w:r w:rsidRPr="00F94A20">
        <w:rPr>
          <w:sz w:val="22"/>
          <w:szCs w:val="22"/>
          <w:lang w:val="es-CR"/>
        </w:rPr>
        <w:t xml:space="preserve"> artículo</w:t>
      </w:r>
      <w:r>
        <w:rPr>
          <w:sz w:val="22"/>
          <w:szCs w:val="22"/>
          <w:lang w:val="es-CR"/>
        </w:rPr>
        <w:t>s 83 y</w:t>
      </w:r>
      <w:r w:rsidRPr="00F94A20">
        <w:rPr>
          <w:sz w:val="22"/>
          <w:szCs w:val="22"/>
          <w:lang w:val="es-CR"/>
        </w:rPr>
        <w:t xml:space="preserve"> 133 del Reglamento de Operaciones del Sistema Financiero Nacional para la Vivienda, y en </w:t>
      </w:r>
      <w:r>
        <w:rPr>
          <w:sz w:val="22"/>
          <w:szCs w:val="22"/>
          <w:lang w:val="es-CR"/>
        </w:rPr>
        <w:t xml:space="preserve">los acuerdos N° 8 de la sesión 84-2011 del 28 de noviembre de 2011 y N° 13 de la sesión </w:t>
      </w:r>
      <w:r w:rsidRPr="00F94A20">
        <w:rPr>
          <w:sz w:val="22"/>
          <w:szCs w:val="22"/>
          <w:lang w:val="es-CR"/>
        </w:rPr>
        <w:t xml:space="preserve">32-2012 del 14 de mayo de 2012, </w:t>
      </w:r>
      <w:r>
        <w:rPr>
          <w:sz w:val="22"/>
          <w:szCs w:val="22"/>
          <w:lang w:val="es-CR"/>
        </w:rPr>
        <w:t xml:space="preserve">ambos </w:t>
      </w:r>
      <w:r w:rsidRPr="00F94A20">
        <w:rPr>
          <w:sz w:val="22"/>
          <w:szCs w:val="22"/>
          <w:lang w:val="es-CR"/>
        </w:rPr>
        <w:t xml:space="preserve">de la Junta Directiva del BANHVI. </w:t>
      </w:r>
      <w:r>
        <w:rPr>
          <w:sz w:val="22"/>
          <w:szCs w:val="22"/>
          <w:lang w:val="es-CR"/>
        </w:rPr>
        <w:t xml:space="preserve"> </w:t>
      </w:r>
      <w:r w:rsidRPr="00F94A20">
        <w:rPr>
          <w:sz w:val="22"/>
          <w:szCs w:val="22"/>
          <w:lang w:val="es-CR"/>
        </w:rPr>
        <w:t xml:space="preserve">La garantía en ningún momento podrá ser menor al saldo al descubierto de </w:t>
      </w:r>
      <w:r>
        <w:rPr>
          <w:sz w:val="22"/>
          <w:szCs w:val="22"/>
          <w:lang w:val="es-CR"/>
        </w:rPr>
        <w:t xml:space="preserve">los </w:t>
      </w:r>
      <w:r w:rsidRPr="00F94A20">
        <w:rPr>
          <w:sz w:val="22"/>
          <w:szCs w:val="22"/>
          <w:lang w:val="es-CR"/>
        </w:rPr>
        <w:t xml:space="preserve">recursos girados, definido como la diferencia entre el monto de </w:t>
      </w:r>
      <w:r>
        <w:rPr>
          <w:sz w:val="22"/>
          <w:szCs w:val="22"/>
          <w:lang w:val="es-CR"/>
        </w:rPr>
        <w:t xml:space="preserve">los </w:t>
      </w:r>
      <w:r w:rsidRPr="00F94A20">
        <w:rPr>
          <w:sz w:val="22"/>
          <w:szCs w:val="22"/>
          <w:lang w:val="es-CR"/>
        </w:rPr>
        <w:t>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rsidR="009B78B7" w:rsidRDefault="009B78B7" w:rsidP="009B78B7">
      <w:pPr>
        <w:spacing w:line="360" w:lineRule="auto"/>
        <w:jc w:val="both"/>
        <w:rPr>
          <w:rFonts w:cs="Arial"/>
          <w:sz w:val="22"/>
          <w:szCs w:val="22"/>
          <w:lang w:val="es-ES_tradnl"/>
        </w:rPr>
      </w:pPr>
    </w:p>
    <w:p w:rsidR="009B78B7" w:rsidRPr="00BF021A" w:rsidRDefault="009B78B7" w:rsidP="009B78B7">
      <w:pPr>
        <w:spacing w:line="360" w:lineRule="auto"/>
        <w:jc w:val="both"/>
        <w:rPr>
          <w:rFonts w:cs="Arial"/>
          <w:iCs/>
          <w:sz w:val="22"/>
          <w:szCs w:val="22"/>
          <w:lang w:val="es-CR"/>
        </w:rPr>
      </w:pPr>
      <w:r>
        <w:rPr>
          <w:rFonts w:cs="Arial"/>
          <w:b/>
          <w:sz w:val="22"/>
          <w:szCs w:val="22"/>
          <w:lang w:val="es-CR"/>
        </w:rPr>
        <w:t>6</w:t>
      </w:r>
      <w:r w:rsidRPr="00BF021A">
        <w:rPr>
          <w:rFonts w:cs="Arial"/>
          <w:b/>
          <w:sz w:val="22"/>
          <w:szCs w:val="22"/>
          <w:lang w:val="es-CR"/>
        </w:rPr>
        <w:t>.</w:t>
      </w:r>
      <w:r w:rsidRPr="00BF021A">
        <w:rPr>
          <w:rFonts w:cs="Arial"/>
          <w:sz w:val="22"/>
          <w:szCs w:val="22"/>
          <w:lang w:val="es-CR"/>
        </w:rPr>
        <w:t xml:space="preserve"> </w:t>
      </w:r>
      <w:r w:rsidRPr="00BF021A">
        <w:rPr>
          <w:rFonts w:cs="Arial"/>
          <w:iCs/>
          <w:sz w:val="22"/>
          <w:szCs w:val="22"/>
          <w:lang w:val="es-CR"/>
        </w:rPr>
        <w:t xml:space="preserve">La entidad autorizada, previo al inicio de obras y realización de desembolsos, deberá verificar que </w:t>
      </w:r>
      <w:r>
        <w:rPr>
          <w:rFonts w:cs="Arial"/>
          <w:iCs/>
          <w:sz w:val="22"/>
          <w:szCs w:val="22"/>
          <w:lang w:val="es-CR"/>
        </w:rPr>
        <w:t xml:space="preserve">se encuentre vigente el permiso </w:t>
      </w:r>
      <w:r w:rsidRPr="00BF021A">
        <w:rPr>
          <w:rFonts w:cs="Arial"/>
          <w:iCs/>
          <w:sz w:val="22"/>
          <w:szCs w:val="22"/>
          <w:lang w:val="es-CR"/>
        </w:rPr>
        <w:t xml:space="preserve">de construcción </w:t>
      </w:r>
      <w:r>
        <w:rPr>
          <w:rFonts w:cs="Arial"/>
          <w:iCs/>
          <w:sz w:val="22"/>
          <w:szCs w:val="22"/>
          <w:lang w:val="es-CR"/>
        </w:rPr>
        <w:t xml:space="preserve">de las viviendas </w:t>
      </w:r>
      <w:r w:rsidRPr="00BF021A">
        <w:rPr>
          <w:rFonts w:cs="Arial"/>
          <w:iCs/>
          <w:sz w:val="22"/>
          <w:szCs w:val="22"/>
          <w:lang w:val="es-CR"/>
        </w:rPr>
        <w:t>otorgado por la Municipalidad.  De igual manera, deberá corroborar que los planos de las viviendas que se hayan tramitado en</w:t>
      </w:r>
      <w:r>
        <w:rPr>
          <w:rFonts w:cs="Arial"/>
          <w:iCs/>
          <w:sz w:val="22"/>
          <w:szCs w:val="22"/>
          <w:lang w:val="es-CR"/>
        </w:rPr>
        <w:t xml:space="preserve"> la municipalidad local</w:t>
      </w:r>
      <w:r w:rsidRPr="00BF021A">
        <w:rPr>
          <w:rFonts w:cs="Arial"/>
          <w:iCs/>
          <w:sz w:val="22"/>
          <w:szCs w:val="22"/>
          <w:lang w:val="es-CR"/>
        </w:rPr>
        <w:t>, correspondan al sistema constructivo</w:t>
      </w:r>
      <w:r w:rsidR="0096197A">
        <w:rPr>
          <w:rFonts w:cs="Arial"/>
          <w:iCs/>
          <w:sz w:val="22"/>
          <w:szCs w:val="22"/>
          <w:lang w:val="es-CR"/>
        </w:rPr>
        <w:t xml:space="preserve"> indicado en el informe DF-DT-IN-0553-2019 del Departamento Técnico, con las</w:t>
      </w:r>
      <w:r>
        <w:rPr>
          <w:rFonts w:cs="Arial"/>
          <w:iCs/>
          <w:sz w:val="22"/>
          <w:szCs w:val="22"/>
          <w:lang w:val="es-CR"/>
        </w:rPr>
        <w:t xml:space="preserve"> áreas y distribuciones avaladas por el fiscal de inversiones y el Departamento Técnico del BANHVI, y se encuentre debidamente inscrita la responsabilidad ante el CFIA, de cada uno de los profesionales involucrados en la obra</w:t>
      </w:r>
      <w:r w:rsidRPr="00BF021A">
        <w:rPr>
          <w:rFonts w:cs="Arial"/>
          <w:iCs/>
          <w:sz w:val="22"/>
          <w:szCs w:val="22"/>
          <w:lang w:val="es-CR"/>
        </w:rPr>
        <w:t>.</w:t>
      </w:r>
    </w:p>
    <w:p w:rsidR="009B78B7" w:rsidRPr="007004CF" w:rsidRDefault="009B78B7" w:rsidP="009B78B7">
      <w:pPr>
        <w:spacing w:line="360" w:lineRule="auto"/>
        <w:jc w:val="both"/>
        <w:rPr>
          <w:rFonts w:cs="Arial"/>
          <w:sz w:val="22"/>
          <w:szCs w:val="22"/>
          <w:lang w:val="es-ES_tradnl"/>
        </w:rPr>
      </w:pPr>
    </w:p>
    <w:p w:rsidR="009B78B7" w:rsidRPr="00E415C2" w:rsidRDefault="009B78B7" w:rsidP="009B78B7">
      <w:pPr>
        <w:spacing w:line="360" w:lineRule="auto"/>
        <w:jc w:val="both"/>
        <w:rPr>
          <w:rFonts w:cs="Arial"/>
          <w:sz w:val="22"/>
          <w:szCs w:val="22"/>
          <w:lang w:val="es-ES_tradnl"/>
        </w:rPr>
      </w:pPr>
      <w:r>
        <w:rPr>
          <w:rFonts w:cs="Arial"/>
          <w:b/>
          <w:sz w:val="22"/>
          <w:szCs w:val="22"/>
          <w:lang w:val="es-ES_tradnl"/>
        </w:rPr>
        <w:t>7</w:t>
      </w:r>
      <w:r w:rsidRPr="00ED39A1">
        <w:rPr>
          <w:rFonts w:cs="Arial"/>
          <w:b/>
          <w:sz w:val="22"/>
          <w:szCs w:val="22"/>
          <w:lang w:val="es-ES_tradnl"/>
        </w:rPr>
        <w:t>.</w:t>
      </w:r>
      <w:r>
        <w:rPr>
          <w:rFonts w:cs="Arial"/>
          <w:sz w:val="22"/>
          <w:szCs w:val="22"/>
          <w:lang w:val="es-ES_tradnl"/>
        </w:rPr>
        <w:t xml:space="preserve"> </w:t>
      </w:r>
      <w:r w:rsidRPr="00E415C2">
        <w:rPr>
          <w:rFonts w:cs="Arial"/>
          <w:sz w:val="22"/>
          <w:szCs w:val="22"/>
          <w:lang w:val="es-ES_tradnl"/>
        </w:rPr>
        <w:t>La</w:t>
      </w:r>
      <w:r w:rsidRPr="00E415C2">
        <w:rPr>
          <w:rFonts w:cs="Arial"/>
          <w:sz w:val="22"/>
          <w:szCs w:val="22"/>
        </w:rPr>
        <w:t xml:space="preserve"> </w:t>
      </w:r>
      <w:r>
        <w:rPr>
          <w:rFonts w:cs="Arial"/>
          <w:sz w:val="22"/>
          <w:szCs w:val="22"/>
        </w:rPr>
        <w:t>e</w:t>
      </w:r>
      <w:r w:rsidRPr="00E415C2">
        <w:rPr>
          <w:rFonts w:cs="Arial"/>
          <w:sz w:val="22"/>
          <w:szCs w:val="22"/>
        </w:rPr>
        <w:t xml:space="preserve">ntidad </w:t>
      </w:r>
      <w:r>
        <w:rPr>
          <w:rFonts w:cs="Arial"/>
          <w:sz w:val="22"/>
          <w:szCs w:val="22"/>
        </w:rPr>
        <w:t>a</w:t>
      </w:r>
      <w:r w:rsidRPr="00E415C2">
        <w:rPr>
          <w:rFonts w:cs="Arial"/>
          <w:sz w:val="22"/>
          <w:szCs w:val="22"/>
        </w:rPr>
        <w:t xml:space="preserve">utorizada debe velar porque </w:t>
      </w:r>
      <w:r>
        <w:rPr>
          <w:rFonts w:cs="Arial"/>
          <w:sz w:val="22"/>
          <w:szCs w:val="22"/>
        </w:rPr>
        <w:t>cada</w:t>
      </w:r>
      <w:r w:rsidRPr="00E415C2">
        <w:rPr>
          <w:rFonts w:cs="Arial"/>
          <w:sz w:val="22"/>
          <w:szCs w:val="22"/>
        </w:rPr>
        <w:t xml:space="preserve"> familia reciba el bien libre de gravámenes y con los impuestos municipales al día.</w:t>
      </w:r>
    </w:p>
    <w:p w:rsidR="009B78B7" w:rsidRDefault="009B78B7" w:rsidP="009B78B7">
      <w:pPr>
        <w:spacing w:line="360" w:lineRule="auto"/>
        <w:jc w:val="both"/>
        <w:rPr>
          <w:rFonts w:cs="Arial"/>
          <w:sz w:val="22"/>
          <w:szCs w:val="22"/>
        </w:rPr>
      </w:pPr>
    </w:p>
    <w:p w:rsidR="009B78B7" w:rsidRPr="00E415C2" w:rsidRDefault="009B78B7" w:rsidP="009B78B7">
      <w:pPr>
        <w:spacing w:line="360" w:lineRule="auto"/>
        <w:jc w:val="both"/>
        <w:rPr>
          <w:rFonts w:cs="Arial"/>
          <w:sz w:val="22"/>
          <w:szCs w:val="22"/>
          <w:lang w:val="es-ES_tradnl"/>
        </w:rPr>
      </w:pPr>
      <w:r>
        <w:rPr>
          <w:rFonts w:cs="Arial"/>
          <w:b/>
          <w:sz w:val="22"/>
          <w:szCs w:val="22"/>
          <w:lang w:val="es-ES_tradnl"/>
        </w:rPr>
        <w:t>8</w:t>
      </w:r>
      <w:r w:rsidRPr="00ED39A1">
        <w:rPr>
          <w:rFonts w:cs="Arial"/>
          <w:b/>
          <w:sz w:val="22"/>
          <w:szCs w:val="22"/>
          <w:lang w:val="es-ES_tradnl"/>
        </w:rPr>
        <w:t>.</w:t>
      </w:r>
      <w:r>
        <w:rPr>
          <w:rFonts w:cs="Arial"/>
          <w:sz w:val="22"/>
          <w:szCs w:val="22"/>
          <w:lang w:val="es-ES_tradnl"/>
        </w:rPr>
        <w:t xml:space="preserve"> </w:t>
      </w:r>
      <w:r w:rsidRPr="00E415C2">
        <w:rPr>
          <w:rFonts w:cs="Arial"/>
          <w:sz w:val="22"/>
          <w:szCs w:val="22"/>
          <w:lang w:val="es-ES_tradnl"/>
        </w:rPr>
        <w:t>Los gastos de formalización de cada operación</w:t>
      </w:r>
      <w:r>
        <w:rPr>
          <w:rFonts w:cs="Arial"/>
          <w:sz w:val="22"/>
          <w:szCs w:val="22"/>
          <w:lang w:val="es-ES_tradnl"/>
        </w:rPr>
        <w:t>,</w:t>
      </w:r>
      <w:r w:rsidRPr="00E415C2">
        <w:rPr>
          <w:rFonts w:cs="Arial"/>
          <w:sz w:val="22"/>
          <w:szCs w:val="22"/>
          <w:lang w:val="es-ES_tradnl"/>
        </w:rPr>
        <w:t xml:space="preserve"> deberán registra</w:t>
      </w:r>
      <w:r>
        <w:rPr>
          <w:rFonts w:cs="Arial"/>
          <w:sz w:val="22"/>
          <w:szCs w:val="22"/>
          <w:lang w:val="es-ES_tradnl"/>
        </w:rPr>
        <w:t>rse</w:t>
      </w:r>
      <w:r w:rsidRPr="00E415C2">
        <w:rPr>
          <w:rFonts w:cs="Arial"/>
          <w:sz w:val="22"/>
          <w:szCs w:val="22"/>
          <w:lang w:val="es-ES_tradnl"/>
        </w:rPr>
        <w:t xml:space="preserve"> por la </w:t>
      </w:r>
      <w:r>
        <w:rPr>
          <w:rFonts w:cs="Arial"/>
          <w:sz w:val="22"/>
          <w:szCs w:val="22"/>
          <w:lang w:val="es-ES_tradnl"/>
        </w:rPr>
        <w:t>e</w:t>
      </w:r>
      <w:r w:rsidRPr="00E415C2">
        <w:rPr>
          <w:rFonts w:cs="Arial"/>
          <w:sz w:val="22"/>
          <w:szCs w:val="22"/>
          <w:lang w:val="es-ES_tradnl"/>
        </w:rPr>
        <w:t xml:space="preserve">ntidad </w:t>
      </w:r>
      <w:r>
        <w:rPr>
          <w:rFonts w:cs="Arial"/>
          <w:sz w:val="22"/>
          <w:szCs w:val="22"/>
          <w:lang w:val="es-ES_tradnl"/>
        </w:rPr>
        <w:t>a</w:t>
      </w:r>
      <w:r w:rsidRPr="00E415C2">
        <w:rPr>
          <w:rFonts w:cs="Arial"/>
          <w:sz w:val="22"/>
          <w:szCs w:val="22"/>
          <w:lang w:val="es-ES_tradnl"/>
        </w:rPr>
        <w:t xml:space="preserve">utorizada en el expediente de cada familia, de acuerdo </w:t>
      </w:r>
      <w:r>
        <w:rPr>
          <w:rFonts w:cs="Arial"/>
          <w:sz w:val="22"/>
          <w:szCs w:val="22"/>
          <w:lang w:val="es-ES_tradnl"/>
        </w:rPr>
        <w:t>con el</w:t>
      </w:r>
      <w:r w:rsidRPr="00E415C2">
        <w:rPr>
          <w:rFonts w:cs="Arial"/>
          <w:sz w:val="22"/>
          <w:szCs w:val="22"/>
          <w:lang w:val="es-ES_tradnl"/>
        </w:rPr>
        <w:t xml:space="preserve"> formato de la tabla de gastos de formalización establecida por el BANHVI.</w:t>
      </w:r>
    </w:p>
    <w:p w:rsidR="009B78B7" w:rsidRDefault="009B78B7" w:rsidP="009B78B7">
      <w:pPr>
        <w:spacing w:line="360" w:lineRule="auto"/>
        <w:jc w:val="both"/>
        <w:rPr>
          <w:rFonts w:cs="Arial"/>
          <w:sz w:val="22"/>
          <w:szCs w:val="22"/>
        </w:rPr>
      </w:pPr>
    </w:p>
    <w:p w:rsidR="009B78B7" w:rsidRDefault="009B78B7" w:rsidP="009B78B7">
      <w:pPr>
        <w:spacing w:line="360" w:lineRule="auto"/>
        <w:jc w:val="both"/>
        <w:rPr>
          <w:rFonts w:cs="Arial"/>
          <w:sz w:val="22"/>
          <w:szCs w:val="22"/>
        </w:rPr>
      </w:pPr>
      <w:r>
        <w:rPr>
          <w:rFonts w:cs="Arial"/>
          <w:b/>
          <w:sz w:val="22"/>
          <w:szCs w:val="22"/>
          <w:lang w:val="es-ES_tradnl"/>
        </w:rPr>
        <w:t>9</w:t>
      </w:r>
      <w:r w:rsidRPr="00ED39A1">
        <w:rPr>
          <w:rFonts w:cs="Arial"/>
          <w:b/>
          <w:sz w:val="22"/>
          <w:szCs w:val="22"/>
          <w:lang w:val="es-ES_tradnl"/>
        </w:rPr>
        <w:t>.</w:t>
      </w:r>
      <w:r>
        <w:rPr>
          <w:rFonts w:cs="Arial"/>
          <w:sz w:val="22"/>
          <w:szCs w:val="22"/>
          <w:lang w:val="es-ES_tradnl"/>
        </w:rPr>
        <w:t xml:space="preserve"> </w:t>
      </w:r>
      <w:r w:rsidRPr="00E415C2">
        <w:rPr>
          <w:rFonts w:cs="Arial"/>
          <w:sz w:val="22"/>
          <w:szCs w:val="22"/>
          <w:lang w:val="es-ES_tradnl"/>
        </w:rPr>
        <w:t>La</w:t>
      </w:r>
      <w:r w:rsidRPr="00E415C2">
        <w:rPr>
          <w:rFonts w:cs="Arial"/>
          <w:sz w:val="22"/>
          <w:szCs w:val="22"/>
        </w:rPr>
        <w:t xml:space="preserve"> </w:t>
      </w:r>
      <w:r>
        <w:rPr>
          <w:rFonts w:cs="Arial"/>
          <w:sz w:val="22"/>
          <w:szCs w:val="22"/>
        </w:rPr>
        <w:t>e</w:t>
      </w:r>
      <w:r w:rsidRPr="00E415C2">
        <w:rPr>
          <w:rFonts w:cs="Arial"/>
          <w:sz w:val="22"/>
          <w:szCs w:val="22"/>
        </w:rPr>
        <w:t xml:space="preserve">ntidad </w:t>
      </w:r>
      <w:r>
        <w:rPr>
          <w:rFonts w:cs="Arial"/>
          <w:sz w:val="22"/>
          <w:szCs w:val="22"/>
        </w:rPr>
        <w:t>a</w:t>
      </w:r>
      <w:r w:rsidRPr="00E415C2">
        <w:rPr>
          <w:rFonts w:cs="Arial"/>
          <w:sz w:val="22"/>
          <w:szCs w:val="22"/>
        </w:rPr>
        <w:t>utorizada debe</w:t>
      </w:r>
      <w:r>
        <w:rPr>
          <w:rFonts w:cs="Arial"/>
          <w:sz w:val="22"/>
          <w:szCs w:val="22"/>
        </w:rPr>
        <w:t xml:space="preserve">rá velar porque los contratos privados para la construcción de la casa, incluyen lo dictado por la Directriz 27 MS-MIVAH y están acorde con los montos de los presupuestos de obra </w:t>
      </w:r>
      <w:r w:rsidR="0096197A">
        <w:rPr>
          <w:rFonts w:cs="Arial"/>
          <w:sz w:val="22"/>
          <w:szCs w:val="22"/>
        </w:rPr>
        <w:t>avalados</w:t>
      </w:r>
      <w:r>
        <w:rPr>
          <w:rFonts w:cs="Arial"/>
          <w:sz w:val="22"/>
          <w:szCs w:val="22"/>
        </w:rPr>
        <w:t xml:space="preserve"> por el BANHVI. </w:t>
      </w:r>
    </w:p>
    <w:p w:rsidR="009B78B7" w:rsidRDefault="009B78B7" w:rsidP="009B78B7">
      <w:pPr>
        <w:spacing w:line="360" w:lineRule="auto"/>
        <w:jc w:val="both"/>
        <w:rPr>
          <w:rFonts w:cs="Arial"/>
          <w:sz w:val="22"/>
          <w:szCs w:val="22"/>
        </w:rPr>
      </w:pPr>
    </w:p>
    <w:p w:rsidR="0096197A" w:rsidRPr="008D4E6E" w:rsidRDefault="0096197A" w:rsidP="0096197A">
      <w:pPr>
        <w:spacing w:line="360" w:lineRule="auto"/>
        <w:jc w:val="both"/>
        <w:rPr>
          <w:rFonts w:cs="Arial"/>
          <w:sz w:val="22"/>
          <w:szCs w:val="22"/>
          <w:lang w:val="es-ES_tradnl"/>
        </w:rPr>
      </w:pPr>
      <w:r w:rsidRPr="008D4E6E">
        <w:rPr>
          <w:rFonts w:cs="Arial"/>
          <w:b/>
          <w:sz w:val="22"/>
          <w:szCs w:val="22"/>
          <w:lang w:val="es-ES_tradnl"/>
        </w:rPr>
        <w:t>1</w:t>
      </w:r>
      <w:r>
        <w:rPr>
          <w:rFonts w:cs="Arial"/>
          <w:b/>
          <w:sz w:val="22"/>
          <w:szCs w:val="22"/>
          <w:lang w:val="es-ES_tradnl"/>
        </w:rPr>
        <w:t>0</w:t>
      </w:r>
      <w:r w:rsidRPr="008D4E6E">
        <w:rPr>
          <w:rFonts w:cs="Arial"/>
          <w:b/>
          <w:sz w:val="22"/>
          <w:szCs w:val="22"/>
          <w:lang w:val="es-ES_tradnl"/>
        </w:rPr>
        <w:t>.</w:t>
      </w:r>
      <w:r>
        <w:rPr>
          <w:rFonts w:cs="Arial"/>
          <w:sz w:val="22"/>
          <w:szCs w:val="22"/>
          <w:lang w:val="es-ES_tradnl"/>
        </w:rPr>
        <w:t xml:space="preserve"> Será responsabilidad de la entidad autorizada, garantizar que se respete por parte de la empresa constructora, la normativa vigente, tanto de construcción de obras como del </w:t>
      </w:r>
      <w:r w:rsidRPr="008D4E6E">
        <w:rPr>
          <w:rFonts w:cs="Arial"/>
          <w:sz w:val="22"/>
          <w:szCs w:val="22"/>
          <w:lang w:val="es-ES_tradnl"/>
        </w:rPr>
        <w:t>Sistema Financiero Nacional para la Vivienda</w:t>
      </w:r>
      <w:r>
        <w:rPr>
          <w:rFonts w:cs="Arial"/>
          <w:sz w:val="22"/>
          <w:szCs w:val="22"/>
          <w:lang w:val="es-ES_tradnl"/>
        </w:rPr>
        <w:t>.</w:t>
      </w:r>
    </w:p>
    <w:p w:rsidR="0096197A" w:rsidRDefault="0096197A" w:rsidP="009B78B7">
      <w:pPr>
        <w:spacing w:line="360" w:lineRule="auto"/>
        <w:jc w:val="both"/>
        <w:rPr>
          <w:rFonts w:cs="Arial"/>
          <w:sz w:val="22"/>
          <w:szCs w:val="22"/>
        </w:rPr>
      </w:pPr>
    </w:p>
    <w:p w:rsidR="0096197A" w:rsidRDefault="00B94D6D" w:rsidP="009B78B7">
      <w:pPr>
        <w:spacing w:line="360" w:lineRule="auto"/>
        <w:jc w:val="both"/>
        <w:rPr>
          <w:rFonts w:cs="Arial"/>
          <w:sz w:val="22"/>
          <w:szCs w:val="22"/>
        </w:rPr>
      </w:pPr>
      <w:r w:rsidRPr="00B94D6D">
        <w:rPr>
          <w:rFonts w:cs="Arial"/>
          <w:b/>
          <w:sz w:val="22"/>
          <w:szCs w:val="22"/>
        </w:rPr>
        <w:t xml:space="preserve">11. </w:t>
      </w:r>
      <w:r>
        <w:rPr>
          <w:rFonts w:cs="Arial"/>
          <w:sz w:val="22"/>
          <w:szCs w:val="22"/>
        </w:rPr>
        <w:t>La entidad autorizada deberá asegurarse de que previo al momento de la formalización, los planos estén debidamente catastrados y con el visado municipal; debiendo remitir a la Dirección FOSUVI, dicha información actualizada.</w:t>
      </w:r>
    </w:p>
    <w:p w:rsidR="0096197A" w:rsidRDefault="0096197A" w:rsidP="009B78B7">
      <w:pPr>
        <w:spacing w:line="360" w:lineRule="auto"/>
        <w:jc w:val="both"/>
        <w:rPr>
          <w:rFonts w:cs="Arial"/>
          <w:sz w:val="22"/>
          <w:szCs w:val="22"/>
        </w:rPr>
      </w:pPr>
    </w:p>
    <w:p w:rsidR="008C05DD" w:rsidRDefault="008C05DD" w:rsidP="008C05DD">
      <w:pPr>
        <w:spacing w:line="360" w:lineRule="auto"/>
        <w:jc w:val="both"/>
        <w:rPr>
          <w:rFonts w:cs="Arial"/>
          <w:sz w:val="22"/>
          <w:szCs w:val="22"/>
        </w:rPr>
      </w:pPr>
      <w:r w:rsidRPr="00A2506B">
        <w:rPr>
          <w:rFonts w:cs="Arial"/>
          <w:b/>
          <w:sz w:val="22"/>
          <w:szCs w:val="22"/>
        </w:rPr>
        <w:t>12.</w:t>
      </w:r>
      <w:r>
        <w:rPr>
          <w:rFonts w:cs="Arial"/>
          <w:sz w:val="22"/>
          <w:szCs w:val="22"/>
        </w:rPr>
        <w:t xml:space="preserve"> </w:t>
      </w:r>
      <w:r w:rsidRPr="00A03FDE">
        <w:rPr>
          <w:rFonts w:cs="Arial"/>
          <w:sz w:val="22"/>
          <w:szCs w:val="22"/>
        </w:rPr>
        <w:t>La Entidad Autorizada deberá verificar que la hipoteca que pesa sobre la finca madre</w:t>
      </w:r>
      <w:r>
        <w:rPr>
          <w:rFonts w:cs="Arial"/>
          <w:sz w:val="22"/>
          <w:szCs w:val="22"/>
        </w:rPr>
        <w:t>,</w:t>
      </w:r>
      <w:r w:rsidRPr="00A03FDE">
        <w:rPr>
          <w:rFonts w:cs="Arial"/>
          <w:sz w:val="22"/>
          <w:szCs w:val="22"/>
        </w:rPr>
        <w:t xml:space="preserve"> sea cancelada previa formalización de las operaciones, de tal manera que la formalización y firma con los lotes, se efectué libres de gravámenes.</w:t>
      </w:r>
    </w:p>
    <w:p w:rsidR="0096197A" w:rsidRDefault="0096197A" w:rsidP="009B78B7">
      <w:pPr>
        <w:spacing w:line="360" w:lineRule="auto"/>
        <w:jc w:val="both"/>
        <w:rPr>
          <w:rFonts w:cs="Arial"/>
          <w:sz w:val="22"/>
          <w:szCs w:val="22"/>
        </w:rPr>
      </w:pPr>
    </w:p>
    <w:p w:rsidR="00A2506B" w:rsidRDefault="00A2506B" w:rsidP="00A2506B">
      <w:pPr>
        <w:spacing w:line="360" w:lineRule="auto"/>
        <w:jc w:val="both"/>
        <w:rPr>
          <w:sz w:val="22"/>
          <w:szCs w:val="22"/>
          <w:lang w:val="es-ES_tradnl"/>
        </w:rPr>
      </w:pPr>
      <w:r w:rsidRPr="00B833CC">
        <w:rPr>
          <w:b/>
          <w:sz w:val="22"/>
          <w:szCs w:val="22"/>
          <w:lang w:val="es-ES_tradnl"/>
        </w:rPr>
        <w:t>1</w:t>
      </w:r>
      <w:r>
        <w:rPr>
          <w:b/>
          <w:sz w:val="22"/>
          <w:szCs w:val="22"/>
          <w:lang w:val="es-ES_tradnl"/>
        </w:rPr>
        <w:t>3.</w:t>
      </w:r>
      <w:r>
        <w:rPr>
          <w:sz w:val="22"/>
          <w:szCs w:val="22"/>
          <w:lang w:val="es-ES_tradnl"/>
        </w:rPr>
        <w:t xml:space="preserve"> Deberán atenderse todas las recomendaciones emitidas por el Departamento Técnico, en el informe DF-DT-IN-0553-2019.</w:t>
      </w:r>
    </w:p>
    <w:p w:rsidR="0096197A" w:rsidRDefault="0096197A" w:rsidP="009B78B7">
      <w:pPr>
        <w:spacing w:line="360" w:lineRule="auto"/>
        <w:jc w:val="both"/>
        <w:rPr>
          <w:rFonts w:cs="Arial"/>
          <w:sz w:val="22"/>
          <w:szCs w:val="22"/>
        </w:rPr>
      </w:pPr>
    </w:p>
    <w:p w:rsidR="00A2506B" w:rsidRDefault="00A2506B" w:rsidP="00A2506B">
      <w:pPr>
        <w:spacing w:line="360" w:lineRule="auto"/>
        <w:jc w:val="both"/>
        <w:rPr>
          <w:rFonts w:cs="Arial"/>
          <w:sz w:val="22"/>
          <w:szCs w:val="22"/>
          <w:lang w:val="es-CR"/>
        </w:rPr>
      </w:pPr>
      <w:r>
        <w:rPr>
          <w:rFonts w:cs="Arial"/>
          <w:b/>
          <w:sz w:val="22"/>
          <w:szCs w:val="22"/>
        </w:rPr>
        <w:t>14</w:t>
      </w:r>
      <w:r w:rsidRPr="002D5D9E">
        <w:rPr>
          <w:rFonts w:cs="Arial"/>
          <w:b/>
          <w:sz w:val="22"/>
          <w:szCs w:val="22"/>
        </w:rPr>
        <w:t>.</w:t>
      </w:r>
      <w:r w:rsidRPr="002D5D9E">
        <w:rPr>
          <w:rFonts w:cs="Arial"/>
          <w:sz w:val="22"/>
          <w:szCs w:val="22"/>
          <w:lang w:val="es-CR"/>
        </w:rPr>
        <w:t xml:space="preserve"> Se deberá cumplir en todos sus extremos la Directriz </w:t>
      </w:r>
      <w:r>
        <w:rPr>
          <w:rFonts w:cs="Arial"/>
          <w:sz w:val="22"/>
          <w:szCs w:val="22"/>
          <w:lang w:val="es-CR"/>
        </w:rPr>
        <w:t xml:space="preserve">N° </w:t>
      </w:r>
      <w:r w:rsidRPr="002D5D9E">
        <w:rPr>
          <w:rFonts w:cs="Arial"/>
          <w:sz w:val="22"/>
          <w:szCs w:val="22"/>
          <w:lang w:val="es-CR"/>
        </w:rPr>
        <w:t>27 de acabados de la</w:t>
      </w:r>
      <w:r>
        <w:rPr>
          <w:rFonts w:cs="Arial"/>
          <w:sz w:val="22"/>
          <w:szCs w:val="22"/>
          <w:lang w:val="es-CR"/>
        </w:rPr>
        <w:t xml:space="preserve"> </w:t>
      </w:r>
      <w:r w:rsidRPr="002D5D9E">
        <w:rPr>
          <w:rFonts w:cs="Arial"/>
          <w:sz w:val="22"/>
          <w:szCs w:val="22"/>
          <w:lang w:val="es-CR"/>
        </w:rPr>
        <w:t>vivienda.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7C5D7C" w:rsidRPr="002F0FBB" w:rsidRDefault="007C5D7C" w:rsidP="007C5D7C">
      <w:pPr>
        <w:spacing w:line="360" w:lineRule="auto"/>
        <w:ind w:right="51"/>
        <w:jc w:val="both"/>
        <w:rPr>
          <w:rFonts w:cs="Arial"/>
          <w:b/>
          <w:sz w:val="22"/>
          <w:szCs w:val="22"/>
        </w:rPr>
      </w:pPr>
      <w:r w:rsidRPr="002F0FBB">
        <w:rPr>
          <w:rFonts w:cs="Arial"/>
          <w:b/>
          <w:sz w:val="22"/>
          <w:szCs w:val="22"/>
        </w:rPr>
        <w:t>Considerando:</w:t>
      </w:r>
    </w:p>
    <w:p w:rsidR="007C5D7C" w:rsidRPr="002F0FBB" w:rsidRDefault="007C5D7C" w:rsidP="007C5D7C">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9D40A7">
        <w:rPr>
          <w:rFonts w:cs="Arial"/>
          <w:sz w:val="22"/>
          <w:szCs w:val="22"/>
        </w:rPr>
        <w:t>733</w:t>
      </w:r>
      <w:r w:rsidRPr="00EA7ADB">
        <w:rPr>
          <w:rFonts w:cs="Arial"/>
          <w:sz w:val="22"/>
          <w:szCs w:val="22"/>
        </w:rPr>
        <w:t>-201</w:t>
      </w:r>
      <w:r>
        <w:rPr>
          <w:rFonts w:cs="Arial"/>
          <w:sz w:val="22"/>
          <w:szCs w:val="22"/>
        </w:rPr>
        <w:t>9</w:t>
      </w:r>
      <w:r w:rsidRPr="00EA7ADB">
        <w:rPr>
          <w:rFonts w:cs="Arial"/>
          <w:sz w:val="22"/>
          <w:szCs w:val="22"/>
        </w:rPr>
        <w:t xml:space="preserve"> del </w:t>
      </w:r>
      <w:r w:rsidR="009D40A7">
        <w:rPr>
          <w:rFonts w:cs="Arial"/>
          <w:sz w:val="22"/>
          <w:szCs w:val="22"/>
        </w:rPr>
        <w:t>12</w:t>
      </w:r>
      <w:r w:rsidRPr="00EA7ADB">
        <w:rPr>
          <w:rFonts w:cs="Arial"/>
          <w:sz w:val="22"/>
          <w:szCs w:val="22"/>
        </w:rPr>
        <w:t xml:space="preserve"> de </w:t>
      </w:r>
      <w:r>
        <w:rPr>
          <w:rFonts w:cs="Arial"/>
          <w:sz w:val="22"/>
          <w:szCs w:val="22"/>
        </w:rPr>
        <w:t>ju</w:t>
      </w:r>
      <w:r w:rsidR="009D40A7">
        <w:rPr>
          <w:rFonts w:cs="Arial"/>
          <w:sz w:val="22"/>
          <w:szCs w:val="22"/>
        </w:rPr>
        <w:t>l</w:t>
      </w:r>
      <w:r>
        <w:rPr>
          <w:rFonts w:cs="Arial"/>
          <w:sz w:val="22"/>
          <w:szCs w:val="22"/>
        </w:rPr>
        <w:t>io</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9D40A7">
        <w:rPr>
          <w:rFonts w:cs="Arial"/>
          <w:color w:val="000000"/>
          <w:sz w:val="22"/>
          <w:szCs w:val="22"/>
        </w:rPr>
        <w:t>796</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rsidR="007C5D7C" w:rsidRPr="002F0FBB" w:rsidRDefault="007C5D7C" w:rsidP="007C5D7C">
      <w:pPr>
        <w:spacing w:line="360" w:lineRule="auto"/>
        <w:ind w:right="51"/>
        <w:jc w:val="both"/>
        <w:rPr>
          <w:rFonts w:cs="Arial"/>
          <w:b/>
          <w:sz w:val="22"/>
          <w:szCs w:val="22"/>
        </w:rPr>
      </w:pPr>
    </w:p>
    <w:p w:rsidR="007C5D7C" w:rsidRDefault="007C5D7C" w:rsidP="007C5D7C">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9D40A7">
        <w:rPr>
          <w:rFonts w:cs="Arial"/>
          <w:sz w:val="22"/>
          <w:szCs w:val="22"/>
          <w:lang w:val="es-ES_tradnl"/>
        </w:rPr>
        <w:t>145</w:t>
      </w:r>
      <w:r>
        <w:rPr>
          <w:rFonts w:cs="Arial"/>
          <w:sz w:val="22"/>
          <w:szCs w:val="22"/>
          <w:lang w:val="es-ES_tradnl"/>
        </w:rPr>
        <w:t>.</w:t>
      </w:r>
      <w:r w:rsidR="009D40A7">
        <w:rPr>
          <w:rFonts w:cs="Arial"/>
          <w:sz w:val="22"/>
          <w:szCs w:val="22"/>
          <w:lang w:val="es-ES_tradnl"/>
        </w:rPr>
        <w:t>071</w:t>
      </w:r>
      <w:r w:rsidRPr="00110579">
        <w:rPr>
          <w:rFonts w:cs="Arial"/>
          <w:sz w:val="22"/>
          <w:szCs w:val="22"/>
          <w:lang w:val="es-ES_tradnl"/>
        </w:rPr>
        <w:t>.</w:t>
      </w:r>
      <w:r w:rsidR="009D40A7">
        <w:rPr>
          <w:rFonts w:cs="Arial"/>
          <w:sz w:val="22"/>
          <w:szCs w:val="22"/>
          <w:lang w:val="es-ES_tradnl"/>
        </w:rPr>
        <w:t>113</w:t>
      </w:r>
      <w:r w:rsidRPr="00110579">
        <w:rPr>
          <w:rFonts w:cs="Arial"/>
          <w:sz w:val="22"/>
          <w:szCs w:val="22"/>
          <w:lang w:val="es-ES_tradnl"/>
        </w:rPr>
        <w:t>,</w:t>
      </w:r>
      <w:r w:rsidR="009D40A7">
        <w:rPr>
          <w:rFonts w:cs="Arial"/>
          <w:sz w:val="22"/>
          <w:szCs w:val="22"/>
          <w:lang w:val="es-ES_tradnl"/>
        </w:rPr>
        <w:t>76</w:t>
      </w:r>
      <w:r>
        <w:rPr>
          <w:rFonts w:cs="Arial"/>
          <w:sz w:val="22"/>
          <w:szCs w:val="22"/>
          <w:lang w:val="es-ES_tradnl"/>
        </w:rPr>
        <w:t xml:space="preserve"> que comprende los costos </w:t>
      </w:r>
      <w:r w:rsidR="009D40A7">
        <w:rPr>
          <w:rFonts w:cs="Arial"/>
          <w:sz w:val="22"/>
          <w:szCs w:val="22"/>
          <w:lang w:val="es-ES_tradnl"/>
        </w:rPr>
        <w:t xml:space="preserve">indirectos por el proceso de redefinición de las actividades del proyecto, y según lo avalado por la entidad autorizada, el Departamento Técnico y la </w:t>
      </w:r>
      <w:r w:rsidR="009D40A7" w:rsidRPr="009D40A7">
        <w:rPr>
          <w:rFonts w:cs="Arial"/>
          <w:sz w:val="22"/>
          <w:szCs w:val="22"/>
          <w:lang w:val="es-ES_tradnl"/>
        </w:rPr>
        <w:t>Asesoría Legal</w:t>
      </w:r>
      <w:r w:rsidR="009D40A7">
        <w:rPr>
          <w:rFonts w:cs="Arial"/>
          <w:sz w:val="22"/>
          <w:szCs w:val="22"/>
          <w:lang w:val="es-ES_tradnl"/>
        </w:rPr>
        <w:t xml:space="preserve">, conforme el desglose que se indica en dicho </w:t>
      </w:r>
      <w:r>
        <w:rPr>
          <w:rFonts w:cs="Arial"/>
          <w:sz w:val="22"/>
          <w:szCs w:val="22"/>
          <w:lang w:val="es-ES_tradnl"/>
        </w:rPr>
        <w:t>el informe.</w:t>
      </w:r>
    </w:p>
    <w:p w:rsidR="007C5D7C" w:rsidRDefault="007C5D7C" w:rsidP="007C5D7C">
      <w:pPr>
        <w:spacing w:line="360" w:lineRule="auto"/>
        <w:jc w:val="both"/>
        <w:rPr>
          <w:rFonts w:cs="Arial"/>
          <w:sz w:val="22"/>
          <w:szCs w:val="22"/>
          <w:lang w:val="es-ES_tradnl"/>
        </w:rPr>
      </w:pPr>
    </w:p>
    <w:p w:rsidR="007C5D7C" w:rsidRDefault="007C5D7C" w:rsidP="007C5D7C">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rsidR="007C5D7C" w:rsidRDefault="007C5D7C" w:rsidP="007C5D7C">
      <w:pPr>
        <w:spacing w:line="360" w:lineRule="auto"/>
        <w:jc w:val="both"/>
        <w:rPr>
          <w:rFonts w:cs="Arial"/>
          <w:sz w:val="22"/>
          <w:szCs w:val="22"/>
        </w:rPr>
      </w:pPr>
    </w:p>
    <w:p w:rsidR="007C5D7C" w:rsidRPr="002F0FBB" w:rsidRDefault="007C5D7C" w:rsidP="007C5D7C">
      <w:pPr>
        <w:spacing w:line="360" w:lineRule="auto"/>
        <w:jc w:val="both"/>
        <w:rPr>
          <w:rFonts w:cs="Arial"/>
          <w:b/>
          <w:sz w:val="22"/>
          <w:szCs w:val="22"/>
        </w:rPr>
      </w:pPr>
      <w:r w:rsidRPr="002F0FBB">
        <w:rPr>
          <w:rFonts w:cs="Arial"/>
          <w:b/>
          <w:sz w:val="22"/>
          <w:szCs w:val="22"/>
        </w:rPr>
        <w:t>Por tanto, se acuerda:</w:t>
      </w:r>
    </w:p>
    <w:p w:rsidR="007C5D7C" w:rsidRDefault="007C5D7C" w:rsidP="007C5D7C">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EB3B18">
        <w:rPr>
          <w:rFonts w:cs="Arial"/>
          <w:b/>
          <w:sz w:val="22"/>
          <w:szCs w:val="22"/>
          <w:lang w:val="es-ES_tradnl"/>
        </w:rPr>
        <w:t>145.071</w:t>
      </w:r>
      <w:r w:rsidRPr="005B0105">
        <w:rPr>
          <w:rFonts w:cs="Arial"/>
          <w:b/>
          <w:sz w:val="22"/>
          <w:szCs w:val="22"/>
          <w:lang w:val="es-ES_tradnl"/>
        </w:rPr>
        <w:t>.</w:t>
      </w:r>
      <w:r w:rsidR="00EB3B18">
        <w:rPr>
          <w:rFonts w:cs="Arial"/>
          <w:b/>
          <w:sz w:val="22"/>
          <w:szCs w:val="22"/>
          <w:lang w:val="es-ES_tradnl"/>
        </w:rPr>
        <w:t>113</w:t>
      </w:r>
      <w:r w:rsidRPr="005B0105">
        <w:rPr>
          <w:rFonts w:cs="Arial"/>
          <w:b/>
          <w:sz w:val="22"/>
          <w:szCs w:val="22"/>
          <w:lang w:val="es-ES_tradnl"/>
        </w:rPr>
        <w:t>,</w:t>
      </w:r>
      <w:r w:rsidR="00EB3B18">
        <w:rPr>
          <w:rFonts w:cs="Arial"/>
          <w:b/>
          <w:sz w:val="22"/>
          <w:szCs w:val="22"/>
          <w:lang w:val="es-ES_tradnl"/>
        </w:rPr>
        <w:t>76</w:t>
      </w:r>
      <w:r w:rsidRPr="00874BC3">
        <w:rPr>
          <w:rFonts w:cs="Arial"/>
          <w:sz w:val="22"/>
          <w:szCs w:val="22"/>
          <w:lang w:val="es-ES_tradnl"/>
        </w:rPr>
        <w:t xml:space="preserve"> </w:t>
      </w:r>
      <w:r>
        <w:rPr>
          <w:rFonts w:cs="Arial"/>
          <w:sz w:val="22"/>
          <w:szCs w:val="22"/>
          <w:lang w:val="es-ES_tradnl"/>
        </w:rPr>
        <w:t>(</w:t>
      </w:r>
      <w:r w:rsidR="00EB3B18">
        <w:rPr>
          <w:rFonts w:cs="Arial"/>
          <w:sz w:val="22"/>
          <w:szCs w:val="22"/>
          <w:lang w:val="es-ES_tradnl"/>
        </w:rPr>
        <w:t>ciento cuarenta y cinco millones setenta y un mil ciento trece colones con 76/100</w:t>
      </w:r>
      <w:r>
        <w:rPr>
          <w:rFonts w:cs="Arial"/>
          <w:sz w:val="22"/>
          <w:szCs w:val="22"/>
          <w:lang w:val="es-ES_tradnl"/>
        </w:rPr>
        <w:t xml:space="preserve">), para sufragar los costos de las actividades que se detallan en el informe </w:t>
      </w:r>
      <w:r w:rsidRPr="00EA7ADB">
        <w:rPr>
          <w:rFonts w:cs="Arial"/>
          <w:color w:val="000000"/>
          <w:sz w:val="22"/>
          <w:szCs w:val="22"/>
        </w:rPr>
        <w:t>DF-OF-</w:t>
      </w:r>
      <w:r>
        <w:rPr>
          <w:rFonts w:cs="Arial"/>
          <w:color w:val="000000"/>
          <w:sz w:val="22"/>
          <w:szCs w:val="22"/>
        </w:rPr>
        <w:t>0</w:t>
      </w:r>
      <w:r w:rsidR="00EB3B18">
        <w:rPr>
          <w:rFonts w:cs="Arial"/>
          <w:color w:val="000000"/>
          <w:sz w:val="22"/>
          <w:szCs w:val="22"/>
        </w:rPr>
        <w:t>796</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rsidR="007C5D7C" w:rsidRDefault="007C5D7C" w:rsidP="007C5D7C">
      <w:pPr>
        <w:spacing w:line="360" w:lineRule="auto"/>
        <w:jc w:val="both"/>
        <w:rPr>
          <w:rFonts w:cs="Arial"/>
          <w:sz w:val="22"/>
          <w:szCs w:val="22"/>
        </w:rPr>
      </w:pPr>
    </w:p>
    <w:p w:rsidR="002B71CC" w:rsidRDefault="007C5D7C" w:rsidP="002B71CC">
      <w:pPr>
        <w:spacing w:line="360" w:lineRule="auto"/>
        <w:jc w:val="both"/>
        <w:rPr>
          <w:rFonts w:cs="Arial"/>
          <w:sz w:val="22"/>
          <w:szCs w:val="22"/>
        </w:rPr>
      </w:pPr>
      <w:r>
        <w:rPr>
          <w:rFonts w:cs="Arial"/>
          <w:b/>
          <w:sz w:val="22"/>
          <w:szCs w:val="22"/>
          <w:lang w:val="es-ES_tradnl"/>
        </w:rPr>
        <w:t>2</w:t>
      </w:r>
      <w:r w:rsidRPr="00F751E6">
        <w:rPr>
          <w:rFonts w:cs="Arial"/>
          <w:b/>
          <w:sz w:val="22"/>
          <w:szCs w:val="22"/>
          <w:lang w:val="es-ES_tradnl"/>
        </w:rPr>
        <w:t>)</w:t>
      </w:r>
      <w:r w:rsidRPr="00F751E6">
        <w:rPr>
          <w:rFonts w:cs="Arial"/>
          <w:sz w:val="22"/>
          <w:szCs w:val="22"/>
          <w:lang w:val="es-ES_tradnl"/>
        </w:rPr>
        <w:t xml:space="preserve"> Deberá realizarse una adenda al </w:t>
      </w:r>
      <w:r w:rsidRPr="00F751E6">
        <w:rPr>
          <w:rFonts w:cs="Arial"/>
          <w:sz w:val="22"/>
          <w:szCs w:val="22"/>
          <w:lang w:val="es-CR"/>
        </w:rPr>
        <w:t>contrato de administración de recursos</w:t>
      </w:r>
      <w:r w:rsidRPr="00F751E6">
        <w:rPr>
          <w:rFonts w:cs="Arial"/>
          <w:sz w:val="22"/>
          <w:szCs w:val="22"/>
          <w:lang w:val="es-ES_tradnl"/>
        </w:rPr>
        <w:t xml:space="preserve">, por el </w:t>
      </w:r>
      <w:r w:rsidRPr="00F751E6">
        <w:rPr>
          <w:rFonts w:cs="Arial"/>
          <w:sz w:val="22"/>
          <w:szCs w:val="22"/>
          <w:lang w:val="es-CR"/>
        </w:rPr>
        <w:t>monto del financiamiento adicional aprobado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445B46" w:rsidRPr="00AA6479" w:rsidRDefault="00445B46" w:rsidP="00445B46">
      <w:pPr>
        <w:spacing w:line="360" w:lineRule="auto"/>
        <w:ind w:right="51"/>
        <w:jc w:val="both"/>
        <w:rPr>
          <w:rFonts w:cs="Arial"/>
          <w:b/>
          <w:sz w:val="22"/>
          <w:szCs w:val="22"/>
        </w:rPr>
      </w:pPr>
      <w:r w:rsidRPr="00AA6479">
        <w:rPr>
          <w:rFonts w:cs="Arial"/>
          <w:b/>
          <w:sz w:val="22"/>
          <w:szCs w:val="22"/>
        </w:rPr>
        <w:t>Considerando:</w:t>
      </w:r>
    </w:p>
    <w:p w:rsidR="00445B46" w:rsidRPr="00AA6479" w:rsidRDefault="00445B46" w:rsidP="00445B46">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GG-ME-</w:t>
      </w:r>
      <w:r>
        <w:rPr>
          <w:rFonts w:cs="Arial"/>
          <w:sz w:val="22"/>
          <w:szCs w:val="22"/>
        </w:rPr>
        <w:t>0</w:t>
      </w:r>
      <w:r w:rsidR="00D01779">
        <w:rPr>
          <w:rFonts w:cs="Arial"/>
          <w:sz w:val="22"/>
          <w:szCs w:val="22"/>
        </w:rPr>
        <w:t>731</w:t>
      </w:r>
      <w:r w:rsidRPr="00AA6479">
        <w:rPr>
          <w:rFonts w:cs="Arial"/>
          <w:sz w:val="22"/>
          <w:szCs w:val="22"/>
        </w:rPr>
        <w:t>-201</w:t>
      </w:r>
      <w:r>
        <w:rPr>
          <w:rFonts w:cs="Arial"/>
          <w:sz w:val="22"/>
          <w:szCs w:val="22"/>
        </w:rPr>
        <w:t>9</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Pr>
          <w:rFonts w:cs="Arial"/>
          <w:color w:val="000000"/>
          <w:sz w:val="22"/>
          <w:szCs w:val="22"/>
        </w:rPr>
        <w:t>0</w:t>
      </w:r>
      <w:r w:rsidR="00D01779">
        <w:rPr>
          <w:rFonts w:cs="Arial"/>
          <w:color w:val="000000"/>
          <w:sz w:val="22"/>
          <w:szCs w:val="22"/>
        </w:rPr>
        <w:t>795</w:t>
      </w:r>
      <w:r w:rsidRPr="00AA6479">
        <w:rPr>
          <w:rFonts w:cs="Arial"/>
          <w:color w:val="000000"/>
          <w:sz w:val="22"/>
          <w:szCs w:val="22"/>
        </w:rPr>
        <w:t>-201</w:t>
      </w:r>
      <w:r>
        <w:rPr>
          <w:rFonts w:cs="Arial"/>
          <w:color w:val="000000"/>
          <w:sz w:val="22"/>
          <w:szCs w:val="22"/>
        </w:rPr>
        <w:t>9</w:t>
      </w:r>
      <w:r w:rsidRPr="00AA6479">
        <w:rPr>
          <w:rFonts w:cs="Arial"/>
          <w:color w:val="000000"/>
          <w:sz w:val="22"/>
          <w:szCs w:val="22"/>
        </w:rPr>
        <w:t xml:space="preserve"> de la Dirección FOSUVI, que contiene los resultados del estudio realizado a la solicitud del</w:t>
      </w:r>
      <w:r>
        <w:rPr>
          <w:rFonts w:cs="Arial"/>
          <w:color w:val="000000"/>
          <w:sz w:val="22"/>
          <w:szCs w:val="22"/>
        </w:rPr>
        <w:t xml:space="preserve"> Instituto Nacional de Vivienda y Urbanismo (INVU),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w:t>
      </w:r>
      <w:r w:rsidR="00D01779">
        <w:rPr>
          <w:rFonts w:cs="Arial"/>
          <w:sz w:val="22"/>
          <w:szCs w:val="22"/>
          <w:lang w:val="es-ES_tradnl"/>
        </w:rPr>
        <w:t>l contrato de administración de recursos</w:t>
      </w:r>
      <w:r w:rsidRPr="00AA6479">
        <w:rPr>
          <w:rFonts w:cs="Arial"/>
          <w:sz w:val="22"/>
          <w:szCs w:val="22"/>
        </w:rPr>
        <w:t xml:space="preserve"> </w:t>
      </w:r>
      <w:r w:rsidR="00D01779">
        <w:rPr>
          <w:rFonts w:cs="Arial"/>
          <w:sz w:val="22"/>
          <w:szCs w:val="22"/>
        </w:rPr>
        <w:t>d</w:t>
      </w:r>
      <w:r w:rsidRPr="00AA6479">
        <w:rPr>
          <w:rFonts w:cs="Arial"/>
          <w:sz w:val="22"/>
          <w:szCs w:val="22"/>
        </w:rPr>
        <w:t xml:space="preserve">el proyecto habitacional </w:t>
      </w:r>
      <w:r>
        <w:rPr>
          <w:rFonts w:cs="Arial"/>
          <w:sz w:val="22"/>
          <w:szCs w:val="22"/>
        </w:rPr>
        <w:t>Hojancha</w:t>
      </w:r>
      <w:r w:rsidRPr="00AA6479">
        <w:rPr>
          <w:rFonts w:cs="Arial"/>
          <w:sz w:val="22"/>
          <w:szCs w:val="22"/>
        </w:rPr>
        <w:t xml:space="preserve">, ubicado en el distrito y cantón de </w:t>
      </w:r>
      <w:r>
        <w:rPr>
          <w:rFonts w:cs="Arial"/>
          <w:sz w:val="22"/>
          <w:szCs w:val="22"/>
        </w:rPr>
        <w:t>Hojancha</w:t>
      </w:r>
      <w:r w:rsidRPr="00AA6479">
        <w:rPr>
          <w:rFonts w:cs="Arial"/>
          <w:sz w:val="22"/>
          <w:szCs w:val="22"/>
        </w:rPr>
        <w:t xml:space="preserve">, provincia de </w:t>
      </w:r>
      <w:r>
        <w:rPr>
          <w:rFonts w:cs="Arial"/>
          <w:sz w:val="22"/>
          <w:szCs w:val="22"/>
        </w:rPr>
        <w:t>Guanacaste</w:t>
      </w:r>
      <w:r w:rsidRPr="00AA6479">
        <w:rPr>
          <w:rFonts w:cs="Arial"/>
          <w:sz w:val="22"/>
          <w:szCs w:val="22"/>
        </w:rPr>
        <w:t xml:space="preserve">, y aprobado con el </w:t>
      </w:r>
      <w:r w:rsidRPr="00AA6479">
        <w:rPr>
          <w:rFonts w:cs="Arial"/>
          <w:sz w:val="22"/>
          <w:szCs w:val="22"/>
          <w:lang w:val="es-ES_tradnl"/>
        </w:rPr>
        <w:t xml:space="preserve">acuerdo </w:t>
      </w:r>
      <w:r w:rsidRPr="00DE211A">
        <w:rPr>
          <w:rFonts w:cs="Arial"/>
          <w:sz w:val="22"/>
          <w:szCs w:val="22"/>
        </w:rPr>
        <w:t>N° 1 de la sesión 80-2015 del 17 de diciembre de 2015</w:t>
      </w:r>
      <w:r w:rsidRPr="00AA6479">
        <w:rPr>
          <w:rFonts w:cs="Arial"/>
          <w:sz w:val="22"/>
          <w:szCs w:val="22"/>
        </w:rPr>
        <w:t>.</w:t>
      </w:r>
    </w:p>
    <w:p w:rsidR="00445B46" w:rsidRPr="00AA6479" w:rsidRDefault="00445B46" w:rsidP="00445B46">
      <w:pPr>
        <w:spacing w:line="360" w:lineRule="auto"/>
        <w:ind w:right="51"/>
        <w:jc w:val="both"/>
        <w:rPr>
          <w:rFonts w:cs="Arial"/>
          <w:b/>
          <w:sz w:val="22"/>
          <w:szCs w:val="22"/>
        </w:rPr>
      </w:pPr>
    </w:p>
    <w:p w:rsidR="00445B46" w:rsidRDefault="00445B46" w:rsidP="00445B46">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la solicitud de la entidad autorizada, en el sentido de </w:t>
      </w:r>
      <w:r>
        <w:rPr>
          <w:rFonts w:cs="Arial"/>
          <w:sz w:val="22"/>
          <w:szCs w:val="22"/>
          <w:lang w:val="es-ES_tradnl"/>
        </w:rPr>
        <w:t xml:space="preserve">prorrogar los plazos para </w:t>
      </w:r>
      <w:r w:rsidRPr="00AA6479">
        <w:rPr>
          <w:rFonts w:cs="Arial"/>
          <w:color w:val="000000"/>
          <w:sz w:val="22"/>
          <w:szCs w:val="22"/>
        </w:rPr>
        <w:t xml:space="preserve">la </w:t>
      </w:r>
      <w:r>
        <w:rPr>
          <w:rFonts w:cs="Arial"/>
          <w:color w:val="000000"/>
          <w:sz w:val="22"/>
          <w:szCs w:val="22"/>
        </w:rPr>
        <w:t xml:space="preserve">finalización </w:t>
      </w:r>
      <w:r w:rsidRPr="00AA6479">
        <w:rPr>
          <w:rFonts w:cs="Arial"/>
          <w:color w:val="000000"/>
          <w:sz w:val="22"/>
          <w:szCs w:val="22"/>
        </w:rPr>
        <w:t>de las obras</w:t>
      </w:r>
      <w:r>
        <w:rPr>
          <w:rFonts w:cs="Arial"/>
          <w:color w:val="000000"/>
          <w:sz w:val="22"/>
          <w:szCs w:val="22"/>
        </w:rPr>
        <w:t xml:space="preserve">, </w:t>
      </w:r>
      <w:r w:rsidRPr="00AA6479">
        <w:rPr>
          <w:rFonts w:cs="Arial"/>
          <w:color w:val="000000"/>
          <w:sz w:val="22"/>
          <w:szCs w:val="22"/>
        </w:rPr>
        <w:t xml:space="preserve">la formalización </w:t>
      </w:r>
      <w:r>
        <w:rPr>
          <w:rFonts w:cs="Arial"/>
          <w:color w:val="000000"/>
          <w:sz w:val="22"/>
          <w:szCs w:val="22"/>
        </w:rPr>
        <w:t>de las operaciones</w:t>
      </w:r>
      <w:r w:rsidRPr="00DE211A">
        <w:rPr>
          <w:rFonts w:cs="Arial"/>
          <w:color w:val="000000"/>
          <w:sz w:val="22"/>
          <w:szCs w:val="22"/>
        </w:rPr>
        <w:t xml:space="preserve"> </w:t>
      </w:r>
      <w:r>
        <w:rPr>
          <w:rFonts w:cs="Arial"/>
          <w:color w:val="000000"/>
          <w:sz w:val="22"/>
          <w:szCs w:val="22"/>
        </w:rPr>
        <w:t xml:space="preserve">y </w:t>
      </w:r>
      <w:r w:rsidRPr="00AA6479">
        <w:rPr>
          <w:rFonts w:cs="Arial"/>
          <w:color w:val="000000"/>
          <w:sz w:val="22"/>
          <w:szCs w:val="22"/>
        </w:rPr>
        <w:t>la entrega del cierre técnico y financiero</w:t>
      </w:r>
      <w:r w:rsidR="00D01779">
        <w:rPr>
          <w:rFonts w:cs="Arial"/>
          <w:color w:val="000000"/>
          <w:sz w:val="22"/>
          <w:szCs w:val="22"/>
        </w:rPr>
        <w:t xml:space="preserve"> del proyecto</w:t>
      </w:r>
      <w:r>
        <w:rPr>
          <w:rFonts w:cs="Arial"/>
          <w:color w:val="000000"/>
          <w:sz w:val="22"/>
          <w:szCs w:val="22"/>
        </w:rPr>
        <w:t xml:space="preserve">, </w:t>
      </w:r>
      <w:r w:rsidR="00D01779">
        <w:rPr>
          <w:rFonts w:cs="Arial"/>
          <w:color w:val="000000"/>
          <w:sz w:val="22"/>
          <w:szCs w:val="22"/>
        </w:rPr>
        <w:t>por un período total de hasta 10 meses a partir de la firma de la adenda al contrato.</w:t>
      </w:r>
    </w:p>
    <w:p w:rsidR="00445B46" w:rsidRDefault="00445B46" w:rsidP="00445B46">
      <w:pPr>
        <w:spacing w:line="360" w:lineRule="auto"/>
        <w:jc w:val="both"/>
        <w:rPr>
          <w:rFonts w:cs="Arial"/>
          <w:sz w:val="22"/>
          <w:szCs w:val="22"/>
          <w:lang w:val="es-ES_tradnl"/>
        </w:rPr>
      </w:pPr>
    </w:p>
    <w:p w:rsidR="00445B46" w:rsidRPr="00AA6479" w:rsidRDefault="00445B46" w:rsidP="00445B46">
      <w:pPr>
        <w:spacing w:line="360" w:lineRule="auto"/>
        <w:jc w:val="both"/>
        <w:rPr>
          <w:rFonts w:cs="Arial"/>
          <w:sz w:val="22"/>
          <w:szCs w:val="22"/>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w:t>
      </w:r>
      <w:r w:rsidR="00877863">
        <w:rPr>
          <w:rFonts w:cs="Arial"/>
          <w:sz w:val="22"/>
          <w:szCs w:val="22"/>
        </w:rPr>
        <w:t>los mismos términos planteados por la Dirección FOSUVI en el informe DF-OF-0795-2019</w:t>
      </w:r>
      <w:r w:rsidRPr="00AA6479">
        <w:rPr>
          <w:rFonts w:cs="Arial"/>
          <w:sz w:val="22"/>
          <w:szCs w:val="22"/>
        </w:rPr>
        <w:t>.</w:t>
      </w:r>
    </w:p>
    <w:p w:rsidR="00445B46" w:rsidRPr="00AA6479" w:rsidRDefault="00445B46" w:rsidP="00445B46">
      <w:pPr>
        <w:spacing w:line="360" w:lineRule="auto"/>
        <w:jc w:val="both"/>
        <w:rPr>
          <w:rFonts w:cs="Arial"/>
          <w:sz w:val="22"/>
          <w:szCs w:val="22"/>
        </w:rPr>
      </w:pPr>
    </w:p>
    <w:p w:rsidR="00445B46" w:rsidRPr="00AA6479" w:rsidRDefault="00445B46" w:rsidP="00445B46">
      <w:pPr>
        <w:spacing w:line="360" w:lineRule="auto"/>
        <w:jc w:val="both"/>
        <w:rPr>
          <w:rFonts w:cs="Arial"/>
          <w:b/>
          <w:sz w:val="22"/>
          <w:szCs w:val="22"/>
        </w:rPr>
      </w:pPr>
      <w:r w:rsidRPr="00AA6479">
        <w:rPr>
          <w:rFonts w:cs="Arial"/>
          <w:b/>
          <w:sz w:val="22"/>
          <w:szCs w:val="22"/>
        </w:rPr>
        <w:t>Por tanto, se acuerda:</w:t>
      </w:r>
    </w:p>
    <w:p w:rsidR="0086175A" w:rsidRDefault="0086175A" w:rsidP="0086175A">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Instituto Nacional de Vivienda y Urbanismo,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w:t>
      </w:r>
      <w:r w:rsidRPr="00BB303F">
        <w:rPr>
          <w:rFonts w:cs="Arial"/>
          <w:color w:val="000000"/>
          <w:sz w:val="22"/>
          <w:szCs w:val="22"/>
        </w:rPr>
        <w:t xml:space="preserve"> hasta </w:t>
      </w:r>
      <w:r>
        <w:rPr>
          <w:rFonts w:cs="Arial"/>
          <w:color w:val="000000"/>
          <w:sz w:val="22"/>
          <w:szCs w:val="22"/>
        </w:rPr>
        <w:t xml:space="preserve">diez meses al contrato de administración de recursos del </w:t>
      </w:r>
      <w:r>
        <w:rPr>
          <w:rFonts w:cs="Arial"/>
          <w:sz w:val="22"/>
          <w:szCs w:val="22"/>
        </w:rPr>
        <w:t>proyecto habitacional Hojancha</w:t>
      </w:r>
      <w:r>
        <w:rPr>
          <w:rFonts w:cs="Arial"/>
          <w:color w:val="000000"/>
          <w:sz w:val="22"/>
          <w:szCs w:val="22"/>
        </w:rPr>
        <w:t>, según el siguiente detalle:</w:t>
      </w:r>
    </w:p>
    <w:p w:rsidR="0086175A" w:rsidRDefault="0086175A" w:rsidP="0086175A">
      <w:pPr>
        <w:spacing w:line="360" w:lineRule="auto"/>
        <w:jc w:val="both"/>
        <w:rPr>
          <w:rFonts w:cs="Arial"/>
          <w:color w:val="000000"/>
          <w:sz w:val="22"/>
          <w:szCs w:val="22"/>
        </w:rPr>
      </w:pPr>
      <w:r>
        <w:rPr>
          <w:rFonts w:cs="Arial"/>
          <w:color w:val="000000"/>
          <w:sz w:val="22"/>
          <w:szCs w:val="22"/>
        </w:rPr>
        <w:t>a) Un mes para la ejecución de las obras aprobadas mediante el acuerdo N° 4 de la sesión 30-2019 del 22 de abril de 2019, a partir de la firma de la adenda al contrato.</w:t>
      </w:r>
    </w:p>
    <w:p w:rsidR="0086175A" w:rsidRDefault="0086175A" w:rsidP="0086175A">
      <w:pPr>
        <w:spacing w:line="360" w:lineRule="auto"/>
        <w:jc w:val="both"/>
        <w:rPr>
          <w:rFonts w:cs="Arial"/>
          <w:color w:val="000000"/>
          <w:sz w:val="22"/>
          <w:szCs w:val="22"/>
        </w:rPr>
      </w:pPr>
      <w:r>
        <w:rPr>
          <w:rFonts w:cs="Arial"/>
          <w:color w:val="000000"/>
          <w:sz w:val="22"/>
          <w:szCs w:val="22"/>
        </w:rPr>
        <w:t>b) Siete meses (incluyendo el mes anterior), para la formalización de las operaciones y la entrega de las viviendas, a partir de la firma de la adenda al contrato.</w:t>
      </w:r>
    </w:p>
    <w:p w:rsidR="0086175A" w:rsidRDefault="0086175A" w:rsidP="0086175A">
      <w:pPr>
        <w:spacing w:line="360" w:lineRule="auto"/>
        <w:jc w:val="both"/>
        <w:rPr>
          <w:rFonts w:cs="Arial"/>
          <w:color w:val="000000"/>
          <w:sz w:val="22"/>
          <w:szCs w:val="22"/>
        </w:rPr>
      </w:pPr>
      <w:r>
        <w:rPr>
          <w:rFonts w:cs="Arial"/>
          <w:color w:val="000000"/>
          <w:sz w:val="22"/>
          <w:szCs w:val="22"/>
        </w:rPr>
        <w:t>c) Diez meses (incluyendo los siete meses anteriores), para la entrega del cierre técnico y financiero del proyecto, a partir de la firma de la adenda al contrato.</w:t>
      </w:r>
    </w:p>
    <w:p w:rsidR="0086175A" w:rsidRDefault="0086175A" w:rsidP="0086175A">
      <w:pPr>
        <w:spacing w:line="360" w:lineRule="auto"/>
        <w:jc w:val="both"/>
        <w:rPr>
          <w:rFonts w:cs="Arial"/>
          <w:color w:val="000000"/>
          <w:sz w:val="22"/>
          <w:szCs w:val="22"/>
        </w:rPr>
      </w:pPr>
    </w:p>
    <w:p w:rsidR="0086175A" w:rsidRDefault="0086175A" w:rsidP="0086175A">
      <w:pPr>
        <w:autoSpaceDE w:val="0"/>
        <w:autoSpaceDN w:val="0"/>
        <w:adjustRightInd w:val="0"/>
        <w:spacing w:line="360" w:lineRule="auto"/>
        <w:jc w:val="both"/>
        <w:rPr>
          <w:rFonts w:cs="Arial"/>
          <w:sz w:val="22"/>
          <w:szCs w:val="22"/>
          <w:lang w:val="es-ES_tradnl"/>
        </w:rPr>
      </w:pPr>
      <w:r>
        <w:rPr>
          <w:rFonts w:cs="Arial"/>
          <w:b/>
          <w:sz w:val="22"/>
          <w:szCs w:val="22"/>
          <w:lang w:val="es-ES_tradnl"/>
        </w:rPr>
        <w:t>2</w:t>
      </w:r>
      <w:r w:rsidRPr="00866839">
        <w:rPr>
          <w:rFonts w:cs="Arial"/>
          <w:b/>
          <w:sz w:val="22"/>
          <w:szCs w:val="22"/>
          <w:lang w:val="es-ES_tradnl"/>
        </w:rPr>
        <w:t>)</w:t>
      </w:r>
      <w:r>
        <w:rPr>
          <w:rFonts w:cs="Arial"/>
          <w:sz w:val="22"/>
          <w:szCs w:val="22"/>
          <w:lang w:val="es-ES_tradnl"/>
        </w:rPr>
        <w:t xml:space="preserve"> Se reafirma que la ampliación del plazo es para las obras constructivas aprobadas </w:t>
      </w:r>
      <w:r>
        <w:rPr>
          <w:rFonts w:cs="Arial"/>
          <w:color w:val="000000"/>
          <w:sz w:val="22"/>
          <w:szCs w:val="22"/>
        </w:rPr>
        <w:t>mediante el acuerdo N° 4 de la sesión 30-2019 del 22 de abril de 2019, así como para las obras que sean afectadas por éstas.  Para las demás obras que no</w:t>
      </w:r>
      <w:r>
        <w:rPr>
          <w:rFonts w:cs="Arial"/>
          <w:sz w:val="22"/>
          <w:szCs w:val="22"/>
          <w:lang w:val="es-ES_tradnl"/>
        </w:rPr>
        <w:t xml:space="preserve"> se hayan construido en tiempo, deben aplicarse las sanciones establecidas en el contrato.</w:t>
      </w:r>
    </w:p>
    <w:p w:rsidR="0086175A" w:rsidRDefault="0086175A" w:rsidP="0086175A">
      <w:pPr>
        <w:spacing w:line="360" w:lineRule="auto"/>
        <w:jc w:val="both"/>
        <w:rPr>
          <w:rFonts w:cs="Arial"/>
          <w:color w:val="000000"/>
          <w:sz w:val="22"/>
          <w:szCs w:val="22"/>
        </w:rPr>
      </w:pPr>
    </w:p>
    <w:p w:rsidR="002B71CC" w:rsidRDefault="0086175A" w:rsidP="002B71CC">
      <w:pPr>
        <w:spacing w:line="360" w:lineRule="auto"/>
        <w:jc w:val="both"/>
        <w:rPr>
          <w:rFonts w:cs="Arial"/>
          <w:sz w:val="22"/>
          <w:szCs w:val="22"/>
        </w:rPr>
      </w:pPr>
      <w:r>
        <w:rPr>
          <w:rFonts w:cs="Arial"/>
          <w:b/>
          <w:color w:val="000000"/>
          <w:sz w:val="22"/>
          <w:szCs w:val="22"/>
        </w:rPr>
        <w:t>3</w:t>
      </w:r>
      <w:r w:rsidRPr="007D072B">
        <w:rPr>
          <w:rFonts w:cs="Arial"/>
          <w:b/>
          <w:color w:val="000000"/>
          <w:sz w:val="22"/>
          <w:szCs w:val="22"/>
        </w:rPr>
        <w:t>)</w:t>
      </w:r>
      <w:r>
        <w:rPr>
          <w:rFonts w:cs="Arial"/>
          <w:color w:val="000000"/>
          <w:sz w:val="22"/>
          <w:szCs w:val="22"/>
        </w:rPr>
        <w:t xml:space="preserve"> Deberá realizarse una adenda al contrato de administración de recursos, </w:t>
      </w:r>
      <w:r>
        <w:rPr>
          <w:rFonts w:cs="Arial"/>
          <w:sz w:val="22"/>
          <w:szCs w:val="22"/>
          <w:lang w:val="es-CR"/>
        </w:rPr>
        <w:t>incorporando los plazos señalados en la presente resolución.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6B1E77" w:rsidRPr="00AA6479" w:rsidRDefault="006B1E77" w:rsidP="006B1E77">
      <w:pPr>
        <w:spacing w:line="360" w:lineRule="auto"/>
        <w:ind w:right="51"/>
        <w:jc w:val="both"/>
        <w:rPr>
          <w:rFonts w:cs="Arial"/>
          <w:b/>
          <w:sz w:val="22"/>
          <w:szCs w:val="22"/>
        </w:rPr>
      </w:pPr>
      <w:r w:rsidRPr="00AA6479">
        <w:rPr>
          <w:rFonts w:cs="Arial"/>
          <w:b/>
          <w:sz w:val="22"/>
          <w:szCs w:val="22"/>
        </w:rPr>
        <w:t>Considerando:</w:t>
      </w:r>
    </w:p>
    <w:p w:rsidR="006B1E77" w:rsidRPr="00AA6479" w:rsidRDefault="006B1E77" w:rsidP="006B1E77">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GG-ME-</w:t>
      </w:r>
      <w:r>
        <w:rPr>
          <w:rFonts w:cs="Arial"/>
          <w:sz w:val="22"/>
          <w:szCs w:val="22"/>
        </w:rPr>
        <w:t>0729</w:t>
      </w:r>
      <w:r w:rsidRPr="00AA6479">
        <w:rPr>
          <w:rFonts w:cs="Arial"/>
          <w:sz w:val="22"/>
          <w:szCs w:val="22"/>
        </w:rPr>
        <w:t>-201</w:t>
      </w:r>
      <w:r>
        <w:rPr>
          <w:rFonts w:cs="Arial"/>
          <w:sz w:val="22"/>
          <w:szCs w:val="22"/>
        </w:rPr>
        <w:t>9 del 12 de julio de 2019</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Pr>
          <w:rFonts w:cs="Arial"/>
          <w:color w:val="000000"/>
          <w:sz w:val="22"/>
          <w:szCs w:val="22"/>
        </w:rPr>
        <w:t>0788</w:t>
      </w:r>
      <w:r w:rsidRPr="00AA6479">
        <w:rPr>
          <w:rFonts w:cs="Arial"/>
          <w:color w:val="000000"/>
          <w:sz w:val="22"/>
          <w:szCs w:val="22"/>
        </w:rPr>
        <w:t>-201</w:t>
      </w:r>
      <w:r>
        <w:rPr>
          <w:rFonts w:cs="Arial"/>
          <w:color w:val="000000"/>
          <w:sz w:val="22"/>
          <w:szCs w:val="22"/>
        </w:rPr>
        <w:t>9</w:t>
      </w:r>
      <w:r w:rsidRPr="00AA6479">
        <w:rPr>
          <w:rFonts w:cs="Arial"/>
          <w:color w:val="000000"/>
          <w:sz w:val="22"/>
          <w:szCs w:val="22"/>
        </w:rPr>
        <w:t xml:space="preserve"> de la Dirección FOSUVI, que contiene los resultados del estudio realizado a la solicitud de</w:t>
      </w:r>
      <w:r>
        <w:rPr>
          <w:rFonts w:cs="Arial"/>
          <w:color w:val="000000"/>
          <w:sz w:val="22"/>
          <w:szCs w:val="22"/>
        </w:rPr>
        <w:t xml:space="preserve"> la Fundación para la Vivienda Rural Costa Rica – Canadá,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w:t>
      </w:r>
      <w:r>
        <w:rPr>
          <w:rFonts w:cs="Arial"/>
          <w:sz w:val="22"/>
          <w:szCs w:val="22"/>
          <w:lang w:val="es-ES_tradnl"/>
        </w:rPr>
        <w:t>l contrato de administración de recursos</w:t>
      </w:r>
      <w:r w:rsidRPr="00AA6479">
        <w:rPr>
          <w:rFonts w:cs="Arial"/>
          <w:sz w:val="22"/>
          <w:szCs w:val="22"/>
        </w:rPr>
        <w:t xml:space="preserve"> </w:t>
      </w:r>
      <w:r>
        <w:rPr>
          <w:rFonts w:cs="Arial"/>
          <w:sz w:val="22"/>
          <w:szCs w:val="22"/>
        </w:rPr>
        <w:t>d</w:t>
      </w:r>
      <w:r w:rsidRPr="00AA6479">
        <w:rPr>
          <w:rFonts w:cs="Arial"/>
          <w:sz w:val="22"/>
          <w:szCs w:val="22"/>
        </w:rPr>
        <w:t xml:space="preserve">el proyecto habitacional </w:t>
      </w:r>
      <w:r>
        <w:rPr>
          <w:rFonts w:cs="Arial"/>
          <w:sz w:val="22"/>
          <w:szCs w:val="22"/>
        </w:rPr>
        <w:t>Cartagena</w:t>
      </w:r>
      <w:r w:rsidRPr="00AA6479">
        <w:rPr>
          <w:rFonts w:cs="Arial"/>
          <w:sz w:val="22"/>
          <w:szCs w:val="22"/>
        </w:rPr>
        <w:t xml:space="preserve">, ubicado en el distrito </w:t>
      </w:r>
      <w:r>
        <w:rPr>
          <w:rFonts w:cs="Arial"/>
          <w:sz w:val="22"/>
          <w:szCs w:val="22"/>
        </w:rPr>
        <w:t>Valle La Estrella del</w:t>
      </w:r>
      <w:r w:rsidRPr="00AA6479">
        <w:rPr>
          <w:rFonts w:cs="Arial"/>
          <w:sz w:val="22"/>
          <w:szCs w:val="22"/>
        </w:rPr>
        <w:t xml:space="preserve"> cantón </w:t>
      </w:r>
      <w:r>
        <w:rPr>
          <w:rFonts w:cs="Arial"/>
          <w:sz w:val="22"/>
          <w:szCs w:val="22"/>
        </w:rPr>
        <w:t xml:space="preserve">y </w:t>
      </w:r>
      <w:r w:rsidRPr="00AA6479">
        <w:rPr>
          <w:rFonts w:cs="Arial"/>
          <w:sz w:val="22"/>
          <w:szCs w:val="22"/>
        </w:rPr>
        <w:t xml:space="preserve">provincia de </w:t>
      </w:r>
      <w:r>
        <w:rPr>
          <w:rFonts w:cs="Arial"/>
          <w:sz w:val="22"/>
          <w:szCs w:val="22"/>
        </w:rPr>
        <w:t>Limón</w:t>
      </w:r>
      <w:r w:rsidRPr="00AA6479">
        <w:rPr>
          <w:rFonts w:cs="Arial"/>
          <w:sz w:val="22"/>
          <w:szCs w:val="22"/>
        </w:rPr>
        <w:t xml:space="preserve">, y aprobado con el </w:t>
      </w:r>
      <w:r w:rsidRPr="00AA6479">
        <w:rPr>
          <w:rFonts w:cs="Arial"/>
          <w:sz w:val="22"/>
          <w:szCs w:val="22"/>
          <w:lang w:val="es-ES_tradnl"/>
        </w:rPr>
        <w:t xml:space="preserve">acuerdo </w:t>
      </w:r>
      <w:r w:rsidRPr="00DE211A">
        <w:rPr>
          <w:rFonts w:cs="Arial"/>
          <w:sz w:val="22"/>
          <w:szCs w:val="22"/>
        </w:rPr>
        <w:t xml:space="preserve">N° 1 de la sesión </w:t>
      </w:r>
      <w:r>
        <w:rPr>
          <w:rFonts w:cs="Arial"/>
          <w:sz w:val="22"/>
          <w:szCs w:val="22"/>
        </w:rPr>
        <w:t>25</w:t>
      </w:r>
      <w:r w:rsidRPr="00DE211A">
        <w:rPr>
          <w:rFonts w:cs="Arial"/>
          <w:sz w:val="22"/>
          <w:szCs w:val="22"/>
        </w:rPr>
        <w:t>-201</w:t>
      </w:r>
      <w:r>
        <w:rPr>
          <w:rFonts w:cs="Arial"/>
          <w:sz w:val="22"/>
          <w:szCs w:val="22"/>
        </w:rPr>
        <w:t>8</w:t>
      </w:r>
      <w:r w:rsidRPr="00DE211A">
        <w:rPr>
          <w:rFonts w:cs="Arial"/>
          <w:sz w:val="22"/>
          <w:szCs w:val="22"/>
        </w:rPr>
        <w:t xml:space="preserve"> del </w:t>
      </w:r>
      <w:r>
        <w:rPr>
          <w:rFonts w:cs="Arial"/>
          <w:sz w:val="22"/>
          <w:szCs w:val="22"/>
        </w:rPr>
        <w:t>16</w:t>
      </w:r>
      <w:r w:rsidRPr="00DE211A">
        <w:rPr>
          <w:rFonts w:cs="Arial"/>
          <w:sz w:val="22"/>
          <w:szCs w:val="22"/>
        </w:rPr>
        <w:t xml:space="preserve"> de </w:t>
      </w:r>
      <w:r>
        <w:rPr>
          <w:rFonts w:cs="Arial"/>
          <w:sz w:val="22"/>
          <w:szCs w:val="22"/>
        </w:rPr>
        <w:t>abril</w:t>
      </w:r>
      <w:r w:rsidRPr="00DE211A">
        <w:rPr>
          <w:rFonts w:cs="Arial"/>
          <w:sz w:val="22"/>
          <w:szCs w:val="22"/>
        </w:rPr>
        <w:t xml:space="preserve"> de 201</w:t>
      </w:r>
      <w:r>
        <w:rPr>
          <w:rFonts w:cs="Arial"/>
          <w:sz w:val="22"/>
          <w:szCs w:val="22"/>
        </w:rPr>
        <w:t>8</w:t>
      </w:r>
      <w:r w:rsidRPr="00AA6479">
        <w:rPr>
          <w:rFonts w:cs="Arial"/>
          <w:sz w:val="22"/>
          <w:szCs w:val="22"/>
        </w:rPr>
        <w:t>.</w:t>
      </w:r>
    </w:p>
    <w:p w:rsidR="006B1E77" w:rsidRPr="00AA6479" w:rsidRDefault="006B1E77" w:rsidP="006B1E77">
      <w:pPr>
        <w:spacing w:line="360" w:lineRule="auto"/>
        <w:ind w:right="51"/>
        <w:jc w:val="both"/>
        <w:rPr>
          <w:rFonts w:cs="Arial"/>
          <w:b/>
          <w:sz w:val="22"/>
          <w:szCs w:val="22"/>
        </w:rPr>
      </w:pPr>
    </w:p>
    <w:p w:rsidR="006B1E77" w:rsidRDefault="006B1E77" w:rsidP="006B1E77">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la solicitud de la entidad autorizada, en el sentido de </w:t>
      </w:r>
      <w:r>
        <w:rPr>
          <w:rFonts w:cs="Arial"/>
          <w:sz w:val="22"/>
          <w:szCs w:val="22"/>
          <w:lang w:val="es-ES_tradnl"/>
        </w:rPr>
        <w:t xml:space="preserve">prorrogar los plazos para </w:t>
      </w:r>
      <w:r w:rsidRPr="00AA6479">
        <w:rPr>
          <w:rFonts w:cs="Arial"/>
          <w:color w:val="000000"/>
          <w:sz w:val="22"/>
          <w:szCs w:val="22"/>
        </w:rPr>
        <w:t xml:space="preserve">la </w:t>
      </w:r>
      <w:r>
        <w:rPr>
          <w:rFonts w:cs="Arial"/>
          <w:color w:val="000000"/>
          <w:sz w:val="22"/>
          <w:szCs w:val="22"/>
        </w:rPr>
        <w:t xml:space="preserve">conexión de los servicios, </w:t>
      </w:r>
      <w:r w:rsidRPr="00AA6479">
        <w:rPr>
          <w:rFonts w:cs="Arial"/>
          <w:color w:val="000000"/>
          <w:sz w:val="22"/>
          <w:szCs w:val="22"/>
        </w:rPr>
        <w:t xml:space="preserve">la formalización </w:t>
      </w:r>
      <w:r>
        <w:rPr>
          <w:rFonts w:cs="Arial"/>
          <w:color w:val="000000"/>
          <w:sz w:val="22"/>
          <w:szCs w:val="22"/>
        </w:rPr>
        <w:t>de las operaciones</w:t>
      </w:r>
      <w:r w:rsidRPr="00DE211A">
        <w:rPr>
          <w:rFonts w:cs="Arial"/>
          <w:color w:val="000000"/>
          <w:sz w:val="22"/>
          <w:szCs w:val="22"/>
        </w:rPr>
        <w:t xml:space="preserve"> </w:t>
      </w:r>
      <w:r>
        <w:rPr>
          <w:rFonts w:cs="Arial"/>
          <w:color w:val="000000"/>
          <w:sz w:val="22"/>
          <w:szCs w:val="22"/>
        </w:rPr>
        <w:t xml:space="preserve">y </w:t>
      </w:r>
      <w:r w:rsidRPr="00AA6479">
        <w:rPr>
          <w:rFonts w:cs="Arial"/>
          <w:color w:val="000000"/>
          <w:sz w:val="22"/>
          <w:szCs w:val="22"/>
        </w:rPr>
        <w:t>la entrega del cierre técnico y financiero</w:t>
      </w:r>
      <w:r>
        <w:rPr>
          <w:rFonts w:cs="Arial"/>
          <w:color w:val="000000"/>
          <w:sz w:val="22"/>
          <w:szCs w:val="22"/>
        </w:rPr>
        <w:t xml:space="preserve"> del proyecto, por un período total de hasta </w:t>
      </w:r>
      <w:r w:rsidR="0005572B">
        <w:rPr>
          <w:rFonts w:cs="Arial"/>
          <w:color w:val="000000"/>
          <w:sz w:val="22"/>
          <w:szCs w:val="22"/>
        </w:rPr>
        <w:t>12</w:t>
      </w:r>
      <w:r>
        <w:rPr>
          <w:rFonts w:cs="Arial"/>
          <w:color w:val="000000"/>
          <w:sz w:val="22"/>
          <w:szCs w:val="22"/>
        </w:rPr>
        <w:t xml:space="preserve"> meses a partir de la firma de la adenda al contrato.</w:t>
      </w:r>
    </w:p>
    <w:p w:rsidR="006B1E77" w:rsidRDefault="006B1E77" w:rsidP="006B1E77">
      <w:pPr>
        <w:spacing w:line="360" w:lineRule="auto"/>
        <w:jc w:val="both"/>
        <w:rPr>
          <w:rFonts w:cs="Arial"/>
          <w:sz w:val="22"/>
          <w:szCs w:val="22"/>
          <w:lang w:val="es-ES_tradnl"/>
        </w:rPr>
      </w:pPr>
    </w:p>
    <w:p w:rsidR="006B1E77" w:rsidRPr="00AA6479" w:rsidRDefault="006B1E77" w:rsidP="006B1E77">
      <w:pPr>
        <w:spacing w:line="360" w:lineRule="auto"/>
        <w:jc w:val="both"/>
        <w:rPr>
          <w:rFonts w:cs="Arial"/>
          <w:sz w:val="22"/>
          <w:szCs w:val="22"/>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w:t>
      </w:r>
      <w:r>
        <w:rPr>
          <w:rFonts w:cs="Arial"/>
          <w:sz w:val="22"/>
          <w:szCs w:val="22"/>
        </w:rPr>
        <w:t>los mismos términos planteados por la Dirección FOSUVI en el informe DF-OF-07</w:t>
      </w:r>
      <w:r w:rsidR="0005572B">
        <w:rPr>
          <w:rFonts w:cs="Arial"/>
          <w:sz w:val="22"/>
          <w:szCs w:val="22"/>
        </w:rPr>
        <w:t>88</w:t>
      </w:r>
      <w:r>
        <w:rPr>
          <w:rFonts w:cs="Arial"/>
          <w:sz w:val="22"/>
          <w:szCs w:val="22"/>
        </w:rPr>
        <w:t>-2019</w:t>
      </w:r>
      <w:r w:rsidRPr="00AA6479">
        <w:rPr>
          <w:rFonts w:cs="Arial"/>
          <w:sz w:val="22"/>
          <w:szCs w:val="22"/>
        </w:rPr>
        <w:t>.</w:t>
      </w:r>
    </w:p>
    <w:p w:rsidR="006B1E77" w:rsidRPr="00AA6479" w:rsidRDefault="006B1E77" w:rsidP="006B1E77">
      <w:pPr>
        <w:spacing w:line="360" w:lineRule="auto"/>
        <w:jc w:val="both"/>
        <w:rPr>
          <w:rFonts w:cs="Arial"/>
          <w:sz w:val="22"/>
          <w:szCs w:val="22"/>
        </w:rPr>
      </w:pPr>
    </w:p>
    <w:p w:rsidR="006B1E77" w:rsidRPr="00AA6479" w:rsidRDefault="006B1E77" w:rsidP="006B1E77">
      <w:pPr>
        <w:spacing w:line="360" w:lineRule="auto"/>
        <w:jc w:val="both"/>
        <w:rPr>
          <w:rFonts w:cs="Arial"/>
          <w:b/>
          <w:sz w:val="22"/>
          <w:szCs w:val="22"/>
        </w:rPr>
      </w:pPr>
      <w:r w:rsidRPr="00AA6479">
        <w:rPr>
          <w:rFonts w:cs="Arial"/>
          <w:b/>
          <w:sz w:val="22"/>
          <w:szCs w:val="22"/>
        </w:rPr>
        <w:t>Por tanto, se acuerda:</w:t>
      </w:r>
    </w:p>
    <w:p w:rsidR="006B1E77" w:rsidRDefault="006B1E77" w:rsidP="006B1E77">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a</w:t>
      </w:r>
      <w:r w:rsidR="0005572B">
        <w:rPr>
          <w:rFonts w:cs="Arial"/>
          <w:sz w:val="22"/>
          <w:szCs w:val="22"/>
        </w:rPr>
        <w:t xml:space="preserve"> la Fundación para la Vivienda Rural Costa Rica – Canadá</w:t>
      </w:r>
      <w:r>
        <w:rPr>
          <w:rFonts w:cs="Arial"/>
          <w:sz w:val="22"/>
          <w:szCs w:val="22"/>
        </w:rPr>
        <w:t xml:space="preserve">,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w:t>
      </w:r>
      <w:r w:rsidRPr="00BB303F">
        <w:rPr>
          <w:rFonts w:cs="Arial"/>
          <w:color w:val="000000"/>
          <w:sz w:val="22"/>
          <w:szCs w:val="22"/>
        </w:rPr>
        <w:t xml:space="preserve"> hasta </w:t>
      </w:r>
      <w:r w:rsidR="0005572B">
        <w:rPr>
          <w:rFonts w:cs="Arial"/>
          <w:color w:val="000000"/>
          <w:sz w:val="22"/>
          <w:szCs w:val="22"/>
        </w:rPr>
        <w:t>doce</w:t>
      </w:r>
      <w:r>
        <w:rPr>
          <w:rFonts w:cs="Arial"/>
          <w:color w:val="000000"/>
          <w:sz w:val="22"/>
          <w:szCs w:val="22"/>
        </w:rPr>
        <w:t xml:space="preserve"> meses al contrato de administración de recursos del </w:t>
      </w:r>
      <w:r>
        <w:rPr>
          <w:rFonts w:cs="Arial"/>
          <w:sz w:val="22"/>
          <w:szCs w:val="22"/>
        </w:rPr>
        <w:t xml:space="preserve">proyecto habitacional </w:t>
      </w:r>
      <w:r w:rsidR="0005572B">
        <w:rPr>
          <w:rFonts w:cs="Arial"/>
          <w:sz w:val="22"/>
          <w:szCs w:val="22"/>
        </w:rPr>
        <w:t>Cartagena</w:t>
      </w:r>
      <w:r>
        <w:rPr>
          <w:rFonts w:cs="Arial"/>
          <w:color w:val="000000"/>
          <w:sz w:val="22"/>
          <w:szCs w:val="22"/>
        </w:rPr>
        <w:t>, según el siguiente detalle:</w:t>
      </w:r>
    </w:p>
    <w:p w:rsidR="006B1E77" w:rsidRDefault="006B1E77" w:rsidP="006B1E77">
      <w:pPr>
        <w:spacing w:line="360" w:lineRule="auto"/>
        <w:jc w:val="both"/>
        <w:rPr>
          <w:rFonts w:cs="Arial"/>
          <w:color w:val="000000"/>
          <w:sz w:val="22"/>
          <w:szCs w:val="22"/>
        </w:rPr>
      </w:pPr>
      <w:r>
        <w:rPr>
          <w:rFonts w:cs="Arial"/>
          <w:color w:val="000000"/>
          <w:sz w:val="22"/>
          <w:szCs w:val="22"/>
        </w:rPr>
        <w:t xml:space="preserve">a) </w:t>
      </w:r>
      <w:r w:rsidR="0005572B">
        <w:rPr>
          <w:rFonts w:cs="Arial"/>
          <w:color w:val="000000"/>
          <w:sz w:val="22"/>
          <w:szCs w:val="22"/>
        </w:rPr>
        <w:t>Seis</w:t>
      </w:r>
      <w:r>
        <w:rPr>
          <w:rFonts w:cs="Arial"/>
          <w:color w:val="000000"/>
          <w:sz w:val="22"/>
          <w:szCs w:val="22"/>
        </w:rPr>
        <w:t xml:space="preserve"> mes</w:t>
      </w:r>
      <w:r w:rsidR="0005572B">
        <w:rPr>
          <w:rFonts w:cs="Arial"/>
          <w:color w:val="000000"/>
          <w:sz w:val="22"/>
          <w:szCs w:val="22"/>
        </w:rPr>
        <w:t>es</w:t>
      </w:r>
      <w:r>
        <w:rPr>
          <w:rFonts w:cs="Arial"/>
          <w:color w:val="000000"/>
          <w:sz w:val="22"/>
          <w:szCs w:val="22"/>
        </w:rPr>
        <w:t xml:space="preserve"> para la </w:t>
      </w:r>
      <w:r w:rsidR="0005572B">
        <w:rPr>
          <w:rFonts w:cs="Arial"/>
          <w:color w:val="000000"/>
          <w:sz w:val="22"/>
          <w:szCs w:val="22"/>
        </w:rPr>
        <w:t xml:space="preserve">conexión de los servicios individuales de agua potable y la instalación de la red eléctrica, </w:t>
      </w:r>
      <w:r>
        <w:rPr>
          <w:rFonts w:cs="Arial"/>
          <w:color w:val="000000"/>
          <w:sz w:val="22"/>
          <w:szCs w:val="22"/>
        </w:rPr>
        <w:t>a partir de la firma de la adenda al contrato.</w:t>
      </w:r>
    </w:p>
    <w:p w:rsidR="006B1E77" w:rsidRDefault="006B1E77" w:rsidP="006B1E77">
      <w:pPr>
        <w:spacing w:line="360" w:lineRule="auto"/>
        <w:jc w:val="both"/>
        <w:rPr>
          <w:rFonts w:cs="Arial"/>
          <w:color w:val="000000"/>
          <w:sz w:val="22"/>
          <w:szCs w:val="22"/>
        </w:rPr>
      </w:pPr>
      <w:r>
        <w:rPr>
          <w:rFonts w:cs="Arial"/>
          <w:color w:val="000000"/>
          <w:sz w:val="22"/>
          <w:szCs w:val="22"/>
        </w:rPr>
        <w:t xml:space="preserve">b) </w:t>
      </w:r>
      <w:r w:rsidR="0005572B">
        <w:rPr>
          <w:rFonts w:cs="Arial"/>
          <w:color w:val="000000"/>
          <w:sz w:val="22"/>
          <w:szCs w:val="22"/>
        </w:rPr>
        <w:t>Nueve</w:t>
      </w:r>
      <w:r>
        <w:rPr>
          <w:rFonts w:cs="Arial"/>
          <w:color w:val="000000"/>
          <w:sz w:val="22"/>
          <w:szCs w:val="22"/>
        </w:rPr>
        <w:t xml:space="preserve"> meses (incluyendo </w:t>
      </w:r>
      <w:r w:rsidR="0005572B">
        <w:rPr>
          <w:rFonts w:cs="Arial"/>
          <w:color w:val="000000"/>
          <w:sz w:val="22"/>
          <w:szCs w:val="22"/>
        </w:rPr>
        <w:t xml:space="preserve">los seis </w:t>
      </w:r>
      <w:r>
        <w:rPr>
          <w:rFonts w:cs="Arial"/>
          <w:color w:val="000000"/>
          <w:sz w:val="22"/>
          <w:szCs w:val="22"/>
        </w:rPr>
        <w:t>mes</w:t>
      </w:r>
      <w:r w:rsidR="0005572B">
        <w:rPr>
          <w:rFonts w:cs="Arial"/>
          <w:color w:val="000000"/>
          <w:sz w:val="22"/>
          <w:szCs w:val="22"/>
        </w:rPr>
        <w:t>es</w:t>
      </w:r>
      <w:r>
        <w:rPr>
          <w:rFonts w:cs="Arial"/>
          <w:color w:val="000000"/>
          <w:sz w:val="22"/>
          <w:szCs w:val="22"/>
        </w:rPr>
        <w:t xml:space="preserve"> anterior</w:t>
      </w:r>
      <w:r w:rsidR="0005572B">
        <w:rPr>
          <w:rFonts w:cs="Arial"/>
          <w:color w:val="000000"/>
          <w:sz w:val="22"/>
          <w:szCs w:val="22"/>
        </w:rPr>
        <w:t>es</w:t>
      </w:r>
      <w:r>
        <w:rPr>
          <w:rFonts w:cs="Arial"/>
          <w:color w:val="000000"/>
          <w:sz w:val="22"/>
          <w:szCs w:val="22"/>
        </w:rPr>
        <w:t>), para la formalización de las operaciones y la entrega de las viviendas, a partir de la firma de la adenda al contrato.</w:t>
      </w:r>
    </w:p>
    <w:p w:rsidR="006B1E77" w:rsidRDefault="006B1E77" w:rsidP="006B1E77">
      <w:pPr>
        <w:spacing w:line="360" w:lineRule="auto"/>
        <w:jc w:val="both"/>
        <w:rPr>
          <w:rFonts w:cs="Arial"/>
          <w:color w:val="000000"/>
          <w:sz w:val="22"/>
          <w:szCs w:val="22"/>
        </w:rPr>
      </w:pPr>
      <w:r>
        <w:rPr>
          <w:rFonts w:cs="Arial"/>
          <w:color w:val="000000"/>
          <w:sz w:val="22"/>
          <w:szCs w:val="22"/>
        </w:rPr>
        <w:t>c) D</w:t>
      </w:r>
      <w:r w:rsidR="00DB4CB9">
        <w:rPr>
          <w:rFonts w:cs="Arial"/>
          <w:color w:val="000000"/>
          <w:sz w:val="22"/>
          <w:szCs w:val="22"/>
        </w:rPr>
        <w:t>oce</w:t>
      </w:r>
      <w:r>
        <w:rPr>
          <w:rFonts w:cs="Arial"/>
          <w:color w:val="000000"/>
          <w:sz w:val="22"/>
          <w:szCs w:val="22"/>
        </w:rPr>
        <w:t xml:space="preserve"> meses (incluyendo los </w:t>
      </w:r>
      <w:r w:rsidR="00DB4CB9">
        <w:rPr>
          <w:rFonts w:cs="Arial"/>
          <w:color w:val="000000"/>
          <w:sz w:val="22"/>
          <w:szCs w:val="22"/>
        </w:rPr>
        <w:t>nueve</w:t>
      </w:r>
      <w:r>
        <w:rPr>
          <w:rFonts w:cs="Arial"/>
          <w:color w:val="000000"/>
          <w:sz w:val="22"/>
          <w:szCs w:val="22"/>
        </w:rPr>
        <w:t xml:space="preserve"> meses anteriores), para la entrega del cierre técnico y financiero del proyecto, a partir de la firma de la adenda al contrato.</w:t>
      </w:r>
    </w:p>
    <w:p w:rsidR="006B1E77" w:rsidRDefault="006B1E77" w:rsidP="006B1E77">
      <w:pPr>
        <w:spacing w:line="360" w:lineRule="auto"/>
        <w:jc w:val="both"/>
        <w:rPr>
          <w:rFonts w:cs="Arial"/>
          <w:color w:val="000000"/>
          <w:sz w:val="22"/>
          <w:szCs w:val="22"/>
        </w:rPr>
      </w:pPr>
    </w:p>
    <w:p w:rsidR="006B1E77" w:rsidRDefault="006B1E77" w:rsidP="006B1E77">
      <w:pPr>
        <w:autoSpaceDE w:val="0"/>
        <w:autoSpaceDN w:val="0"/>
        <w:adjustRightInd w:val="0"/>
        <w:spacing w:line="360" w:lineRule="auto"/>
        <w:jc w:val="both"/>
        <w:rPr>
          <w:rFonts w:cs="Arial"/>
          <w:sz w:val="22"/>
          <w:szCs w:val="22"/>
          <w:lang w:val="es-ES_tradnl"/>
        </w:rPr>
      </w:pPr>
      <w:r>
        <w:rPr>
          <w:rFonts w:cs="Arial"/>
          <w:b/>
          <w:sz w:val="22"/>
          <w:szCs w:val="22"/>
          <w:lang w:val="es-ES_tradnl"/>
        </w:rPr>
        <w:t>2</w:t>
      </w:r>
      <w:r w:rsidRPr="00866839">
        <w:rPr>
          <w:rFonts w:cs="Arial"/>
          <w:b/>
          <w:sz w:val="22"/>
          <w:szCs w:val="22"/>
          <w:lang w:val="es-ES_tradnl"/>
        </w:rPr>
        <w:t>)</w:t>
      </w:r>
      <w:r>
        <w:rPr>
          <w:rFonts w:cs="Arial"/>
          <w:sz w:val="22"/>
          <w:szCs w:val="22"/>
          <w:lang w:val="es-ES_tradnl"/>
        </w:rPr>
        <w:t xml:space="preserve"> </w:t>
      </w:r>
      <w:r w:rsidR="00DB4CB9">
        <w:rPr>
          <w:rFonts w:cs="Arial"/>
          <w:sz w:val="22"/>
          <w:szCs w:val="22"/>
          <w:lang w:val="es-ES_tradnl"/>
        </w:rPr>
        <w:t>La referida ampliación del plazo es exclusiva para las obras indicadas en el informe DF-OF-0788-2019 de la Dirección FOSUVI y cuyo atraso en la construcción no son responsabilidad de la empresa constructora ni de la entidad autorizada.  No se aceptará ampliación de plazo para otras obras mediante esta aprobación y en caso de eventuales obras faltantes en las viviendas o infraestructura, que no hayan culminado y no haya justificación, se deben aplicar</w:t>
      </w:r>
      <w:r>
        <w:rPr>
          <w:rFonts w:cs="Arial"/>
          <w:sz w:val="22"/>
          <w:szCs w:val="22"/>
          <w:lang w:val="es-ES_tradnl"/>
        </w:rPr>
        <w:t xml:space="preserve"> las sanciones establecidas en el contrato.</w:t>
      </w:r>
    </w:p>
    <w:p w:rsidR="006B1E77" w:rsidRDefault="006B1E77" w:rsidP="006B1E77">
      <w:pPr>
        <w:spacing w:line="360" w:lineRule="auto"/>
        <w:jc w:val="both"/>
        <w:rPr>
          <w:rFonts w:cs="Arial"/>
          <w:color w:val="000000"/>
          <w:sz w:val="22"/>
          <w:szCs w:val="22"/>
        </w:rPr>
      </w:pPr>
    </w:p>
    <w:p w:rsidR="002B71CC" w:rsidRDefault="006B1E77" w:rsidP="002B71CC">
      <w:pPr>
        <w:spacing w:line="360" w:lineRule="auto"/>
        <w:jc w:val="both"/>
        <w:rPr>
          <w:rFonts w:cs="Arial"/>
          <w:sz w:val="22"/>
          <w:szCs w:val="22"/>
        </w:rPr>
      </w:pPr>
      <w:r>
        <w:rPr>
          <w:rFonts w:cs="Arial"/>
          <w:b/>
          <w:color w:val="000000"/>
          <w:sz w:val="22"/>
          <w:szCs w:val="22"/>
        </w:rPr>
        <w:t>3</w:t>
      </w:r>
      <w:r w:rsidRPr="007D072B">
        <w:rPr>
          <w:rFonts w:cs="Arial"/>
          <w:b/>
          <w:color w:val="000000"/>
          <w:sz w:val="22"/>
          <w:szCs w:val="22"/>
        </w:rPr>
        <w:t>)</w:t>
      </w:r>
      <w:r>
        <w:rPr>
          <w:rFonts w:cs="Arial"/>
          <w:color w:val="000000"/>
          <w:sz w:val="22"/>
          <w:szCs w:val="22"/>
        </w:rPr>
        <w:t xml:space="preserve"> Deberá realizarse una adenda al contrato de administración de recursos, </w:t>
      </w:r>
      <w:r>
        <w:rPr>
          <w:rFonts w:cs="Arial"/>
          <w:sz w:val="22"/>
          <w:szCs w:val="22"/>
          <w:lang w:val="es-CR"/>
        </w:rPr>
        <w:t>incorporando los plazos señalados en la presente resolución.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A61745" w:rsidRDefault="00A61745" w:rsidP="00A61745">
      <w:pPr>
        <w:spacing w:line="360" w:lineRule="auto"/>
        <w:jc w:val="both"/>
        <w:rPr>
          <w:rFonts w:cs="Arial"/>
          <w:b/>
          <w:bCs/>
          <w:sz w:val="22"/>
          <w:szCs w:val="22"/>
        </w:rPr>
      </w:pPr>
      <w:r>
        <w:rPr>
          <w:rFonts w:cs="Arial"/>
          <w:b/>
          <w:bCs/>
          <w:sz w:val="22"/>
          <w:szCs w:val="22"/>
        </w:rPr>
        <w:t>Considerando:</w:t>
      </w:r>
    </w:p>
    <w:p w:rsidR="00A61745" w:rsidRDefault="00A61745" w:rsidP="00A61745">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GG-ME-0734-2019 del 12 de julio de 2019, la Gerencia General remite y avala el informe </w:t>
      </w:r>
      <w:r>
        <w:rPr>
          <w:rFonts w:cs="Arial"/>
          <w:sz w:val="22"/>
          <w:szCs w:val="22"/>
        </w:rPr>
        <w:t>DF</w:t>
      </w:r>
      <w:r w:rsidRPr="00B35EAF">
        <w:rPr>
          <w:rFonts w:cs="Arial"/>
          <w:sz w:val="22"/>
          <w:szCs w:val="22"/>
        </w:rPr>
        <w:t>-OF-</w:t>
      </w:r>
      <w:r>
        <w:rPr>
          <w:rFonts w:cs="Arial"/>
          <w:sz w:val="22"/>
          <w:szCs w:val="22"/>
        </w:rPr>
        <w:t>0790</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 resumen de los resultados del estudio efectuado a las solicitudes</w:t>
      </w:r>
      <w:r w:rsidRPr="003D118D">
        <w:rPr>
          <w:rFonts w:cs="Arial"/>
          <w:bCs/>
          <w:sz w:val="22"/>
        </w:rPr>
        <w:t xml:space="preserve"> </w:t>
      </w:r>
      <w:r>
        <w:rPr>
          <w:rFonts w:cs="Arial"/>
          <w:bCs/>
          <w:sz w:val="22"/>
        </w:rPr>
        <w:t xml:space="preserve">del Instituto Nacional de Vivienda y Urbanismo, Coopealianza R.L. y </w:t>
      </w:r>
      <w:r>
        <w:rPr>
          <w:rFonts w:cs="Arial"/>
          <w:bCs/>
          <w:sz w:val="22"/>
          <w:szCs w:val="22"/>
        </w:rPr>
        <w:t>Grupo Mutual Alajuela – La Vivienda de Ahorro y Préstamo</w:t>
      </w:r>
      <w:r>
        <w:rPr>
          <w:rFonts w:cs="Arial"/>
          <w:bCs/>
          <w:sz w:val="22"/>
        </w:rPr>
        <w:t>,</w:t>
      </w:r>
      <w:r w:rsidRPr="00FD161B">
        <w:rPr>
          <w:rFonts w:cs="Arial"/>
          <w:bCs/>
          <w:sz w:val="22"/>
        </w:rPr>
        <w:t xml:space="preserve"> </w:t>
      </w:r>
      <w:r>
        <w:rPr>
          <w:rFonts w:cs="Arial"/>
          <w:bCs/>
          <w:sz w:val="22"/>
        </w:rPr>
        <w:t>para financiar diecisiete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Roberto Carlos López Rivera, Rocío Vásquez Guido, Dayana Jiménez Salazar, Yotgeng Pamela Chan Castillo, Eloisa Talavera Jirón, Yalile Lilliana Mora Quesada, Hazel Patricia Salas Martínez, Marlen Rodríguez Argüello, Hellen Catalina Abarca Muñoz, Lidieth Marcela Fuentes Cordero, Kattia Vanessa Cordero García, Miriam del Carmen Rojas Muñoz, Stephanie Alfaro Gómez, Dora Fonseca Arce, Luz Mary Calderón Quesada,  Roy Antonio Beita Morales y Francini Flores Rivera.</w:t>
      </w:r>
    </w:p>
    <w:p w:rsidR="00A61745" w:rsidRDefault="00A61745" w:rsidP="00A61745">
      <w:pPr>
        <w:spacing w:line="360" w:lineRule="auto"/>
        <w:jc w:val="both"/>
        <w:rPr>
          <w:rFonts w:cs="Arial"/>
          <w:bCs/>
          <w:sz w:val="22"/>
        </w:rPr>
      </w:pPr>
    </w:p>
    <w:p w:rsidR="00A61745" w:rsidRDefault="00A61745" w:rsidP="00A61745">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A61745" w:rsidRDefault="00A61745" w:rsidP="00A61745">
      <w:pPr>
        <w:spacing w:line="360" w:lineRule="auto"/>
        <w:jc w:val="both"/>
        <w:rPr>
          <w:rFonts w:cs="Arial"/>
          <w:bCs/>
          <w:sz w:val="22"/>
          <w:szCs w:val="22"/>
        </w:rPr>
      </w:pPr>
    </w:p>
    <w:p w:rsidR="00A61745" w:rsidRDefault="00A61745" w:rsidP="00A61745">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0790</w:t>
      </w:r>
      <w:r w:rsidRPr="00B35EAF">
        <w:rPr>
          <w:rFonts w:cs="Arial"/>
          <w:sz w:val="22"/>
          <w:szCs w:val="22"/>
        </w:rPr>
        <w:t>-201</w:t>
      </w:r>
      <w:r>
        <w:rPr>
          <w:rFonts w:cs="Arial"/>
          <w:sz w:val="22"/>
          <w:szCs w:val="22"/>
        </w:rPr>
        <w:t>9</w:t>
      </w:r>
      <w:r>
        <w:rPr>
          <w:rFonts w:cs="Arial"/>
          <w:bCs/>
          <w:sz w:val="22"/>
          <w:szCs w:val="22"/>
        </w:rPr>
        <w:t>.</w:t>
      </w:r>
    </w:p>
    <w:p w:rsidR="00A61745" w:rsidRPr="00F80BE0" w:rsidRDefault="00A61745" w:rsidP="00A61745">
      <w:pPr>
        <w:spacing w:line="360" w:lineRule="auto"/>
        <w:jc w:val="both"/>
        <w:rPr>
          <w:rFonts w:cs="Arial"/>
          <w:bCs/>
          <w:sz w:val="16"/>
          <w:szCs w:val="16"/>
          <w:lang w:val="es-ES_tradnl"/>
        </w:rPr>
      </w:pPr>
    </w:p>
    <w:p w:rsidR="00A61745" w:rsidRDefault="00A61745" w:rsidP="00A61745">
      <w:pPr>
        <w:spacing w:line="360" w:lineRule="auto"/>
        <w:jc w:val="both"/>
        <w:rPr>
          <w:rFonts w:cs="Arial"/>
          <w:b/>
          <w:bCs/>
          <w:sz w:val="22"/>
          <w:szCs w:val="22"/>
        </w:rPr>
      </w:pPr>
      <w:r>
        <w:rPr>
          <w:rFonts w:cs="Arial"/>
          <w:b/>
          <w:bCs/>
          <w:sz w:val="22"/>
          <w:szCs w:val="22"/>
        </w:rPr>
        <w:t>Por tanto, se acuerda:</w:t>
      </w:r>
    </w:p>
    <w:p w:rsidR="00A61745" w:rsidRDefault="00A61745" w:rsidP="00A61745">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diecisiete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0790</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A61745" w:rsidRDefault="00A61745" w:rsidP="00A61745">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A61745" w:rsidRPr="0008063E" w:rsidTr="007175F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1745" w:rsidRPr="0008063E" w:rsidRDefault="00A61745" w:rsidP="007175F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A61745" w:rsidRPr="00142DB9" w:rsidTr="007175FA">
        <w:trPr>
          <w:trHeight w:val="20"/>
        </w:trPr>
        <w:tc>
          <w:tcPr>
            <w:tcW w:w="1575" w:type="dxa"/>
            <w:tcBorders>
              <w:top w:val="single" w:sz="4" w:space="0" w:color="auto"/>
              <w:left w:val="single" w:sz="4" w:space="0" w:color="auto"/>
              <w:bottom w:val="nil"/>
              <w:right w:val="single" w:sz="4" w:space="0" w:color="auto"/>
            </w:tcBorders>
            <w:vAlign w:val="center"/>
          </w:tcPr>
          <w:p w:rsidR="00A61745" w:rsidRPr="00142DB9" w:rsidRDefault="00A61745" w:rsidP="007175F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A61745" w:rsidRPr="00142DB9" w:rsidRDefault="00A61745" w:rsidP="007175F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61745" w:rsidRPr="00142DB9" w:rsidRDefault="00A61745" w:rsidP="007175F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A61745" w:rsidRPr="00142DB9" w:rsidRDefault="00A61745" w:rsidP="007175F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A61745" w:rsidRDefault="00A61745" w:rsidP="007175F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A61745" w:rsidRDefault="00A61745" w:rsidP="007175F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745" w:rsidRPr="00142DB9" w:rsidRDefault="00A61745" w:rsidP="007175F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745" w:rsidRPr="00142DB9" w:rsidRDefault="00A61745" w:rsidP="007175F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A61745" w:rsidRPr="00142DB9" w:rsidRDefault="00A61745" w:rsidP="007175F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61745" w:rsidRPr="00142DB9" w:rsidRDefault="00A61745" w:rsidP="007175F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745" w:rsidRPr="00142DB9" w:rsidRDefault="00A61745" w:rsidP="007175F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Yotgeng Pamela Chan Castillo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6-0353-0326</w:t>
            </w:r>
          </w:p>
        </w:tc>
        <w:tc>
          <w:tcPr>
            <w:tcW w:w="709"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6-107233</w:t>
            </w:r>
          </w:p>
        </w:tc>
        <w:tc>
          <w:tcPr>
            <w:tcW w:w="851"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120.900,00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403.000,00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18.472.100,00</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Marlen de lo Ángeles Rodríguez Arguello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6-0306-0327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6-87855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10.052.315,96</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39.700,00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397.000,00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16.609.615,96</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Hellen Catalina Abarca Muñoz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1-1207-0603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7-168013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3.270.000,00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8.186.722,86</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411443">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143.57</w:t>
            </w:r>
            <w:r w:rsidR="00411443" w:rsidRPr="008045A6">
              <w:rPr>
                <w:rFonts w:ascii="Arial Narrow" w:hAnsi="Arial Narrow" w:cs="Arial"/>
                <w:sz w:val="16"/>
                <w:szCs w:val="16"/>
                <w:lang w:val="es-CR" w:eastAsia="es-CR"/>
              </w:rPr>
              <w:t>6</w:t>
            </w:r>
            <w:r w:rsidRPr="008045A6">
              <w:rPr>
                <w:rFonts w:ascii="Arial Narrow" w:hAnsi="Arial Narrow" w:cs="Arial"/>
                <w:sz w:val="16"/>
                <w:szCs w:val="16"/>
                <w:lang w:val="es-CR" w:eastAsia="es-CR"/>
              </w:rPr>
              <w:t>,32</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354.000,00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11.667.146,54</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Miriam del Carmen Rojas Muñoz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6-0259-0674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7-164407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3.564.000,00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419.545,05</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13.409.545,05</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Stephanie Alfaro Gómez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7-0226-0728-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7-32831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4.828.000,00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120.000,00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394.315,05</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14.678.315,05</w:t>
            </w:r>
          </w:p>
        </w:tc>
      </w:tr>
      <w:tr w:rsidR="00A61745" w:rsidRPr="0061427A"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Dora del Carmen Fonseca Arce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6-0056-0724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6-225565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10.350.000,00</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129.000,00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430.000,00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61427A"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19.651.000,00</w:t>
            </w:r>
          </w:p>
        </w:tc>
      </w:tr>
      <w:tr w:rsidR="00A61745" w:rsidRPr="00655308" w:rsidTr="007175F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1745" w:rsidRPr="00655308" w:rsidRDefault="00A61745" w:rsidP="007175FA">
            <w:pPr>
              <w:ind w:left="87"/>
              <w:rPr>
                <w:rFonts w:cs="Arial"/>
                <w:b/>
                <w:bCs/>
                <w:iCs/>
                <w:sz w:val="20"/>
                <w:szCs w:val="20"/>
                <w:lang w:val="es-CR" w:eastAsia="es-CR"/>
              </w:rPr>
            </w:pPr>
            <w:r w:rsidRPr="00655308">
              <w:rPr>
                <w:rFonts w:cs="Arial"/>
                <w:b/>
                <w:bCs/>
                <w:iCs/>
                <w:sz w:val="20"/>
                <w:szCs w:val="20"/>
                <w:lang w:val="es-CR" w:eastAsia="es-CR"/>
              </w:rPr>
              <w:t>Entidad Autorizada:   COOPEALIANZA R.L.</w:t>
            </w:r>
          </w:p>
        </w:tc>
      </w:tr>
      <w:tr w:rsidR="00A61745" w:rsidRPr="00655308" w:rsidTr="007175FA">
        <w:trPr>
          <w:trHeight w:val="20"/>
        </w:trPr>
        <w:tc>
          <w:tcPr>
            <w:tcW w:w="1575" w:type="dxa"/>
            <w:tcBorders>
              <w:top w:val="single" w:sz="4" w:space="0" w:color="auto"/>
              <w:left w:val="single" w:sz="4" w:space="0" w:color="auto"/>
              <w:bottom w:val="nil"/>
              <w:right w:val="single" w:sz="4" w:space="0" w:color="auto"/>
            </w:tcBorders>
            <w:vAlign w:val="center"/>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Propó-sito</w:t>
            </w:r>
          </w:p>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A61745" w:rsidRPr="00655308" w:rsidRDefault="00A61745" w:rsidP="007175FA">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Roberto Carlos López Rivera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8-0090-0896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3-259241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120.932,14</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403.107,13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14.472.174,99</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Rocío de los Ángeles Vásquez Guido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1-0958-0450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6-212472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3.390.000,00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9.746.791,94</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39.545,99</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395.459,89</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13.492.705,84</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Dayana Jiménez Salazar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1-1542-0634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1-680822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4.483.040,00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37.656,03</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376.560,33</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13.011.944,30</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Yalile Lilliana Mora Quesada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1-1236-0173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1-679464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8.205.473,43</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111.595,53</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371.985,10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12.665.863,00</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Hazel Patricia Salas Martínez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7-0142-0612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6-216295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5.450.000,00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43.158,83</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431.588,25</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15.588.429,43</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Lidieth Marcela Fuentes Cordero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6-0335-0058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1-685949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5.796.000,00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10.348.814,53</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135.681,15</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452.270,49</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16.461.403,87</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Kattia Vanessa Cordero García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1-1303-0977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1-672842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8.188.885,50</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120.923,97</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403.079,90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14.471.041,43</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Luz Mary Calderón Quesada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1-0431-0197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6-221817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8.232.774.63</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113.370,60</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377.901,99</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12.997.306,02</w:t>
            </w:r>
          </w:p>
        </w:tc>
      </w:tr>
      <w:tr w:rsidR="00A61745" w:rsidRPr="008045A6"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Roy Antonio Beita Morales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1-0850-0943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6-216635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4.550.000,00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37.773,21</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377.732,13</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13.079.958,92</w:t>
            </w:r>
          </w:p>
        </w:tc>
      </w:tr>
      <w:tr w:rsidR="00A61745" w:rsidRPr="0061427A"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Francini Flores Rivera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6-0419-0440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6-221814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8045A6"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7.565.895,03</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36.161,21</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361.612,11</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61427A"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12.391.345,93</w:t>
            </w:r>
          </w:p>
        </w:tc>
      </w:tr>
      <w:tr w:rsidR="00A61745" w:rsidRPr="00655308" w:rsidTr="007175F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1745" w:rsidRPr="00655308" w:rsidRDefault="00A61745" w:rsidP="007175FA">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A61745" w:rsidRPr="00655308" w:rsidTr="007175FA">
        <w:trPr>
          <w:trHeight w:val="20"/>
        </w:trPr>
        <w:tc>
          <w:tcPr>
            <w:tcW w:w="1575" w:type="dxa"/>
            <w:tcBorders>
              <w:top w:val="single" w:sz="4" w:space="0" w:color="auto"/>
              <w:left w:val="single" w:sz="4" w:space="0" w:color="auto"/>
              <w:bottom w:val="nil"/>
              <w:right w:val="single" w:sz="4" w:space="0" w:color="auto"/>
            </w:tcBorders>
            <w:vAlign w:val="center"/>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Propó-sito</w:t>
            </w:r>
          </w:p>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A61745" w:rsidRPr="00655308" w:rsidRDefault="00A61745" w:rsidP="007175FA">
            <w:pPr>
              <w:ind w:left="-70"/>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1745" w:rsidRPr="00655308" w:rsidRDefault="00A61745" w:rsidP="007175FA">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A61745" w:rsidRPr="0061427A" w:rsidTr="007175FA">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rPr>
                <w:rFonts w:ascii="Arial Narrow" w:hAnsi="Arial Narrow" w:cs="Arial"/>
                <w:sz w:val="16"/>
                <w:szCs w:val="16"/>
                <w:lang w:val="es-CR" w:eastAsia="es-CR"/>
              </w:rPr>
            </w:pPr>
            <w:r w:rsidRPr="008045A6">
              <w:rPr>
                <w:rFonts w:ascii="Arial Narrow" w:hAnsi="Arial Narrow" w:cs="Arial"/>
                <w:sz w:val="16"/>
                <w:szCs w:val="16"/>
                <w:lang w:val="es-CR" w:eastAsia="es-CR"/>
              </w:rPr>
              <w:t>Eloísa del Carmen Talavera Jirón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155818</w:t>
            </w:r>
            <w:r w:rsidR="00411443" w:rsidRPr="008045A6">
              <w:rPr>
                <w:rFonts w:ascii="Arial Narrow" w:hAnsi="Arial Narrow" w:cs="Arial"/>
                <w:sz w:val="16"/>
                <w:szCs w:val="16"/>
                <w:lang w:val="es-CR" w:eastAsia="es-CR"/>
              </w:rPr>
              <w:t>-</w:t>
            </w:r>
          </w:p>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068507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2-353998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Palmares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18.400.000,00</w:t>
            </w:r>
          </w:p>
        </w:tc>
        <w:tc>
          <w:tcPr>
            <w:tcW w:w="851" w:type="dxa"/>
            <w:tcBorders>
              <w:top w:val="single" w:sz="4" w:space="0" w:color="auto"/>
              <w:left w:val="nil"/>
              <w:bottom w:val="single" w:sz="4" w:space="0" w:color="auto"/>
              <w:right w:val="single" w:sz="4" w:space="0" w:color="auto"/>
            </w:tcBorders>
            <w:vAlign w:val="center"/>
          </w:tcPr>
          <w:p w:rsidR="00A61745" w:rsidRPr="008045A6" w:rsidRDefault="00A61745" w:rsidP="007175FA">
            <w:pPr>
              <w:ind w:left="-70"/>
              <w:jc w:val="center"/>
              <w:rPr>
                <w:rFonts w:ascii="Arial Narrow" w:hAnsi="Arial Narrow" w:cs="Arial"/>
                <w:sz w:val="16"/>
                <w:szCs w:val="16"/>
                <w:lang w:val="es-CR" w:eastAsia="es-CR"/>
              </w:rPr>
            </w:pPr>
            <w:r w:rsidRPr="008045A6">
              <w:rPr>
                <w:rFonts w:ascii="Arial Narrow" w:hAnsi="Arial Narrow" w:cs="Arial"/>
                <w:sz w:val="16"/>
                <w:szCs w:val="16"/>
                <w:lang w:val="es-CR" w:eastAsia="es-CR"/>
              </w:rPr>
              <w:t>37.487,73</w:t>
            </w:r>
          </w:p>
        </w:tc>
        <w:tc>
          <w:tcPr>
            <w:tcW w:w="837" w:type="dxa"/>
            <w:tcBorders>
              <w:top w:val="single" w:sz="4" w:space="0" w:color="auto"/>
              <w:left w:val="nil"/>
              <w:bottom w:val="single" w:sz="4" w:space="0" w:color="auto"/>
              <w:right w:val="single" w:sz="4" w:space="0" w:color="auto"/>
            </w:tcBorders>
            <w:shd w:val="clear" w:color="auto" w:fill="auto"/>
            <w:vAlign w:val="center"/>
          </w:tcPr>
          <w:p w:rsidR="00A61745" w:rsidRPr="008045A6" w:rsidRDefault="00A61745" w:rsidP="007175FA">
            <w:pPr>
              <w:jc w:val="center"/>
              <w:rPr>
                <w:rFonts w:ascii="Arial Narrow" w:hAnsi="Arial Narrow" w:cs="Arial"/>
                <w:sz w:val="16"/>
                <w:szCs w:val="16"/>
                <w:lang w:val="es-CR" w:eastAsia="es-CR"/>
              </w:rPr>
            </w:pPr>
            <w:r w:rsidRPr="008045A6">
              <w:rPr>
                <w:rFonts w:ascii="Arial Narrow" w:hAnsi="Arial Narrow" w:cs="Arial"/>
                <w:sz w:val="16"/>
                <w:szCs w:val="16"/>
                <w:lang w:val="es-CR" w:eastAsia="es-CR"/>
              </w:rPr>
              <w:t>124.959,11</w:t>
            </w:r>
          </w:p>
        </w:tc>
        <w:tc>
          <w:tcPr>
            <w:tcW w:w="992" w:type="dxa"/>
            <w:tcBorders>
              <w:top w:val="single" w:sz="4" w:space="0" w:color="auto"/>
              <w:left w:val="nil"/>
              <w:bottom w:val="single" w:sz="4" w:space="0" w:color="auto"/>
              <w:right w:val="single" w:sz="4" w:space="0" w:color="auto"/>
            </w:tcBorders>
            <w:shd w:val="clear" w:color="auto" w:fill="auto"/>
            <w:vAlign w:val="center"/>
          </w:tcPr>
          <w:p w:rsidR="00A61745" w:rsidRPr="0061427A" w:rsidRDefault="00A61745" w:rsidP="007175FA">
            <w:pPr>
              <w:ind w:left="-70"/>
              <w:jc w:val="right"/>
              <w:rPr>
                <w:rFonts w:ascii="Arial Narrow" w:hAnsi="Arial Narrow" w:cs="Arial"/>
                <w:sz w:val="16"/>
                <w:szCs w:val="16"/>
                <w:lang w:val="es-CR" w:eastAsia="es-CR"/>
              </w:rPr>
            </w:pPr>
            <w:r w:rsidRPr="008045A6">
              <w:rPr>
                <w:rFonts w:ascii="Arial Narrow" w:hAnsi="Arial Narrow" w:cs="Arial"/>
                <w:sz w:val="16"/>
                <w:szCs w:val="16"/>
                <w:lang w:val="es-CR" w:eastAsia="es-CR"/>
              </w:rPr>
              <w:t>18.487.471,38</w:t>
            </w:r>
          </w:p>
        </w:tc>
      </w:tr>
      <w:tr w:rsidR="00A61745" w:rsidRPr="00F67547" w:rsidTr="007175FA">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A61745" w:rsidRPr="00F67547" w:rsidRDefault="00A61745" w:rsidP="007175FA">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A61745" w:rsidRPr="00F67547" w:rsidRDefault="00A61745" w:rsidP="007175FA">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A61745" w:rsidRPr="00F67547" w:rsidTr="007175FA">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A61745" w:rsidRPr="00F67547" w:rsidRDefault="00A61745" w:rsidP="007175FA">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61745" w:rsidRPr="00F67547" w:rsidRDefault="00A61745" w:rsidP="007175FA">
            <w:pPr>
              <w:jc w:val="both"/>
              <w:rPr>
                <w:rFonts w:ascii="Arial Narrow" w:hAnsi="Arial Narrow" w:cs="Arial"/>
                <w:sz w:val="16"/>
                <w:szCs w:val="16"/>
                <w:lang w:val="es-CR"/>
              </w:rPr>
            </w:pPr>
            <w:r>
              <w:rPr>
                <w:rFonts w:ascii="Arial Narrow" w:hAnsi="Arial Narrow" w:cs="Arial"/>
                <w:sz w:val="16"/>
                <w:szCs w:val="16"/>
                <w:lang w:val="es-CR"/>
              </w:rPr>
              <w:t>CSP: Construcción de Segunda Planta en Vivienda Existente</w:t>
            </w:r>
          </w:p>
        </w:tc>
      </w:tr>
    </w:tbl>
    <w:p w:rsidR="00A61745" w:rsidRDefault="00A61745" w:rsidP="00A61745">
      <w:pPr>
        <w:spacing w:line="360" w:lineRule="auto"/>
        <w:jc w:val="both"/>
        <w:rPr>
          <w:rFonts w:cs="Arial"/>
          <w:sz w:val="22"/>
          <w:szCs w:val="22"/>
        </w:rPr>
      </w:pPr>
    </w:p>
    <w:p w:rsidR="00A61745" w:rsidRPr="00FD161B" w:rsidRDefault="00A61745" w:rsidP="00A61745">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A61745" w:rsidRPr="00FD161B" w:rsidRDefault="00A61745" w:rsidP="00A61745">
      <w:pPr>
        <w:spacing w:line="360" w:lineRule="auto"/>
        <w:jc w:val="both"/>
        <w:rPr>
          <w:rFonts w:cs="Arial"/>
          <w:bCs/>
          <w:sz w:val="22"/>
          <w:szCs w:val="22"/>
        </w:rPr>
      </w:pPr>
    </w:p>
    <w:p w:rsidR="00A61745" w:rsidRPr="00FD161B" w:rsidRDefault="00A61745" w:rsidP="00A61745">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A61745" w:rsidRPr="00FD161B" w:rsidRDefault="00A61745" w:rsidP="00A61745">
      <w:pPr>
        <w:spacing w:line="360" w:lineRule="auto"/>
        <w:jc w:val="both"/>
        <w:rPr>
          <w:rFonts w:cs="Arial"/>
          <w:bCs/>
          <w:sz w:val="22"/>
          <w:szCs w:val="22"/>
        </w:rPr>
      </w:pPr>
    </w:p>
    <w:p w:rsidR="00A61745" w:rsidRPr="00FD161B" w:rsidRDefault="00A61745" w:rsidP="00A61745">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A61745" w:rsidRPr="00FD161B" w:rsidRDefault="00A61745" w:rsidP="00A61745">
      <w:pPr>
        <w:spacing w:line="360" w:lineRule="auto"/>
        <w:jc w:val="both"/>
        <w:rPr>
          <w:rFonts w:cs="Arial"/>
          <w:bCs/>
          <w:sz w:val="22"/>
          <w:szCs w:val="22"/>
        </w:rPr>
      </w:pPr>
    </w:p>
    <w:p w:rsidR="00A61745" w:rsidRDefault="00A61745" w:rsidP="003D118D">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Default="00BC41E7" w:rsidP="002B71CC">
      <w:pPr>
        <w:spacing w:line="360" w:lineRule="auto"/>
        <w:jc w:val="both"/>
        <w:rPr>
          <w:rFonts w:cs="Arial"/>
          <w:sz w:val="22"/>
          <w:szCs w:val="22"/>
        </w:rPr>
      </w:pPr>
      <w:r>
        <w:rPr>
          <w:rFonts w:cs="Arial"/>
          <w:sz w:val="22"/>
          <w:szCs w:val="22"/>
        </w:rPr>
        <w:t xml:space="preserve">Instruir a la </w:t>
      </w:r>
      <w:r w:rsidRPr="00BC41E7">
        <w:rPr>
          <w:rFonts w:cs="Arial"/>
          <w:sz w:val="22"/>
          <w:szCs w:val="22"/>
        </w:rPr>
        <w:t>Administración</w:t>
      </w:r>
      <w:r>
        <w:rPr>
          <w:rFonts w:cs="Arial"/>
          <w:sz w:val="22"/>
          <w:szCs w:val="22"/>
        </w:rPr>
        <w:t xml:space="preserve">, para que revise el monto considerado en el </w:t>
      </w:r>
      <w:r w:rsidRPr="00BC41E7">
        <w:rPr>
          <w:rFonts w:cs="Arial"/>
          <w:color w:val="000000"/>
          <w:sz w:val="22"/>
          <w:szCs w:val="22"/>
          <w:lang w:val="es-CR"/>
        </w:rPr>
        <w:t xml:space="preserve">Bono </w:t>
      </w:r>
      <w:r>
        <w:rPr>
          <w:rFonts w:cs="Arial"/>
          <w:color w:val="000000"/>
          <w:sz w:val="22"/>
          <w:szCs w:val="22"/>
          <w:lang w:val="es-CR"/>
        </w:rPr>
        <w:t xml:space="preserve">ordinario </w:t>
      </w:r>
      <w:r>
        <w:rPr>
          <w:rFonts w:cs="Arial"/>
          <w:sz w:val="22"/>
          <w:szCs w:val="22"/>
        </w:rPr>
        <w:t>para la construcción de la acometida eléctrica, con el fin de determinar si se contempla una acometida aérea o subterránea, así como la eventual necesidad de realizar un ajuste al monto vigente.</w:t>
      </w:r>
    </w:p>
    <w:p w:rsidR="002B71CC" w:rsidRDefault="002B71CC" w:rsidP="002B71CC">
      <w:pPr>
        <w:spacing w:line="360" w:lineRule="auto"/>
        <w:jc w:val="both"/>
        <w:rPr>
          <w:rFonts w:cs="Arial"/>
          <w:sz w:val="22"/>
          <w:szCs w:val="22"/>
        </w:rPr>
      </w:pPr>
    </w:p>
    <w:p w:rsidR="002B71CC" w:rsidRDefault="00196118" w:rsidP="002B71CC">
      <w:pPr>
        <w:spacing w:line="360" w:lineRule="auto"/>
        <w:jc w:val="both"/>
        <w:rPr>
          <w:rFonts w:cs="Arial"/>
          <w:sz w:val="22"/>
          <w:szCs w:val="22"/>
        </w:rPr>
      </w:pPr>
      <w:r>
        <w:rPr>
          <w:rFonts w:cs="Arial"/>
          <w:sz w:val="22"/>
          <w:szCs w:val="22"/>
        </w:rPr>
        <w:t xml:space="preserve">Complementariamente, se solicita a la </w:t>
      </w:r>
      <w:r w:rsidRPr="00196118">
        <w:rPr>
          <w:rFonts w:cs="Arial"/>
          <w:sz w:val="22"/>
          <w:szCs w:val="22"/>
        </w:rPr>
        <w:t>Administración</w:t>
      </w:r>
      <w:r>
        <w:rPr>
          <w:rFonts w:cs="Arial"/>
          <w:sz w:val="22"/>
          <w:szCs w:val="22"/>
        </w:rPr>
        <w:t xml:space="preserve"> que de inmediato programe una reunión conjunta entre las entidades autorizadas y los constructores de viviendas con bono ordinario, a fin de aclarar y llegar a acuerdos con respecto al tema de las garantías que algunas entidades exigen a esos constructores.</w:t>
      </w:r>
    </w:p>
    <w:p w:rsidR="00C37227" w:rsidRDefault="00C37227" w:rsidP="002B71CC">
      <w:pPr>
        <w:spacing w:line="360" w:lineRule="auto"/>
        <w:jc w:val="both"/>
        <w:rPr>
          <w:rFonts w:cs="Arial"/>
          <w:sz w:val="22"/>
          <w:szCs w:val="22"/>
        </w:rPr>
      </w:pPr>
    </w:p>
    <w:p w:rsidR="00C37227" w:rsidRDefault="00C37227" w:rsidP="002B71CC">
      <w:pPr>
        <w:spacing w:line="360" w:lineRule="auto"/>
        <w:jc w:val="both"/>
        <w:rPr>
          <w:rFonts w:cs="Arial"/>
          <w:sz w:val="22"/>
          <w:szCs w:val="22"/>
        </w:rPr>
      </w:pPr>
      <w:r>
        <w:rPr>
          <w:rFonts w:cs="Arial"/>
          <w:sz w:val="22"/>
          <w:szCs w:val="22"/>
        </w:rPr>
        <w:t xml:space="preserve">Para atender las anteriores disposiciones, se otorga a la </w:t>
      </w:r>
      <w:r w:rsidRPr="00C37227">
        <w:rPr>
          <w:rFonts w:cs="Arial"/>
          <w:sz w:val="22"/>
          <w:szCs w:val="22"/>
        </w:rPr>
        <w:t>Administración</w:t>
      </w:r>
      <w:r>
        <w:rPr>
          <w:rFonts w:cs="Arial"/>
          <w:sz w:val="22"/>
          <w:szCs w:val="22"/>
        </w:rPr>
        <w:t xml:space="preserve"> un plazo de hasta el próximo </w:t>
      </w:r>
      <w:r w:rsidR="008C5FCA">
        <w:rPr>
          <w:rFonts w:cs="Arial"/>
          <w:sz w:val="22"/>
          <w:szCs w:val="22"/>
        </w:rPr>
        <w:t>1° de agosto</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B5E92" w:rsidRDefault="00F3418C" w:rsidP="002B71CC">
      <w:pPr>
        <w:spacing w:line="360" w:lineRule="auto"/>
        <w:jc w:val="both"/>
        <w:rPr>
          <w:rFonts w:cs="Arial"/>
          <w:sz w:val="22"/>
          <w:szCs w:val="22"/>
        </w:rPr>
      </w:pPr>
      <w:r>
        <w:rPr>
          <w:rFonts w:cs="Arial"/>
          <w:sz w:val="22"/>
          <w:szCs w:val="22"/>
        </w:rPr>
        <w:t xml:space="preserve">Instruir a la </w:t>
      </w:r>
      <w:r w:rsidRPr="00F3418C">
        <w:rPr>
          <w:rFonts w:cs="Arial"/>
          <w:sz w:val="22"/>
          <w:szCs w:val="22"/>
        </w:rPr>
        <w:t>Administración</w:t>
      </w:r>
      <w:r>
        <w:rPr>
          <w:rFonts w:cs="Arial"/>
          <w:sz w:val="22"/>
          <w:szCs w:val="22"/>
        </w:rPr>
        <w:t xml:space="preserve">, para que </w:t>
      </w:r>
      <w:r w:rsidR="002B5E92">
        <w:rPr>
          <w:rFonts w:cs="Arial"/>
          <w:sz w:val="22"/>
          <w:szCs w:val="22"/>
        </w:rPr>
        <w:t xml:space="preserve">con respecto a </w:t>
      </w:r>
      <w:r w:rsidR="002B5E92">
        <w:rPr>
          <w:rFonts w:cs="Arial"/>
          <w:sz w:val="22"/>
          <w:szCs w:val="22"/>
          <w:lang w:val="es-CR"/>
        </w:rPr>
        <w:t xml:space="preserve">la </w:t>
      </w:r>
      <w:r w:rsidR="002B5E92">
        <w:rPr>
          <w:rFonts w:cs="Arial"/>
          <w:sz w:val="22"/>
          <w:lang w:val="es-ES_tradnl"/>
        </w:rPr>
        <w:t xml:space="preserve">Norma INTECO </w:t>
      </w:r>
      <w:r w:rsidR="002B5E92" w:rsidRPr="00D91405">
        <w:rPr>
          <w:rFonts w:cs="Arial"/>
          <w:sz w:val="22"/>
          <w:lang w:val="es-CR"/>
        </w:rPr>
        <w:t>sobre elementos prefabricados para s</w:t>
      </w:r>
      <w:r w:rsidR="002B5E92">
        <w:rPr>
          <w:rFonts w:cs="Arial"/>
          <w:sz w:val="22"/>
          <w:lang w:val="es-CR"/>
        </w:rPr>
        <w:t>istemas de baldosas horizontales, realice las siguientes gestiones:</w:t>
      </w:r>
    </w:p>
    <w:p w:rsidR="002B71CC" w:rsidRDefault="002B5E92" w:rsidP="002B71CC">
      <w:pPr>
        <w:spacing w:line="360" w:lineRule="auto"/>
        <w:jc w:val="both"/>
        <w:rPr>
          <w:rFonts w:cs="Arial"/>
          <w:sz w:val="22"/>
          <w:lang w:val="es-CR"/>
        </w:rPr>
      </w:pPr>
      <w:r>
        <w:rPr>
          <w:rFonts w:cs="Arial"/>
          <w:sz w:val="22"/>
          <w:szCs w:val="22"/>
        </w:rPr>
        <w:t xml:space="preserve">a) Presente </w:t>
      </w:r>
      <w:r w:rsidR="00F3418C">
        <w:rPr>
          <w:rFonts w:cs="Arial"/>
          <w:sz w:val="22"/>
          <w:szCs w:val="22"/>
        </w:rPr>
        <w:t>a esta Junta Directiva</w:t>
      </w:r>
      <w:r w:rsidR="007D7FBA">
        <w:rPr>
          <w:rFonts w:cs="Arial"/>
          <w:sz w:val="22"/>
          <w:szCs w:val="22"/>
        </w:rPr>
        <w:t>,</w:t>
      </w:r>
      <w:r w:rsidR="00F3418C">
        <w:rPr>
          <w:rFonts w:cs="Arial"/>
          <w:sz w:val="22"/>
          <w:szCs w:val="22"/>
        </w:rPr>
        <w:t xml:space="preserve"> </w:t>
      </w:r>
      <w:r w:rsidR="007D7FBA">
        <w:rPr>
          <w:rFonts w:cs="Arial"/>
          <w:sz w:val="22"/>
          <w:szCs w:val="22"/>
          <w:lang w:val="es-CR"/>
        </w:rPr>
        <w:t>una propuesta con respecto a la aplicación</w:t>
      </w:r>
      <w:r>
        <w:rPr>
          <w:rFonts w:cs="Arial"/>
          <w:sz w:val="22"/>
          <w:szCs w:val="22"/>
          <w:lang w:val="es-CR"/>
        </w:rPr>
        <w:t xml:space="preserve"> dicha Norma</w:t>
      </w:r>
      <w:r w:rsidR="007D7FBA">
        <w:rPr>
          <w:rFonts w:cs="Arial"/>
          <w:sz w:val="22"/>
          <w:szCs w:val="22"/>
          <w:lang w:val="es-CR"/>
        </w:rPr>
        <w:t xml:space="preserve"> en el </w:t>
      </w:r>
      <w:r w:rsidR="007D7FBA" w:rsidRPr="007D7FBA">
        <w:rPr>
          <w:rFonts w:cs="Arial"/>
          <w:sz w:val="22"/>
          <w:szCs w:val="22"/>
          <w:lang w:val="es-CR"/>
        </w:rPr>
        <w:t>Sistema Financiero Nacional para la Vivienda</w:t>
      </w:r>
      <w:r w:rsidR="002C4B84">
        <w:rPr>
          <w:rFonts w:cs="Arial"/>
          <w:sz w:val="22"/>
          <w:szCs w:val="22"/>
          <w:lang w:val="es-CR"/>
        </w:rPr>
        <w:t>.</w:t>
      </w:r>
    </w:p>
    <w:p w:rsidR="002B5E92" w:rsidRDefault="002B5E92" w:rsidP="002B71CC">
      <w:pPr>
        <w:spacing w:line="360" w:lineRule="auto"/>
        <w:jc w:val="both"/>
        <w:rPr>
          <w:rFonts w:cs="Arial"/>
          <w:sz w:val="22"/>
          <w:szCs w:val="22"/>
        </w:rPr>
      </w:pPr>
      <w:r>
        <w:rPr>
          <w:rFonts w:cs="Arial"/>
          <w:sz w:val="22"/>
          <w:lang w:val="es-CR"/>
        </w:rPr>
        <w:t xml:space="preserve">b) Informe a este Órgano Colegiado, </w:t>
      </w:r>
      <w:r w:rsidR="005B41BA">
        <w:rPr>
          <w:rFonts w:cs="Arial"/>
          <w:sz w:val="22"/>
          <w:lang w:val="es-CR"/>
        </w:rPr>
        <w:t xml:space="preserve">si </w:t>
      </w:r>
      <w:r w:rsidR="002C4B84">
        <w:rPr>
          <w:rFonts w:cs="Arial"/>
          <w:sz w:val="22"/>
          <w:lang w:val="es-CR"/>
        </w:rPr>
        <w:t xml:space="preserve">la referida Norma es de acatamiento obligatorio y si </w:t>
      </w:r>
      <w:r w:rsidR="005B41BA">
        <w:rPr>
          <w:rFonts w:cs="Arial"/>
          <w:sz w:val="22"/>
          <w:lang w:val="es-CR"/>
        </w:rPr>
        <w:t xml:space="preserve">algunas entidades autorizadas </w:t>
      </w:r>
      <w:r w:rsidR="002C4B84">
        <w:rPr>
          <w:rFonts w:cs="Arial"/>
          <w:sz w:val="22"/>
          <w:lang w:val="es-CR"/>
        </w:rPr>
        <w:t xml:space="preserve">están exigiendo a los constructores de viviendas financiadas con recursos del FOSUVI, </w:t>
      </w:r>
      <w:r w:rsidR="005B41BA">
        <w:rPr>
          <w:rFonts w:cs="Arial"/>
          <w:sz w:val="22"/>
          <w:lang w:val="es-CR"/>
        </w:rPr>
        <w:t xml:space="preserve">el cumplimiento de </w:t>
      </w:r>
      <w:r w:rsidR="002C4B84">
        <w:rPr>
          <w:rFonts w:cs="Arial"/>
          <w:sz w:val="22"/>
          <w:lang w:val="es-CR"/>
        </w:rPr>
        <w:t>esa</w:t>
      </w:r>
      <w:r w:rsidR="005B41BA">
        <w:rPr>
          <w:rFonts w:cs="Arial"/>
          <w:sz w:val="22"/>
          <w:lang w:val="es-CR"/>
        </w:rPr>
        <w:t xml:space="preserve"> Norma</w:t>
      </w:r>
      <w:r w:rsidR="002C4B84">
        <w:rPr>
          <w:rFonts w:cs="Arial"/>
          <w:sz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Default="002F1B66" w:rsidP="002B71CC">
      <w:pPr>
        <w:spacing w:line="360" w:lineRule="auto"/>
        <w:jc w:val="both"/>
        <w:rPr>
          <w:rFonts w:cs="Arial"/>
          <w:sz w:val="22"/>
          <w:szCs w:val="22"/>
        </w:rPr>
      </w:pPr>
      <w:r>
        <w:rPr>
          <w:rFonts w:cs="Arial"/>
          <w:sz w:val="22"/>
          <w:lang w:val="es-ES_tradnl"/>
        </w:rPr>
        <w:t xml:space="preserve">Instruir a la </w:t>
      </w:r>
      <w:r w:rsidRPr="00B67087">
        <w:rPr>
          <w:rFonts w:cs="Arial"/>
          <w:sz w:val="22"/>
          <w:szCs w:val="22"/>
          <w:lang w:val="es-ES_tradnl"/>
        </w:rPr>
        <w:t>Administración</w:t>
      </w:r>
      <w:r>
        <w:rPr>
          <w:rFonts w:cs="Arial"/>
          <w:sz w:val="22"/>
          <w:szCs w:val="22"/>
          <w:lang w:val="es-ES_tradnl"/>
        </w:rPr>
        <w:t>, para que con el concurso de la Unidad de Comunicaciones, valore e implemente una estrategia efectiva, para dar respuestas precisas y oportunas, a las personas que realizan consultas en las redes sociales del Banco.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3F" w:rsidRDefault="00E96B3F">
      <w:r>
        <w:separator/>
      </w:r>
    </w:p>
  </w:endnote>
  <w:endnote w:type="continuationSeparator" w:id="0">
    <w:p w:rsidR="00E96B3F" w:rsidRDefault="00E9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3F" w:rsidRDefault="00E96B3F">
      <w:r>
        <w:separator/>
      </w:r>
    </w:p>
  </w:footnote>
  <w:footnote w:type="continuationSeparator" w:id="0">
    <w:p w:rsidR="00E96B3F" w:rsidRDefault="00E96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B3F" w:rsidRDefault="00E96B3F">
    <w:pPr>
      <w:pStyle w:val="Encabezado"/>
      <w:rPr>
        <w:lang w:val="es-ES"/>
      </w:rPr>
    </w:pPr>
  </w:p>
  <w:p w:rsidR="00E96B3F" w:rsidRDefault="00E96B3F">
    <w:pPr>
      <w:pStyle w:val="Encabezado"/>
      <w:rPr>
        <w:rStyle w:val="Nmerodepgina"/>
        <w:sz w:val="18"/>
      </w:rPr>
    </w:pPr>
    <w:r>
      <w:rPr>
        <w:sz w:val="18"/>
        <w:lang w:val="es-ES"/>
      </w:rPr>
      <w:t xml:space="preserve">    Minuta de la sesión Nº 54-2019                   15 de julio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354288">
      <w:rPr>
        <w:rStyle w:val="Nmerodepgina"/>
        <w:noProof/>
        <w:sz w:val="18"/>
      </w:rPr>
      <w:t>13</w:t>
    </w:r>
    <w:r>
      <w:rPr>
        <w:rStyle w:val="Nmerodepgina"/>
        <w:sz w:val="18"/>
      </w:rPr>
      <w:fldChar w:fldCharType="end"/>
    </w:r>
  </w:p>
  <w:p w:rsidR="00E96B3F" w:rsidRDefault="00E96B3F">
    <w:pPr>
      <w:pStyle w:val="Encabezado"/>
      <w:rPr>
        <w:sz w:val="18"/>
        <w:lang w:val="es-ES"/>
      </w:rPr>
    </w:pPr>
    <w:r>
      <w:rPr>
        <w:rStyle w:val="Nmerodepgina"/>
        <w:sz w:val="18"/>
      </w:rPr>
      <w:t>---------------------------------------------------------------------------------------------------------------------------------------------------</w:t>
    </w:r>
  </w:p>
  <w:p w:rsidR="00E96B3F" w:rsidRDefault="00E96B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A85332D"/>
    <w:multiLevelType w:val="hybridMultilevel"/>
    <w:tmpl w:val="3FEE1238"/>
    <w:lvl w:ilvl="0" w:tplc="B484D834">
      <w:start w:val="1"/>
      <w:numFmt w:val="lowerLetter"/>
      <w:lvlText w:val="%1."/>
      <w:lvlJc w:val="left"/>
      <w:pPr>
        <w:tabs>
          <w:tab w:val="num" w:pos="360"/>
        </w:tabs>
        <w:ind w:left="360" w:hanging="360"/>
      </w:pPr>
      <w:rPr>
        <w:rFonts w:hint="default"/>
        <w:b/>
        <w:bCs/>
      </w:rPr>
    </w:lvl>
    <w:lvl w:ilvl="1" w:tplc="2B60822C">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nsid w:val="1C00564A"/>
    <w:multiLevelType w:val="hybridMultilevel"/>
    <w:tmpl w:val="18F615F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8BA475A"/>
    <w:multiLevelType w:val="hybridMultilevel"/>
    <w:tmpl w:val="34FAC64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0C7A45"/>
    <w:multiLevelType w:val="hybridMultilevel"/>
    <w:tmpl w:val="13865AE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59572CCA"/>
    <w:multiLevelType w:val="hybridMultilevel"/>
    <w:tmpl w:val="103AC0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AC323CC"/>
    <w:multiLevelType w:val="hybridMultilevel"/>
    <w:tmpl w:val="15E42674"/>
    <w:lvl w:ilvl="0" w:tplc="140A0001">
      <w:start w:val="1"/>
      <w:numFmt w:val="bullet"/>
      <w:lvlText w:val=""/>
      <w:lvlJc w:val="left"/>
      <w:pPr>
        <w:ind w:left="397" w:hanging="360"/>
      </w:pPr>
      <w:rPr>
        <w:rFonts w:ascii="Symbol" w:hAnsi="Symbol" w:hint="default"/>
      </w:rPr>
    </w:lvl>
    <w:lvl w:ilvl="1" w:tplc="140A0003" w:tentative="1">
      <w:start w:val="1"/>
      <w:numFmt w:val="bullet"/>
      <w:lvlText w:val="o"/>
      <w:lvlJc w:val="left"/>
      <w:pPr>
        <w:ind w:left="1117" w:hanging="360"/>
      </w:pPr>
      <w:rPr>
        <w:rFonts w:ascii="Courier New" w:hAnsi="Courier New" w:cs="Courier New" w:hint="default"/>
      </w:rPr>
    </w:lvl>
    <w:lvl w:ilvl="2" w:tplc="140A0005" w:tentative="1">
      <w:start w:val="1"/>
      <w:numFmt w:val="bullet"/>
      <w:lvlText w:val=""/>
      <w:lvlJc w:val="left"/>
      <w:pPr>
        <w:ind w:left="1837" w:hanging="360"/>
      </w:pPr>
      <w:rPr>
        <w:rFonts w:ascii="Wingdings" w:hAnsi="Wingdings" w:hint="default"/>
      </w:rPr>
    </w:lvl>
    <w:lvl w:ilvl="3" w:tplc="140A0001" w:tentative="1">
      <w:start w:val="1"/>
      <w:numFmt w:val="bullet"/>
      <w:lvlText w:val=""/>
      <w:lvlJc w:val="left"/>
      <w:pPr>
        <w:ind w:left="2557" w:hanging="360"/>
      </w:pPr>
      <w:rPr>
        <w:rFonts w:ascii="Symbol" w:hAnsi="Symbol" w:hint="default"/>
      </w:rPr>
    </w:lvl>
    <w:lvl w:ilvl="4" w:tplc="140A0003" w:tentative="1">
      <w:start w:val="1"/>
      <w:numFmt w:val="bullet"/>
      <w:lvlText w:val="o"/>
      <w:lvlJc w:val="left"/>
      <w:pPr>
        <w:ind w:left="3277" w:hanging="360"/>
      </w:pPr>
      <w:rPr>
        <w:rFonts w:ascii="Courier New" w:hAnsi="Courier New" w:cs="Courier New" w:hint="default"/>
      </w:rPr>
    </w:lvl>
    <w:lvl w:ilvl="5" w:tplc="140A0005" w:tentative="1">
      <w:start w:val="1"/>
      <w:numFmt w:val="bullet"/>
      <w:lvlText w:val=""/>
      <w:lvlJc w:val="left"/>
      <w:pPr>
        <w:ind w:left="3997" w:hanging="360"/>
      </w:pPr>
      <w:rPr>
        <w:rFonts w:ascii="Wingdings" w:hAnsi="Wingdings" w:hint="default"/>
      </w:rPr>
    </w:lvl>
    <w:lvl w:ilvl="6" w:tplc="140A0001" w:tentative="1">
      <w:start w:val="1"/>
      <w:numFmt w:val="bullet"/>
      <w:lvlText w:val=""/>
      <w:lvlJc w:val="left"/>
      <w:pPr>
        <w:ind w:left="4717" w:hanging="360"/>
      </w:pPr>
      <w:rPr>
        <w:rFonts w:ascii="Symbol" w:hAnsi="Symbol" w:hint="default"/>
      </w:rPr>
    </w:lvl>
    <w:lvl w:ilvl="7" w:tplc="140A0003" w:tentative="1">
      <w:start w:val="1"/>
      <w:numFmt w:val="bullet"/>
      <w:lvlText w:val="o"/>
      <w:lvlJc w:val="left"/>
      <w:pPr>
        <w:ind w:left="5437" w:hanging="360"/>
      </w:pPr>
      <w:rPr>
        <w:rFonts w:ascii="Courier New" w:hAnsi="Courier New" w:cs="Courier New" w:hint="default"/>
      </w:rPr>
    </w:lvl>
    <w:lvl w:ilvl="8" w:tplc="140A0005" w:tentative="1">
      <w:start w:val="1"/>
      <w:numFmt w:val="bullet"/>
      <w:lvlText w:val=""/>
      <w:lvlJc w:val="left"/>
      <w:pPr>
        <w:ind w:left="6157" w:hanging="360"/>
      </w:pPr>
      <w:rPr>
        <w:rFonts w:ascii="Wingdings" w:hAnsi="Wingdings" w:hint="default"/>
      </w:rPr>
    </w:lvl>
  </w:abstractNum>
  <w:abstractNum w:abstractNumId="19">
    <w:nsid w:val="5D321D12"/>
    <w:multiLevelType w:val="hybridMultilevel"/>
    <w:tmpl w:val="D24C4042"/>
    <w:lvl w:ilvl="0" w:tplc="890AAB00">
      <w:start w:val="1"/>
      <w:numFmt w:val="lowerLetter"/>
      <w:lvlText w:val="%1)"/>
      <w:lvlJc w:val="left"/>
      <w:pPr>
        <w:ind w:left="360" w:hanging="360"/>
      </w:pPr>
      <w:rPr>
        <w:rFonts w:hint="default"/>
        <w:b/>
        <w:i w:val="0"/>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2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7666937"/>
    <w:multiLevelType w:val="hybridMultilevel"/>
    <w:tmpl w:val="41A6D5AA"/>
    <w:lvl w:ilvl="0" w:tplc="9A7033E6">
      <w:start w:val="1"/>
      <w:numFmt w:val="upperRoman"/>
      <w:lvlText w:val="%1."/>
      <w:lvlJc w:val="right"/>
      <w:pPr>
        <w:ind w:left="360" w:hanging="360"/>
      </w:pPr>
      <w:rPr>
        <w:rFonts w:hint="default"/>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4"/>
  </w:num>
  <w:num w:numId="7">
    <w:abstractNumId w:val="23"/>
  </w:num>
  <w:num w:numId="8">
    <w:abstractNumId w:val="10"/>
  </w:num>
  <w:num w:numId="9">
    <w:abstractNumId w:val="8"/>
  </w:num>
  <w:num w:numId="10">
    <w:abstractNumId w:val="5"/>
  </w:num>
  <w:num w:numId="11">
    <w:abstractNumId w:val="7"/>
  </w:num>
  <w:num w:numId="12">
    <w:abstractNumId w:val="24"/>
  </w:num>
  <w:num w:numId="13">
    <w:abstractNumId w:val="21"/>
  </w:num>
  <w:num w:numId="14">
    <w:abstractNumId w:val="20"/>
  </w:num>
  <w:num w:numId="15">
    <w:abstractNumId w:val="11"/>
  </w:num>
  <w:num w:numId="16">
    <w:abstractNumId w:val="17"/>
  </w:num>
  <w:num w:numId="17">
    <w:abstractNumId w:val="3"/>
  </w:num>
  <w:num w:numId="18">
    <w:abstractNumId w:val="13"/>
  </w:num>
  <w:num w:numId="19">
    <w:abstractNumId w:val="15"/>
  </w:num>
  <w:num w:numId="20">
    <w:abstractNumId w:val="16"/>
  </w:num>
  <w:num w:numId="21">
    <w:abstractNumId w:val="4"/>
  </w:num>
  <w:num w:numId="22">
    <w:abstractNumId w:val="18"/>
  </w:num>
  <w:num w:numId="23">
    <w:abstractNumId w:val="19"/>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50"/>
    <w:rsid w:val="0000085A"/>
    <w:rsid w:val="00002A78"/>
    <w:rsid w:val="00005FA9"/>
    <w:rsid w:val="00011DC1"/>
    <w:rsid w:val="0001401F"/>
    <w:rsid w:val="00020F0B"/>
    <w:rsid w:val="00026DCA"/>
    <w:rsid w:val="00027E78"/>
    <w:rsid w:val="00030123"/>
    <w:rsid w:val="0003318B"/>
    <w:rsid w:val="00036A8B"/>
    <w:rsid w:val="0004528C"/>
    <w:rsid w:val="000460F4"/>
    <w:rsid w:val="00047AED"/>
    <w:rsid w:val="00047D4F"/>
    <w:rsid w:val="00052861"/>
    <w:rsid w:val="00053A32"/>
    <w:rsid w:val="000547A2"/>
    <w:rsid w:val="0005572B"/>
    <w:rsid w:val="00057A6D"/>
    <w:rsid w:val="00067B32"/>
    <w:rsid w:val="00070E87"/>
    <w:rsid w:val="00071D47"/>
    <w:rsid w:val="00074D21"/>
    <w:rsid w:val="00075172"/>
    <w:rsid w:val="00076A47"/>
    <w:rsid w:val="00081BB0"/>
    <w:rsid w:val="00082648"/>
    <w:rsid w:val="00083CE2"/>
    <w:rsid w:val="00085DF1"/>
    <w:rsid w:val="0009389D"/>
    <w:rsid w:val="000A6259"/>
    <w:rsid w:val="000B0F7B"/>
    <w:rsid w:val="000C1ADB"/>
    <w:rsid w:val="000C36CA"/>
    <w:rsid w:val="000C3DAF"/>
    <w:rsid w:val="000C4E35"/>
    <w:rsid w:val="000C5661"/>
    <w:rsid w:val="000D03E7"/>
    <w:rsid w:val="000F5F31"/>
    <w:rsid w:val="00105CCE"/>
    <w:rsid w:val="00105D87"/>
    <w:rsid w:val="001123C0"/>
    <w:rsid w:val="0011401E"/>
    <w:rsid w:val="001147C3"/>
    <w:rsid w:val="00117E78"/>
    <w:rsid w:val="00121ACD"/>
    <w:rsid w:val="001227FE"/>
    <w:rsid w:val="001304B4"/>
    <w:rsid w:val="00134FD5"/>
    <w:rsid w:val="00142449"/>
    <w:rsid w:val="0014667E"/>
    <w:rsid w:val="00154E36"/>
    <w:rsid w:val="00183234"/>
    <w:rsid w:val="0018634C"/>
    <w:rsid w:val="001909BE"/>
    <w:rsid w:val="00192AC3"/>
    <w:rsid w:val="00193B2D"/>
    <w:rsid w:val="00196118"/>
    <w:rsid w:val="00196DD0"/>
    <w:rsid w:val="001A66DA"/>
    <w:rsid w:val="001B6D7C"/>
    <w:rsid w:val="001B703A"/>
    <w:rsid w:val="001C27B6"/>
    <w:rsid w:val="001C3F1B"/>
    <w:rsid w:val="001D4E33"/>
    <w:rsid w:val="001D6558"/>
    <w:rsid w:val="001D7E23"/>
    <w:rsid w:val="001E6337"/>
    <w:rsid w:val="001E79E0"/>
    <w:rsid w:val="001F2665"/>
    <w:rsid w:val="001F277B"/>
    <w:rsid w:val="001F7D2C"/>
    <w:rsid w:val="002026DC"/>
    <w:rsid w:val="00203339"/>
    <w:rsid w:val="00204086"/>
    <w:rsid w:val="00210354"/>
    <w:rsid w:val="00210B7F"/>
    <w:rsid w:val="00212C7A"/>
    <w:rsid w:val="00213FA6"/>
    <w:rsid w:val="00214849"/>
    <w:rsid w:val="002163C7"/>
    <w:rsid w:val="00222452"/>
    <w:rsid w:val="0022738E"/>
    <w:rsid w:val="0023097B"/>
    <w:rsid w:val="002314C0"/>
    <w:rsid w:val="0023280E"/>
    <w:rsid w:val="00236CA9"/>
    <w:rsid w:val="00237191"/>
    <w:rsid w:val="00240946"/>
    <w:rsid w:val="00240E92"/>
    <w:rsid w:val="00243275"/>
    <w:rsid w:val="00243461"/>
    <w:rsid w:val="00244B07"/>
    <w:rsid w:val="00253CA2"/>
    <w:rsid w:val="00253D8D"/>
    <w:rsid w:val="00260325"/>
    <w:rsid w:val="00261C88"/>
    <w:rsid w:val="00265656"/>
    <w:rsid w:val="00266EB3"/>
    <w:rsid w:val="00270431"/>
    <w:rsid w:val="00270B9C"/>
    <w:rsid w:val="00271334"/>
    <w:rsid w:val="002717DA"/>
    <w:rsid w:val="00273438"/>
    <w:rsid w:val="002736F3"/>
    <w:rsid w:val="00273AB5"/>
    <w:rsid w:val="00273DF6"/>
    <w:rsid w:val="002751C8"/>
    <w:rsid w:val="00276F76"/>
    <w:rsid w:val="00277DD3"/>
    <w:rsid w:val="00280F7F"/>
    <w:rsid w:val="00282C93"/>
    <w:rsid w:val="0028301A"/>
    <w:rsid w:val="0028757E"/>
    <w:rsid w:val="002A51F3"/>
    <w:rsid w:val="002A6A4B"/>
    <w:rsid w:val="002A751B"/>
    <w:rsid w:val="002B5E92"/>
    <w:rsid w:val="002B71CC"/>
    <w:rsid w:val="002C4B84"/>
    <w:rsid w:val="002D0146"/>
    <w:rsid w:val="002D158A"/>
    <w:rsid w:val="002D52DE"/>
    <w:rsid w:val="002E1BAC"/>
    <w:rsid w:val="002E5169"/>
    <w:rsid w:val="002F1B66"/>
    <w:rsid w:val="002F3D41"/>
    <w:rsid w:val="003004E7"/>
    <w:rsid w:val="003009BC"/>
    <w:rsid w:val="0030131C"/>
    <w:rsid w:val="00311321"/>
    <w:rsid w:val="003156CD"/>
    <w:rsid w:val="003178D2"/>
    <w:rsid w:val="00317B31"/>
    <w:rsid w:val="00320F35"/>
    <w:rsid w:val="00320F9C"/>
    <w:rsid w:val="00333C6D"/>
    <w:rsid w:val="00335993"/>
    <w:rsid w:val="00342F5C"/>
    <w:rsid w:val="00343CAA"/>
    <w:rsid w:val="00345E78"/>
    <w:rsid w:val="00346C2F"/>
    <w:rsid w:val="003473D2"/>
    <w:rsid w:val="00350C8D"/>
    <w:rsid w:val="003525EB"/>
    <w:rsid w:val="0035278F"/>
    <w:rsid w:val="00352AFB"/>
    <w:rsid w:val="00353979"/>
    <w:rsid w:val="00354288"/>
    <w:rsid w:val="00361050"/>
    <w:rsid w:val="00367B23"/>
    <w:rsid w:val="00373725"/>
    <w:rsid w:val="00373B50"/>
    <w:rsid w:val="00374710"/>
    <w:rsid w:val="003803AB"/>
    <w:rsid w:val="00380645"/>
    <w:rsid w:val="003853CD"/>
    <w:rsid w:val="00385D95"/>
    <w:rsid w:val="00386AA9"/>
    <w:rsid w:val="00387E4D"/>
    <w:rsid w:val="003951BC"/>
    <w:rsid w:val="003A4E5A"/>
    <w:rsid w:val="003A5204"/>
    <w:rsid w:val="003A7072"/>
    <w:rsid w:val="003A70CE"/>
    <w:rsid w:val="003B0676"/>
    <w:rsid w:val="003B1738"/>
    <w:rsid w:val="003B1B3E"/>
    <w:rsid w:val="003B20EA"/>
    <w:rsid w:val="003B3431"/>
    <w:rsid w:val="003C6FEB"/>
    <w:rsid w:val="003D118D"/>
    <w:rsid w:val="003D66EA"/>
    <w:rsid w:val="003E4528"/>
    <w:rsid w:val="004020D1"/>
    <w:rsid w:val="004055FB"/>
    <w:rsid w:val="00407CC4"/>
    <w:rsid w:val="00411443"/>
    <w:rsid w:val="00413D95"/>
    <w:rsid w:val="00416446"/>
    <w:rsid w:val="00421BEA"/>
    <w:rsid w:val="004267A4"/>
    <w:rsid w:val="00432126"/>
    <w:rsid w:val="00444487"/>
    <w:rsid w:val="00445673"/>
    <w:rsid w:val="00445B46"/>
    <w:rsid w:val="004546D0"/>
    <w:rsid w:val="0046032D"/>
    <w:rsid w:val="0046557C"/>
    <w:rsid w:val="004755F8"/>
    <w:rsid w:val="0047593B"/>
    <w:rsid w:val="0048086A"/>
    <w:rsid w:val="00483C65"/>
    <w:rsid w:val="0048746C"/>
    <w:rsid w:val="004930AA"/>
    <w:rsid w:val="00496B93"/>
    <w:rsid w:val="00497711"/>
    <w:rsid w:val="004A0451"/>
    <w:rsid w:val="004A1E22"/>
    <w:rsid w:val="004B373F"/>
    <w:rsid w:val="004B7456"/>
    <w:rsid w:val="004C5B22"/>
    <w:rsid w:val="004C724E"/>
    <w:rsid w:val="004C7B87"/>
    <w:rsid w:val="004D0465"/>
    <w:rsid w:val="004D2C73"/>
    <w:rsid w:val="004D510D"/>
    <w:rsid w:val="004E10F9"/>
    <w:rsid w:val="004E1777"/>
    <w:rsid w:val="004E327D"/>
    <w:rsid w:val="004E3E58"/>
    <w:rsid w:val="004E5D21"/>
    <w:rsid w:val="004F7D6D"/>
    <w:rsid w:val="005011AD"/>
    <w:rsid w:val="00502DD9"/>
    <w:rsid w:val="00513B4F"/>
    <w:rsid w:val="00531B93"/>
    <w:rsid w:val="00532851"/>
    <w:rsid w:val="00542214"/>
    <w:rsid w:val="005459D0"/>
    <w:rsid w:val="00545AF4"/>
    <w:rsid w:val="005504E6"/>
    <w:rsid w:val="005730C3"/>
    <w:rsid w:val="0057519A"/>
    <w:rsid w:val="0058266E"/>
    <w:rsid w:val="0058464F"/>
    <w:rsid w:val="00585347"/>
    <w:rsid w:val="0059507D"/>
    <w:rsid w:val="00595395"/>
    <w:rsid w:val="0059625B"/>
    <w:rsid w:val="00596AB4"/>
    <w:rsid w:val="005A23E0"/>
    <w:rsid w:val="005A32C2"/>
    <w:rsid w:val="005A4B6D"/>
    <w:rsid w:val="005B25E2"/>
    <w:rsid w:val="005B294F"/>
    <w:rsid w:val="005B41BA"/>
    <w:rsid w:val="005B4463"/>
    <w:rsid w:val="005B45E6"/>
    <w:rsid w:val="005B67A2"/>
    <w:rsid w:val="005C173D"/>
    <w:rsid w:val="005C18D2"/>
    <w:rsid w:val="005C25A1"/>
    <w:rsid w:val="005C6147"/>
    <w:rsid w:val="005C6B19"/>
    <w:rsid w:val="005C7AC8"/>
    <w:rsid w:val="005D1606"/>
    <w:rsid w:val="005E7559"/>
    <w:rsid w:val="005E76B9"/>
    <w:rsid w:val="005F05DC"/>
    <w:rsid w:val="006109D3"/>
    <w:rsid w:val="00615FBF"/>
    <w:rsid w:val="00620659"/>
    <w:rsid w:val="00622399"/>
    <w:rsid w:val="00623D36"/>
    <w:rsid w:val="00624D0C"/>
    <w:rsid w:val="006321F4"/>
    <w:rsid w:val="006361AD"/>
    <w:rsid w:val="00646C5C"/>
    <w:rsid w:val="00656048"/>
    <w:rsid w:val="0066494B"/>
    <w:rsid w:val="0066756A"/>
    <w:rsid w:val="00667C0B"/>
    <w:rsid w:val="00675753"/>
    <w:rsid w:val="00681878"/>
    <w:rsid w:val="00683504"/>
    <w:rsid w:val="006846D4"/>
    <w:rsid w:val="006918F0"/>
    <w:rsid w:val="006A474B"/>
    <w:rsid w:val="006A779D"/>
    <w:rsid w:val="006B0BDA"/>
    <w:rsid w:val="006B1E77"/>
    <w:rsid w:val="006B7846"/>
    <w:rsid w:val="006C0086"/>
    <w:rsid w:val="006C1542"/>
    <w:rsid w:val="006C1D3B"/>
    <w:rsid w:val="006C1F07"/>
    <w:rsid w:val="006C46DA"/>
    <w:rsid w:val="006C772C"/>
    <w:rsid w:val="006D3C9E"/>
    <w:rsid w:val="006D5482"/>
    <w:rsid w:val="006E1E56"/>
    <w:rsid w:val="006E2867"/>
    <w:rsid w:val="006E31FB"/>
    <w:rsid w:val="006E7C0F"/>
    <w:rsid w:val="006F39F5"/>
    <w:rsid w:val="006F4555"/>
    <w:rsid w:val="006F6F65"/>
    <w:rsid w:val="006F7DB3"/>
    <w:rsid w:val="00701461"/>
    <w:rsid w:val="00701E3B"/>
    <w:rsid w:val="007062BD"/>
    <w:rsid w:val="00711E6C"/>
    <w:rsid w:val="00713001"/>
    <w:rsid w:val="007175FA"/>
    <w:rsid w:val="00717685"/>
    <w:rsid w:val="00723211"/>
    <w:rsid w:val="0073035B"/>
    <w:rsid w:val="00735384"/>
    <w:rsid w:val="00737234"/>
    <w:rsid w:val="00742ECB"/>
    <w:rsid w:val="00746AE4"/>
    <w:rsid w:val="007470B4"/>
    <w:rsid w:val="00751002"/>
    <w:rsid w:val="00756824"/>
    <w:rsid w:val="007605D2"/>
    <w:rsid w:val="00761E42"/>
    <w:rsid w:val="0076310A"/>
    <w:rsid w:val="00765327"/>
    <w:rsid w:val="007749FC"/>
    <w:rsid w:val="00790E77"/>
    <w:rsid w:val="00797660"/>
    <w:rsid w:val="007A26C6"/>
    <w:rsid w:val="007A2F95"/>
    <w:rsid w:val="007B2EB9"/>
    <w:rsid w:val="007B52E1"/>
    <w:rsid w:val="007B5EDF"/>
    <w:rsid w:val="007C2929"/>
    <w:rsid w:val="007C3229"/>
    <w:rsid w:val="007C5D7C"/>
    <w:rsid w:val="007C6E0A"/>
    <w:rsid w:val="007D6EF8"/>
    <w:rsid w:val="007D7FBA"/>
    <w:rsid w:val="007E31DD"/>
    <w:rsid w:val="007F0FA1"/>
    <w:rsid w:val="007F1210"/>
    <w:rsid w:val="007F3137"/>
    <w:rsid w:val="007F614F"/>
    <w:rsid w:val="007F62AA"/>
    <w:rsid w:val="007F66D6"/>
    <w:rsid w:val="007F67FA"/>
    <w:rsid w:val="008045A6"/>
    <w:rsid w:val="008110AA"/>
    <w:rsid w:val="00811427"/>
    <w:rsid w:val="00816F48"/>
    <w:rsid w:val="00817F44"/>
    <w:rsid w:val="00825856"/>
    <w:rsid w:val="00831A70"/>
    <w:rsid w:val="008343A2"/>
    <w:rsid w:val="00834957"/>
    <w:rsid w:val="00834A2F"/>
    <w:rsid w:val="00844D9C"/>
    <w:rsid w:val="00846281"/>
    <w:rsid w:val="00851373"/>
    <w:rsid w:val="00854DE9"/>
    <w:rsid w:val="0085710B"/>
    <w:rsid w:val="00860250"/>
    <w:rsid w:val="00860DE1"/>
    <w:rsid w:val="0086175A"/>
    <w:rsid w:val="00862711"/>
    <w:rsid w:val="00870163"/>
    <w:rsid w:val="00877863"/>
    <w:rsid w:val="00884C33"/>
    <w:rsid w:val="00885006"/>
    <w:rsid w:val="00887330"/>
    <w:rsid w:val="0089083B"/>
    <w:rsid w:val="008909F7"/>
    <w:rsid w:val="00895A5D"/>
    <w:rsid w:val="00896BC6"/>
    <w:rsid w:val="008B2FF9"/>
    <w:rsid w:val="008B3713"/>
    <w:rsid w:val="008C05DD"/>
    <w:rsid w:val="008C5FCA"/>
    <w:rsid w:val="008D35D8"/>
    <w:rsid w:val="008D45B4"/>
    <w:rsid w:val="008D6E0F"/>
    <w:rsid w:val="008E09B2"/>
    <w:rsid w:val="008E3435"/>
    <w:rsid w:val="008F04FB"/>
    <w:rsid w:val="008F38A8"/>
    <w:rsid w:val="008F3DD4"/>
    <w:rsid w:val="008F60D2"/>
    <w:rsid w:val="008F6C96"/>
    <w:rsid w:val="00902AC7"/>
    <w:rsid w:val="00911F06"/>
    <w:rsid w:val="0091406A"/>
    <w:rsid w:val="009271AD"/>
    <w:rsid w:val="00940420"/>
    <w:rsid w:val="009412AB"/>
    <w:rsid w:val="0096197A"/>
    <w:rsid w:val="009669CF"/>
    <w:rsid w:val="00986348"/>
    <w:rsid w:val="00992746"/>
    <w:rsid w:val="00993317"/>
    <w:rsid w:val="00993F3C"/>
    <w:rsid w:val="009964AC"/>
    <w:rsid w:val="009B5852"/>
    <w:rsid w:val="009B78B7"/>
    <w:rsid w:val="009C11C0"/>
    <w:rsid w:val="009C34E1"/>
    <w:rsid w:val="009C4AF4"/>
    <w:rsid w:val="009C5491"/>
    <w:rsid w:val="009D03FE"/>
    <w:rsid w:val="009D40A7"/>
    <w:rsid w:val="009D70A8"/>
    <w:rsid w:val="009D78B0"/>
    <w:rsid w:val="009E1B07"/>
    <w:rsid w:val="009E6378"/>
    <w:rsid w:val="009F2788"/>
    <w:rsid w:val="009F54A5"/>
    <w:rsid w:val="009F62A9"/>
    <w:rsid w:val="00A03F89"/>
    <w:rsid w:val="00A13122"/>
    <w:rsid w:val="00A23049"/>
    <w:rsid w:val="00A23F95"/>
    <w:rsid w:val="00A2506B"/>
    <w:rsid w:val="00A3146D"/>
    <w:rsid w:val="00A330FA"/>
    <w:rsid w:val="00A536DE"/>
    <w:rsid w:val="00A57ECD"/>
    <w:rsid w:val="00A61745"/>
    <w:rsid w:val="00A621DC"/>
    <w:rsid w:val="00A70A82"/>
    <w:rsid w:val="00A73DC5"/>
    <w:rsid w:val="00A775DD"/>
    <w:rsid w:val="00A837EB"/>
    <w:rsid w:val="00A912F2"/>
    <w:rsid w:val="00A9283E"/>
    <w:rsid w:val="00A93C36"/>
    <w:rsid w:val="00A94774"/>
    <w:rsid w:val="00AA4E2A"/>
    <w:rsid w:val="00AB15C1"/>
    <w:rsid w:val="00AB1E41"/>
    <w:rsid w:val="00AB2826"/>
    <w:rsid w:val="00AB4B39"/>
    <w:rsid w:val="00AD4F06"/>
    <w:rsid w:val="00AD542C"/>
    <w:rsid w:val="00AD615C"/>
    <w:rsid w:val="00AE3F69"/>
    <w:rsid w:val="00AE7AB3"/>
    <w:rsid w:val="00AF3853"/>
    <w:rsid w:val="00AF3DB8"/>
    <w:rsid w:val="00AF4C49"/>
    <w:rsid w:val="00B00832"/>
    <w:rsid w:val="00B019A0"/>
    <w:rsid w:val="00B2152C"/>
    <w:rsid w:val="00B21AAB"/>
    <w:rsid w:val="00B222FD"/>
    <w:rsid w:val="00B270F6"/>
    <w:rsid w:val="00B34414"/>
    <w:rsid w:val="00B3640B"/>
    <w:rsid w:val="00B36CE6"/>
    <w:rsid w:val="00B453A8"/>
    <w:rsid w:val="00B5583C"/>
    <w:rsid w:val="00B56F87"/>
    <w:rsid w:val="00B57D0C"/>
    <w:rsid w:val="00B6395B"/>
    <w:rsid w:val="00B64449"/>
    <w:rsid w:val="00B66D8C"/>
    <w:rsid w:val="00B67087"/>
    <w:rsid w:val="00B83812"/>
    <w:rsid w:val="00B87D44"/>
    <w:rsid w:val="00B94D6D"/>
    <w:rsid w:val="00B97D43"/>
    <w:rsid w:val="00BA3517"/>
    <w:rsid w:val="00BA3C35"/>
    <w:rsid w:val="00BA58F6"/>
    <w:rsid w:val="00BA7805"/>
    <w:rsid w:val="00BB032C"/>
    <w:rsid w:val="00BB034D"/>
    <w:rsid w:val="00BC1E08"/>
    <w:rsid w:val="00BC41E7"/>
    <w:rsid w:val="00BC6D60"/>
    <w:rsid w:val="00BD11AC"/>
    <w:rsid w:val="00BD127C"/>
    <w:rsid w:val="00BD36CC"/>
    <w:rsid w:val="00BD3C20"/>
    <w:rsid w:val="00BD4D39"/>
    <w:rsid w:val="00BD75B9"/>
    <w:rsid w:val="00BE0F52"/>
    <w:rsid w:val="00BE3412"/>
    <w:rsid w:val="00BE452A"/>
    <w:rsid w:val="00BF0C80"/>
    <w:rsid w:val="00BF124E"/>
    <w:rsid w:val="00C0084E"/>
    <w:rsid w:val="00C00914"/>
    <w:rsid w:val="00C00D35"/>
    <w:rsid w:val="00C01373"/>
    <w:rsid w:val="00C01425"/>
    <w:rsid w:val="00C12152"/>
    <w:rsid w:val="00C308C3"/>
    <w:rsid w:val="00C33D63"/>
    <w:rsid w:val="00C36F84"/>
    <w:rsid w:val="00C37227"/>
    <w:rsid w:val="00C42332"/>
    <w:rsid w:val="00C4730D"/>
    <w:rsid w:val="00C50AAF"/>
    <w:rsid w:val="00C52DCF"/>
    <w:rsid w:val="00C54F6E"/>
    <w:rsid w:val="00C653C1"/>
    <w:rsid w:val="00C676D8"/>
    <w:rsid w:val="00C74786"/>
    <w:rsid w:val="00C80B39"/>
    <w:rsid w:val="00C91F76"/>
    <w:rsid w:val="00CA3661"/>
    <w:rsid w:val="00CA42F6"/>
    <w:rsid w:val="00CB6F2A"/>
    <w:rsid w:val="00CC0A79"/>
    <w:rsid w:val="00CC60FC"/>
    <w:rsid w:val="00CC7940"/>
    <w:rsid w:val="00CD1BE9"/>
    <w:rsid w:val="00CD4665"/>
    <w:rsid w:val="00CD7A02"/>
    <w:rsid w:val="00CE0129"/>
    <w:rsid w:val="00CE0936"/>
    <w:rsid w:val="00CE63E8"/>
    <w:rsid w:val="00CF0D81"/>
    <w:rsid w:val="00CF0E50"/>
    <w:rsid w:val="00CF23CC"/>
    <w:rsid w:val="00CF4BE9"/>
    <w:rsid w:val="00D01779"/>
    <w:rsid w:val="00D034AB"/>
    <w:rsid w:val="00D06EC9"/>
    <w:rsid w:val="00D13B6B"/>
    <w:rsid w:val="00D212B4"/>
    <w:rsid w:val="00D22B80"/>
    <w:rsid w:val="00D330C4"/>
    <w:rsid w:val="00D35784"/>
    <w:rsid w:val="00D37592"/>
    <w:rsid w:val="00D509A7"/>
    <w:rsid w:val="00D50D4A"/>
    <w:rsid w:val="00D54758"/>
    <w:rsid w:val="00D572BA"/>
    <w:rsid w:val="00D60482"/>
    <w:rsid w:val="00D61F89"/>
    <w:rsid w:val="00D63425"/>
    <w:rsid w:val="00D63C6E"/>
    <w:rsid w:val="00D65094"/>
    <w:rsid w:val="00D70373"/>
    <w:rsid w:val="00D70FEB"/>
    <w:rsid w:val="00D718EE"/>
    <w:rsid w:val="00D72C3B"/>
    <w:rsid w:val="00D75A00"/>
    <w:rsid w:val="00D82432"/>
    <w:rsid w:val="00D827C9"/>
    <w:rsid w:val="00D82D9E"/>
    <w:rsid w:val="00D8619A"/>
    <w:rsid w:val="00D91405"/>
    <w:rsid w:val="00DA156E"/>
    <w:rsid w:val="00DA4C56"/>
    <w:rsid w:val="00DB38FB"/>
    <w:rsid w:val="00DB4CB9"/>
    <w:rsid w:val="00DB77C4"/>
    <w:rsid w:val="00DC32CD"/>
    <w:rsid w:val="00DC56E4"/>
    <w:rsid w:val="00DD24AC"/>
    <w:rsid w:val="00DD6125"/>
    <w:rsid w:val="00DE0BBA"/>
    <w:rsid w:val="00DE3F67"/>
    <w:rsid w:val="00DE5F1F"/>
    <w:rsid w:val="00DE7715"/>
    <w:rsid w:val="00E0071B"/>
    <w:rsid w:val="00E02B22"/>
    <w:rsid w:val="00E03F4B"/>
    <w:rsid w:val="00E07DA7"/>
    <w:rsid w:val="00E2143B"/>
    <w:rsid w:val="00E22102"/>
    <w:rsid w:val="00E31F79"/>
    <w:rsid w:val="00E56D9C"/>
    <w:rsid w:val="00E573C1"/>
    <w:rsid w:val="00E6222D"/>
    <w:rsid w:val="00E63068"/>
    <w:rsid w:val="00E63BC8"/>
    <w:rsid w:val="00E64358"/>
    <w:rsid w:val="00E646C7"/>
    <w:rsid w:val="00E76C46"/>
    <w:rsid w:val="00E86C01"/>
    <w:rsid w:val="00E8788A"/>
    <w:rsid w:val="00E967ED"/>
    <w:rsid w:val="00E96B3F"/>
    <w:rsid w:val="00E979D2"/>
    <w:rsid w:val="00EA53B9"/>
    <w:rsid w:val="00EA54C8"/>
    <w:rsid w:val="00EB3B18"/>
    <w:rsid w:val="00EC02B6"/>
    <w:rsid w:val="00EC47C1"/>
    <w:rsid w:val="00EC6324"/>
    <w:rsid w:val="00EC7E01"/>
    <w:rsid w:val="00ED2E96"/>
    <w:rsid w:val="00ED79CC"/>
    <w:rsid w:val="00EE139E"/>
    <w:rsid w:val="00EE228C"/>
    <w:rsid w:val="00EE391E"/>
    <w:rsid w:val="00EE4383"/>
    <w:rsid w:val="00EE491C"/>
    <w:rsid w:val="00F00FF1"/>
    <w:rsid w:val="00F16E81"/>
    <w:rsid w:val="00F23135"/>
    <w:rsid w:val="00F30531"/>
    <w:rsid w:val="00F31891"/>
    <w:rsid w:val="00F32B86"/>
    <w:rsid w:val="00F3418C"/>
    <w:rsid w:val="00F343EA"/>
    <w:rsid w:val="00F357CB"/>
    <w:rsid w:val="00F41073"/>
    <w:rsid w:val="00F42278"/>
    <w:rsid w:val="00F44721"/>
    <w:rsid w:val="00F46D7A"/>
    <w:rsid w:val="00F5239B"/>
    <w:rsid w:val="00F53FBD"/>
    <w:rsid w:val="00F541D9"/>
    <w:rsid w:val="00F54BA4"/>
    <w:rsid w:val="00F6508D"/>
    <w:rsid w:val="00F73878"/>
    <w:rsid w:val="00F77AD0"/>
    <w:rsid w:val="00F83C00"/>
    <w:rsid w:val="00F9130B"/>
    <w:rsid w:val="00F92AE6"/>
    <w:rsid w:val="00F95782"/>
    <w:rsid w:val="00F97718"/>
    <w:rsid w:val="00FA1809"/>
    <w:rsid w:val="00FA2104"/>
    <w:rsid w:val="00FA4CCB"/>
    <w:rsid w:val="00FB40A3"/>
    <w:rsid w:val="00FC257F"/>
    <w:rsid w:val="00FD47DE"/>
    <w:rsid w:val="00FE310F"/>
    <w:rsid w:val="00FE4822"/>
    <w:rsid w:val="00FE57D3"/>
    <w:rsid w:val="00FE609B"/>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notapie">
    <w:name w:val="footnote text"/>
    <w:basedOn w:val="Normal"/>
    <w:link w:val="TextonotapieCar"/>
    <w:semiHidden/>
    <w:rsid w:val="00742ECB"/>
    <w:rPr>
      <w:sz w:val="20"/>
      <w:szCs w:val="20"/>
      <w:lang w:val="es-ES_tradnl"/>
    </w:rPr>
  </w:style>
  <w:style w:type="character" w:customStyle="1" w:styleId="TextonotapieCar">
    <w:name w:val="Texto nota pie Car"/>
    <w:basedOn w:val="Fuentedeprrafopredeter"/>
    <w:link w:val="Textonotapie"/>
    <w:semiHidden/>
    <w:rsid w:val="00742ECB"/>
    <w:rPr>
      <w:rFonts w:ascii="Arial" w:hAnsi="Arial"/>
      <w:lang w:val="es-ES_tradnl" w:eastAsia="es-ES"/>
    </w:rPr>
  </w:style>
  <w:style w:type="character" w:styleId="Refdenotaalpie">
    <w:name w:val="footnote reference"/>
    <w:semiHidden/>
    <w:rsid w:val="00742ECB"/>
    <w:rPr>
      <w:vertAlign w:val="superscript"/>
    </w:rPr>
  </w:style>
  <w:style w:type="paragraph" w:styleId="Textodeglobo">
    <w:name w:val="Balloon Text"/>
    <w:basedOn w:val="Normal"/>
    <w:link w:val="TextodegloboCar"/>
    <w:uiPriority w:val="99"/>
    <w:semiHidden/>
    <w:unhideWhenUsed/>
    <w:rsid w:val="006C46DA"/>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6DA"/>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notapie">
    <w:name w:val="footnote text"/>
    <w:basedOn w:val="Normal"/>
    <w:link w:val="TextonotapieCar"/>
    <w:semiHidden/>
    <w:rsid w:val="00742ECB"/>
    <w:rPr>
      <w:sz w:val="20"/>
      <w:szCs w:val="20"/>
      <w:lang w:val="es-ES_tradnl"/>
    </w:rPr>
  </w:style>
  <w:style w:type="character" w:customStyle="1" w:styleId="TextonotapieCar">
    <w:name w:val="Texto nota pie Car"/>
    <w:basedOn w:val="Fuentedeprrafopredeter"/>
    <w:link w:val="Textonotapie"/>
    <w:semiHidden/>
    <w:rsid w:val="00742ECB"/>
    <w:rPr>
      <w:rFonts w:ascii="Arial" w:hAnsi="Arial"/>
      <w:lang w:val="es-ES_tradnl" w:eastAsia="es-ES"/>
    </w:rPr>
  </w:style>
  <w:style w:type="character" w:styleId="Refdenotaalpie">
    <w:name w:val="footnote reference"/>
    <w:semiHidden/>
    <w:rsid w:val="00742ECB"/>
    <w:rPr>
      <w:vertAlign w:val="superscript"/>
    </w:rPr>
  </w:style>
  <w:style w:type="paragraph" w:styleId="Textodeglobo">
    <w:name w:val="Balloon Text"/>
    <w:basedOn w:val="Normal"/>
    <w:link w:val="TextodegloboCar"/>
    <w:uiPriority w:val="99"/>
    <w:semiHidden/>
    <w:unhideWhenUsed/>
    <w:rsid w:val="006C46DA"/>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6DA"/>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75936">
      <w:bodyDiv w:val="1"/>
      <w:marLeft w:val="0"/>
      <w:marRight w:val="0"/>
      <w:marTop w:val="0"/>
      <w:marBottom w:val="0"/>
      <w:divBdr>
        <w:top w:val="none" w:sz="0" w:space="0" w:color="auto"/>
        <w:left w:val="none" w:sz="0" w:space="0" w:color="auto"/>
        <w:bottom w:val="none" w:sz="0" w:space="0" w:color="auto"/>
        <w:right w:val="none" w:sz="0" w:space="0" w:color="auto"/>
      </w:divBdr>
    </w:div>
    <w:div w:id="1496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2147</TotalTime>
  <Pages>37</Pages>
  <Words>11718</Words>
  <Characters>63917</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540</cp:revision>
  <cp:lastPrinted>2019-07-19T16:44:00Z</cp:lastPrinted>
  <dcterms:created xsi:type="dcterms:W3CDTF">2019-07-16T15:32:00Z</dcterms:created>
  <dcterms:modified xsi:type="dcterms:W3CDTF">2019-07-23T21:18:00Z</dcterms:modified>
</cp:coreProperties>
</file>