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7A350A">
        <w:rPr>
          <w:rFonts w:cs="Arial"/>
          <w:b/>
          <w:sz w:val="22"/>
          <w:u w:val="single"/>
        </w:rPr>
        <w:t>EXTRA</w:t>
      </w:r>
      <w:r w:rsidR="00FA4CCB">
        <w:rPr>
          <w:rFonts w:cs="Arial"/>
          <w:b/>
          <w:sz w:val="22"/>
          <w:u w:val="single"/>
        </w:rPr>
        <w:t xml:space="preserve">ORDINARIA </w:t>
      </w:r>
      <w:r>
        <w:rPr>
          <w:rFonts w:cs="Arial"/>
          <w:b/>
          <w:sz w:val="22"/>
          <w:u w:val="single"/>
        </w:rPr>
        <w:t xml:space="preserve">N° </w:t>
      </w:r>
      <w:r w:rsidR="007A350A">
        <w:rPr>
          <w:rFonts w:cs="Arial"/>
          <w:b/>
          <w:sz w:val="22"/>
          <w:u w:val="single"/>
        </w:rPr>
        <w:t>37</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7A350A">
        <w:rPr>
          <w:rFonts w:cs="Arial"/>
          <w:b/>
          <w:sz w:val="22"/>
          <w:u w:val="single"/>
        </w:rPr>
        <w:t>16</w:t>
      </w:r>
      <w:r>
        <w:rPr>
          <w:rFonts w:cs="Arial"/>
          <w:b/>
          <w:sz w:val="22"/>
          <w:u w:val="single"/>
        </w:rPr>
        <w:t xml:space="preserve"> DE </w:t>
      </w:r>
      <w:r w:rsidR="007A350A">
        <w:rPr>
          <w:rFonts w:cs="Arial"/>
          <w:b/>
          <w:sz w:val="22"/>
          <w:u w:val="single"/>
        </w:rPr>
        <w:t>MAYO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w:t>
      </w:r>
      <w:r w:rsidR="007421A0">
        <w:rPr>
          <w:rFonts w:cs="Arial"/>
          <w:sz w:val="22"/>
        </w:rPr>
        <w:t xml:space="preserve">Jorge Carranza González, </w:t>
      </w:r>
      <w:r w:rsidR="006E7C0F">
        <w:rPr>
          <w:rFonts w:cs="Arial"/>
          <w:sz w:val="22"/>
        </w:rPr>
        <w:t>Marian Pérez Gutiérrez</w:t>
      </w:r>
      <w:r w:rsidR="00373B50">
        <w:rPr>
          <w:rFonts w:cs="Arial"/>
          <w:sz w:val="22"/>
        </w:rPr>
        <w:t xml:space="preserve"> </w:t>
      </w:r>
      <w:r w:rsidR="00A536DE">
        <w:rPr>
          <w:rFonts w:cs="Arial"/>
          <w:sz w:val="22"/>
        </w:rPr>
        <w:t>y Eloísa Ulibarri Pernús</w:t>
      </w:r>
      <w:r w:rsidR="00373B50">
        <w:rPr>
          <w:rFonts w:cs="Arial"/>
          <w:sz w:val="22"/>
        </w:rPr>
        <w:t>.</w:t>
      </w:r>
      <w:r w:rsidR="00E32EFB" w:rsidRPr="00E32EFB">
        <w:rPr>
          <w:rFonts w:cs="Arial"/>
          <w:sz w:val="22"/>
        </w:rPr>
        <w:t xml:space="preserve"> </w:t>
      </w:r>
      <w:r w:rsidR="00E32EFB">
        <w:rPr>
          <w:rFonts w:cs="Arial"/>
          <w:sz w:val="22"/>
        </w:rPr>
        <w:t xml:space="preserve">El Director </w:t>
      </w:r>
      <w:r w:rsidR="007421A0">
        <w:rPr>
          <w:rFonts w:cs="Arial"/>
          <w:sz w:val="22"/>
        </w:rPr>
        <w:t>Kenneth Pérez Venegas</w:t>
      </w:r>
      <w:r w:rsidR="00E32EFB">
        <w:rPr>
          <w:rFonts w:cs="Arial"/>
          <w:sz w:val="22"/>
        </w:rPr>
        <w:t>, se incorpora posteriormente (</w:t>
      </w:r>
      <w:r w:rsidR="00E32EFB" w:rsidRPr="007421A0">
        <w:rPr>
          <w:rFonts w:cs="Arial"/>
          <w:sz w:val="22"/>
        </w:rPr>
        <w:t>minuto 0</w:t>
      </w:r>
      <w:r w:rsidR="007421A0" w:rsidRPr="007421A0">
        <w:rPr>
          <w:rFonts w:cs="Arial"/>
          <w:sz w:val="22"/>
        </w:rPr>
        <w:t>6</w:t>
      </w:r>
      <w:r w:rsidR="00E32EFB" w:rsidRPr="007421A0">
        <w:rPr>
          <w:rFonts w:cs="Arial"/>
          <w:sz w:val="22"/>
        </w:rPr>
        <w:t>:</w:t>
      </w:r>
      <w:r w:rsidR="007421A0" w:rsidRPr="007421A0">
        <w:rPr>
          <w:rFonts w:cs="Arial"/>
          <w:sz w:val="22"/>
        </w:rPr>
        <w:t>45</w:t>
      </w:r>
      <w:r w:rsidR="00E32EFB" w:rsidRPr="007421A0">
        <w:rPr>
          <w:rFonts w:cs="Arial"/>
          <w:sz w:val="22"/>
        </w:rPr>
        <w:t>)</w:t>
      </w:r>
      <w:r w:rsidR="007421A0" w:rsidRPr="007421A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E32EFB">
        <w:rPr>
          <w:rFonts w:cs="Arial"/>
          <w:sz w:val="22"/>
        </w:rPr>
        <w:t>Carlos Castro Miranda</w:t>
      </w:r>
      <w:r w:rsidR="00DB38FB">
        <w:rPr>
          <w:rFonts w:cs="Arial"/>
          <w:sz w:val="22"/>
        </w:rPr>
        <w:t>, Gerente General</w:t>
      </w:r>
      <w:r w:rsidR="00E32EFB">
        <w:rPr>
          <w:rFonts w:cs="Arial"/>
          <w:sz w:val="22"/>
        </w:rPr>
        <w:t xml:space="preserve"> </w:t>
      </w:r>
      <w:proofErr w:type="spellStart"/>
      <w:r w:rsidR="00E32EFB">
        <w:rPr>
          <w:rFonts w:cs="Arial"/>
          <w:sz w:val="22"/>
        </w:rPr>
        <w:t>a.i.</w:t>
      </w:r>
      <w:proofErr w:type="spellEnd"/>
      <w:r w:rsidR="00DB38FB">
        <w:rPr>
          <w:rFonts w:cs="Arial"/>
          <w:sz w:val="22"/>
        </w:rPr>
        <w:t xml:space="preserve">; </w:t>
      </w:r>
      <w:r w:rsidR="00E32EFB">
        <w:rPr>
          <w:rFonts w:cs="Arial"/>
          <w:sz w:val="22"/>
        </w:rPr>
        <w:t>Yohusert Sibaja Garbanzo, funcionario de la Auditoría Interna</w:t>
      </w:r>
      <w:r>
        <w:rPr>
          <w:rFonts w:cs="Arial"/>
          <w:sz w:val="22"/>
        </w:rPr>
        <w:t>; y David López Pacheco, Secretario de Junta Directiva.</w:t>
      </w:r>
      <w:r w:rsidR="005E5F58" w:rsidRPr="005E5F58">
        <w:rPr>
          <w:rFonts w:cs="Arial"/>
          <w:sz w:val="22"/>
        </w:rPr>
        <w:t xml:space="preserve"> </w:t>
      </w:r>
      <w:r w:rsidR="005E5F58">
        <w:rPr>
          <w:rFonts w:cs="Arial"/>
          <w:sz w:val="22"/>
        </w:rPr>
        <w:t xml:space="preserve">El señor Rodolfo Mora Villalobos, Asesor Legal, se incorpora posteriormente (minuto </w:t>
      </w:r>
      <w:r w:rsidR="000202A8">
        <w:rPr>
          <w:rFonts w:cs="Arial"/>
          <w:sz w:val="22"/>
        </w:rPr>
        <w:t>15</w:t>
      </w:r>
      <w:r w:rsidR="005E5F58">
        <w:rPr>
          <w:rFonts w:cs="Arial"/>
          <w:sz w:val="22"/>
        </w:rPr>
        <w:t>:30).</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E32EFB" w:rsidRPr="00E32EFB">
        <w:rPr>
          <w:rFonts w:cs="Arial"/>
          <w:sz w:val="22"/>
        </w:rPr>
        <w:t xml:space="preserve"> </w:t>
      </w:r>
      <w:r w:rsidR="00E32EFB">
        <w:rPr>
          <w:rFonts w:cs="Arial"/>
          <w:sz w:val="22"/>
        </w:rPr>
        <w:t xml:space="preserve">Gustavo Flores Oviedo, </w:t>
      </w:r>
      <w:r w:rsidR="00E32EFB">
        <w:rPr>
          <w:rFonts w:cs="Arial"/>
          <w:sz w:val="22"/>
          <w:szCs w:val="22"/>
        </w:rPr>
        <w:t>Auditor Interno</w:t>
      </w:r>
      <w:r w:rsidR="00E32EFB">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E32EFB" w:rsidRPr="002E299D" w:rsidRDefault="00E32EFB" w:rsidP="002E299D">
      <w:pPr>
        <w:pStyle w:val="Prrafodelista"/>
        <w:numPr>
          <w:ilvl w:val="0"/>
          <w:numId w:val="18"/>
        </w:numPr>
        <w:spacing w:line="360" w:lineRule="auto"/>
        <w:ind w:left="426" w:hanging="426"/>
        <w:jc w:val="both"/>
        <w:rPr>
          <w:rFonts w:cs="Arial"/>
          <w:sz w:val="22"/>
          <w:lang w:val="es-ES_tradnl"/>
        </w:rPr>
      </w:pPr>
      <w:r w:rsidRPr="002E299D">
        <w:rPr>
          <w:rFonts w:cs="Arial"/>
          <w:sz w:val="22"/>
          <w:lang w:val="es-ES_tradnl"/>
        </w:rPr>
        <w:t>Resolución de adjudicación en procedimiento de contratación de servicios de asesoría jurídica para la Junta Directiva.</w:t>
      </w:r>
    </w:p>
    <w:p w:rsidR="00E32EFB" w:rsidRPr="002E299D" w:rsidRDefault="00E32EFB" w:rsidP="002E299D">
      <w:pPr>
        <w:pStyle w:val="Prrafodelista"/>
        <w:numPr>
          <w:ilvl w:val="0"/>
          <w:numId w:val="18"/>
        </w:numPr>
        <w:spacing w:line="360" w:lineRule="auto"/>
        <w:ind w:left="426" w:hanging="426"/>
        <w:jc w:val="both"/>
        <w:rPr>
          <w:rFonts w:cs="Arial"/>
          <w:sz w:val="22"/>
          <w:lang w:val="es-ES_tradnl"/>
        </w:rPr>
      </w:pPr>
      <w:r w:rsidRPr="002E299D">
        <w:rPr>
          <w:rFonts w:cs="Arial"/>
          <w:sz w:val="22"/>
          <w:lang w:val="es-ES_tradnl"/>
        </w:rPr>
        <w:t>Propuesta de respuesta a solicitud del Dr. Enrique Rojas Franco, sobre asuntos que se ventilan en el proceso judicial promovido por la empresa VENTESA contra el BANHVI.</w:t>
      </w:r>
    </w:p>
    <w:p w:rsidR="00E32EFB" w:rsidRPr="002E299D" w:rsidRDefault="00E32EFB" w:rsidP="002E299D">
      <w:pPr>
        <w:pStyle w:val="Prrafodelista"/>
        <w:numPr>
          <w:ilvl w:val="0"/>
          <w:numId w:val="18"/>
        </w:numPr>
        <w:spacing w:line="360" w:lineRule="auto"/>
        <w:ind w:left="426" w:hanging="426"/>
        <w:jc w:val="both"/>
        <w:rPr>
          <w:rFonts w:cs="Arial"/>
          <w:sz w:val="22"/>
          <w:lang w:val="es-ES_tradnl"/>
        </w:rPr>
      </w:pPr>
      <w:r w:rsidRPr="002E299D">
        <w:rPr>
          <w:rFonts w:cs="Arial"/>
          <w:sz w:val="22"/>
          <w:lang w:val="es-ES_tradnl"/>
        </w:rPr>
        <w:t xml:space="preserve">Revaloración del mecanismo aprobado para la consulta pública de la directriz sobre requisitos del programa de vivienda indígena. </w:t>
      </w:r>
    </w:p>
    <w:p w:rsidR="00E32EFB" w:rsidRPr="002E299D" w:rsidRDefault="00E32EFB" w:rsidP="002E299D">
      <w:pPr>
        <w:pStyle w:val="Prrafodelista"/>
        <w:numPr>
          <w:ilvl w:val="0"/>
          <w:numId w:val="18"/>
        </w:numPr>
        <w:spacing w:line="360" w:lineRule="auto"/>
        <w:ind w:left="426" w:hanging="426"/>
        <w:jc w:val="both"/>
        <w:rPr>
          <w:rFonts w:cs="Arial"/>
          <w:sz w:val="22"/>
          <w:lang w:val="es-ES_tradnl"/>
        </w:rPr>
      </w:pPr>
      <w:r w:rsidRPr="002E299D">
        <w:rPr>
          <w:rFonts w:cs="Arial"/>
          <w:sz w:val="22"/>
          <w:lang w:val="es-ES_tradnl"/>
        </w:rPr>
        <w:t>Solicitud de aclaraciones sobre disposiciones de la guía de estudio legal de solicitudes de financiamiento.</w:t>
      </w:r>
    </w:p>
    <w:p w:rsidR="007749FC" w:rsidRPr="002E299D" w:rsidRDefault="00E32EFB" w:rsidP="002E299D">
      <w:pPr>
        <w:pStyle w:val="Prrafodelista"/>
        <w:numPr>
          <w:ilvl w:val="0"/>
          <w:numId w:val="18"/>
        </w:numPr>
        <w:spacing w:line="360" w:lineRule="auto"/>
        <w:ind w:left="426" w:hanging="426"/>
        <w:jc w:val="both"/>
        <w:rPr>
          <w:rFonts w:cs="Arial"/>
          <w:sz w:val="22"/>
          <w:lang w:val="es-ES_tradnl"/>
        </w:rPr>
      </w:pPr>
      <w:r w:rsidRPr="002E299D">
        <w:rPr>
          <w:rFonts w:cs="Arial"/>
          <w:sz w:val="22"/>
          <w:lang w:val="es-ES_tradnl"/>
        </w:rPr>
        <w:t>Análisis de temas de carácter estratégico. Plan Estratégico Institucional 2020-2023.</w:t>
      </w:r>
    </w:p>
    <w:p w:rsidR="007749FC" w:rsidRPr="002E299D" w:rsidRDefault="00E32EFB" w:rsidP="002E299D">
      <w:pPr>
        <w:pStyle w:val="Prrafodelista"/>
        <w:numPr>
          <w:ilvl w:val="0"/>
          <w:numId w:val="18"/>
        </w:numPr>
        <w:spacing w:line="360" w:lineRule="auto"/>
        <w:ind w:left="426" w:hanging="426"/>
        <w:jc w:val="both"/>
        <w:rPr>
          <w:rFonts w:cs="Arial"/>
          <w:sz w:val="22"/>
        </w:rPr>
      </w:pPr>
      <w:r w:rsidRPr="002E299D">
        <w:rPr>
          <w:rFonts w:cs="Arial"/>
          <w:sz w:val="22"/>
          <w:lang w:val="es-ES_tradnl"/>
        </w:rPr>
        <w:lastRenderedPageBreak/>
        <w:t>Resolución de procedimiento para el nombramiento del Gerente General.</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E299D" w:rsidRPr="002E299D">
        <w:rPr>
          <w:rFonts w:cs="Arial"/>
          <w:b/>
          <w:sz w:val="22"/>
          <w:szCs w:val="22"/>
          <w:u w:val="single"/>
          <w:lang w:val="es-ES_tradnl"/>
        </w:rPr>
        <w:t>Resolución de adjudicación en procedimiento de contratación de servicios de asesoría jurídica para la Junta Directiva</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4228E2">
        <w:rPr>
          <w:rFonts w:cs="Arial"/>
          <w:sz w:val="22"/>
          <w:u w:val="single"/>
          <w:lang w:val="es-ES_tradnl"/>
        </w:rPr>
        <w:t>2</w:t>
      </w:r>
      <w:r w:rsidRPr="0039311E">
        <w:rPr>
          <w:rFonts w:cs="Arial"/>
          <w:sz w:val="22"/>
          <w:u w:val="single"/>
          <w:lang w:val="es-ES_tradnl"/>
        </w:rPr>
        <w:t>:</w:t>
      </w:r>
      <w:r w:rsidR="004228E2">
        <w:rPr>
          <w:rFonts w:cs="Arial"/>
          <w:sz w:val="22"/>
          <w:u w:val="single"/>
          <w:lang w:val="es-ES_tradnl"/>
        </w:rPr>
        <w:t>42</w:t>
      </w:r>
      <w:r>
        <w:rPr>
          <w:rFonts w:cs="Arial"/>
          <w:sz w:val="22"/>
          <w:lang w:val="es-ES_tradnl"/>
        </w:rPr>
        <w:t xml:space="preserve"> </w:t>
      </w:r>
      <w:r w:rsidR="00664A50">
        <w:rPr>
          <w:rFonts w:cs="Arial"/>
          <w:sz w:val="22"/>
          <w:lang w:val="es-ES_tradnl"/>
        </w:rPr>
        <w:t xml:space="preserve">Se conoce el oficio GG-ME-0452-2019 del 29 de abril de 2019, mediante el cual, la </w:t>
      </w:r>
      <w:r w:rsidR="00664A50" w:rsidRPr="00726A44">
        <w:rPr>
          <w:rFonts w:cs="Arial"/>
          <w:sz w:val="22"/>
          <w:szCs w:val="22"/>
          <w:lang w:val="es-ES_tradnl"/>
        </w:rPr>
        <w:t>Gerencia General</w:t>
      </w:r>
      <w:r w:rsidR="00664A50">
        <w:rPr>
          <w:rFonts w:cs="Arial"/>
          <w:sz w:val="22"/>
          <w:szCs w:val="22"/>
          <w:lang w:val="es-ES_tradnl"/>
        </w:rPr>
        <w:t xml:space="preserve"> remite el informe DAD-OF-075-2019 de la Dirección Administrativa, que contiene los resultados del procedimiento efectuado para la contratación de los servicios de asesoría jurídica a este Órgano Colegiado, de conformidad con los términos de referencia aprobados por medio del acuerdo N° 8 de la sesión 24-2019, del pasado 25 de marzo.  </w:t>
      </w:r>
      <w:r w:rsidR="007421A0">
        <w:rPr>
          <w:rFonts w:cs="Arial"/>
          <w:sz w:val="22"/>
          <w:szCs w:val="22"/>
          <w:lang w:val="es-ES_tradnl"/>
        </w:rPr>
        <w:t xml:space="preserve">Se </w:t>
      </w:r>
      <w:r w:rsidR="00664A50">
        <w:rPr>
          <w:rFonts w:cs="Arial"/>
          <w:sz w:val="22"/>
          <w:szCs w:val="22"/>
          <w:lang w:val="es-ES_tradnl"/>
        </w:rPr>
        <w:t xml:space="preserve">tiene </w:t>
      </w:r>
      <w:r w:rsidR="007421A0">
        <w:rPr>
          <w:rFonts w:cs="Arial"/>
          <w:sz w:val="22"/>
          <w:szCs w:val="22"/>
          <w:lang w:val="es-ES_tradnl"/>
        </w:rPr>
        <w:t xml:space="preserve">también a la vista </w:t>
      </w:r>
      <w:r w:rsidR="00664A50">
        <w:rPr>
          <w:rFonts w:cs="Arial"/>
          <w:sz w:val="22"/>
          <w:szCs w:val="22"/>
          <w:lang w:val="es-ES_tradnl"/>
        </w:rPr>
        <w:t>el oficio GG-ME-0497-2019 del 10 de mayo de 2019</w:t>
      </w:r>
      <w:r w:rsidR="007421A0">
        <w:rPr>
          <w:rFonts w:cs="Arial"/>
          <w:sz w:val="22"/>
          <w:szCs w:val="22"/>
          <w:lang w:val="es-ES_tradnl"/>
        </w:rPr>
        <w:t>,</w:t>
      </w:r>
      <w:r w:rsidR="00664A50">
        <w:rPr>
          <w:rFonts w:cs="Arial"/>
          <w:sz w:val="22"/>
          <w:szCs w:val="22"/>
          <w:lang w:val="es-ES_tradnl"/>
        </w:rPr>
        <w:t xml:space="preserve"> mediante el cual</w:t>
      </w:r>
      <w:r w:rsidR="007421A0">
        <w:rPr>
          <w:rFonts w:cs="Arial"/>
          <w:sz w:val="22"/>
          <w:szCs w:val="22"/>
          <w:lang w:val="es-ES_tradnl"/>
        </w:rPr>
        <w:t>,</w:t>
      </w:r>
      <w:r w:rsidR="00664A50">
        <w:rPr>
          <w:rFonts w:cs="Arial"/>
          <w:sz w:val="22"/>
          <w:szCs w:val="22"/>
          <w:lang w:val="es-ES_tradnl"/>
        </w:rPr>
        <w:t xml:space="preserve"> según lo solicitado en el acuerdo N°</w:t>
      </w:r>
      <w:r w:rsidR="007421A0">
        <w:rPr>
          <w:rFonts w:cs="Arial"/>
          <w:sz w:val="22"/>
          <w:szCs w:val="22"/>
          <w:lang w:val="es-ES_tradnl"/>
        </w:rPr>
        <w:t xml:space="preserve"> </w:t>
      </w:r>
      <w:r w:rsidR="00664A50">
        <w:rPr>
          <w:rFonts w:cs="Arial"/>
          <w:sz w:val="22"/>
          <w:szCs w:val="22"/>
          <w:lang w:val="es-ES_tradnl"/>
        </w:rPr>
        <w:t>8 de la sesión</w:t>
      </w:r>
      <w:r w:rsidR="00A9789B">
        <w:rPr>
          <w:rFonts w:cs="Arial"/>
          <w:sz w:val="22"/>
          <w:szCs w:val="22"/>
          <w:lang w:val="es-ES_tradnl"/>
        </w:rPr>
        <w:t xml:space="preserve"> 34-2019 del 06 de mayo de 2019, la Gerencia General remite criterio </w:t>
      </w:r>
      <w:r w:rsidR="007421A0">
        <w:rPr>
          <w:rFonts w:cs="Arial"/>
          <w:sz w:val="22"/>
          <w:szCs w:val="22"/>
          <w:lang w:val="es-ES_tradnl"/>
        </w:rPr>
        <w:t xml:space="preserve">complementario </w:t>
      </w:r>
      <w:r w:rsidR="00A9789B">
        <w:rPr>
          <w:rFonts w:cs="Arial"/>
          <w:sz w:val="22"/>
          <w:szCs w:val="22"/>
          <w:lang w:val="es-ES_tradnl"/>
        </w:rPr>
        <w:t xml:space="preserve">sobre el resultado del procedimiento de contratación de servicios de asesoría </w:t>
      </w:r>
      <w:r w:rsidR="007421A0">
        <w:rPr>
          <w:rFonts w:cs="Arial"/>
          <w:sz w:val="22"/>
          <w:szCs w:val="22"/>
          <w:lang w:val="es-ES_tradnl"/>
        </w:rPr>
        <w:t>j</w:t>
      </w:r>
      <w:r w:rsidR="004228E2">
        <w:rPr>
          <w:rFonts w:cs="Arial"/>
          <w:sz w:val="22"/>
          <w:szCs w:val="22"/>
          <w:lang w:val="es-ES_tradnl"/>
        </w:rPr>
        <w:t>urídica</w:t>
      </w:r>
      <w:r w:rsidR="00A9789B">
        <w:rPr>
          <w:rFonts w:cs="Arial"/>
          <w:sz w:val="22"/>
          <w:szCs w:val="22"/>
          <w:lang w:val="es-ES_tradnl"/>
        </w:rPr>
        <w:t xml:space="preserve"> para la Junta Directiva. </w:t>
      </w:r>
      <w:r w:rsidR="00664A50">
        <w:rPr>
          <w:rFonts w:cs="Arial"/>
          <w:sz w:val="22"/>
          <w:szCs w:val="22"/>
          <w:lang w:val="es-ES_tradnl"/>
        </w:rPr>
        <w:t>Dichos documentos se adjuntan al expediente del acta.</w:t>
      </w:r>
    </w:p>
    <w:p w:rsidR="007421A0" w:rsidRDefault="007421A0" w:rsidP="007421A0">
      <w:pPr>
        <w:spacing w:line="360" w:lineRule="auto"/>
        <w:jc w:val="both"/>
        <w:rPr>
          <w:rFonts w:cs="Arial"/>
          <w:sz w:val="22"/>
          <w:lang w:val="es-ES_tradnl"/>
        </w:rPr>
      </w:pPr>
    </w:p>
    <w:p w:rsidR="005B6ADD" w:rsidRDefault="007421A0" w:rsidP="007421A0">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0</w:t>
      </w:r>
      <w:r w:rsidR="005B6ADD">
        <w:rPr>
          <w:rFonts w:cs="Arial"/>
          <w:sz w:val="22"/>
          <w:u w:val="single"/>
          <w:lang w:val="es-ES_tradnl"/>
        </w:rPr>
        <w:t>3</w:t>
      </w:r>
      <w:r w:rsidRPr="00A25DB7">
        <w:rPr>
          <w:rFonts w:cs="Arial"/>
          <w:sz w:val="22"/>
          <w:u w:val="single"/>
          <w:lang w:val="es-ES_tradnl"/>
        </w:rPr>
        <w:t>:</w:t>
      </w:r>
      <w:r w:rsidR="005B6ADD">
        <w:rPr>
          <w:rFonts w:cs="Arial"/>
          <w:sz w:val="22"/>
          <w:u w:val="single"/>
          <w:lang w:val="es-ES_tradnl"/>
        </w:rPr>
        <w:t>20</w:t>
      </w:r>
      <w:r>
        <w:rPr>
          <w:rFonts w:cs="Arial"/>
          <w:sz w:val="22"/>
          <w:lang w:val="es-ES_tradnl"/>
        </w:rPr>
        <w:t xml:space="preserve"> La </w:t>
      </w:r>
      <w:r w:rsidR="005B6ADD">
        <w:rPr>
          <w:rFonts w:cs="Arial"/>
          <w:sz w:val="22"/>
          <w:lang w:val="es-ES_tradnl"/>
        </w:rPr>
        <w:t xml:space="preserve">Directora Presidenta hace un resumen de los documentos de la </w:t>
      </w:r>
      <w:r w:rsidR="005B6ADD" w:rsidRPr="005B6ADD">
        <w:rPr>
          <w:rFonts w:cs="Arial"/>
          <w:sz w:val="22"/>
          <w:szCs w:val="22"/>
          <w:lang w:val="es-ES_tradnl"/>
        </w:rPr>
        <w:t>Administración</w:t>
      </w:r>
      <w:r w:rsidR="005B6ADD">
        <w:rPr>
          <w:rFonts w:cs="Arial"/>
          <w:sz w:val="22"/>
          <w:szCs w:val="22"/>
          <w:lang w:val="es-ES_tradnl"/>
        </w:rPr>
        <w:t xml:space="preserve"> y expone su criterio con respecto al tema, </w:t>
      </w:r>
      <w:r w:rsidR="002848DF">
        <w:rPr>
          <w:rFonts w:cs="Arial"/>
          <w:sz w:val="22"/>
          <w:szCs w:val="22"/>
          <w:lang w:val="es-ES_tradnl"/>
        </w:rPr>
        <w:t xml:space="preserve">proponiendo finalmente que de conformidad con lo establecido en los artículos 26 y 171 del Reglamento a la Ley de Contratación Administrativa, se solicite a la </w:t>
      </w:r>
      <w:r w:rsidR="002848DF" w:rsidRPr="002848DF">
        <w:rPr>
          <w:rFonts w:cs="Arial"/>
          <w:sz w:val="22"/>
          <w:szCs w:val="22"/>
          <w:lang w:val="es-ES_tradnl"/>
        </w:rPr>
        <w:t>Administración</w:t>
      </w:r>
      <w:r w:rsidR="002848DF">
        <w:rPr>
          <w:rFonts w:cs="Arial"/>
          <w:sz w:val="22"/>
          <w:szCs w:val="22"/>
          <w:lang w:val="es-ES_tradnl"/>
        </w:rPr>
        <w:t xml:space="preserve"> que en la próxima sesión presente los resultados de la calificación de todas las ofertas de personas físicas.</w:t>
      </w:r>
    </w:p>
    <w:p w:rsidR="005B6ADD" w:rsidRDefault="005B6ADD" w:rsidP="007421A0">
      <w:pPr>
        <w:spacing w:line="360" w:lineRule="auto"/>
        <w:jc w:val="both"/>
        <w:rPr>
          <w:rFonts w:cs="Arial"/>
          <w:sz w:val="22"/>
          <w:szCs w:val="22"/>
          <w:lang w:val="es-ES_tradnl"/>
        </w:rPr>
      </w:pPr>
    </w:p>
    <w:p w:rsidR="007421A0" w:rsidRPr="00830EC7" w:rsidRDefault="002848DF" w:rsidP="007421A0">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09</w:t>
      </w:r>
      <w:r w:rsidRPr="00A25DB7">
        <w:rPr>
          <w:rFonts w:cs="Arial"/>
          <w:sz w:val="22"/>
          <w:u w:val="single"/>
          <w:lang w:val="es-ES_tradnl"/>
        </w:rPr>
        <w:t>:</w:t>
      </w:r>
      <w:r>
        <w:rPr>
          <w:rFonts w:cs="Arial"/>
          <w:sz w:val="22"/>
          <w:u w:val="single"/>
          <w:lang w:val="es-ES_tradnl"/>
        </w:rPr>
        <w:t>00</w:t>
      </w:r>
      <w:r>
        <w:rPr>
          <w:rFonts w:cs="Arial"/>
          <w:sz w:val="22"/>
          <w:lang w:val="es-ES_tradnl"/>
        </w:rPr>
        <w:t xml:space="preserve"> Los señores Directores y el señor Gerente General </w:t>
      </w:r>
      <w:proofErr w:type="spellStart"/>
      <w:r>
        <w:rPr>
          <w:rFonts w:cs="Arial"/>
          <w:sz w:val="22"/>
          <w:lang w:val="es-ES_tradnl"/>
        </w:rPr>
        <w:t>a.i.</w:t>
      </w:r>
      <w:proofErr w:type="spellEnd"/>
      <w:r>
        <w:rPr>
          <w:rFonts w:cs="Arial"/>
          <w:sz w:val="22"/>
          <w:lang w:val="es-ES_tradnl"/>
        </w:rPr>
        <w:t xml:space="preserve"> proceden a analizar lo expuesto por la Directora Presidenta, y al respecto se realizan los siguientes</w:t>
      </w:r>
      <w:r w:rsidR="007421A0" w:rsidRPr="00830EC7">
        <w:rPr>
          <w:rFonts w:cs="Arial"/>
          <w:sz w:val="22"/>
          <w:szCs w:val="22"/>
        </w:rPr>
        <w:t xml:space="preserve"> razonamientos</w:t>
      </w:r>
      <w:r>
        <w:rPr>
          <w:rFonts w:cs="Arial"/>
          <w:sz w:val="22"/>
          <w:szCs w:val="22"/>
        </w:rPr>
        <w:t xml:space="preserve"> en torno a los documentos de la </w:t>
      </w:r>
      <w:r w:rsidRPr="002848DF">
        <w:rPr>
          <w:rFonts w:cs="Arial"/>
          <w:sz w:val="22"/>
          <w:szCs w:val="22"/>
        </w:rPr>
        <w:t>Administración</w:t>
      </w:r>
      <w:r w:rsidR="007421A0" w:rsidRPr="00830EC7">
        <w:rPr>
          <w:rFonts w:cs="Arial"/>
          <w:sz w:val="22"/>
          <w:szCs w:val="22"/>
        </w:rPr>
        <w:t>:</w:t>
      </w:r>
      <w:r>
        <w:rPr>
          <w:rFonts w:cs="Arial"/>
          <w:sz w:val="22"/>
          <w:szCs w:val="22"/>
        </w:rPr>
        <w:t xml:space="preserve"> </w:t>
      </w:r>
      <w:r w:rsidR="007421A0" w:rsidRPr="00830EC7">
        <w:rPr>
          <w:rFonts w:cs="Arial"/>
          <w:sz w:val="22"/>
          <w:szCs w:val="22"/>
        </w:rPr>
        <w:t xml:space="preserve">a) </w:t>
      </w:r>
      <w:r>
        <w:rPr>
          <w:rFonts w:cs="Arial"/>
          <w:sz w:val="22"/>
          <w:szCs w:val="22"/>
        </w:rPr>
        <w:t xml:space="preserve">que si </w:t>
      </w:r>
      <w:r w:rsidR="007421A0" w:rsidRPr="00830EC7">
        <w:rPr>
          <w:rFonts w:cs="Arial"/>
          <w:sz w:val="22"/>
          <w:szCs w:val="22"/>
        </w:rPr>
        <w:t>se trataba de un precio basado en la tarifa regulada por Arancel de Honorarios del Colegio de Abogados, no era pertinente que se pretendiera que las ofertas contaran con el desglose de la estructura de precios (según lo indica el artículo 171 del Reglamento LCA)</w:t>
      </w:r>
      <w:r>
        <w:rPr>
          <w:rFonts w:cs="Arial"/>
          <w:sz w:val="22"/>
          <w:szCs w:val="22"/>
        </w:rPr>
        <w:t xml:space="preserve">; b) que si </w:t>
      </w:r>
      <w:r w:rsidR="007421A0" w:rsidRPr="00830EC7">
        <w:rPr>
          <w:rFonts w:cs="Arial"/>
          <w:sz w:val="22"/>
          <w:szCs w:val="22"/>
        </w:rPr>
        <w:t xml:space="preserve">se trataba de un precio superior a la tarifa mínima, el cartel </w:t>
      </w:r>
      <w:r w:rsidR="007421A0" w:rsidRPr="00830EC7">
        <w:rPr>
          <w:rFonts w:cs="Arial"/>
          <w:sz w:val="22"/>
          <w:szCs w:val="22"/>
          <w:lang w:val="es-CR"/>
        </w:rPr>
        <w:t>debió establecer la exigencia de presentar un desglose del costo de los servicios, detallado en costos directos, indirectos y utilidades</w:t>
      </w:r>
      <w:r w:rsidR="007421A0" w:rsidRPr="00830EC7">
        <w:rPr>
          <w:rFonts w:cs="Arial"/>
          <w:sz w:val="22"/>
          <w:szCs w:val="22"/>
        </w:rPr>
        <w:t xml:space="preserve"> (según lo indica el a</w:t>
      </w:r>
      <w:r>
        <w:rPr>
          <w:rFonts w:cs="Arial"/>
          <w:sz w:val="22"/>
          <w:szCs w:val="22"/>
        </w:rPr>
        <w:t xml:space="preserve">rtículo 171 del Reglamento LCA); </w:t>
      </w:r>
      <w:r w:rsidR="007421A0" w:rsidRPr="00830EC7">
        <w:rPr>
          <w:rFonts w:cs="Arial"/>
          <w:sz w:val="22"/>
          <w:szCs w:val="22"/>
        </w:rPr>
        <w:t xml:space="preserve">c) </w:t>
      </w:r>
      <w:r>
        <w:rPr>
          <w:rFonts w:cs="Arial"/>
          <w:sz w:val="22"/>
          <w:szCs w:val="22"/>
        </w:rPr>
        <w:t xml:space="preserve">que si </w:t>
      </w:r>
      <w:r w:rsidR="007421A0" w:rsidRPr="00830EC7">
        <w:rPr>
          <w:rFonts w:cs="Arial"/>
          <w:sz w:val="22"/>
          <w:szCs w:val="22"/>
        </w:rPr>
        <w:t>se trataba de un precio superior a la tarifa mínima, y se</w:t>
      </w:r>
      <w:r w:rsidR="007421A0" w:rsidRPr="00830EC7">
        <w:rPr>
          <w:rFonts w:cs="Arial"/>
          <w:sz w:val="22"/>
          <w:szCs w:val="22"/>
          <w:lang w:val="es-CR"/>
        </w:rPr>
        <w:t xml:space="preserve"> establecía la exigencia de presentar un desglose </w:t>
      </w:r>
      <w:r w:rsidR="007421A0" w:rsidRPr="00830EC7">
        <w:rPr>
          <w:rFonts w:cs="Arial"/>
          <w:sz w:val="22"/>
          <w:szCs w:val="22"/>
          <w:lang w:val="es-CR"/>
        </w:rPr>
        <w:lastRenderedPageBreak/>
        <w:t xml:space="preserve">del costo de los servicios, podría subsanarse la omisión del desglose, si ello no generaba una ventaja indebida para el oferente </w:t>
      </w:r>
      <w:proofErr w:type="spellStart"/>
      <w:r w:rsidR="007421A0" w:rsidRPr="00830EC7">
        <w:rPr>
          <w:rFonts w:cs="Arial"/>
          <w:sz w:val="22"/>
          <w:szCs w:val="22"/>
          <w:lang w:val="es-CR"/>
        </w:rPr>
        <w:t>incumpliente</w:t>
      </w:r>
      <w:proofErr w:type="spellEnd"/>
      <w:r w:rsidR="007421A0" w:rsidRPr="00830EC7">
        <w:rPr>
          <w:rFonts w:cs="Arial"/>
          <w:sz w:val="22"/>
          <w:szCs w:val="22"/>
          <w:lang w:val="es-CR"/>
        </w:rPr>
        <w:t xml:space="preserve"> (</w:t>
      </w:r>
      <w:r w:rsidR="007421A0" w:rsidRPr="00830EC7">
        <w:rPr>
          <w:rFonts w:cs="Arial"/>
          <w:sz w:val="22"/>
          <w:szCs w:val="22"/>
        </w:rPr>
        <w:t>según lo indica el artículo 26 del Reglamento LCA)</w:t>
      </w:r>
      <w:r>
        <w:rPr>
          <w:rFonts w:cs="Arial"/>
          <w:sz w:val="22"/>
          <w:szCs w:val="22"/>
        </w:rPr>
        <w:t>; y d) que si</w:t>
      </w:r>
      <w:r w:rsidR="007421A0" w:rsidRPr="00830EC7">
        <w:rPr>
          <w:rFonts w:cs="Arial"/>
          <w:sz w:val="22"/>
          <w:szCs w:val="22"/>
        </w:rPr>
        <w:t xml:space="preserve"> trataba de ofertas no limitadas a la tarifa mínima, donde es obligatorio el desglose de la estructura de precios de las ofertas, pero éstas se ajustaron al mínimo de la tarifa regulada por el Arancel de Honorarios del Colegio de Abogados, entonces el desglose de precios era innecesario.</w:t>
      </w:r>
    </w:p>
    <w:p w:rsidR="002848DF" w:rsidRDefault="002848DF" w:rsidP="007421A0">
      <w:pPr>
        <w:spacing w:line="360" w:lineRule="auto"/>
        <w:jc w:val="both"/>
        <w:rPr>
          <w:rFonts w:cs="Arial"/>
          <w:sz w:val="22"/>
          <w:szCs w:val="22"/>
        </w:rPr>
      </w:pPr>
    </w:p>
    <w:p w:rsidR="007421A0" w:rsidRPr="00830EC7" w:rsidRDefault="002848DF" w:rsidP="007421A0">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14</w:t>
      </w:r>
      <w:r w:rsidRPr="00A25DB7">
        <w:rPr>
          <w:rFonts w:cs="Arial"/>
          <w:sz w:val="22"/>
          <w:u w:val="single"/>
          <w:lang w:val="es-ES_tradnl"/>
        </w:rPr>
        <w:t>:</w:t>
      </w:r>
      <w:r>
        <w:rPr>
          <w:rFonts w:cs="Arial"/>
          <w:sz w:val="22"/>
          <w:u w:val="single"/>
          <w:lang w:val="es-ES_tradnl"/>
        </w:rPr>
        <w:t>30</w:t>
      </w:r>
      <w:r>
        <w:rPr>
          <w:rFonts w:cs="Arial"/>
          <w:sz w:val="22"/>
          <w:lang w:val="es-ES_tradnl"/>
        </w:rPr>
        <w:t xml:space="preserve"> La </w:t>
      </w:r>
      <w:r>
        <w:rPr>
          <w:rFonts w:cs="Arial"/>
          <w:sz w:val="22"/>
          <w:szCs w:val="22"/>
        </w:rPr>
        <w:t xml:space="preserve">Con </w:t>
      </w:r>
      <w:r w:rsidR="007421A0" w:rsidRPr="00830EC7">
        <w:rPr>
          <w:rFonts w:cs="Arial"/>
          <w:sz w:val="22"/>
          <w:szCs w:val="22"/>
        </w:rPr>
        <w:t>base en las anteriores consideraciones y para resolver este asunto, se estima pertinente girar instrucciones a la Administración, para que analice y califique las ofertas presentadas por personas físicas en el referido proceso de licitación y presente a este Órgano Colegiado los resultados obtenidos, para lograr un mejor criterio a fin de definir la adjudicación de la licitación.</w:t>
      </w:r>
      <w:r>
        <w:rPr>
          <w:rFonts w:cs="Arial"/>
          <w:sz w:val="22"/>
          <w:szCs w:val="22"/>
        </w:rPr>
        <w:t xml:space="preserve">  Lo anterior, según se indica en el </w:t>
      </w:r>
      <w:r w:rsidRPr="002848DF">
        <w:rPr>
          <w:rFonts w:cs="Arial"/>
          <w:b/>
          <w:sz w:val="22"/>
          <w:szCs w:val="22"/>
        </w:rPr>
        <w:t>Acuerdo N° 1</w:t>
      </w:r>
      <w:r>
        <w:rPr>
          <w:rFonts w:cs="Arial"/>
          <w:sz w:val="22"/>
          <w:szCs w:val="22"/>
        </w:rPr>
        <w:t xml:space="preserve"> que se anexa a esta minuta.</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2E299D" w:rsidRPr="002E299D">
        <w:rPr>
          <w:rFonts w:cs="Arial"/>
          <w:b/>
          <w:sz w:val="22"/>
          <w:u w:val="single"/>
          <w:lang w:val="es-ES_tradnl"/>
        </w:rPr>
        <w:t>Propuesta de respuesta a solicitud del Dr. Enrique Rojas Franco, sobre asuntos que se ventilan en el proceso judicial promovido por la empresa VENTESA contra el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A3A89">
        <w:rPr>
          <w:rFonts w:cs="Arial"/>
          <w:sz w:val="22"/>
          <w:u w:val="single"/>
          <w:lang w:val="es-ES_tradnl"/>
        </w:rPr>
        <w:t>15</w:t>
      </w:r>
      <w:r w:rsidRPr="0039311E">
        <w:rPr>
          <w:rFonts w:cs="Arial"/>
          <w:sz w:val="22"/>
          <w:u w:val="single"/>
          <w:lang w:val="es-ES_tradnl"/>
        </w:rPr>
        <w:t>:</w:t>
      </w:r>
      <w:r w:rsidR="009A3A89">
        <w:rPr>
          <w:rFonts w:cs="Arial"/>
          <w:sz w:val="22"/>
          <w:u w:val="single"/>
          <w:lang w:val="es-ES_tradnl"/>
        </w:rPr>
        <w:t>00</w:t>
      </w:r>
      <w:r>
        <w:rPr>
          <w:rFonts w:cs="Arial"/>
          <w:sz w:val="22"/>
          <w:lang w:val="es-ES_tradnl"/>
        </w:rPr>
        <w:t xml:space="preserve"> Se conoce el oficio </w:t>
      </w:r>
      <w:r w:rsidR="009A3A89">
        <w:rPr>
          <w:rFonts w:cs="Arial"/>
          <w:sz w:val="22"/>
          <w:lang w:val="es-ES_tradnl"/>
        </w:rPr>
        <w:t>GG-OF-0499-2019 del 10 de mayo de 2019, mediante el cual</w:t>
      </w:r>
      <w:r w:rsidR="002848DF">
        <w:rPr>
          <w:rFonts w:cs="Arial"/>
          <w:sz w:val="22"/>
          <w:lang w:val="es-ES_tradnl"/>
        </w:rPr>
        <w:t>, atendiendo lo solicitado en el acuerdo N°11 de la sesión 22-2019 del 18 de marzo de 2019,</w:t>
      </w:r>
      <w:r w:rsidR="009A3A89">
        <w:rPr>
          <w:rFonts w:cs="Arial"/>
          <w:sz w:val="22"/>
          <w:lang w:val="es-ES_tradnl"/>
        </w:rPr>
        <w:t xml:space="preserve"> la Gerencia General </w:t>
      </w:r>
      <w:r w:rsidR="002848DF">
        <w:rPr>
          <w:rFonts w:cs="Arial"/>
          <w:sz w:val="22"/>
          <w:lang w:val="es-ES_tradnl"/>
        </w:rPr>
        <w:t xml:space="preserve">remite una </w:t>
      </w:r>
      <w:r w:rsidR="009A3A89">
        <w:rPr>
          <w:rFonts w:cs="Arial"/>
          <w:sz w:val="22"/>
          <w:lang w:val="es-ES_tradnl"/>
        </w:rPr>
        <w:t xml:space="preserve">propuesta de respuesta a </w:t>
      </w:r>
      <w:r w:rsidR="002848DF">
        <w:rPr>
          <w:rFonts w:cs="Arial"/>
          <w:sz w:val="22"/>
          <w:lang w:val="es-ES_tradnl"/>
        </w:rPr>
        <w:t>l</w:t>
      </w:r>
      <w:r w:rsidR="000202A8">
        <w:rPr>
          <w:rFonts w:cs="Arial"/>
          <w:sz w:val="22"/>
          <w:lang w:val="es-ES_tradnl"/>
        </w:rPr>
        <w:t xml:space="preserve">o expuesto por </w:t>
      </w:r>
      <w:r w:rsidR="009A3A89">
        <w:rPr>
          <w:rFonts w:cs="Arial"/>
          <w:sz w:val="22"/>
          <w:lang w:val="es-ES_tradnl"/>
        </w:rPr>
        <w:t xml:space="preserve">el Dr. Enrique Rojas Franco, </w:t>
      </w:r>
      <w:r w:rsidR="000202A8">
        <w:rPr>
          <w:rFonts w:cs="Arial"/>
          <w:sz w:val="22"/>
          <w:lang w:val="es-ES_tradnl"/>
        </w:rPr>
        <w:t xml:space="preserve">en oficio de fecha 11 de marzo de 2019, </w:t>
      </w:r>
      <w:r w:rsidR="009A3A89">
        <w:rPr>
          <w:rFonts w:cs="Arial"/>
          <w:sz w:val="22"/>
          <w:lang w:val="es-ES_tradnl"/>
        </w:rPr>
        <w:t xml:space="preserve">sobre </w:t>
      </w:r>
      <w:r w:rsidR="000202A8">
        <w:rPr>
          <w:rFonts w:cs="Arial"/>
          <w:sz w:val="22"/>
          <w:lang w:val="es-ES_tradnl"/>
        </w:rPr>
        <w:t xml:space="preserve">la solicitud de una audiencia para discutir y tratar de llegar a un acuerdo sobre asuntos </w:t>
      </w:r>
      <w:r w:rsidR="009A3A89">
        <w:rPr>
          <w:rFonts w:cs="Arial"/>
          <w:sz w:val="22"/>
          <w:lang w:val="es-ES_tradnl"/>
        </w:rPr>
        <w:t>que se ventilan en el proceso judicial promovido por la empresa VENTESA contra el BANHVI.</w:t>
      </w:r>
      <w:r w:rsidR="000202A8">
        <w:rPr>
          <w:rFonts w:cs="Arial"/>
          <w:sz w:val="22"/>
          <w:lang w:val="es-ES_tradnl"/>
        </w:rPr>
        <w:t xml:space="preserve">  Dicho documento se adjunta al expediente del acta.</w:t>
      </w:r>
      <w:r w:rsidR="009A3A89">
        <w:rPr>
          <w:rFonts w:cs="Arial"/>
          <w:sz w:val="22"/>
          <w:lang w:val="es-ES_tradnl"/>
        </w:rPr>
        <w:t xml:space="preserve"> </w:t>
      </w:r>
    </w:p>
    <w:p w:rsidR="00D606D2" w:rsidRDefault="00D606D2" w:rsidP="009D03FE">
      <w:pPr>
        <w:spacing w:line="360" w:lineRule="auto"/>
        <w:jc w:val="both"/>
        <w:rPr>
          <w:rFonts w:cs="Arial"/>
          <w:sz w:val="22"/>
          <w:lang w:val="es-ES_tradnl"/>
        </w:rPr>
      </w:pPr>
    </w:p>
    <w:p w:rsidR="000202A8" w:rsidRDefault="00D606D2"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0202A8">
        <w:rPr>
          <w:rFonts w:cs="Arial"/>
          <w:sz w:val="22"/>
          <w:u w:val="single"/>
          <w:lang w:val="es-ES_tradnl"/>
        </w:rPr>
        <w:t>5</w:t>
      </w:r>
      <w:r w:rsidRPr="0039311E">
        <w:rPr>
          <w:rFonts w:cs="Arial"/>
          <w:sz w:val="22"/>
          <w:u w:val="single"/>
          <w:lang w:val="es-ES_tradnl"/>
        </w:rPr>
        <w:t>:</w:t>
      </w:r>
      <w:r w:rsidR="000202A8">
        <w:rPr>
          <w:rFonts w:cs="Arial"/>
          <w:sz w:val="22"/>
          <w:u w:val="single"/>
          <w:lang w:val="es-ES_tradnl"/>
        </w:rPr>
        <w:t>30</w:t>
      </w:r>
      <w:r w:rsidR="000202A8">
        <w:rPr>
          <w:rFonts w:cs="Arial"/>
          <w:sz w:val="22"/>
          <w:lang w:val="es-ES_tradnl"/>
        </w:rPr>
        <w:t xml:space="preserve"> El señor Gerente General </w:t>
      </w:r>
      <w:r>
        <w:rPr>
          <w:rFonts w:cs="Arial"/>
          <w:sz w:val="22"/>
          <w:lang w:val="es-ES_tradnl"/>
        </w:rPr>
        <w:t xml:space="preserve"> </w:t>
      </w:r>
      <w:r w:rsidR="000202A8">
        <w:rPr>
          <w:rFonts w:cs="Arial"/>
          <w:sz w:val="22"/>
          <w:lang w:val="es-ES_tradnl"/>
        </w:rPr>
        <w:t>expone el contenido y las justificaciones del citado borrador de respuesta.</w:t>
      </w:r>
    </w:p>
    <w:p w:rsidR="000202A8" w:rsidRDefault="000202A8" w:rsidP="009D03FE">
      <w:pPr>
        <w:spacing w:line="360" w:lineRule="auto"/>
        <w:jc w:val="both"/>
        <w:rPr>
          <w:rFonts w:cs="Arial"/>
          <w:sz w:val="22"/>
          <w:lang w:val="es-ES_tradnl"/>
        </w:rPr>
      </w:pPr>
    </w:p>
    <w:p w:rsidR="00DE7AC3" w:rsidRDefault="000202A8"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w:t>
      </w:r>
      <w:r w:rsidRPr="0039311E">
        <w:rPr>
          <w:rFonts w:cs="Arial"/>
          <w:sz w:val="22"/>
          <w:u w:val="single"/>
          <w:lang w:val="es-ES_tradnl"/>
        </w:rPr>
        <w:t>:</w:t>
      </w:r>
      <w:r>
        <w:rPr>
          <w:rFonts w:cs="Arial"/>
          <w:sz w:val="22"/>
          <w:u w:val="single"/>
          <w:lang w:val="es-ES_tradnl"/>
        </w:rPr>
        <w:t>30</w:t>
      </w:r>
      <w:r>
        <w:rPr>
          <w:rFonts w:cs="Arial"/>
          <w:sz w:val="22"/>
          <w:lang w:val="es-ES_tradnl"/>
        </w:rPr>
        <w:t xml:space="preserve"> Consultado al respecto, el </w:t>
      </w:r>
      <w:r w:rsidR="00D606D2">
        <w:rPr>
          <w:rFonts w:cs="Arial"/>
          <w:sz w:val="22"/>
          <w:lang w:val="es-ES_tradnl"/>
        </w:rPr>
        <w:t>licenciado Mora Villalobos indica que en el tema de la información y la documentación aportada</w:t>
      </w:r>
      <w:r>
        <w:rPr>
          <w:rFonts w:cs="Arial"/>
          <w:sz w:val="22"/>
          <w:lang w:val="es-ES_tradnl"/>
        </w:rPr>
        <w:t>,</w:t>
      </w:r>
      <w:r w:rsidR="00D606D2">
        <w:rPr>
          <w:rFonts w:cs="Arial"/>
          <w:sz w:val="22"/>
          <w:lang w:val="es-ES_tradnl"/>
        </w:rPr>
        <w:t xml:space="preserve"> consiste en </w:t>
      </w:r>
      <w:r>
        <w:rPr>
          <w:rFonts w:cs="Arial"/>
          <w:sz w:val="22"/>
          <w:lang w:val="es-ES_tradnl"/>
        </w:rPr>
        <w:t>el</w:t>
      </w:r>
      <w:r w:rsidR="00D606D2">
        <w:rPr>
          <w:rFonts w:cs="Arial"/>
          <w:sz w:val="22"/>
          <w:lang w:val="es-ES_tradnl"/>
        </w:rPr>
        <w:t xml:space="preserve"> acuerdo de la Junta Directiva que </w:t>
      </w:r>
      <w:r>
        <w:rPr>
          <w:rFonts w:cs="Arial"/>
          <w:sz w:val="22"/>
          <w:lang w:val="es-ES_tradnl"/>
        </w:rPr>
        <w:t>dio por agotada</w:t>
      </w:r>
      <w:r w:rsidR="00D606D2">
        <w:rPr>
          <w:rFonts w:cs="Arial"/>
          <w:sz w:val="22"/>
          <w:lang w:val="es-ES_tradnl"/>
        </w:rPr>
        <w:t xml:space="preserve"> la vía administrativa y la documentación técnica que l</w:t>
      </w:r>
      <w:r>
        <w:rPr>
          <w:rFonts w:cs="Arial"/>
          <w:sz w:val="22"/>
          <w:lang w:val="es-ES_tradnl"/>
        </w:rPr>
        <w:t>o</w:t>
      </w:r>
      <w:r w:rsidR="00D606D2">
        <w:rPr>
          <w:rFonts w:cs="Arial"/>
          <w:sz w:val="22"/>
          <w:lang w:val="es-ES_tradnl"/>
        </w:rPr>
        <w:t xml:space="preserve"> sustent</w:t>
      </w:r>
      <w:r>
        <w:rPr>
          <w:rFonts w:cs="Arial"/>
          <w:sz w:val="22"/>
          <w:lang w:val="es-ES_tradnl"/>
        </w:rPr>
        <w:t>ó</w:t>
      </w:r>
      <w:r w:rsidR="00D606D2">
        <w:rPr>
          <w:rFonts w:cs="Arial"/>
          <w:sz w:val="22"/>
          <w:lang w:val="es-ES_tradnl"/>
        </w:rPr>
        <w:t xml:space="preserve">, </w:t>
      </w:r>
      <w:r>
        <w:rPr>
          <w:rFonts w:cs="Arial"/>
          <w:sz w:val="22"/>
          <w:lang w:val="es-ES_tradnl"/>
        </w:rPr>
        <w:t xml:space="preserve">y </w:t>
      </w:r>
      <w:r w:rsidR="00D606D2">
        <w:rPr>
          <w:rFonts w:cs="Arial"/>
          <w:sz w:val="22"/>
          <w:lang w:val="es-ES_tradnl"/>
        </w:rPr>
        <w:t xml:space="preserve">que básicamente son dictámenes e informes de la Dirección FOSUVI y </w:t>
      </w:r>
      <w:r>
        <w:rPr>
          <w:rFonts w:cs="Arial"/>
          <w:sz w:val="22"/>
          <w:lang w:val="es-ES_tradnl"/>
        </w:rPr>
        <w:t>d</w:t>
      </w:r>
      <w:r w:rsidR="00D606D2">
        <w:rPr>
          <w:rFonts w:cs="Arial"/>
          <w:sz w:val="22"/>
          <w:lang w:val="es-ES_tradnl"/>
        </w:rPr>
        <w:t xml:space="preserve">el Departamento Técnico,  además </w:t>
      </w:r>
      <w:r>
        <w:rPr>
          <w:rFonts w:cs="Arial"/>
          <w:sz w:val="22"/>
          <w:lang w:val="es-ES_tradnl"/>
        </w:rPr>
        <w:t xml:space="preserve">de </w:t>
      </w:r>
      <w:r w:rsidR="00D606D2">
        <w:rPr>
          <w:rFonts w:cs="Arial"/>
          <w:sz w:val="22"/>
          <w:lang w:val="es-ES_tradnl"/>
        </w:rPr>
        <w:t xml:space="preserve">los contratos que </w:t>
      </w:r>
      <w:r>
        <w:rPr>
          <w:rFonts w:cs="Arial"/>
          <w:sz w:val="22"/>
          <w:lang w:val="es-ES_tradnl"/>
        </w:rPr>
        <w:t>par</w:t>
      </w:r>
      <w:r w:rsidR="00D606D2">
        <w:rPr>
          <w:rFonts w:cs="Arial"/>
          <w:sz w:val="22"/>
          <w:lang w:val="es-ES_tradnl"/>
        </w:rPr>
        <w:t>a efectos se generaron</w:t>
      </w:r>
      <w:r>
        <w:rPr>
          <w:rFonts w:cs="Arial"/>
          <w:sz w:val="22"/>
          <w:lang w:val="es-ES_tradnl"/>
        </w:rPr>
        <w:t xml:space="preserve">.  Agrega que lo que </w:t>
      </w:r>
      <w:r w:rsidR="00D606D2">
        <w:rPr>
          <w:rFonts w:cs="Arial"/>
          <w:sz w:val="22"/>
          <w:lang w:val="es-ES_tradnl"/>
        </w:rPr>
        <w:t xml:space="preserve">el Banco </w:t>
      </w:r>
      <w:r>
        <w:rPr>
          <w:rFonts w:cs="Arial"/>
          <w:sz w:val="22"/>
          <w:lang w:val="es-ES_tradnl"/>
        </w:rPr>
        <w:t xml:space="preserve">eventualmente aprueba son </w:t>
      </w:r>
      <w:r w:rsidR="00D606D2">
        <w:rPr>
          <w:rFonts w:cs="Arial"/>
          <w:sz w:val="22"/>
          <w:lang w:val="es-ES_tradnl"/>
        </w:rPr>
        <w:t>financiamiento</w:t>
      </w:r>
      <w:r>
        <w:rPr>
          <w:rFonts w:cs="Arial"/>
          <w:sz w:val="22"/>
          <w:lang w:val="es-ES_tradnl"/>
        </w:rPr>
        <w:t>s, no reajustes de precios,</w:t>
      </w:r>
      <w:r w:rsidR="00D606D2">
        <w:rPr>
          <w:rFonts w:cs="Arial"/>
          <w:sz w:val="22"/>
          <w:lang w:val="es-ES_tradnl"/>
        </w:rPr>
        <w:t xml:space="preserve"> </w:t>
      </w:r>
      <w:r>
        <w:rPr>
          <w:rFonts w:cs="Arial"/>
          <w:sz w:val="22"/>
          <w:lang w:val="es-ES_tradnl"/>
        </w:rPr>
        <w:t xml:space="preserve">y por consiguiente, </w:t>
      </w:r>
      <w:r w:rsidR="00D606D2">
        <w:rPr>
          <w:rFonts w:cs="Arial"/>
          <w:sz w:val="22"/>
          <w:lang w:val="es-ES_tradnl"/>
        </w:rPr>
        <w:t xml:space="preserve">los proyectos de vivienda se realizan por cuenta y riesgo del desarrollador, </w:t>
      </w:r>
      <w:r>
        <w:rPr>
          <w:rFonts w:cs="Arial"/>
          <w:sz w:val="22"/>
          <w:lang w:val="es-ES_tradnl"/>
        </w:rPr>
        <w:t xml:space="preserve">en el tanto </w:t>
      </w:r>
      <w:r w:rsidR="00D606D2">
        <w:rPr>
          <w:rFonts w:cs="Arial"/>
          <w:sz w:val="22"/>
          <w:lang w:val="es-ES_tradnl"/>
        </w:rPr>
        <w:t>el desarrollador no tiene que concursar</w:t>
      </w:r>
      <w:r>
        <w:rPr>
          <w:rFonts w:cs="Arial"/>
          <w:sz w:val="22"/>
          <w:lang w:val="es-ES_tradnl"/>
        </w:rPr>
        <w:t xml:space="preserve"> y de ahí que el BANHVI solo aprueba el monto del financiamiento solicitado y ni siquiera está obligado a otorgar financiamiento adicional posteriormente.  En este sentido, a</w:t>
      </w:r>
      <w:r w:rsidR="00DE7AC3">
        <w:rPr>
          <w:rFonts w:cs="Arial"/>
          <w:sz w:val="22"/>
          <w:lang w:val="es-ES_tradnl"/>
        </w:rPr>
        <w:t>clara</w:t>
      </w:r>
      <w:r>
        <w:rPr>
          <w:rFonts w:cs="Arial"/>
          <w:sz w:val="22"/>
          <w:lang w:val="es-ES_tradnl"/>
        </w:rPr>
        <w:t xml:space="preserve"> que la figura del reajuste de precios se</w:t>
      </w:r>
      <w:r w:rsidR="00DE7AC3">
        <w:rPr>
          <w:rFonts w:cs="Arial"/>
          <w:sz w:val="22"/>
          <w:lang w:val="es-ES_tradnl"/>
        </w:rPr>
        <w:t xml:space="preserve"> aplica básicamente en obra pública, donde se concursa para hacerle, por ejemplo, una obra al Estado o a un ente público.</w:t>
      </w:r>
    </w:p>
    <w:p w:rsidR="00DE7AC3" w:rsidRDefault="00DE7AC3" w:rsidP="009D03FE">
      <w:pPr>
        <w:spacing w:line="360" w:lineRule="auto"/>
        <w:jc w:val="both"/>
        <w:rPr>
          <w:rFonts w:cs="Arial"/>
          <w:sz w:val="22"/>
          <w:lang w:val="es-ES_tradnl"/>
        </w:rPr>
      </w:pPr>
    </w:p>
    <w:p w:rsidR="00D606D2" w:rsidRDefault="00DE7AC3" w:rsidP="009D03FE">
      <w:pPr>
        <w:spacing w:line="360" w:lineRule="auto"/>
        <w:jc w:val="both"/>
        <w:rPr>
          <w:rFonts w:cs="Arial"/>
          <w:sz w:val="22"/>
          <w:szCs w:val="22"/>
          <w:lang w:val="es-CR"/>
        </w:rPr>
      </w:pPr>
      <w:r>
        <w:rPr>
          <w:rFonts w:cs="Arial"/>
          <w:sz w:val="22"/>
          <w:lang w:val="es-ES_tradnl"/>
        </w:rPr>
        <w:t xml:space="preserve">Por otra parte, aclara que el tema del financiamiento adicional está reglamentado en el BANHVI, con base en jurisprudencia de la </w:t>
      </w:r>
      <w:r w:rsidRPr="00DE7AC3">
        <w:rPr>
          <w:rFonts w:cs="Arial"/>
          <w:sz w:val="22"/>
          <w:szCs w:val="22"/>
          <w:lang w:val="es-CR"/>
        </w:rPr>
        <w:t>Contraloría General de la República</w:t>
      </w:r>
      <w:r>
        <w:rPr>
          <w:rFonts w:cs="Arial"/>
          <w:sz w:val="22"/>
          <w:szCs w:val="22"/>
          <w:lang w:val="es-CR"/>
        </w:rPr>
        <w:t xml:space="preserve"> y, a su vez, es cierto que se han tenido reclamos de este tipo al nivel judicial, los cuales se han fallado a favor del BANHVI.</w:t>
      </w:r>
    </w:p>
    <w:p w:rsidR="00DE7AC3" w:rsidRDefault="00DE7AC3" w:rsidP="009D03FE">
      <w:pPr>
        <w:spacing w:line="360" w:lineRule="auto"/>
        <w:jc w:val="both"/>
        <w:rPr>
          <w:rFonts w:cs="Arial"/>
          <w:sz w:val="22"/>
          <w:szCs w:val="22"/>
          <w:lang w:val="es-CR"/>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12E24">
        <w:rPr>
          <w:rFonts w:cs="Arial"/>
          <w:sz w:val="22"/>
          <w:u w:val="single"/>
          <w:lang w:val="es-ES_tradnl"/>
        </w:rPr>
        <w:t>21</w:t>
      </w:r>
      <w:r w:rsidRPr="00A25DB7">
        <w:rPr>
          <w:rFonts w:cs="Arial"/>
          <w:sz w:val="22"/>
          <w:u w:val="single"/>
          <w:lang w:val="es-ES_tradnl"/>
        </w:rPr>
        <w:t>:</w:t>
      </w:r>
      <w:r w:rsidR="00C12E24">
        <w:rPr>
          <w:rFonts w:cs="Arial"/>
          <w:sz w:val="22"/>
          <w:u w:val="single"/>
          <w:lang w:val="es-ES_tradnl"/>
        </w:rPr>
        <w:t>40</w:t>
      </w:r>
      <w:r>
        <w:rPr>
          <w:rFonts w:cs="Arial"/>
          <w:sz w:val="22"/>
          <w:lang w:val="es-ES_tradnl"/>
        </w:rPr>
        <w:t xml:space="preserve"> </w:t>
      </w:r>
      <w:r w:rsidR="00400EFA">
        <w:rPr>
          <w:rFonts w:cs="Arial"/>
          <w:sz w:val="22"/>
          <w:lang w:val="es-ES_tradnl"/>
        </w:rPr>
        <w:t xml:space="preserve">La </w:t>
      </w:r>
      <w:r w:rsidR="00400EFA" w:rsidRPr="00827696">
        <w:rPr>
          <w:rFonts w:cs="Arial"/>
          <w:sz w:val="22"/>
          <w:szCs w:val="22"/>
          <w:lang w:val="es-ES_tradnl"/>
        </w:rPr>
        <w:t xml:space="preserve">Junta Directiva </w:t>
      </w:r>
      <w:r w:rsidR="00400EFA">
        <w:rPr>
          <w:rFonts w:cs="Arial"/>
          <w:sz w:val="22"/>
          <w:szCs w:val="22"/>
          <w:lang w:val="es-ES_tradnl"/>
        </w:rPr>
        <w:t xml:space="preserve">concuerda en </w:t>
      </w:r>
      <w:r w:rsidR="00C12E24">
        <w:rPr>
          <w:rFonts w:cs="Arial"/>
          <w:sz w:val="22"/>
          <w:szCs w:val="22"/>
          <w:lang w:val="es-ES_tradnl"/>
        </w:rPr>
        <w:t>acoger la recomendación de l</w:t>
      </w:r>
      <w:r w:rsidR="00400EFA">
        <w:rPr>
          <w:rFonts w:cs="Arial"/>
          <w:sz w:val="22"/>
          <w:szCs w:val="22"/>
          <w:lang w:val="es-ES_tradnl"/>
        </w:rPr>
        <w:t xml:space="preserve">a Administración  y, por consiguiente, toma el </w:t>
      </w:r>
      <w:r w:rsidR="00400EFA" w:rsidRPr="00F51EFF">
        <w:rPr>
          <w:rFonts w:cs="Arial"/>
          <w:b/>
          <w:sz w:val="22"/>
          <w:szCs w:val="22"/>
          <w:lang w:val="es-ES_tradnl"/>
        </w:rPr>
        <w:t xml:space="preserve">Acuerdo N° </w:t>
      </w:r>
      <w:r w:rsidR="00400EFA">
        <w:rPr>
          <w:rFonts w:cs="Arial"/>
          <w:b/>
          <w:sz w:val="22"/>
          <w:szCs w:val="22"/>
          <w:lang w:val="es-ES_tradnl"/>
        </w:rPr>
        <w:t>2</w:t>
      </w:r>
      <w:r w:rsidR="00400EFA">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2E299D" w:rsidRPr="002E299D">
        <w:rPr>
          <w:rFonts w:cs="Arial"/>
          <w:b/>
          <w:sz w:val="22"/>
          <w:u w:val="single"/>
          <w:lang w:val="es-ES_tradnl"/>
        </w:rPr>
        <w:t>Revaloración del mecanismo aprobado para la consulta pública de la directriz sobre requisitos del programa de vivienda indígena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D5825">
        <w:rPr>
          <w:rFonts w:cs="Arial"/>
          <w:sz w:val="22"/>
          <w:u w:val="single"/>
          <w:lang w:val="es-ES_tradnl"/>
        </w:rPr>
        <w:t>22</w:t>
      </w:r>
      <w:r w:rsidRPr="0039311E">
        <w:rPr>
          <w:rFonts w:cs="Arial"/>
          <w:sz w:val="22"/>
          <w:u w:val="single"/>
          <w:lang w:val="es-ES_tradnl"/>
        </w:rPr>
        <w:t>:</w:t>
      </w:r>
      <w:r w:rsidR="002D5825">
        <w:rPr>
          <w:rFonts w:cs="Arial"/>
          <w:sz w:val="22"/>
          <w:u w:val="single"/>
          <w:lang w:val="es-ES_tradnl"/>
        </w:rPr>
        <w:t>30</w:t>
      </w:r>
      <w:r>
        <w:rPr>
          <w:rFonts w:cs="Arial"/>
          <w:sz w:val="22"/>
          <w:lang w:val="es-ES_tradnl"/>
        </w:rPr>
        <w:t xml:space="preserve"> Se conoce el oficio </w:t>
      </w:r>
      <w:r w:rsidR="002D5825">
        <w:rPr>
          <w:rFonts w:cs="Arial"/>
          <w:sz w:val="22"/>
          <w:szCs w:val="22"/>
        </w:rPr>
        <w:t xml:space="preserve">GG-ME-0514-2019 del 15 de mayo de 2019, por medio del cual, la </w:t>
      </w:r>
      <w:r w:rsidR="002D5825" w:rsidRPr="0036340B">
        <w:rPr>
          <w:rFonts w:cs="Arial"/>
          <w:sz w:val="22"/>
          <w:szCs w:val="22"/>
        </w:rPr>
        <w:t>Gerencia General</w:t>
      </w:r>
      <w:r w:rsidR="002D5825">
        <w:rPr>
          <w:rFonts w:cs="Arial"/>
          <w:sz w:val="22"/>
          <w:szCs w:val="22"/>
        </w:rPr>
        <w:t xml:space="preserve"> solicita reconsiderar el acuerdo N° 1 de la sesión 21-2019 del 18 de febrero de 2019, referido a la aprobación del </w:t>
      </w:r>
      <w:r w:rsidR="002D5825">
        <w:rPr>
          <w:rFonts w:cs="Arial"/>
          <w:sz w:val="22"/>
          <w:szCs w:val="22"/>
          <w:lang w:val="es-CR"/>
        </w:rPr>
        <w:t>procedimiento para l</w:t>
      </w:r>
      <w:r w:rsidR="002D5825" w:rsidRPr="001871BB">
        <w:rPr>
          <w:rFonts w:cs="Arial"/>
          <w:sz w:val="22"/>
          <w:szCs w:val="22"/>
          <w:lang w:val="es-CR"/>
        </w:rPr>
        <w:t>a consulta p</w:t>
      </w:r>
      <w:r w:rsidR="002D5825">
        <w:rPr>
          <w:rFonts w:cs="Arial"/>
          <w:sz w:val="22"/>
          <w:szCs w:val="22"/>
          <w:lang w:val="es-CR"/>
        </w:rPr>
        <w:t>ú</w:t>
      </w:r>
      <w:r w:rsidR="002D5825" w:rsidRPr="001871BB">
        <w:rPr>
          <w:rFonts w:cs="Arial"/>
          <w:sz w:val="22"/>
          <w:szCs w:val="22"/>
          <w:lang w:val="es-CR"/>
        </w:rPr>
        <w:t xml:space="preserve">blica de </w:t>
      </w:r>
      <w:r w:rsidR="002D5825">
        <w:rPr>
          <w:rFonts w:cs="Arial"/>
          <w:sz w:val="22"/>
          <w:szCs w:val="22"/>
          <w:lang w:val="es-CR"/>
        </w:rPr>
        <w:t>l</w:t>
      </w:r>
      <w:r w:rsidR="002D5825" w:rsidRPr="001871BB">
        <w:rPr>
          <w:rFonts w:cs="Arial"/>
          <w:sz w:val="22"/>
          <w:szCs w:val="22"/>
          <w:lang w:val="es-CR"/>
        </w:rPr>
        <w:t xml:space="preserve">a directriz “Requisitos para </w:t>
      </w:r>
      <w:r w:rsidR="002D5825">
        <w:rPr>
          <w:rFonts w:cs="Arial"/>
          <w:sz w:val="22"/>
          <w:szCs w:val="22"/>
          <w:lang w:val="es-CR"/>
        </w:rPr>
        <w:t>l</w:t>
      </w:r>
      <w:r w:rsidR="002D5825" w:rsidRPr="001871BB">
        <w:rPr>
          <w:rFonts w:cs="Arial"/>
          <w:sz w:val="22"/>
          <w:szCs w:val="22"/>
          <w:lang w:val="es-CR"/>
        </w:rPr>
        <w:t>a</w:t>
      </w:r>
      <w:r w:rsidR="002D5825">
        <w:rPr>
          <w:rFonts w:cs="Arial"/>
          <w:sz w:val="22"/>
          <w:szCs w:val="22"/>
          <w:lang w:val="es-CR"/>
        </w:rPr>
        <w:t xml:space="preserve"> </w:t>
      </w:r>
      <w:r w:rsidR="002D5825" w:rsidRPr="001871BB">
        <w:rPr>
          <w:rFonts w:cs="Arial"/>
          <w:sz w:val="22"/>
          <w:szCs w:val="22"/>
          <w:lang w:val="es-CR"/>
        </w:rPr>
        <w:t>postulaci</w:t>
      </w:r>
      <w:r w:rsidR="002D5825">
        <w:rPr>
          <w:rFonts w:cs="Arial"/>
          <w:sz w:val="22"/>
          <w:szCs w:val="22"/>
          <w:lang w:val="es-CR"/>
        </w:rPr>
        <w:t>ón</w:t>
      </w:r>
      <w:r w:rsidR="002D5825" w:rsidRPr="001871BB">
        <w:rPr>
          <w:rFonts w:cs="Arial"/>
          <w:sz w:val="22"/>
          <w:szCs w:val="22"/>
          <w:lang w:val="es-CR"/>
        </w:rPr>
        <w:t xml:space="preserve"> del Bono Familiar de V</w:t>
      </w:r>
      <w:r w:rsidR="002D5825">
        <w:rPr>
          <w:rFonts w:cs="Arial"/>
          <w:sz w:val="22"/>
          <w:szCs w:val="22"/>
          <w:lang w:val="es-CR"/>
        </w:rPr>
        <w:t>ivienda dentro del Programa Indí</w:t>
      </w:r>
      <w:r w:rsidR="002D5825" w:rsidRPr="001871BB">
        <w:rPr>
          <w:rFonts w:cs="Arial"/>
          <w:sz w:val="22"/>
          <w:szCs w:val="22"/>
          <w:lang w:val="es-CR"/>
        </w:rPr>
        <w:t xml:space="preserve">gena </w:t>
      </w:r>
      <w:r w:rsidR="002D5825">
        <w:rPr>
          <w:rFonts w:cs="Arial"/>
          <w:sz w:val="22"/>
          <w:szCs w:val="22"/>
          <w:lang w:val="es-CR"/>
        </w:rPr>
        <w:t xml:space="preserve">– </w:t>
      </w:r>
      <w:r w:rsidR="002D5825" w:rsidRPr="001871BB">
        <w:rPr>
          <w:rFonts w:cs="Arial"/>
          <w:sz w:val="22"/>
          <w:szCs w:val="22"/>
          <w:lang w:val="es-CR"/>
        </w:rPr>
        <w:t>Casos</w:t>
      </w:r>
      <w:r w:rsidR="002D5825">
        <w:rPr>
          <w:rFonts w:cs="Arial"/>
          <w:sz w:val="22"/>
          <w:szCs w:val="22"/>
          <w:lang w:val="es-CR"/>
        </w:rPr>
        <w:t xml:space="preserve"> </w:t>
      </w:r>
      <w:r w:rsidR="002D5825" w:rsidRPr="001871BB">
        <w:rPr>
          <w:rFonts w:cs="Arial"/>
          <w:sz w:val="22"/>
          <w:szCs w:val="22"/>
          <w:lang w:val="es-CR"/>
        </w:rPr>
        <w:t>individuales y Proyectos Colectivos”.</w:t>
      </w:r>
      <w:r w:rsidR="002D5825">
        <w:rPr>
          <w:rFonts w:cs="Arial"/>
          <w:sz w:val="22"/>
          <w:szCs w:val="22"/>
          <w:lang w:val="es-CR"/>
        </w:rPr>
        <w:t xml:space="preserve">  Dicho documento se adjunta al expediente del acta.</w:t>
      </w:r>
    </w:p>
    <w:p w:rsidR="009D03FE" w:rsidRDefault="009D03FE" w:rsidP="009D03FE">
      <w:pPr>
        <w:spacing w:line="360" w:lineRule="auto"/>
        <w:jc w:val="both"/>
        <w:rPr>
          <w:rFonts w:cs="Arial"/>
          <w:sz w:val="22"/>
          <w:lang w:val="es-ES_tradnl"/>
        </w:rPr>
      </w:pPr>
    </w:p>
    <w:p w:rsidR="002D5825" w:rsidRDefault="002D5825" w:rsidP="009D03FE">
      <w:pPr>
        <w:spacing w:line="360" w:lineRule="auto"/>
        <w:jc w:val="both"/>
        <w:rPr>
          <w:rFonts w:cs="Arial"/>
          <w:sz w:val="22"/>
          <w:lang w:val="es-ES_tradnl"/>
        </w:rPr>
      </w:pPr>
      <w:r>
        <w:rPr>
          <w:rFonts w:cs="Arial"/>
          <w:sz w:val="22"/>
          <w:lang w:val="es-ES_tradnl"/>
        </w:rPr>
        <w:t xml:space="preserve">El señor Gerente General </w:t>
      </w:r>
      <w:proofErr w:type="spellStart"/>
      <w:r>
        <w:rPr>
          <w:rFonts w:cs="Arial"/>
          <w:sz w:val="22"/>
          <w:lang w:val="es-ES_tradnl"/>
        </w:rPr>
        <w:t>a.i.</w:t>
      </w:r>
      <w:proofErr w:type="spellEnd"/>
      <w:r>
        <w:rPr>
          <w:rFonts w:cs="Arial"/>
          <w:sz w:val="22"/>
          <w:lang w:val="es-ES_tradnl"/>
        </w:rPr>
        <w:t xml:space="preserve"> expone la</w:t>
      </w:r>
      <w:r w:rsidR="00D55B96">
        <w:rPr>
          <w:rFonts w:cs="Arial"/>
          <w:sz w:val="22"/>
          <w:lang w:val="es-ES_tradnl"/>
        </w:rPr>
        <w:t>s</w:t>
      </w:r>
      <w:r>
        <w:rPr>
          <w:rFonts w:cs="Arial"/>
          <w:sz w:val="22"/>
          <w:lang w:val="es-ES_tradnl"/>
        </w:rPr>
        <w:t xml:space="preserve"> justificaciones y </w:t>
      </w:r>
      <w:r w:rsidR="00D55B96">
        <w:rPr>
          <w:rFonts w:cs="Arial"/>
          <w:sz w:val="22"/>
          <w:lang w:val="es-ES_tradnl"/>
        </w:rPr>
        <w:t xml:space="preserve">los </w:t>
      </w:r>
      <w:r>
        <w:rPr>
          <w:rFonts w:cs="Arial"/>
          <w:sz w:val="22"/>
          <w:lang w:val="es-ES_tradnl"/>
        </w:rPr>
        <w:t xml:space="preserve">razonamientos contenidos en el citado informe, recomendando que se </w:t>
      </w:r>
      <w:r w:rsidRPr="002D5825">
        <w:rPr>
          <w:rFonts w:cs="Arial"/>
          <w:sz w:val="22"/>
          <w:lang w:val="es-CR"/>
        </w:rPr>
        <w:t>revalor</w:t>
      </w:r>
      <w:r>
        <w:rPr>
          <w:rFonts w:cs="Arial"/>
          <w:sz w:val="22"/>
          <w:lang w:val="es-CR"/>
        </w:rPr>
        <w:t>e</w:t>
      </w:r>
      <w:r w:rsidRPr="002D5825">
        <w:rPr>
          <w:rFonts w:cs="Arial"/>
          <w:sz w:val="22"/>
          <w:lang w:val="es-CR"/>
        </w:rPr>
        <w:t xml:space="preserve"> la disposición contenida en el punto A) del </w:t>
      </w:r>
      <w:r>
        <w:rPr>
          <w:rFonts w:cs="Arial"/>
          <w:sz w:val="22"/>
          <w:lang w:val="es-CR"/>
        </w:rPr>
        <w:t>a</w:t>
      </w:r>
      <w:r w:rsidRPr="002D5825">
        <w:rPr>
          <w:rFonts w:cs="Arial"/>
          <w:sz w:val="22"/>
          <w:lang w:val="es-CR"/>
        </w:rPr>
        <w:t>cuerdo N</w:t>
      </w:r>
      <w:r>
        <w:rPr>
          <w:rFonts w:cs="Arial"/>
          <w:sz w:val="22"/>
          <w:lang w:val="es-CR"/>
        </w:rPr>
        <w:t>°</w:t>
      </w:r>
      <w:r w:rsidRPr="002D5825">
        <w:rPr>
          <w:rFonts w:cs="Arial"/>
          <w:sz w:val="22"/>
          <w:lang w:val="es-CR"/>
        </w:rPr>
        <w:t xml:space="preserve"> 1 de la sesión 21-2019, relativa a la aprobación del procedimiento para la realización de la </w:t>
      </w:r>
      <w:r>
        <w:rPr>
          <w:rFonts w:cs="Arial"/>
          <w:sz w:val="22"/>
          <w:lang w:val="es-CR"/>
        </w:rPr>
        <w:t xml:space="preserve">referida </w:t>
      </w:r>
      <w:r w:rsidRPr="002D5825">
        <w:rPr>
          <w:rFonts w:cs="Arial"/>
          <w:sz w:val="22"/>
          <w:lang w:val="es-CR"/>
        </w:rPr>
        <w:t xml:space="preserve">consulta pública, </w:t>
      </w:r>
      <w:r>
        <w:rPr>
          <w:rFonts w:cs="Arial"/>
          <w:sz w:val="22"/>
          <w:lang w:val="es-CR"/>
        </w:rPr>
        <w:t xml:space="preserve">para que ésta </w:t>
      </w:r>
      <w:r w:rsidRPr="002D5825">
        <w:rPr>
          <w:rFonts w:cs="Arial"/>
          <w:sz w:val="22"/>
          <w:lang w:val="es-CR"/>
        </w:rPr>
        <w:t>sea realizada conforme el decreto ejecutivo 40932-MP-MJP “Mecanismo General de Consulta a Pueblos Indígenas”.</w:t>
      </w:r>
      <w:r w:rsidR="004A4A60">
        <w:rPr>
          <w:rFonts w:cs="Arial"/>
          <w:sz w:val="22"/>
          <w:lang w:val="es-CR"/>
        </w:rPr>
        <w:t xml:space="preserve">  Atiende luego las observaciones y consultas que al respecto plantean los señores Directores.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4A4A60">
        <w:rPr>
          <w:rFonts w:cs="Arial"/>
          <w:sz w:val="22"/>
          <w:u w:val="single"/>
          <w:lang w:val="es-ES_tradnl"/>
        </w:rPr>
        <w:t>47</w:t>
      </w:r>
      <w:r w:rsidRPr="0039311E">
        <w:rPr>
          <w:rFonts w:cs="Arial"/>
          <w:sz w:val="22"/>
          <w:u w:val="single"/>
          <w:lang w:val="es-ES_tradnl"/>
        </w:rPr>
        <w:t>:</w:t>
      </w:r>
      <w:r w:rsidR="004A4A60">
        <w:rPr>
          <w:rFonts w:cs="Arial"/>
          <w:sz w:val="22"/>
          <w:u w:val="single"/>
          <w:lang w:val="es-ES_tradnl"/>
        </w:rPr>
        <w:t>30</w:t>
      </w:r>
      <w:r>
        <w:rPr>
          <w:rFonts w:cs="Arial"/>
          <w:sz w:val="22"/>
          <w:lang w:val="es-ES_tradnl"/>
        </w:rPr>
        <w:t xml:space="preserve"> </w:t>
      </w:r>
      <w:r w:rsidR="002D5825">
        <w:rPr>
          <w:rFonts w:cs="Arial"/>
          <w:sz w:val="22"/>
          <w:szCs w:val="22"/>
          <w:lang w:val="es-CR"/>
        </w:rPr>
        <w:t>Conocida y suficientemente discutida la propuesta de</w:t>
      </w:r>
      <w:r w:rsidR="004A4A60">
        <w:rPr>
          <w:rFonts w:cs="Arial"/>
          <w:sz w:val="22"/>
          <w:szCs w:val="22"/>
          <w:lang w:val="es-CR"/>
        </w:rPr>
        <w:t xml:space="preserve"> la </w:t>
      </w:r>
      <w:r w:rsidR="004A4A60" w:rsidRPr="004A4A60">
        <w:rPr>
          <w:rFonts w:cs="Arial"/>
          <w:sz w:val="22"/>
          <w:szCs w:val="22"/>
          <w:lang w:val="es-CR"/>
        </w:rPr>
        <w:t>Administración</w:t>
      </w:r>
      <w:r w:rsidR="004A4A60">
        <w:rPr>
          <w:rFonts w:cs="Arial"/>
          <w:sz w:val="22"/>
          <w:szCs w:val="22"/>
          <w:lang w:val="es-CR"/>
        </w:rPr>
        <w:t>,</w:t>
      </w:r>
      <w:r w:rsidR="002D5825">
        <w:rPr>
          <w:rFonts w:cs="Arial"/>
          <w:sz w:val="22"/>
          <w:szCs w:val="22"/>
          <w:lang w:val="es-CR"/>
        </w:rPr>
        <w:t xml:space="preserve"> la Junta Directiva concuerda con </w:t>
      </w:r>
      <w:r w:rsidR="004A4A60">
        <w:rPr>
          <w:rFonts w:cs="Arial"/>
          <w:sz w:val="22"/>
          <w:szCs w:val="22"/>
          <w:lang w:val="es-CR"/>
        </w:rPr>
        <w:t xml:space="preserve">el Gerente General </w:t>
      </w:r>
      <w:proofErr w:type="spellStart"/>
      <w:r w:rsidR="004A4A60">
        <w:rPr>
          <w:rFonts w:cs="Arial"/>
          <w:sz w:val="22"/>
          <w:szCs w:val="22"/>
          <w:lang w:val="es-CR"/>
        </w:rPr>
        <w:t>a.i.</w:t>
      </w:r>
      <w:proofErr w:type="spellEnd"/>
      <w:r w:rsidR="002D5825">
        <w:rPr>
          <w:rFonts w:cs="Arial"/>
          <w:sz w:val="22"/>
          <w:szCs w:val="22"/>
          <w:lang w:val="es-CR"/>
        </w:rPr>
        <w:t xml:space="preserve">, en cuanto a que por razones de oportunidad y conveniencia, </w:t>
      </w:r>
      <w:r w:rsidR="002D5825" w:rsidRPr="001871BB">
        <w:rPr>
          <w:rFonts w:cs="Arial"/>
          <w:sz w:val="22"/>
          <w:szCs w:val="22"/>
          <w:lang w:val="es-CR"/>
        </w:rPr>
        <w:t xml:space="preserve">lo </w:t>
      </w:r>
      <w:r w:rsidR="002D5825">
        <w:rPr>
          <w:rFonts w:cs="Arial"/>
          <w:sz w:val="22"/>
          <w:szCs w:val="22"/>
          <w:lang w:val="es-CR"/>
        </w:rPr>
        <w:t xml:space="preserve">pertinente es </w:t>
      </w:r>
      <w:r w:rsidR="002D5825" w:rsidRPr="001871BB">
        <w:rPr>
          <w:rFonts w:cs="Arial"/>
          <w:sz w:val="22"/>
          <w:szCs w:val="22"/>
          <w:lang w:val="es-CR"/>
        </w:rPr>
        <w:t xml:space="preserve">revalorar el procedimiento para </w:t>
      </w:r>
      <w:r w:rsidR="002D5825">
        <w:rPr>
          <w:rFonts w:cs="Arial"/>
          <w:sz w:val="22"/>
          <w:szCs w:val="22"/>
          <w:lang w:val="es-CR"/>
        </w:rPr>
        <w:t>l</w:t>
      </w:r>
      <w:r w:rsidR="002D5825" w:rsidRPr="001871BB">
        <w:rPr>
          <w:rFonts w:cs="Arial"/>
          <w:sz w:val="22"/>
          <w:szCs w:val="22"/>
          <w:lang w:val="es-CR"/>
        </w:rPr>
        <w:t>a realizaci</w:t>
      </w:r>
      <w:r w:rsidR="002D5825">
        <w:rPr>
          <w:rFonts w:cs="Arial"/>
          <w:sz w:val="22"/>
          <w:szCs w:val="22"/>
          <w:lang w:val="es-CR"/>
        </w:rPr>
        <w:t>ó</w:t>
      </w:r>
      <w:r w:rsidR="002D5825" w:rsidRPr="001871BB">
        <w:rPr>
          <w:rFonts w:cs="Arial"/>
          <w:sz w:val="22"/>
          <w:szCs w:val="22"/>
          <w:lang w:val="es-CR"/>
        </w:rPr>
        <w:t xml:space="preserve">n de </w:t>
      </w:r>
      <w:r w:rsidR="002D5825">
        <w:rPr>
          <w:rFonts w:cs="Arial"/>
          <w:sz w:val="22"/>
          <w:szCs w:val="22"/>
          <w:lang w:val="es-CR"/>
        </w:rPr>
        <w:t>l</w:t>
      </w:r>
      <w:r w:rsidR="002D5825" w:rsidRPr="001871BB">
        <w:rPr>
          <w:rFonts w:cs="Arial"/>
          <w:sz w:val="22"/>
          <w:szCs w:val="22"/>
          <w:lang w:val="es-CR"/>
        </w:rPr>
        <w:t xml:space="preserve">a </w:t>
      </w:r>
      <w:r w:rsidR="002D5825">
        <w:rPr>
          <w:rFonts w:cs="Arial"/>
          <w:sz w:val="22"/>
          <w:szCs w:val="22"/>
          <w:lang w:val="es-CR"/>
        </w:rPr>
        <w:t xml:space="preserve">referida </w:t>
      </w:r>
      <w:r w:rsidR="002D5825" w:rsidRPr="001871BB">
        <w:rPr>
          <w:rFonts w:cs="Arial"/>
          <w:sz w:val="22"/>
          <w:szCs w:val="22"/>
          <w:lang w:val="es-CR"/>
        </w:rPr>
        <w:t>consulta</w:t>
      </w:r>
      <w:r w:rsidR="002D5825">
        <w:rPr>
          <w:rFonts w:cs="Arial"/>
          <w:sz w:val="22"/>
          <w:szCs w:val="22"/>
          <w:lang w:val="es-CR"/>
        </w:rPr>
        <w:t xml:space="preserve"> </w:t>
      </w:r>
      <w:r w:rsidR="002D5825" w:rsidRPr="001871BB">
        <w:rPr>
          <w:rFonts w:cs="Arial"/>
          <w:sz w:val="22"/>
          <w:szCs w:val="22"/>
          <w:lang w:val="es-CR"/>
        </w:rPr>
        <w:t>p</w:t>
      </w:r>
      <w:r w:rsidR="002D5825">
        <w:rPr>
          <w:rFonts w:cs="Arial"/>
          <w:sz w:val="22"/>
          <w:szCs w:val="22"/>
          <w:lang w:val="es-CR"/>
        </w:rPr>
        <w:t>ú</w:t>
      </w:r>
      <w:r w:rsidR="002D5825" w:rsidRPr="001871BB">
        <w:rPr>
          <w:rFonts w:cs="Arial"/>
          <w:sz w:val="22"/>
          <w:szCs w:val="22"/>
          <w:lang w:val="es-CR"/>
        </w:rPr>
        <w:t xml:space="preserve">blica, </w:t>
      </w:r>
      <w:r w:rsidR="002D5825">
        <w:rPr>
          <w:rFonts w:cs="Arial"/>
          <w:sz w:val="22"/>
          <w:szCs w:val="22"/>
          <w:lang w:val="es-CR"/>
        </w:rPr>
        <w:t xml:space="preserve">de forma tal que ésta sea </w:t>
      </w:r>
      <w:r w:rsidR="002D5825" w:rsidRPr="001871BB">
        <w:rPr>
          <w:rFonts w:cs="Arial"/>
          <w:sz w:val="22"/>
          <w:szCs w:val="22"/>
          <w:lang w:val="es-CR"/>
        </w:rPr>
        <w:t>realizada conforme el decreto ejecutivo 40932-MP-MJP “Mecanismo General de Consulta a Pueblo</w:t>
      </w:r>
      <w:r w:rsidR="002D5825">
        <w:rPr>
          <w:rFonts w:cs="Arial"/>
          <w:sz w:val="22"/>
          <w:szCs w:val="22"/>
          <w:lang w:val="es-CR"/>
        </w:rPr>
        <w:t>s Indígenas”.</w:t>
      </w:r>
      <w:r w:rsidR="004A4A60">
        <w:rPr>
          <w:rFonts w:cs="Arial"/>
          <w:sz w:val="22"/>
          <w:szCs w:val="22"/>
          <w:lang w:val="es-CR"/>
        </w:rPr>
        <w:t xml:space="preserve">  Lo anterior, en los términos que se indican en el</w:t>
      </w:r>
      <w:r w:rsidR="00117CA6">
        <w:rPr>
          <w:rFonts w:cs="Arial"/>
          <w:sz w:val="22"/>
          <w:lang w:val="es-ES_tradnl"/>
        </w:rPr>
        <w:t xml:space="preserve"> </w:t>
      </w:r>
      <w:r w:rsidR="00117CA6" w:rsidRPr="004A4A60">
        <w:rPr>
          <w:rFonts w:cs="Arial"/>
          <w:b/>
          <w:sz w:val="22"/>
          <w:lang w:val="es-ES_tradnl"/>
        </w:rPr>
        <w:t>Acuerdo N° 3</w:t>
      </w:r>
      <w:r w:rsidR="004A4A60">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2E299D" w:rsidRPr="002E299D">
        <w:rPr>
          <w:rFonts w:cs="Arial"/>
          <w:b/>
          <w:sz w:val="22"/>
          <w:szCs w:val="22"/>
          <w:u w:val="single"/>
          <w:lang w:val="es-ES_tradnl"/>
        </w:rPr>
        <w:t>Solicitud de aclaraciones sobre disposiciones de la guía de estudio legal de solicitudes de financiamiento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4A4A60">
        <w:rPr>
          <w:rFonts w:cs="Arial"/>
          <w:sz w:val="22"/>
          <w:u w:val="single"/>
          <w:lang w:val="es-ES_tradnl"/>
        </w:rPr>
        <w:t>52</w:t>
      </w:r>
      <w:r w:rsidRPr="0039311E">
        <w:rPr>
          <w:rFonts w:cs="Arial"/>
          <w:sz w:val="22"/>
          <w:u w:val="single"/>
          <w:lang w:val="es-ES_tradnl"/>
        </w:rPr>
        <w:t>:</w:t>
      </w:r>
      <w:r w:rsidR="004A4A60">
        <w:rPr>
          <w:rFonts w:cs="Arial"/>
          <w:sz w:val="22"/>
          <w:u w:val="single"/>
          <w:lang w:val="es-ES_tradnl"/>
        </w:rPr>
        <w:t>00</w:t>
      </w:r>
      <w:r>
        <w:rPr>
          <w:rFonts w:cs="Arial"/>
          <w:sz w:val="22"/>
          <w:lang w:val="es-ES_tradnl"/>
        </w:rPr>
        <w:t xml:space="preserve"> Se conoce el oficio </w:t>
      </w:r>
      <w:r w:rsidR="006763B4">
        <w:rPr>
          <w:rFonts w:cs="Arial"/>
          <w:sz w:val="22"/>
          <w:szCs w:val="22"/>
        </w:rPr>
        <w:t xml:space="preserve">GG-ME-0513-2019 del 15 de mayo de 2019, por medio del cual, la </w:t>
      </w:r>
      <w:r w:rsidR="006763B4" w:rsidRPr="000E3E64">
        <w:rPr>
          <w:rFonts w:cs="Arial"/>
          <w:sz w:val="22"/>
          <w:szCs w:val="22"/>
        </w:rPr>
        <w:t>Gerencia General</w:t>
      </w:r>
      <w:r w:rsidR="006763B4">
        <w:rPr>
          <w:rFonts w:cs="Arial"/>
          <w:sz w:val="22"/>
          <w:szCs w:val="22"/>
        </w:rPr>
        <w:t xml:space="preserve"> solicita la aclaración de esta Junta Directiva, sobre varios alcances de los puntos segundo, tercero y quinto, de la “G</w:t>
      </w:r>
      <w:r w:rsidR="006763B4" w:rsidRPr="000E3E64">
        <w:rPr>
          <w:rFonts w:cs="Arial"/>
          <w:sz w:val="22"/>
          <w:szCs w:val="22"/>
        </w:rPr>
        <w:t>uía para el estudio legal de las solicitudes de financiamiento con recursos del Fondo de Subsidios para la Vivienda</w:t>
      </w:r>
      <w:r w:rsidR="006763B4">
        <w:rPr>
          <w:rFonts w:cs="Arial"/>
          <w:sz w:val="22"/>
          <w:szCs w:val="22"/>
        </w:rPr>
        <w:t>”.</w:t>
      </w:r>
      <w:r w:rsidR="00D55B96">
        <w:rPr>
          <w:rFonts w:cs="Arial"/>
          <w:sz w:val="22"/>
          <w:szCs w:val="22"/>
        </w:rPr>
        <w:t xml:space="preserve">  Dicho documento se adjunta al expediente del acta.</w:t>
      </w:r>
    </w:p>
    <w:p w:rsidR="00D55B96" w:rsidRDefault="00D55B96" w:rsidP="009D03FE">
      <w:pPr>
        <w:spacing w:line="360" w:lineRule="auto"/>
        <w:jc w:val="both"/>
        <w:rPr>
          <w:rFonts w:cs="Arial"/>
          <w:sz w:val="22"/>
          <w:szCs w:val="22"/>
        </w:rPr>
      </w:pPr>
    </w:p>
    <w:p w:rsidR="00D55B96" w:rsidRDefault="00D55B96" w:rsidP="009D03FE">
      <w:pPr>
        <w:spacing w:line="360" w:lineRule="auto"/>
        <w:jc w:val="both"/>
        <w:rPr>
          <w:rFonts w:cs="Arial"/>
          <w:sz w:val="22"/>
          <w:lang w:val="es-ES_tradnl"/>
        </w:rPr>
      </w:pPr>
      <w:r>
        <w:rPr>
          <w:rFonts w:cs="Arial"/>
          <w:sz w:val="22"/>
          <w:lang w:val="es-ES_tradnl"/>
        </w:rPr>
        <w:t xml:space="preserve">El señor Gerente General </w:t>
      </w:r>
      <w:proofErr w:type="spellStart"/>
      <w:r>
        <w:rPr>
          <w:rFonts w:cs="Arial"/>
          <w:sz w:val="22"/>
          <w:lang w:val="es-ES_tradnl"/>
        </w:rPr>
        <w:t>a.i.</w:t>
      </w:r>
      <w:proofErr w:type="spellEnd"/>
      <w:r>
        <w:rPr>
          <w:rFonts w:cs="Arial"/>
          <w:sz w:val="22"/>
          <w:lang w:val="es-ES_tradnl"/>
        </w:rPr>
        <w:t xml:space="preserve"> expone los antecedentes y las justificaciones de las referidas solicitudes de aclaración, atendiendo las observaciones y consultas que al respecto plantean los señores Directores.</w:t>
      </w:r>
    </w:p>
    <w:p w:rsidR="009D03FE" w:rsidRDefault="009D03FE" w:rsidP="009D03FE">
      <w:pPr>
        <w:spacing w:line="360" w:lineRule="auto"/>
        <w:jc w:val="both"/>
        <w:rPr>
          <w:rFonts w:cs="Arial"/>
          <w:sz w:val="22"/>
          <w:szCs w:val="22"/>
        </w:rPr>
      </w:pPr>
    </w:p>
    <w:p w:rsidR="00D55B96" w:rsidRDefault="009D03FE" w:rsidP="00D55B96">
      <w:pPr>
        <w:spacing w:line="360" w:lineRule="auto"/>
        <w:jc w:val="both"/>
        <w:rPr>
          <w:rFonts w:cs="Arial"/>
          <w:sz w:val="22"/>
          <w:szCs w:val="22"/>
        </w:rPr>
      </w:pPr>
      <w:r w:rsidRPr="00A25DB7">
        <w:rPr>
          <w:rFonts w:cs="Arial"/>
          <w:sz w:val="22"/>
          <w:u w:val="single"/>
          <w:lang w:val="es-ES_tradnl"/>
        </w:rPr>
        <w:t xml:space="preserve">Minuto </w:t>
      </w:r>
      <w:r w:rsidR="00D55B96">
        <w:rPr>
          <w:rFonts w:cs="Arial"/>
          <w:sz w:val="22"/>
          <w:u w:val="single"/>
          <w:lang w:val="es-ES_tradnl"/>
        </w:rPr>
        <w:t>69</w:t>
      </w:r>
      <w:r w:rsidRPr="00A25DB7">
        <w:rPr>
          <w:rFonts w:cs="Arial"/>
          <w:sz w:val="22"/>
          <w:u w:val="single"/>
          <w:lang w:val="es-ES_tradnl"/>
        </w:rPr>
        <w:t>:</w:t>
      </w:r>
      <w:r w:rsidR="00D55B96">
        <w:rPr>
          <w:rFonts w:cs="Arial"/>
          <w:sz w:val="22"/>
          <w:u w:val="single"/>
          <w:lang w:val="es-ES_tradnl"/>
        </w:rPr>
        <w:t>00</w:t>
      </w:r>
      <w:r>
        <w:rPr>
          <w:rFonts w:cs="Arial"/>
          <w:sz w:val="22"/>
          <w:lang w:val="es-ES_tradnl"/>
        </w:rPr>
        <w:t xml:space="preserve"> </w:t>
      </w:r>
      <w:r w:rsidR="00D55B96">
        <w:rPr>
          <w:rFonts w:cs="Arial"/>
          <w:sz w:val="22"/>
          <w:szCs w:val="22"/>
          <w:lang w:val="es-CR"/>
        </w:rPr>
        <w:t xml:space="preserve">Conocida y suficientemente discutida la propuesta de la </w:t>
      </w:r>
      <w:r w:rsidR="00D55B96" w:rsidRPr="004A4A60">
        <w:rPr>
          <w:rFonts w:cs="Arial"/>
          <w:sz w:val="22"/>
          <w:szCs w:val="22"/>
          <w:lang w:val="es-CR"/>
        </w:rPr>
        <w:t>Administración</w:t>
      </w:r>
      <w:r w:rsidR="00D55B96">
        <w:rPr>
          <w:rFonts w:cs="Arial"/>
          <w:sz w:val="22"/>
          <w:szCs w:val="22"/>
          <w:lang w:val="es-CR"/>
        </w:rPr>
        <w:t xml:space="preserve">, la Junta Directiva concuerda, en primera instancia, en que debe precisarse </w:t>
      </w:r>
      <w:r w:rsidR="00D55B96">
        <w:rPr>
          <w:rFonts w:cs="Arial"/>
          <w:sz w:val="22"/>
          <w:szCs w:val="22"/>
        </w:rPr>
        <w:t xml:space="preserve">el inciso e) del apartado Segundo, para que se entienda que el pronunciamiento de la </w:t>
      </w:r>
      <w:r w:rsidR="00D55B96" w:rsidRPr="004E3389">
        <w:rPr>
          <w:rFonts w:cs="Arial"/>
          <w:sz w:val="22"/>
          <w:szCs w:val="22"/>
        </w:rPr>
        <w:t>Asesoría Legal</w:t>
      </w:r>
      <w:r w:rsidR="00D55B96">
        <w:rPr>
          <w:rFonts w:cs="Arial"/>
          <w:sz w:val="22"/>
          <w:szCs w:val="22"/>
        </w:rPr>
        <w:t xml:space="preserve"> del BANHVI, se podrá requerir solo después de contar con el respectivo estudio legal de la entidad autorizada.  En segundo lugar, se estima oportuno aclarar el apartado Tercero, en el sentido que todas las solicitudes de financiamiento presentadas a este Banco a partir del 1° de abril de 2019, deben incluir el respectivo estudio legal de la entidad autorizada.  Consecuentemente, las solicitudes de financiamiento que fueron recibidas por el BANHVI antes de esa fecha, deberán contar con el criterio jurídico de la </w:t>
      </w:r>
      <w:r w:rsidR="00D55B96" w:rsidRPr="00720C7B">
        <w:rPr>
          <w:rFonts w:cs="Arial"/>
          <w:sz w:val="22"/>
          <w:szCs w:val="22"/>
        </w:rPr>
        <w:t>Asesoría Legal</w:t>
      </w:r>
      <w:r w:rsidR="00D55B96">
        <w:rPr>
          <w:rFonts w:cs="Arial"/>
          <w:sz w:val="22"/>
          <w:szCs w:val="22"/>
        </w:rPr>
        <w:t xml:space="preserve"> de este Banco.</w:t>
      </w:r>
    </w:p>
    <w:p w:rsidR="00D55B96" w:rsidRDefault="00D55B96" w:rsidP="00D55B96">
      <w:pPr>
        <w:spacing w:line="360" w:lineRule="auto"/>
        <w:jc w:val="both"/>
        <w:rPr>
          <w:rFonts w:cs="Arial"/>
          <w:sz w:val="22"/>
          <w:szCs w:val="22"/>
        </w:rPr>
      </w:pPr>
    </w:p>
    <w:p w:rsidR="00D55B96" w:rsidRPr="000E3E64" w:rsidRDefault="00D55B96" w:rsidP="00D55B96">
      <w:pPr>
        <w:spacing w:line="360" w:lineRule="auto"/>
        <w:jc w:val="both"/>
        <w:rPr>
          <w:rFonts w:cs="Arial"/>
          <w:sz w:val="22"/>
          <w:szCs w:val="22"/>
        </w:rPr>
      </w:pPr>
      <w:r>
        <w:rPr>
          <w:rFonts w:cs="Arial"/>
          <w:sz w:val="22"/>
          <w:szCs w:val="22"/>
        </w:rPr>
        <w:t xml:space="preserve">Finalmente, se estima necesario solicitar a la </w:t>
      </w:r>
      <w:r w:rsidRPr="00527223">
        <w:rPr>
          <w:rFonts w:cs="Arial"/>
          <w:sz w:val="22"/>
          <w:szCs w:val="22"/>
        </w:rPr>
        <w:t>Gerencia General</w:t>
      </w:r>
      <w:r>
        <w:rPr>
          <w:rFonts w:cs="Arial"/>
          <w:sz w:val="22"/>
          <w:szCs w:val="22"/>
        </w:rPr>
        <w:t xml:space="preserve">, que en la próxima sesión presente a esta Junta Directiva, una propuesta de reforma al apartado Quinto, con el fin de dejar claramente establecidas, según lo expuesto por la </w:t>
      </w:r>
      <w:r w:rsidRPr="00527223">
        <w:rPr>
          <w:rFonts w:cs="Arial"/>
          <w:sz w:val="22"/>
          <w:szCs w:val="22"/>
        </w:rPr>
        <w:t>Asesoría Legal</w:t>
      </w:r>
      <w:r>
        <w:rPr>
          <w:rFonts w:cs="Arial"/>
          <w:sz w:val="22"/>
          <w:szCs w:val="22"/>
        </w:rPr>
        <w:t xml:space="preserve"> en esta sesión, las acciones que deberá ejecutar la Dirección FOSUVI, con respecto a los estudios legales que realicen las entidades autorizadas.  Lo anterior, en los términos que se indican en el </w:t>
      </w:r>
      <w:r w:rsidRPr="00D55B96">
        <w:rPr>
          <w:rFonts w:cs="Arial"/>
          <w:b/>
          <w:sz w:val="22"/>
          <w:szCs w:val="22"/>
        </w:rPr>
        <w:t>Acuerdo N° 4</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E299D" w:rsidRPr="002E299D">
        <w:rPr>
          <w:rFonts w:cs="Arial"/>
          <w:b/>
          <w:sz w:val="22"/>
          <w:szCs w:val="22"/>
          <w:u w:val="single"/>
          <w:lang w:val="es-ES_tradnl"/>
        </w:rPr>
        <w:t>Análisis de temas de carácter estratégico</w:t>
      </w:r>
      <w:r w:rsidR="002E299D">
        <w:rPr>
          <w:rFonts w:cs="Arial"/>
          <w:b/>
          <w:sz w:val="22"/>
          <w:szCs w:val="22"/>
          <w:u w:val="single"/>
          <w:lang w:val="es-ES_tradnl"/>
        </w:rPr>
        <w:t xml:space="preserve"> (</w:t>
      </w:r>
      <w:r w:rsidR="002E299D" w:rsidRPr="002E299D">
        <w:rPr>
          <w:rFonts w:cs="Arial"/>
          <w:b/>
          <w:sz w:val="22"/>
          <w:szCs w:val="22"/>
          <w:u w:val="single"/>
          <w:lang w:val="es-ES_tradnl"/>
        </w:rPr>
        <w:t>Plan Estratégico Institucional 2020-2023</w:t>
      </w:r>
      <w:r w:rsidR="002E299D">
        <w:rPr>
          <w:rFonts w:cs="Arial"/>
          <w:b/>
          <w:sz w:val="22"/>
          <w:szCs w:val="22"/>
          <w:u w:val="single"/>
          <w:lang w:val="es-ES_tradnl"/>
        </w:rPr>
        <w:t>)</w:t>
      </w:r>
    </w:p>
    <w:p w:rsidR="009D03FE" w:rsidRDefault="009D03FE" w:rsidP="009D03FE">
      <w:pPr>
        <w:spacing w:line="360" w:lineRule="auto"/>
        <w:jc w:val="both"/>
        <w:rPr>
          <w:rFonts w:cs="Arial"/>
          <w:sz w:val="22"/>
          <w:szCs w:val="22"/>
        </w:rPr>
      </w:pPr>
    </w:p>
    <w:p w:rsidR="00536D82" w:rsidRDefault="00536D82" w:rsidP="00536D82">
      <w:pPr>
        <w:spacing w:line="360" w:lineRule="auto"/>
        <w:jc w:val="both"/>
        <w:rPr>
          <w:sz w:val="22"/>
          <w:szCs w:val="22"/>
        </w:rPr>
      </w:pPr>
      <w:r w:rsidRPr="00A25DB7">
        <w:rPr>
          <w:rFonts w:cs="Arial"/>
          <w:sz w:val="22"/>
          <w:u w:val="single"/>
          <w:lang w:val="es-ES_tradnl"/>
        </w:rPr>
        <w:t xml:space="preserve">Minuto </w:t>
      </w:r>
      <w:r>
        <w:rPr>
          <w:rFonts w:cs="Arial"/>
          <w:sz w:val="22"/>
          <w:u w:val="single"/>
          <w:lang w:val="es-ES_tradnl"/>
        </w:rPr>
        <w:t>79</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szCs w:val="22"/>
        </w:rPr>
        <w:t xml:space="preserve">A partir de este momento,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Castro Miranda, Sibaja Garbanzo, Mora Villalobos y López Pacheco</w:t>
      </w:r>
      <w:r>
        <w:rPr>
          <w:sz w:val="22"/>
          <w:szCs w:val="22"/>
        </w:rPr>
        <w:t>; suspendiéndose por consiguiente la grabación de la sesión.</w:t>
      </w:r>
    </w:p>
    <w:p w:rsidR="00536D82" w:rsidRDefault="00536D82" w:rsidP="00536D82">
      <w:pPr>
        <w:spacing w:line="360" w:lineRule="auto"/>
        <w:jc w:val="both"/>
        <w:rPr>
          <w:sz w:val="22"/>
          <w:szCs w:val="22"/>
        </w:rPr>
      </w:pPr>
    </w:p>
    <w:p w:rsidR="00536D82" w:rsidRDefault="00536D82" w:rsidP="00536D82">
      <w:pPr>
        <w:spacing w:line="360" w:lineRule="auto"/>
        <w:jc w:val="both"/>
        <w:rPr>
          <w:rFonts w:cs="Arial"/>
          <w:sz w:val="22"/>
          <w:szCs w:val="22"/>
          <w:lang w:val="es-ES_tradnl"/>
        </w:rPr>
      </w:pPr>
      <w:r>
        <w:rPr>
          <w:rFonts w:cs="Arial"/>
          <w:sz w:val="22"/>
          <w:lang w:val="es-ES_tradnl"/>
        </w:rPr>
        <w:t xml:space="preserve">La </w:t>
      </w:r>
      <w:r w:rsidRPr="00FA2104">
        <w:rPr>
          <w:rFonts w:cs="Arial"/>
          <w:sz w:val="22"/>
          <w:szCs w:val="22"/>
          <w:lang w:val="es-ES_tradnl"/>
        </w:rPr>
        <w:t xml:space="preserve">Junta Directiva </w:t>
      </w:r>
      <w:r>
        <w:rPr>
          <w:rFonts w:cs="Arial"/>
          <w:sz w:val="22"/>
          <w:szCs w:val="22"/>
          <w:lang w:val="es-ES_tradnl"/>
        </w:rPr>
        <w:t>analiza el tema relacionado con la contratación del estudio de modernización institucional del BANHVI, teniendo a la vista, para estos efectos, el oficio GG-ME-0512-2019 del 15 de mayo de 2019, por medio del cual, la Gerente General remite un documento base sobre los términos de referencia para la contratación del diagnóstico institucional.</w:t>
      </w:r>
    </w:p>
    <w:p w:rsidR="00536D82" w:rsidRDefault="00536D82" w:rsidP="00536D82">
      <w:pPr>
        <w:spacing w:line="360" w:lineRule="auto"/>
        <w:jc w:val="both"/>
        <w:rPr>
          <w:rFonts w:cs="Arial"/>
          <w:sz w:val="22"/>
          <w:szCs w:val="22"/>
          <w:lang w:val="es-ES_tradnl"/>
        </w:rPr>
      </w:pPr>
    </w:p>
    <w:p w:rsidR="009D03FE" w:rsidRDefault="00536D82" w:rsidP="009D03FE">
      <w:pPr>
        <w:spacing w:line="360" w:lineRule="auto"/>
        <w:jc w:val="both"/>
        <w:rPr>
          <w:rFonts w:cs="Arial"/>
          <w:sz w:val="22"/>
          <w:szCs w:val="22"/>
        </w:rPr>
      </w:pPr>
      <w:r>
        <w:rPr>
          <w:rFonts w:cs="Arial"/>
          <w:sz w:val="22"/>
          <w:szCs w:val="22"/>
          <w:lang w:val="es-ES_tradnl"/>
        </w:rPr>
        <w:t xml:space="preserve">Finalmente, la Junta Directiva emite una serie de </w:t>
      </w:r>
      <w:r w:rsidRPr="00536D82">
        <w:rPr>
          <w:rFonts w:cs="Arial"/>
          <w:sz w:val="22"/>
          <w:szCs w:val="22"/>
        </w:rPr>
        <w:t>lineamientos para la contratación del estudio de modernización institucional del BANHVI,</w:t>
      </w:r>
      <w:r>
        <w:rPr>
          <w:rFonts w:cs="Arial"/>
          <w:sz w:val="22"/>
          <w:szCs w:val="22"/>
        </w:rPr>
        <w:t xml:space="preserve"> en los términos que se indican en el </w:t>
      </w:r>
      <w:r w:rsidRPr="00536D82">
        <w:rPr>
          <w:rFonts w:cs="Arial"/>
          <w:b/>
          <w:sz w:val="22"/>
          <w:szCs w:val="22"/>
        </w:rPr>
        <w:t>Acuerdo N° 5</w:t>
      </w:r>
      <w:r>
        <w:rPr>
          <w:rFonts w:cs="Arial"/>
          <w:sz w:val="22"/>
          <w:szCs w:val="22"/>
        </w:rPr>
        <w:t xml:space="preserve"> que se anexa a esta minuta.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E299D" w:rsidRPr="002E299D">
        <w:rPr>
          <w:rFonts w:cs="Arial"/>
          <w:b/>
          <w:sz w:val="22"/>
          <w:u w:val="single"/>
          <w:lang w:val="es-ES_tradnl"/>
        </w:rPr>
        <w:t>Resolución de procedimiento para el nombramiento del Gerente General</w:t>
      </w:r>
    </w:p>
    <w:p w:rsidR="009D03FE" w:rsidRDefault="009D03FE" w:rsidP="009D03FE">
      <w:pPr>
        <w:spacing w:line="360" w:lineRule="auto"/>
        <w:jc w:val="both"/>
        <w:rPr>
          <w:rFonts w:cs="Arial"/>
          <w:sz w:val="22"/>
          <w:szCs w:val="22"/>
        </w:rPr>
      </w:pPr>
    </w:p>
    <w:p w:rsidR="009D03FE" w:rsidRPr="00536D82" w:rsidRDefault="001447F7" w:rsidP="009D03FE">
      <w:pPr>
        <w:spacing w:line="360" w:lineRule="auto"/>
        <w:jc w:val="both"/>
        <w:rPr>
          <w:rFonts w:cs="Arial"/>
          <w:sz w:val="22"/>
          <w:szCs w:val="22"/>
          <w:lang w:val="es-ES_tradnl"/>
        </w:rPr>
      </w:pPr>
      <w:r>
        <w:rPr>
          <w:rFonts w:cs="Arial"/>
          <w:sz w:val="22"/>
          <w:lang w:val="es-ES_tradnl"/>
        </w:rPr>
        <w:t xml:space="preserve">Aprobada por unanimidad una moción de la Directora Presidenta para incorporar este asunto en la presente sesión, </w:t>
      </w:r>
      <w:r w:rsidR="00536D82">
        <w:rPr>
          <w:rFonts w:cs="Arial"/>
          <w:sz w:val="22"/>
          <w:lang w:val="es-ES_tradnl"/>
        </w:rPr>
        <w:t xml:space="preserve">la </w:t>
      </w:r>
      <w:r w:rsidR="00536D82" w:rsidRPr="00536D82">
        <w:rPr>
          <w:rFonts w:cs="Arial"/>
          <w:sz w:val="22"/>
          <w:szCs w:val="22"/>
          <w:lang w:val="es-ES_tradnl"/>
        </w:rPr>
        <w:t xml:space="preserve">Junta Directiva </w:t>
      </w:r>
      <w:r w:rsidR="00536D82">
        <w:rPr>
          <w:rFonts w:cs="Arial"/>
          <w:sz w:val="22"/>
          <w:lang w:val="es-ES_tradnl"/>
        </w:rPr>
        <w:t xml:space="preserve">procede a valorar el procedimiento para el nombramiento del Gerente General y finalmente emite una serie de </w:t>
      </w:r>
      <w:r w:rsidR="00536D82" w:rsidRPr="00911ABE">
        <w:rPr>
          <w:rFonts w:cs="Arial"/>
          <w:sz w:val="22"/>
          <w:szCs w:val="22"/>
        </w:rPr>
        <w:t xml:space="preserve">lineamientos para la elaboración de los </w:t>
      </w:r>
      <w:r w:rsidR="00536D82">
        <w:rPr>
          <w:rFonts w:cs="Arial"/>
          <w:sz w:val="22"/>
          <w:szCs w:val="22"/>
        </w:rPr>
        <w:t xml:space="preserve">respectivos </w:t>
      </w:r>
      <w:r w:rsidR="00536D82" w:rsidRPr="00911ABE">
        <w:rPr>
          <w:rFonts w:cs="Arial"/>
          <w:sz w:val="22"/>
          <w:szCs w:val="22"/>
        </w:rPr>
        <w:t>términos de referencia</w:t>
      </w:r>
      <w:r w:rsidR="00536D82">
        <w:rPr>
          <w:rFonts w:cs="Arial"/>
          <w:sz w:val="22"/>
          <w:szCs w:val="22"/>
        </w:rPr>
        <w:t xml:space="preserve">.  Lo anterior, según se detalla en el </w:t>
      </w:r>
      <w:r w:rsidR="00536D82" w:rsidRPr="00536D82">
        <w:rPr>
          <w:rFonts w:cs="Arial"/>
          <w:b/>
          <w:sz w:val="22"/>
          <w:szCs w:val="22"/>
        </w:rPr>
        <w:t>Acuerdo N° 6</w:t>
      </w:r>
      <w:r w:rsidR="00536D82">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536D82">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536D82">
        <w:rPr>
          <w:rFonts w:cs="Arial"/>
          <w:szCs w:val="22"/>
        </w:rPr>
        <w:t>quince</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E299D">
        <w:rPr>
          <w:rFonts w:cs="Arial"/>
          <w:b/>
          <w:sz w:val="22"/>
          <w:u w:val="single"/>
        </w:rPr>
        <w:t>EXTRA</w:t>
      </w:r>
      <w:r>
        <w:rPr>
          <w:rFonts w:cs="Arial"/>
          <w:b/>
          <w:sz w:val="22"/>
          <w:u w:val="single"/>
        </w:rPr>
        <w:t xml:space="preserve">ORDINARIA N° </w:t>
      </w:r>
      <w:r w:rsidR="002E299D">
        <w:rPr>
          <w:rFonts w:cs="Arial"/>
          <w:b/>
          <w:sz w:val="22"/>
          <w:u w:val="single"/>
        </w:rPr>
        <w:t>37</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2E299D">
        <w:rPr>
          <w:rFonts w:cs="Arial"/>
          <w:b/>
          <w:sz w:val="22"/>
          <w:u w:val="single"/>
        </w:rPr>
        <w:t>16</w:t>
      </w:r>
      <w:r>
        <w:rPr>
          <w:rFonts w:cs="Arial"/>
          <w:b/>
          <w:sz w:val="22"/>
          <w:u w:val="single"/>
        </w:rPr>
        <w:t xml:space="preserve"> DE </w:t>
      </w:r>
      <w:r w:rsidR="002E299D">
        <w:rPr>
          <w:rFonts w:cs="Arial"/>
          <w:b/>
          <w:sz w:val="22"/>
          <w:u w:val="single"/>
        </w:rPr>
        <w:t>MAYO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830EC7" w:rsidRPr="00830EC7" w:rsidRDefault="00830EC7" w:rsidP="00830EC7">
      <w:pPr>
        <w:spacing w:line="360" w:lineRule="auto"/>
        <w:jc w:val="both"/>
        <w:rPr>
          <w:rFonts w:cs="Arial"/>
          <w:b/>
          <w:i/>
          <w:sz w:val="22"/>
          <w:szCs w:val="22"/>
          <w:u w:val="single"/>
        </w:rPr>
      </w:pPr>
      <w:r w:rsidRPr="00830EC7">
        <w:rPr>
          <w:rFonts w:cs="Arial"/>
          <w:b/>
          <w:i/>
          <w:sz w:val="22"/>
          <w:szCs w:val="22"/>
          <w:u w:val="single"/>
        </w:rPr>
        <w:t>ACUERDO N°1:</w:t>
      </w:r>
    </w:p>
    <w:p w:rsidR="00830EC7" w:rsidRPr="00830EC7" w:rsidRDefault="00830EC7" w:rsidP="00830EC7">
      <w:pPr>
        <w:spacing w:line="360" w:lineRule="auto"/>
        <w:jc w:val="both"/>
        <w:rPr>
          <w:rFonts w:cs="Arial"/>
          <w:b/>
          <w:sz w:val="22"/>
          <w:szCs w:val="22"/>
        </w:rPr>
      </w:pPr>
      <w:r w:rsidRPr="00830EC7">
        <w:rPr>
          <w:rFonts w:cs="Arial"/>
          <w:b/>
          <w:sz w:val="22"/>
          <w:szCs w:val="22"/>
        </w:rPr>
        <w:t>Considerando:</w:t>
      </w:r>
    </w:p>
    <w:p w:rsidR="00830EC7" w:rsidRPr="00830EC7" w:rsidRDefault="00830EC7" w:rsidP="00830EC7">
      <w:pPr>
        <w:spacing w:line="360" w:lineRule="auto"/>
        <w:jc w:val="both"/>
        <w:rPr>
          <w:rFonts w:cs="Arial"/>
          <w:sz w:val="22"/>
          <w:szCs w:val="22"/>
        </w:rPr>
      </w:pPr>
      <w:r w:rsidRPr="00830EC7">
        <w:rPr>
          <w:rFonts w:cs="Arial"/>
          <w:b/>
          <w:sz w:val="22"/>
          <w:szCs w:val="22"/>
        </w:rPr>
        <w:t>Primero:</w:t>
      </w:r>
      <w:r w:rsidRPr="00830EC7">
        <w:rPr>
          <w:rFonts w:cs="Arial"/>
          <w:sz w:val="22"/>
          <w:szCs w:val="22"/>
        </w:rPr>
        <w:t xml:space="preserve"> Que por medio del oficio GG-ME-0452-2019, del 29 de abril de 2019, y según lo dispuesto en el acuerdo N° 8 de la sesión 24-2019, del 25 de marzo de 2019, la Gerencia General somete a la consideración de esta Junta Directiva, el informe DAD-OF-075-2019 de la Dirección Administrativa, que contiene los resultados del procedimiento efectuado (licitación N° 2019LA-000003-0016400001) para contratar los servicios de un profesional en Derecho, que brinde asesoría jurídica a este Órgano Colegiado para aquellos asuntos en los que medie inhibición por parte de la Asesoría Legal del BANHVI o en los que se requiera un criterio jurídico complementario en temas específicos.</w:t>
      </w:r>
    </w:p>
    <w:p w:rsidR="00830EC7" w:rsidRPr="00830EC7" w:rsidRDefault="00830EC7" w:rsidP="00830EC7">
      <w:pPr>
        <w:spacing w:line="360" w:lineRule="auto"/>
        <w:jc w:val="both"/>
        <w:rPr>
          <w:rFonts w:cs="Arial"/>
          <w:sz w:val="22"/>
          <w:szCs w:val="22"/>
        </w:rPr>
      </w:pPr>
    </w:p>
    <w:p w:rsidR="00830EC7" w:rsidRPr="00830EC7" w:rsidRDefault="00830EC7" w:rsidP="00830EC7">
      <w:pPr>
        <w:spacing w:line="360" w:lineRule="auto"/>
        <w:jc w:val="both"/>
        <w:rPr>
          <w:rFonts w:cs="Arial"/>
          <w:sz w:val="22"/>
          <w:szCs w:val="22"/>
        </w:rPr>
      </w:pPr>
      <w:r w:rsidRPr="00830EC7">
        <w:rPr>
          <w:rFonts w:cs="Arial"/>
          <w:b/>
          <w:sz w:val="22"/>
          <w:szCs w:val="22"/>
        </w:rPr>
        <w:t>Segundo:</w:t>
      </w:r>
      <w:r w:rsidRPr="00830EC7">
        <w:rPr>
          <w:rFonts w:cs="Arial"/>
          <w:sz w:val="22"/>
          <w:szCs w:val="22"/>
        </w:rPr>
        <w:t xml:space="preserve"> Que complementariamente, mediante el oficio GG-ME-0497-2019, del 10 de mayo de 2019,  y atendiendo lo requerido por esta Junta Directiva en el acuerdo N° 8 de la sesión 34-2019, del 06 de mayo de 2019, la Gerencia General remite el informe DAD-OF-082-2019 de la Dirección Administrativa, que contiene el criterio de esa Dirección sobre los alcances de los artículos 26 y 171 del Reglamento a la Ley de Contratación Administrativa (en adelante Reglamento LCA) y su incidencia en la descalificación de tres de las ofertas presentadas dentro de la respectiva licitación.</w:t>
      </w:r>
    </w:p>
    <w:p w:rsidR="00830EC7" w:rsidRPr="00830EC7" w:rsidRDefault="00830EC7" w:rsidP="00830EC7">
      <w:pPr>
        <w:spacing w:line="360" w:lineRule="auto"/>
        <w:jc w:val="both"/>
        <w:rPr>
          <w:rFonts w:cs="Arial"/>
          <w:sz w:val="22"/>
          <w:szCs w:val="22"/>
        </w:rPr>
      </w:pPr>
    </w:p>
    <w:p w:rsidR="00830EC7" w:rsidRPr="00830EC7" w:rsidRDefault="00830EC7" w:rsidP="00830EC7">
      <w:pPr>
        <w:spacing w:line="360" w:lineRule="auto"/>
        <w:jc w:val="both"/>
        <w:rPr>
          <w:rFonts w:cs="Arial"/>
          <w:sz w:val="22"/>
          <w:szCs w:val="22"/>
        </w:rPr>
      </w:pPr>
      <w:r w:rsidRPr="00830EC7">
        <w:rPr>
          <w:rFonts w:cs="Arial"/>
          <w:b/>
          <w:sz w:val="22"/>
          <w:szCs w:val="22"/>
        </w:rPr>
        <w:t>Tercero:</w:t>
      </w:r>
      <w:r w:rsidRPr="00830EC7">
        <w:rPr>
          <w:rFonts w:cs="Arial"/>
          <w:sz w:val="22"/>
          <w:szCs w:val="22"/>
        </w:rPr>
        <w:t xml:space="preserve"> Que con vista de dichos documentos, esta Junta Directiva realiza los siguientes razonamientos: </w:t>
      </w:r>
    </w:p>
    <w:p w:rsidR="00830EC7" w:rsidRPr="00830EC7" w:rsidRDefault="00830EC7" w:rsidP="00830EC7">
      <w:pPr>
        <w:spacing w:line="360" w:lineRule="auto"/>
        <w:jc w:val="both"/>
        <w:rPr>
          <w:rFonts w:cs="Arial"/>
          <w:sz w:val="22"/>
          <w:szCs w:val="22"/>
        </w:rPr>
      </w:pPr>
      <w:r w:rsidRPr="00830EC7">
        <w:rPr>
          <w:rFonts w:cs="Arial"/>
          <w:sz w:val="22"/>
          <w:szCs w:val="22"/>
        </w:rPr>
        <w:t>a) Si se trataba de un precio basado en la tarifa regulada por Arancel de Honorarios del Colegio de Abogados, no era pertinente que se pretendiera que las ofertas contaran con el desglose de la estructura de precios (según lo indica el artículo 171 del Reglamento LCA).</w:t>
      </w:r>
    </w:p>
    <w:p w:rsidR="00830EC7" w:rsidRPr="00830EC7" w:rsidRDefault="00830EC7" w:rsidP="00830EC7">
      <w:pPr>
        <w:spacing w:line="360" w:lineRule="auto"/>
        <w:jc w:val="both"/>
        <w:rPr>
          <w:rFonts w:cs="Arial"/>
          <w:sz w:val="22"/>
          <w:szCs w:val="22"/>
        </w:rPr>
      </w:pPr>
      <w:r w:rsidRPr="00830EC7">
        <w:rPr>
          <w:rFonts w:cs="Arial"/>
          <w:sz w:val="22"/>
          <w:szCs w:val="22"/>
        </w:rPr>
        <w:t xml:space="preserve">b) Si se trataba de un precio superior a la tarifa mínima, el cartel </w:t>
      </w:r>
      <w:r w:rsidRPr="00830EC7">
        <w:rPr>
          <w:rFonts w:cs="Arial"/>
          <w:sz w:val="22"/>
          <w:szCs w:val="22"/>
          <w:lang w:val="es-CR"/>
        </w:rPr>
        <w:t>debió establecer la exigencia de presentar un desglose del costo de los servicios, detallado en costos directos, indirectos y utilidades</w:t>
      </w:r>
      <w:r w:rsidRPr="00830EC7">
        <w:rPr>
          <w:rFonts w:cs="Arial"/>
          <w:sz w:val="22"/>
          <w:szCs w:val="22"/>
        </w:rPr>
        <w:t xml:space="preserve"> (según lo indica el artículo 171 del Reglamento LCA).</w:t>
      </w:r>
    </w:p>
    <w:p w:rsidR="00830EC7" w:rsidRPr="00830EC7" w:rsidRDefault="00830EC7" w:rsidP="00830EC7">
      <w:pPr>
        <w:spacing w:line="360" w:lineRule="auto"/>
        <w:jc w:val="both"/>
        <w:rPr>
          <w:rFonts w:cs="Arial"/>
          <w:sz w:val="22"/>
          <w:szCs w:val="22"/>
        </w:rPr>
      </w:pPr>
      <w:r w:rsidRPr="00830EC7">
        <w:rPr>
          <w:rFonts w:cs="Arial"/>
          <w:sz w:val="22"/>
          <w:szCs w:val="22"/>
        </w:rPr>
        <w:t>c) Si se trataba de un precio superior a la tarifa mínima, y se</w:t>
      </w:r>
      <w:r w:rsidRPr="00830EC7">
        <w:rPr>
          <w:rFonts w:cs="Arial"/>
          <w:sz w:val="22"/>
          <w:szCs w:val="22"/>
          <w:lang w:val="es-CR"/>
        </w:rPr>
        <w:t xml:space="preserve"> establecía la exigencia de presentar un desglose del costo de los servicios, podría subsanarse la omisión del desglose, si ello no generaba una ventaja indebida para el oferente </w:t>
      </w:r>
      <w:proofErr w:type="spellStart"/>
      <w:r w:rsidRPr="00830EC7">
        <w:rPr>
          <w:rFonts w:cs="Arial"/>
          <w:sz w:val="22"/>
          <w:szCs w:val="22"/>
          <w:lang w:val="es-CR"/>
        </w:rPr>
        <w:t>incumpliente</w:t>
      </w:r>
      <w:proofErr w:type="spellEnd"/>
      <w:r w:rsidRPr="00830EC7">
        <w:rPr>
          <w:rFonts w:cs="Arial"/>
          <w:sz w:val="22"/>
          <w:szCs w:val="22"/>
          <w:lang w:val="es-CR"/>
        </w:rPr>
        <w:t xml:space="preserve"> (</w:t>
      </w:r>
      <w:r w:rsidRPr="00830EC7">
        <w:rPr>
          <w:rFonts w:cs="Arial"/>
          <w:sz w:val="22"/>
          <w:szCs w:val="22"/>
        </w:rPr>
        <w:t>según lo indica el artículo 26 del Reglamento LCA).</w:t>
      </w:r>
      <w:r w:rsidRPr="00830EC7">
        <w:rPr>
          <w:rFonts w:cs="Arial"/>
          <w:sz w:val="22"/>
          <w:szCs w:val="22"/>
          <w:lang w:val="es-CR"/>
        </w:rPr>
        <w:t xml:space="preserve"> </w:t>
      </w:r>
    </w:p>
    <w:p w:rsidR="00830EC7" w:rsidRPr="00830EC7" w:rsidRDefault="00830EC7" w:rsidP="00830EC7">
      <w:pPr>
        <w:spacing w:line="360" w:lineRule="auto"/>
        <w:jc w:val="both"/>
        <w:rPr>
          <w:rFonts w:cs="Arial"/>
          <w:sz w:val="22"/>
          <w:szCs w:val="22"/>
        </w:rPr>
      </w:pPr>
      <w:r w:rsidRPr="00830EC7">
        <w:rPr>
          <w:rFonts w:cs="Arial"/>
          <w:sz w:val="22"/>
          <w:szCs w:val="22"/>
        </w:rPr>
        <w:t>d) Si se trataba de ofertas no limitadas a la tarifa mínima, donde es obligatorio el desglose de la estructura de precios de las ofertas, pero éstas se ajustaron al mínimo de la tarifa regulada por el Arancel de Honorarios del Colegio de Abogados, entonces el desglose de precios era innecesario.</w:t>
      </w:r>
    </w:p>
    <w:p w:rsidR="00830EC7" w:rsidRPr="00830EC7" w:rsidRDefault="00830EC7" w:rsidP="00830EC7">
      <w:pPr>
        <w:spacing w:line="360" w:lineRule="auto"/>
        <w:jc w:val="both"/>
        <w:rPr>
          <w:rFonts w:cs="Arial"/>
          <w:sz w:val="22"/>
          <w:szCs w:val="22"/>
        </w:rPr>
      </w:pPr>
    </w:p>
    <w:p w:rsidR="00830EC7" w:rsidRPr="00830EC7" w:rsidRDefault="00830EC7" w:rsidP="00830EC7">
      <w:pPr>
        <w:spacing w:line="360" w:lineRule="auto"/>
        <w:jc w:val="both"/>
        <w:rPr>
          <w:rFonts w:cs="Arial"/>
          <w:sz w:val="22"/>
          <w:szCs w:val="22"/>
        </w:rPr>
      </w:pPr>
      <w:r w:rsidRPr="00830EC7">
        <w:rPr>
          <w:rFonts w:cs="Arial"/>
          <w:b/>
          <w:sz w:val="22"/>
          <w:szCs w:val="22"/>
        </w:rPr>
        <w:t>Cuarto:</w:t>
      </w:r>
      <w:r w:rsidRPr="00830EC7">
        <w:rPr>
          <w:rFonts w:cs="Arial"/>
          <w:sz w:val="22"/>
          <w:szCs w:val="22"/>
        </w:rPr>
        <w:t xml:space="preserve"> Que con base en las anteriores consideraciones y para resolver este asunto, se estima pertinente girar instrucciones a la Administración, para que analice y califique las ofertas presentadas por personas físicas en el referido proceso de licitación y presente a este Órgano Colegiado los resultados obtenidos, para lograr un mejor criterio a fin de definir la adjudicación de la licitación.</w:t>
      </w:r>
    </w:p>
    <w:p w:rsidR="00830EC7" w:rsidRPr="00830EC7" w:rsidRDefault="00830EC7" w:rsidP="00830EC7">
      <w:pPr>
        <w:spacing w:line="360" w:lineRule="auto"/>
        <w:jc w:val="both"/>
        <w:rPr>
          <w:rFonts w:cs="Arial"/>
          <w:sz w:val="22"/>
          <w:szCs w:val="22"/>
        </w:rPr>
      </w:pPr>
    </w:p>
    <w:p w:rsidR="00830EC7" w:rsidRPr="00830EC7" w:rsidRDefault="00830EC7" w:rsidP="00830EC7">
      <w:pPr>
        <w:spacing w:line="360" w:lineRule="auto"/>
        <w:jc w:val="both"/>
        <w:rPr>
          <w:rFonts w:cs="Arial"/>
          <w:b/>
          <w:sz w:val="22"/>
          <w:szCs w:val="22"/>
        </w:rPr>
      </w:pPr>
      <w:r w:rsidRPr="00830EC7">
        <w:rPr>
          <w:rFonts w:cs="Arial"/>
          <w:b/>
          <w:sz w:val="22"/>
          <w:szCs w:val="22"/>
        </w:rPr>
        <w:t>Por tanto, se acuerda:</w:t>
      </w:r>
    </w:p>
    <w:p w:rsidR="00830EC7" w:rsidRPr="00830EC7" w:rsidRDefault="00830EC7" w:rsidP="00830EC7">
      <w:pPr>
        <w:spacing w:line="360" w:lineRule="auto"/>
        <w:jc w:val="both"/>
        <w:rPr>
          <w:rFonts w:cs="Arial"/>
          <w:sz w:val="22"/>
          <w:szCs w:val="22"/>
        </w:rPr>
      </w:pPr>
      <w:r w:rsidRPr="00830EC7">
        <w:rPr>
          <w:rFonts w:cs="Arial"/>
          <w:sz w:val="22"/>
          <w:szCs w:val="22"/>
        </w:rPr>
        <w:t>Instruir a la Administración, para que proceda a analizar y calificar todas las ofertas presentadas por personas físicas en el proceso de licitación N° 2019LA-000003-0016400001, y el próximo lunes 20 de mayo presente a esta Junta Directiva un cuadro con los resultados.</w:t>
      </w:r>
    </w:p>
    <w:p w:rsidR="00830EC7" w:rsidRPr="00830EC7" w:rsidRDefault="00830EC7" w:rsidP="00830EC7">
      <w:pPr>
        <w:spacing w:line="360" w:lineRule="auto"/>
        <w:jc w:val="both"/>
        <w:rPr>
          <w:rFonts w:cs="Arial"/>
          <w:b/>
          <w:i/>
          <w:sz w:val="22"/>
          <w:szCs w:val="22"/>
          <w:u w:val="single"/>
          <w:lang w:val="es-ES_tradnl"/>
        </w:rPr>
      </w:pPr>
      <w:r w:rsidRPr="00830EC7">
        <w:rPr>
          <w:rFonts w:cs="Arial"/>
          <w:b/>
          <w:i/>
          <w:sz w:val="22"/>
          <w:szCs w:val="22"/>
          <w:u w:val="single"/>
        </w:rPr>
        <w:t>Acuerdo Unánime y Firme.-</w:t>
      </w:r>
    </w:p>
    <w:p w:rsidR="00830EC7" w:rsidRPr="00830EC7" w:rsidRDefault="00830EC7" w:rsidP="00830EC7">
      <w:pPr>
        <w:spacing w:line="360" w:lineRule="auto"/>
        <w:jc w:val="both"/>
        <w:rPr>
          <w:rFonts w:cs="Arial"/>
          <w:b/>
          <w:sz w:val="22"/>
          <w:szCs w:val="22"/>
        </w:rPr>
      </w:pPr>
      <w:r w:rsidRPr="00830EC7">
        <w:rPr>
          <w:rFonts w:cs="Arial"/>
          <w:b/>
          <w:sz w:val="22"/>
          <w:szCs w:val="22"/>
        </w:rPr>
        <w:t>************</w:t>
      </w:r>
    </w:p>
    <w:p w:rsidR="00830EC7" w:rsidRPr="00830EC7" w:rsidRDefault="00830EC7" w:rsidP="00830EC7">
      <w:pPr>
        <w:spacing w:line="360" w:lineRule="auto"/>
        <w:jc w:val="both"/>
        <w:rPr>
          <w:rFonts w:cs="Arial"/>
          <w:sz w:val="22"/>
          <w:szCs w:val="22"/>
          <w:lang w:val="pt-BR"/>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9D5B97" w:rsidRPr="009D5B97" w:rsidRDefault="009D5B97" w:rsidP="002B71CC">
      <w:pPr>
        <w:spacing w:line="360" w:lineRule="auto"/>
        <w:jc w:val="both"/>
        <w:rPr>
          <w:rFonts w:cs="Arial"/>
          <w:b/>
          <w:sz w:val="22"/>
          <w:szCs w:val="22"/>
        </w:rPr>
      </w:pPr>
      <w:r w:rsidRPr="009D5B97">
        <w:rPr>
          <w:rFonts w:cs="Arial"/>
          <w:b/>
          <w:sz w:val="22"/>
          <w:szCs w:val="22"/>
        </w:rPr>
        <w:t>Considerando:</w:t>
      </w:r>
    </w:p>
    <w:p w:rsidR="009D5B97" w:rsidRDefault="009D5B97" w:rsidP="002B71CC">
      <w:pPr>
        <w:spacing w:line="360" w:lineRule="auto"/>
        <w:jc w:val="both"/>
        <w:rPr>
          <w:rFonts w:cs="Arial"/>
          <w:sz w:val="22"/>
          <w:szCs w:val="22"/>
        </w:rPr>
      </w:pPr>
      <w:r w:rsidRPr="009D5B97">
        <w:rPr>
          <w:rFonts w:cs="Arial"/>
          <w:b/>
          <w:sz w:val="22"/>
          <w:szCs w:val="22"/>
        </w:rPr>
        <w:t>Primero:</w:t>
      </w:r>
      <w:r>
        <w:rPr>
          <w:rFonts w:cs="Arial"/>
          <w:sz w:val="22"/>
          <w:szCs w:val="22"/>
        </w:rPr>
        <w:t xml:space="preserve"> Que por medio d</w:t>
      </w:r>
      <w:r>
        <w:rPr>
          <w:rFonts w:cs="Arial"/>
          <w:sz w:val="22"/>
          <w:lang w:val="es-ES_tradnl"/>
        </w:rPr>
        <w:t xml:space="preserve">el oficio GG-OF-0499-2019 del 10 de mayo de 2019, y atendiendo lo solicitado en el acuerdo N°11 de la sesión 22-2019 del 18 de marzo de 2019, la Gerencia General somete a la consideración de esta </w:t>
      </w:r>
      <w:r>
        <w:rPr>
          <w:rFonts w:cs="Arial"/>
          <w:sz w:val="22"/>
          <w:szCs w:val="22"/>
          <w:lang w:val="es-ES_tradnl"/>
        </w:rPr>
        <w:t xml:space="preserve">Junta Directiva, </w:t>
      </w:r>
      <w:r>
        <w:rPr>
          <w:rFonts w:cs="Arial"/>
          <w:sz w:val="22"/>
          <w:lang w:val="es-ES_tradnl"/>
        </w:rPr>
        <w:t xml:space="preserve">una propuesta de respuesta a lo expuesto por el Dr. Enrique Rojas Franco, en nota de fecha 11 de marzo de 2019, en la que solicita una audiencia para discutir y tratar de llegar a un acuerdo sobre asuntos que se ventilan en el proceso judicial promovido por la empresa VENTESA contra el BANHVI.  </w:t>
      </w:r>
    </w:p>
    <w:p w:rsidR="009D5B97" w:rsidRDefault="009D5B97" w:rsidP="002B71CC">
      <w:pPr>
        <w:spacing w:line="360" w:lineRule="auto"/>
        <w:jc w:val="both"/>
        <w:rPr>
          <w:rFonts w:cs="Arial"/>
          <w:sz w:val="22"/>
          <w:szCs w:val="22"/>
        </w:rPr>
      </w:pPr>
    </w:p>
    <w:p w:rsidR="009D5B97" w:rsidRDefault="009D5B97" w:rsidP="002B71CC">
      <w:pPr>
        <w:spacing w:line="360" w:lineRule="auto"/>
        <w:jc w:val="both"/>
        <w:rPr>
          <w:rFonts w:cs="Arial"/>
          <w:sz w:val="22"/>
          <w:szCs w:val="22"/>
        </w:rPr>
      </w:pPr>
      <w:r w:rsidRPr="009D5B97">
        <w:rPr>
          <w:rFonts w:cs="Arial"/>
          <w:b/>
          <w:sz w:val="22"/>
          <w:szCs w:val="22"/>
        </w:rPr>
        <w:t>Segundo:</w:t>
      </w:r>
      <w:r>
        <w:rPr>
          <w:rFonts w:cs="Arial"/>
          <w:sz w:val="22"/>
          <w:szCs w:val="22"/>
        </w:rPr>
        <w:t xml:space="preserve"> Que en dicho oficio, la </w:t>
      </w:r>
      <w:r w:rsidRPr="009D5B97">
        <w:rPr>
          <w:rFonts w:cs="Arial"/>
          <w:sz w:val="22"/>
          <w:szCs w:val="22"/>
        </w:rPr>
        <w:t>Gerencia General</w:t>
      </w:r>
      <w:r>
        <w:rPr>
          <w:rFonts w:cs="Arial"/>
          <w:sz w:val="22"/>
          <w:szCs w:val="22"/>
        </w:rPr>
        <w:t xml:space="preserve"> señala y recomienda, en lo conducente, lo siguiente:</w:t>
      </w:r>
    </w:p>
    <w:p w:rsidR="009D5B97" w:rsidRPr="009D5B97" w:rsidRDefault="009D5B97" w:rsidP="009D5B97">
      <w:pPr>
        <w:jc w:val="both"/>
        <w:rPr>
          <w:rFonts w:asciiTheme="minorHAnsi" w:hAnsiTheme="minorHAnsi" w:cs="Arial"/>
        </w:rPr>
      </w:pPr>
    </w:p>
    <w:p w:rsidR="009D5B97" w:rsidRPr="009D5B97" w:rsidRDefault="009D5B97" w:rsidP="009D5B97">
      <w:pPr>
        <w:numPr>
          <w:ilvl w:val="0"/>
          <w:numId w:val="36"/>
        </w:numPr>
        <w:jc w:val="both"/>
        <w:rPr>
          <w:rFonts w:asciiTheme="minorHAnsi" w:hAnsiTheme="minorHAnsi" w:cs="Arial"/>
        </w:rPr>
      </w:pPr>
      <w:r w:rsidRPr="009D5B97">
        <w:rPr>
          <w:rFonts w:asciiTheme="minorHAnsi" w:hAnsiTheme="minorHAnsi" w:cs="Arial"/>
          <w:lang w:val="es-CR"/>
        </w:rPr>
        <w:t>(…) Como regla, los asuntos que se encuentran bajo discusión judicial (en el sub judice) deben discutirse en dicha sede. Lo que se encuentra en el sub judice, se discute en el sub judice.  La empresa a que se refiere el interesado tramita el proceso número 18-002965-1027-CA contra el BANHVI. Dicho proceso ya tiene señalada fecha para audiencia oral, en el transcurso del presente año.</w:t>
      </w:r>
    </w:p>
    <w:p w:rsidR="009D5B97" w:rsidRPr="009D5B97" w:rsidRDefault="009D5B97" w:rsidP="009D5B97">
      <w:pPr>
        <w:jc w:val="both"/>
        <w:rPr>
          <w:rFonts w:asciiTheme="minorHAnsi" w:hAnsiTheme="minorHAnsi" w:cs="Arial"/>
        </w:rPr>
      </w:pPr>
    </w:p>
    <w:p w:rsidR="009D5B97" w:rsidRPr="009D5B97" w:rsidRDefault="009D5B97" w:rsidP="009D5B97">
      <w:pPr>
        <w:numPr>
          <w:ilvl w:val="0"/>
          <w:numId w:val="36"/>
        </w:numPr>
        <w:jc w:val="both"/>
        <w:rPr>
          <w:rFonts w:asciiTheme="minorHAnsi" w:hAnsiTheme="minorHAnsi" w:cs="Arial"/>
        </w:rPr>
      </w:pPr>
      <w:r w:rsidRPr="009D5B97">
        <w:rPr>
          <w:rFonts w:asciiTheme="minorHAnsi" w:hAnsiTheme="minorHAnsi" w:cs="Arial"/>
          <w:lang w:val="es-CR"/>
        </w:rPr>
        <w:t>Las partes en un proceso judicial tienen potestades para resolver el litigio utilizando alguna de las figuras legales previstas en el Ordenamiento Jurídico. Sin embargo, en el presente caso no estamos ante contratos de obra pública como indica el interesado, sino ante contratos de financiamiento. Ya en sede judicial se han resuelto casos -iguales o parecidos- a favor del BANHVI. Además, el interesado indica su deseo de que se le cancelen las sumas reclamadas, “ni más ni menos” (sic), lo cual no es precisamente una propuesta de transacción. En todo caso, no es factible que este Banco apruebe “reajustes de precios” en contratos de financiamiento. Lo que proceden son financiamientos adicionales y el proyecto que desarrolló la empresa (Santa Martha III) ya recibió todos los financiamientos adicionales que procedían. Además, en su momento se resolvieron debida y formalmente los reclamos administrativos de los interesados.</w:t>
      </w:r>
    </w:p>
    <w:p w:rsidR="009D5B97" w:rsidRPr="009D5B97" w:rsidRDefault="009D5B97" w:rsidP="009D5B97">
      <w:pPr>
        <w:jc w:val="both"/>
        <w:rPr>
          <w:rFonts w:asciiTheme="minorHAnsi" w:hAnsiTheme="minorHAnsi" w:cs="Arial"/>
        </w:rPr>
      </w:pPr>
    </w:p>
    <w:p w:rsidR="009D5B97" w:rsidRPr="009D5B97" w:rsidRDefault="009D5B97" w:rsidP="009D5B97">
      <w:pPr>
        <w:jc w:val="both"/>
        <w:rPr>
          <w:rFonts w:asciiTheme="minorHAnsi" w:hAnsiTheme="minorHAnsi" w:cs="Arial"/>
        </w:rPr>
      </w:pPr>
      <w:r w:rsidRPr="009D5B97">
        <w:rPr>
          <w:rFonts w:asciiTheme="minorHAnsi" w:hAnsiTheme="minorHAnsi" w:cs="Arial"/>
        </w:rPr>
        <w:t>De acuerdo con lo anterior, recomendamos contestar a los interesados, que los asuntos que se encuentran en la esfera judicial deben discutirse en ese ámbito, por lo que el proceso judicial debe seguir su curso normal, siendo esa la vía que ellos escogieron para discutir estos asuntos…”</w:t>
      </w:r>
    </w:p>
    <w:p w:rsidR="009D5B97" w:rsidRDefault="009D5B97" w:rsidP="002B71CC">
      <w:pPr>
        <w:spacing w:line="360" w:lineRule="auto"/>
        <w:jc w:val="both"/>
        <w:rPr>
          <w:rFonts w:cs="Arial"/>
          <w:sz w:val="22"/>
          <w:szCs w:val="22"/>
        </w:rPr>
      </w:pPr>
    </w:p>
    <w:p w:rsidR="009D5B97" w:rsidRDefault="009D5B97" w:rsidP="009D5B97">
      <w:pPr>
        <w:spacing w:line="360" w:lineRule="auto"/>
        <w:jc w:val="both"/>
        <w:rPr>
          <w:rFonts w:cs="Arial"/>
          <w:sz w:val="22"/>
          <w:lang w:val="es-ES_tradnl"/>
        </w:rPr>
      </w:pPr>
      <w:r w:rsidRPr="009D5B97">
        <w:rPr>
          <w:rFonts w:cs="Arial"/>
          <w:b/>
          <w:sz w:val="22"/>
          <w:szCs w:val="22"/>
        </w:rPr>
        <w:t>Tercero:</w:t>
      </w:r>
      <w:r>
        <w:rPr>
          <w:rFonts w:cs="Arial"/>
          <w:sz w:val="22"/>
          <w:szCs w:val="22"/>
        </w:rPr>
        <w:t xml:space="preserve"> Que complementariamente, el Asesor Legal ha indicado en la presente sesión, en resumen, </w:t>
      </w:r>
      <w:r>
        <w:rPr>
          <w:rFonts w:cs="Arial"/>
          <w:sz w:val="22"/>
          <w:lang w:val="es-ES_tradnl"/>
        </w:rPr>
        <w:t>que en el tema de la información y la documentación aportada</w:t>
      </w:r>
      <w:r w:rsidR="00366CD4">
        <w:rPr>
          <w:rFonts w:cs="Arial"/>
          <w:sz w:val="22"/>
          <w:lang w:val="es-ES_tradnl"/>
        </w:rPr>
        <w:t xml:space="preserve"> (según se menciona en el oficio del Dr. Rojas Franco)</w:t>
      </w:r>
      <w:r>
        <w:rPr>
          <w:rFonts w:cs="Arial"/>
          <w:sz w:val="22"/>
          <w:lang w:val="es-ES_tradnl"/>
        </w:rPr>
        <w:t xml:space="preserve">, consiste en el acuerdo de la Junta Directiva que dio por agotada la vía administrativa y la documentación técnica que lo sustentó, y que básicamente </w:t>
      </w:r>
      <w:r w:rsidR="00366CD4">
        <w:rPr>
          <w:rFonts w:cs="Arial"/>
          <w:sz w:val="22"/>
          <w:lang w:val="es-ES_tradnl"/>
        </w:rPr>
        <w:t xml:space="preserve">consiste en los </w:t>
      </w:r>
      <w:r>
        <w:rPr>
          <w:rFonts w:cs="Arial"/>
          <w:sz w:val="22"/>
          <w:lang w:val="es-ES_tradnl"/>
        </w:rPr>
        <w:t>dictámenes e informes de la Dirección FOSUVI y del Departamento Técnico, además de los contratos que para efectos se generaron.  Agrega</w:t>
      </w:r>
      <w:r w:rsidR="00366CD4">
        <w:rPr>
          <w:rFonts w:cs="Arial"/>
          <w:sz w:val="22"/>
          <w:lang w:val="es-ES_tradnl"/>
        </w:rPr>
        <w:t xml:space="preserve"> también que </w:t>
      </w:r>
      <w:r>
        <w:rPr>
          <w:rFonts w:cs="Arial"/>
          <w:sz w:val="22"/>
          <w:lang w:val="es-ES_tradnl"/>
        </w:rPr>
        <w:t xml:space="preserve">lo que el Banco eventualmente aprueba son financiamientos, no reajustes de precios, y por consiguiente, los proyectos de vivienda se realizan por cuenta y riesgo del desarrollador, en el tanto el desarrollador no tiene que concursar y de ahí que el BANHVI solo aprueba el monto del financiamiento solicitado y ni siquiera está obligado a otorgar financiamiento adicional posteriormente.  En este sentido, aclara </w:t>
      </w:r>
      <w:r w:rsidR="00366CD4">
        <w:rPr>
          <w:rFonts w:cs="Arial"/>
          <w:sz w:val="22"/>
          <w:lang w:val="es-ES_tradnl"/>
        </w:rPr>
        <w:t xml:space="preserve">el licenciado Mora Villalobos </w:t>
      </w:r>
      <w:r>
        <w:rPr>
          <w:rFonts w:cs="Arial"/>
          <w:sz w:val="22"/>
          <w:lang w:val="es-ES_tradnl"/>
        </w:rPr>
        <w:t>que la figura del reajuste de precios se aplica básicamente en obra pública, donde se concursa para hacerle, por ejemplo, una obra al Estado o a un ente público.</w:t>
      </w:r>
    </w:p>
    <w:p w:rsidR="008C7477" w:rsidRDefault="008C7477" w:rsidP="009D5B97">
      <w:pPr>
        <w:spacing w:line="360" w:lineRule="auto"/>
        <w:jc w:val="both"/>
        <w:rPr>
          <w:rFonts w:cs="Arial"/>
          <w:sz w:val="22"/>
          <w:lang w:val="es-ES_tradnl"/>
        </w:rPr>
      </w:pPr>
    </w:p>
    <w:p w:rsidR="009D5B97" w:rsidRDefault="009D5B97" w:rsidP="009D5B97">
      <w:pPr>
        <w:spacing w:line="360" w:lineRule="auto"/>
        <w:jc w:val="both"/>
        <w:rPr>
          <w:rFonts w:cs="Arial"/>
          <w:sz w:val="22"/>
          <w:szCs w:val="22"/>
          <w:lang w:val="es-CR"/>
        </w:rPr>
      </w:pPr>
      <w:r>
        <w:rPr>
          <w:rFonts w:cs="Arial"/>
          <w:sz w:val="22"/>
          <w:lang w:val="es-ES_tradnl"/>
        </w:rPr>
        <w:t xml:space="preserve">Por otra parte, </w:t>
      </w:r>
      <w:r w:rsidR="00366CD4">
        <w:rPr>
          <w:rFonts w:cs="Arial"/>
          <w:sz w:val="22"/>
          <w:lang w:val="es-ES_tradnl"/>
        </w:rPr>
        <w:t xml:space="preserve">el licenciado Mora Villalobos ha aclarado </w:t>
      </w:r>
      <w:r>
        <w:rPr>
          <w:rFonts w:cs="Arial"/>
          <w:sz w:val="22"/>
          <w:lang w:val="es-ES_tradnl"/>
        </w:rPr>
        <w:t xml:space="preserve">que el tema del financiamiento adicional está reglamentado en el BANHVI, con base en jurisprudencia de la </w:t>
      </w:r>
      <w:r w:rsidRPr="00DE7AC3">
        <w:rPr>
          <w:rFonts w:cs="Arial"/>
          <w:sz w:val="22"/>
          <w:szCs w:val="22"/>
          <w:lang w:val="es-CR"/>
        </w:rPr>
        <w:t>Contraloría General de la República</w:t>
      </w:r>
      <w:r>
        <w:rPr>
          <w:rFonts w:cs="Arial"/>
          <w:sz w:val="22"/>
          <w:szCs w:val="22"/>
          <w:lang w:val="es-CR"/>
        </w:rPr>
        <w:t xml:space="preserve"> y, a su vez</w:t>
      </w:r>
      <w:r w:rsidR="00366CD4">
        <w:rPr>
          <w:rFonts w:cs="Arial"/>
          <w:sz w:val="22"/>
          <w:szCs w:val="22"/>
          <w:lang w:val="es-CR"/>
        </w:rPr>
        <w:t xml:space="preserve"> indica</w:t>
      </w:r>
      <w:r>
        <w:rPr>
          <w:rFonts w:cs="Arial"/>
          <w:sz w:val="22"/>
          <w:szCs w:val="22"/>
          <w:lang w:val="es-CR"/>
        </w:rPr>
        <w:t xml:space="preserve">, </w:t>
      </w:r>
      <w:r w:rsidR="00366CD4">
        <w:rPr>
          <w:rFonts w:cs="Arial"/>
          <w:sz w:val="22"/>
          <w:szCs w:val="22"/>
          <w:lang w:val="es-CR"/>
        </w:rPr>
        <w:t xml:space="preserve">que aunque ciertamente </w:t>
      </w:r>
      <w:r>
        <w:rPr>
          <w:rFonts w:cs="Arial"/>
          <w:sz w:val="22"/>
          <w:szCs w:val="22"/>
          <w:lang w:val="es-CR"/>
        </w:rPr>
        <w:t>se han tenido reclamos de este tipo al nivel judicial,</w:t>
      </w:r>
      <w:r w:rsidR="00366CD4">
        <w:rPr>
          <w:rFonts w:cs="Arial"/>
          <w:sz w:val="22"/>
          <w:szCs w:val="22"/>
          <w:lang w:val="es-CR"/>
        </w:rPr>
        <w:t xml:space="preserve"> éstos </w:t>
      </w:r>
      <w:r>
        <w:rPr>
          <w:rFonts w:cs="Arial"/>
          <w:sz w:val="22"/>
          <w:szCs w:val="22"/>
          <w:lang w:val="es-CR"/>
        </w:rPr>
        <w:t>se han fallado a favor del BANHVI.</w:t>
      </w:r>
    </w:p>
    <w:p w:rsidR="009D5B97" w:rsidRDefault="009D5B97" w:rsidP="002B71CC">
      <w:pPr>
        <w:spacing w:line="360" w:lineRule="auto"/>
        <w:jc w:val="both"/>
        <w:rPr>
          <w:rFonts w:cs="Arial"/>
          <w:sz w:val="22"/>
          <w:szCs w:val="22"/>
        </w:rPr>
      </w:pPr>
    </w:p>
    <w:p w:rsidR="009D5B97" w:rsidRDefault="00366CD4" w:rsidP="002B71CC">
      <w:pPr>
        <w:spacing w:line="360" w:lineRule="auto"/>
        <w:jc w:val="both"/>
        <w:rPr>
          <w:rFonts w:cs="Arial"/>
          <w:sz w:val="22"/>
          <w:szCs w:val="22"/>
        </w:rPr>
      </w:pPr>
      <w:r w:rsidRPr="00366CD4">
        <w:rPr>
          <w:rFonts w:cs="Arial"/>
          <w:b/>
          <w:sz w:val="22"/>
          <w:szCs w:val="22"/>
        </w:rPr>
        <w:t>Cuarto:</w:t>
      </w:r>
      <w:r>
        <w:rPr>
          <w:rFonts w:cs="Arial"/>
          <w:sz w:val="22"/>
          <w:szCs w:val="22"/>
        </w:rPr>
        <w:t xml:space="preserve"> Que con base en los anteriores razonamientos, esta Junta Directiva estima pertinente actuar de la forma que recomienda la </w:t>
      </w:r>
      <w:r w:rsidRPr="00366CD4">
        <w:rPr>
          <w:rFonts w:cs="Arial"/>
          <w:sz w:val="22"/>
          <w:szCs w:val="22"/>
        </w:rPr>
        <w:t>Administración</w:t>
      </w:r>
      <w:r>
        <w:rPr>
          <w:rFonts w:cs="Arial"/>
          <w:sz w:val="22"/>
          <w:szCs w:val="22"/>
        </w:rPr>
        <w:t>.</w:t>
      </w:r>
    </w:p>
    <w:p w:rsidR="009D5B97" w:rsidRDefault="009D5B97" w:rsidP="002B71CC">
      <w:pPr>
        <w:spacing w:line="360" w:lineRule="auto"/>
        <w:jc w:val="both"/>
        <w:rPr>
          <w:rFonts w:cs="Arial"/>
          <w:sz w:val="22"/>
          <w:szCs w:val="22"/>
        </w:rPr>
      </w:pPr>
    </w:p>
    <w:p w:rsidR="009D5B97" w:rsidRPr="00366CD4" w:rsidRDefault="00366CD4" w:rsidP="002B71CC">
      <w:pPr>
        <w:spacing w:line="360" w:lineRule="auto"/>
        <w:jc w:val="both"/>
        <w:rPr>
          <w:rFonts w:cs="Arial"/>
          <w:b/>
          <w:sz w:val="22"/>
          <w:szCs w:val="22"/>
        </w:rPr>
      </w:pPr>
      <w:r w:rsidRPr="00366CD4">
        <w:rPr>
          <w:rFonts w:cs="Arial"/>
          <w:b/>
          <w:sz w:val="22"/>
          <w:szCs w:val="22"/>
        </w:rPr>
        <w:t>Por tanto, se acuerda:</w:t>
      </w:r>
    </w:p>
    <w:p w:rsidR="002B71CC" w:rsidRDefault="00366CD4" w:rsidP="002B71CC">
      <w:pPr>
        <w:spacing w:line="360" w:lineRule="auto"/>
        <w:jc w:val="both"/>
        <w:rPr>
          <w:rFonts w:cs="Arial"/>
          <w:sz w:val="22"/>
          <w:szCs w:val="22"/>
        </w:rPr>
      </w:pPr>
      <w:r>
        <w:rPr>
          <w:rFonts w:cs="Arial"/>
          <w:sz w:val="22"/>
          <w:szCs w:val="22"/>
        </w:rPr>
        <w:t>Comunicar al Dr. Enrique Rojas Franco, en respuesta a su nota de fecha 11 de marzo de 2019, que</w:t>
      </w:r>
      <w:r w:rsidR="00D461D1">
        <w:rPr>
          <w:rFonts w:cs="Arial"/>
          <w:sz w:val="22"/>
          <w:szCs w:val="22"/>
        </w:rPr>
        <w:t xml:space="preserve"> los asuntos que se encuentran en la esfera judicial deben discutirse en ese ámbito, por lo que el proceso judicial debe seguir su curso normal, siendo esa la vía que ellos escogieron para discutir estos asuntos.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Pr="00B56E45" w:rsidRDefault="0036340B" w:rsidP="002B71CC">
      <w:pPr>
        <w:spacing w:line="360" w:lineRule="auto"/>
        <w:jc w:val="both"/>
        <w:rPr>
          <w:rFonts w:cs="Arial"/>
          <w:b/>
          <w:sz w:val="22"/>
          <w:szCs w:val="22"/>
        </w:rPr>
      </w:pPr>
      <w:r w:rsidRPr="00B56E45">
        <w:rPr>
          <w:rFonts w:cs="Arial"/>
          <w:b/>
          <w:sz w:val="22"/>
          <w:szCs w:val="22"/>
        </w:rPr>
        <w:t>Considerando:</w:t>
      </w:r>
    </w:p>
    <w:p w:rsidR="0036340B" w:rsidRDefault="0036340B" w:rsidP="002B71CC">
      <w:pPr>
        <w:spacing w:line="360" w:lineRule="auto"/>
        <w:jc w:val="both"/>
        <w:rPr>
          <w:rFonts w:cs="Arial"/>
          <w:sz w:val="22"/>
          <w:szCs w:val="22"/>
        </w:rPr>
      </w:pPr>
      <w:r w:rsidRPr="00B56E45">
        <w:rPr>
          <w:rFonts w:cs="Arial"/>
          <w:b/>
          <w:sz w:val="22"/>
          <w:szCs w:val="22"/>
        </w:rPr>
        <w:t>Primero:</w:t>
      </w:r>
      <w:r>
        <w:rPr>
          <w:rFonts w:cs="Arial"/>
          <w:sz w:val="22"/>
          <w:szCs w:val="22"/>
        </w:rPr>
        <w:t xml:space="preserve"> Que por medio del oficio GG-ME-0514-2019 del 15 de mayo de 2019, la </w:t>
      </w:r>
      <w:r w:rsidRPr="0036340B">
        <w:rPr>
          <w:rFonts w:cs="Arial"/>
          <w:sz w:val="22"/>
          <w:szCs w:val="22"/>
        </w:rPr>
        <w:t>Gerencia General</w:t>
      </w:r>
      <w:r>
        <w:rPr>
          <w:rFonts w:cs="Arial"/>
          <w:sz w:val="22"/>
          <w:szCs w:val="22"/>
        </w:rPr>
        <w:t xml:space="preserve"> </w:t>
      </w:r>
      <w:r w:rsidR="00B56E45">
        <w:rPr>
          <w:rFonts w:cs="Arial"/>
          <w:sz w:val="22"/>
          <w:szCs w:val="22"/>
        </w:rPr>
        <w:t xml:space="preserve">solicita reconsiderar el acuerdo N° 1 de la sesión 21-2019 del 18 de febrero de 2019, referido a la aprobación del </w:t>
      </w:r>
      <w:r w:rsidR="007B7C3D">
        <w:rPr>
          <w:rFonts w:cs="Arial"/>
          <w:sz w:val="22"/>
          <w:szCs w:val="22"/>
          <w:lang w:val="es-CR"/>
        </w:rPr>
        <w:t>procedimiento para l</w:t>
      </w:r>
      <w:r w:rsidR="007B7C3D" w:rsidRPr="001871BB">
        <w:rPr>
          <w:rFonts w:cs="Arial"/>
          <w:sz w:val="22"/>
          <w:szCs w:val="22"/>
          <w:lang w:val="es-CR"/>
        </w:rPr>
        <w:t>a consulta p</w:t>
      </w:r>
      <w:r w:rsidR="007B7C3D">
        <w:rPr>
          <w:rFonts w:cs="Arial"/>
          <w:sz w:val="22"/>
          <w:szCs w:val="22"/>
          <w:lang w:val="es-CR"/>
        </w:rPr>
        <w:t>ú</w:t>
      </w:r>
      <w:r w:rsidR="007B7C3D" w:rsidRPr="001871BB">
        <w:rPr>
          <w:rFonts w:cs="Arial"/>
          <w:sz w:val="22"/>
          <w:szCs w:val="22"/>
          <w:lang w:val="es-CR"/>
        </w:rPr>
        <w:t xml:space="preserve">blica de </w:t>
      </w:r>
      <w:r w:rsidR="007B7C3D">
        <w:rPr>
          <w:rFonts w:cs="Arial"/>
          <w:sz w:val="22"/>
          <w:szCs w:val="22"/>
          <w:lang w:val="es-CR"/>
        </w:rPr>
        <w:t>l</w:t>
      </w:r>
      <w:r w:rsidR="007B7C3D" w:rsidRPr="001871BB">
        <w:rPr>
          <w:rFonts w:cs="Arial"/>
          <w:sz w:val="22"/>
          <w:szCs w:val="22"/>
          <w:lang w:val="es-CR"/>
        </w:rPr>
        <w:t xml:space="preserve">a directriz “Requisitos para </w:t>
      </w:r>
      <w:r w:rsidR="007B7C3D">
        <w:rPr>
          <w:rFonts w:cs="Arial"/>
          <w:sz w:val="22"/>
          <w:szCs w:val="22"/>
          <w:lang w:val="es-CR"/>
        </w:rPr>
        <w:t>l</w:t>
      </w:r>
      <w:r w:rsidR="007B7C3D" w:rsidRPr="001871BB">
        <w:rPr>
          <w:rFonts w:cs="Arial"/>
          <w:sz w:val="22"/>
          <w:szCs w:val="22"/>
          <w:lang w:val="es-CR"/>
        </w:rPr>
        <w:t>a</w:t>
      </w:r>
      <w:r w:rsidR="007B7C3D">
        <w:rPr>
          <w:rFonts w:cs="Arial"/>
          <w:sz w:val="22"/>
          <w:szCs w:val="22"/>
          <w:lang w:val="es-CR"/>
        </w:rPr>
        <w:t xml:space="preserve"> </w:t>
      </w:r>
      <w:r w:rsidR="007B7C3D" w:rsidRPr="001871BB">
        <w:rPr>
          <w:rFonts w:cs="Arial"/>
          <w:sz w:val="22"/>
          <w:szCs w:val="22"/>
          <w:lang w:val="es-CR"/>
        </w:rPr>
        <w:t>postulaci</w:t>
      </w:r>
      <w:r w:rsidR="007B7C3D">
        <w:rPr>
          <w:rFonts w:cs="Arial"/>
          <w:sz w:val="22"/>
          <w:szCs w:val="22"/>
          <w:lang w:val="es-CR"/>
        </w:rPr>
        <w:t>ón</w:t>
      </w:r>
      <w:r w:rsidR="007B7C3D" w:rsidRPr="001871BB">
        <w:rPr>
          <w:rFonts w:cs="Arial"/>
          <w:sz w:val="22"/>
          <w:szCs w:val="22"/>
          <w:lang w:val="es-CR"/>
        </w:rPr>
        <w:t xml:space="preserve"> del Bono Familiar de V</w:t>
      </w:r>
      <w:r w:rsidR="007B7C3D">
        <w:rPr>
          <w:rFonts w:cs="Arial"/>
          <w:sz w:val="22"/>
          <w:szCs w:val="22"/>
          <w:lang w:val="es-CR"/>
        </w:rPr>
        <w:t>ivienda dentro del Programa Indí</w:t>
      </w:r>
      <w:r w:rsidR="007B7C3D" w:rsidRPr="001871BB">
        <w:rPr>
          <w:rFonts w:cs="Arial"/>
          <w:sz w:val="22"/>
          <w:szCs w:val="22"/>
          <w:lang w:val="es-CR"/>
        </w:rPr>
        <w:t xml:space="preserve">gena </w:t>
      </w:r>
      <w:r w:rsidR="007B7C3D">
        <w:rPr>
          <w:rFonts w:cs="Arial"/>
          <w:sz w:val="22"/>
          <w:szCs w:val="22"/>
          <w:lang w:val="es-CR"/>
        </w:rPr>
        <w:t xml:space="preserve">– </w:t>
      </w:r>
      <w:r w:rsidR="007B7C3D" w:rsidRPr="001871BB">
        <w:rPr>
          <w:rFonts w:cs="Arial"/>
          <w:sz w:val="22"/>
          <w:szCs w:val="22"/>
          <w:lang w:val="es-CR"/>
        </w:rPr>
        <w:t>Casos</w:t>
      </w:r>
      <w:r w:rsidR="007B7C3D">
        <w:rPr>
          <w:rFonts w:cs="Arial"/>
          <w:sz w:val="22"/>
          <w:szCs w:val="22"/>
          <w:lang w:val="es-CR"/>
        </w:rPr>
        <w:t xml:space="preserve"> </w:t>
      </w:r>
      <w:r w:rsidR="007B7C3D" w:rsidRPr="001871BB">
        <w:rPr>
          <w:rFonts w:cs="Arial"/>
          <w:sz w:val="22"/>
          <w:szCs w:val="22"/>
          <w:lang w:val="es-CR"/>
        </w:rPr>
        <w:t>individuales y Proyectos Colectivos”.</w:t>
      </w:r>
    </w:p>
    <w:p w:rsidR="002B71CC" w:rsidRDefault="002B71CC" w:rsidP="002B71CC">
      <w:pPr>
        <w:spacing w:line="360" w:lineRule="auto"/>
        <w:jc w:val="both"/>
        <w:rPr>
          <w:rFonts w:cs="Arial"/>
          <w:sz w:val="22"/>
          <w:szCs w:val="22"/>
        </w:rPr>
      </w:pPr>
    </w:p>
    <w:p w:rsidR="007B7C3D" w:rsidRDefault="007B7C3D" w:rsidP="001871BB">
      <w:pPr>
        <w:spacing w:line="360" w:lineRule="auto"/>
        <w:jc w:val="both"/>
        <w:rPr>
          <w:rFonts w:cs="Arial"/>
          <w:sz w:val="22"/>
          <w:szCs w:val="22"/>
          <w:lang w:val="es-CR"/>
        </w:rPr>
      </w:pPr>
      <w:r w:rsidRPr="00731599">
        <w:rPr>
          <w:rFonts w:cs="Arial"/>
          <w:b/>
          <w:sz w:val="22"/>
          <w:szCs w:val="22"/>
          <w:lang w:val="es-CR"/>
        </w:rPr>
        <w:t>Segundo:</w:t>
      </w:r>
      <w:r>
        <w:rPr>
          <w:rFonts w:cs="Arial"/>
          <w:sz w:val="22"/>
          <w:szCs w:val="22"/>
          <w:lang w:val="es-CR"/>
        </w:rPr>
        <w:t xml:space="preserve"> Que para fundamentar dicha </w:t>
      </w:r>
      <w:r w:rsidR="00731599">
        <w:rPr>
          <w:rFonts w:cs="Arial"/>
          <w:sz w:val="22"/>
          <w:szCs w:val="22"/>
          <w:lang w:val="es-CR"/>
        </w:rPr>
        <w:t>solicitud</w:t>
      </w:r>
      <w:r>
        <w:rPr>
          <w:rFonts w:cs="Arial"/>
          <w:sz w:val="22"/>
          <w:szCs w:val="22"/>
          <w:lang w:val="es-CR"/>
        </w:rPr>
        <w:t xml:space="preserve">, la </w:t>
      </w:r>
      <w:r w:rsidRPr="007B7C3D">
        <w:rPr>
          <w:rFonts w:cs="Arial"/>
          <w:sz w:val="22"/>
          <w:szCs w:val="22"/>
          <w:lang w:val="es-CR"/>
        </w:rPr>
        <w:t>Gerencia General</w:t>
      </w:r>
      <w:r>
        <w:rPr>
          <w:rFonts w:cs="Arial"/>
          <w:sz w:val="22"/>
          <w:szCs w:val="22"/>
          <w:lang w:val="es-CR"/>
        </w:rPr>
        <w:t xml:space="preserve"> indica</w:t>
      </w:r>
      <w:r w:rsidR="00731599">
        <w:rPr>
          <w:rFonts w:cs="Arial"/>
          <w:sz w:val="22"/>
          <w:szCs w:val="22"/>
          <w:lang w:val="es-CR"/>
        </w:rPr>
        <w:t xml:space="preserve"> en dicho documento</w:t>
      </w:r>
      <w:r>
        <w:rPr>
          <w:rFonts w:cs="Arial"/>
          <w:sz w:val="22"/>
          <w:szCs w:val="22"/>
          <w:lang w:val="es-CR"/>
        </w:rPr>
        <w:t>, en lo conducente, lo siguiente:</w:t>
      </w:r>
    </w:p>
    <w:p w:rsidR="007B7C3D" w:rsidRDefault="007B7C3D" w:rsidP="00057B1E">
      <w:pPr>
        <w:ind w:left="142" w:right="193"/>
        <w:jc w:val="both"/>
        <w:rPr>
          <w:rFonts w:cs="Arial"/>
          <w:sz w:val="22"/>
          <w:szCs w:val="22"/>
          <w:lang w:val="es-CR"/>
        </w:rPr>
      </w:pPr>
    </w:p>
    <w:p w:rsidR="007B7C3D" w:rsidRPr="00551915" w:rsidRDefault="007B7C3D" w:rsidP="00057B1E">
      <w:pPr>
        <w:ind w:left="142" w:right="193"/>
        <w:jc w:val="both"/>
        <w:rPr>
          <w:rFonts w:asciiTheme="minorHAnsi" w:hAnsiTheme="minorHAnsi" w:cs="Arial"/>
          <w:lang w:val="es-CR"/>
        </w:rPr>
      </w:pPr>
      <w:r w:rsidRPr="00551915">
        <w:rPr>
          <w:rFonts w:asciiTheme="minorHAnsi" w:hAnsiTheme="minorHAnsi" w:cs="Arial"/>
          <w:lang w:val="es-CR"/>
        </w:rPr>
        <w:t>«…a raíz de la emisión de la resolución inicial de la mencionada audiencia, GG-RE-0329-2019 del pasado 2 de abril, se han recibido –entre otros– dos oficios con observaciones que este Despacho considera importante someter al conocimiento de ese Órgano Colegiado, en relación con la idoneidad del mecanismo que se ha implementado para realizar la consulta, a saber:</w:t>
      </w:r>
    </w:p>
    <w:p w:rsidR="007B7C3D" w:rsidRPr="00551915" w:rsidRDefault="0095472E" w:rsidP="00057B1E">
      <w:pPr>
        <w:ind w:left="142" w:right="193"/>
        <w:jc w:val="both"/>
        <w:rPr>
          <w:rFonts w:asciiTheme="minorHAnsi" w:hAnsiTheme="minorHAnsi" w:cs="Arial"/>
          <w:lang w:val="es-CR"/>
        </w:rPr>
      </w:pPr>
      <w:r w:rsidRPr="00551915">
        <w:rPr>
          <w:rFonts w:asciiTheme="minorHAnsi" w:hAnsiTheme="minorHAnsi" w:cs="Arial"/>
          <w:lang w:val="es-CR"/>
        </w:rPr>
        <w:t xml:space="preserve">• </w:t>
      </w:r>
      <w:r w:rsidR="007B7C3D" w:rsidRPr="00551915">
        <w:rPr>
          <w:rFonts w:asciiTheme="minorHAnsi" w:hAnsiTheme="minorHAnsi" w:cs="Arial"/>
          <w:lang w:val="es-CR"/>
        </w:rPr>
        <w:t>Oficio DH-PE-0341-2019 de la Defensoría de los Habitantes, en el que indica — en resumen — que esta audiencia no garantiza el derecho a consulta previa de los pueblos indígenas, que el mecanismo de consulta no fue consultado previamente y que el procedimiento establecido contiene aspectos contrarios a los principios sustantivos del derecho a la consulta de los pueblos indígenas y estándares reconocidos internacionalmente.</w:t>
      </w:r>
    </w:p>
    <w:p w:rsidR="0095472E" w:rsidRPr="00551915" w:rsidRDefault="0095472E" w:rsidP="0095472E">
      <w:pPr>
        <w:ind w:left="142" w:right="193"/>
        <w:jc w:val="both"/>
        <w:rPr>
          <w:rFonts w:asciiTheme="minorHAnsi" w:hAnsiTheme="minorHAnsi" w:cs="Arial"/>
          <w:lang w:val="es-CR"/>
        </w:rPr>
      </w:pPr>
      <w:r w:rsidRPr="00551915">
        <w:rPr>
          <w:rFonts w:asciiTheme="minorHAnsi" w:hAnsiTheme="minorHAnsi" w:cs="Arial"/>
          <w:lang w:val="es-CR"/>
        </w:rPr>
        <w:t xml:space="preserve">• </w:t>
      </w:r>
      <w:r w:rsidR="007B7C3D" w:rsidRPr="00551915">
        <w:rPr>
          <w:rFonts w:asciiTheme="minorHAnsi" w:hAnsiTheme="minorHAnsi" w:cs="Arial"/>
          <w:lang w:val="es-CR"/>
        </w:rPr>
        <w:t xml:space="preserve">Oficio DNRAC 037-2019 de la Dirección Nacional de Resolución Alterna de Conflictos </w:t>
      </w:r>
      <w:r w:rsidRPr="00551915">
        <w:rPr>
          <w:rFonts w:asciiTheme="minorHAnsi" w:hAnsiTheme="minorHAnsi" w:cs="Arial"/>
          <w:lang w:val="es-CR"/>
        </w:rPr>
        <w:t xml:space="preserve">• </w:t>
      </w:r>
      <w:r w:rsidR="007B7C3D" w:rsidRPr="00551915">
        <w:rPr>
          <w:rFonts w:asciiTheme="minorHAnsi" w:hAnsiTheme="minorHAnsi" w:cs="Arial"/>
          <w:lang w:val="es-CR"/>
        </w:rPr>
        <w:t>del Ministerio de Justicia y Paz, en el que indica — en resumen — que no se observa la consulta previa del mecanismo de consulta, que no se identifica el seguimiento de las pautas requeridas por el decreto ejecutivo 40932-MP-MJP denominado “Mecanismo General de Consulta a Pueblos Indígenas”; por lo que sugieren realizar el proceso de consulta a través de la Unidad Técnica de Consulta Indígena de esa dependencia y las Instancias Territoriales de Consulta Indígena constituidas al efecto.</w:t>
      </w:r>
    </w:p>
    <w:p w:rsidR="007B7C3D" w:rsidRPr="00551915" w:rsidRDefault="007B7C3D" w:rsidP="00057B1E">
      <w:pPr>
        <w:ind w:left="142" w:right="193"/>
        <w:jc w:val="both"/>
        <w:rPr>
          <w:rFonts w:asciiTheme="minorHAnsi" w:hAnsiTheme="minorHAnsi" w:cs="Arial"/>
          <w:lang w:val="es-CR"/>
        </w:rPr>
      </w:pPr>
    </w:p>
    <w:p w:rsidR="007B7C3D" w:rsidRPr="00551915" w:rsidRDefault="007B7C3D" w:rsidP="00057B1E">
      <w:pPr>
        <w:ind w:left="142" w:right="193"/>
        <w:jc w:val="both"/>
        <w:rPr>
          <w:rFonts w:asciiTheme="minorHAnsi" w:hAnsiTheme="minorHAnsi" w:cs="Arial"/>
          <w:lang w:val="es-CR"/>
        </w:rPr>
      </w:pPr>
      <w:r w:rsidRPr="00551915">
        <w:rPr>
          <w:rFonts w:asciiTheme="minorHAnsi" w:hAnsiTheme="minorHAnsi" w:cs="Arial"/>
          <w:lang w:val="es-CR"/>
        </w:rPr>
        <w:t>Cabe señalar que, el procedimiento de consulta en proceso de implementación, fue aprobado por esa Junta Directiva con base en la propuesta de la administración y, principalmente, tomando en cuenta lo indicado en el oficio GG-OF-0046-2019 del pasado 23 de enero de 2019 del señor Luis Angel Montoya Mora, en ese momento Gerente General, en cuanto a que el mecanismo aprobado por el Poder Ejecutivo establecido en el</w:t>
      </w:r>
      <w:r w:rsidR="00F01BFD" w:rsidRPr="00551915">
        <w:rPr>
          <w:rFonts w:asciiTheme="minorHAnsi" w:hAnsiTheme="minorHAnsi" w:cs="Arial"/>
          <w:lang w:val="es-CR"/>
        </w:rPr>
        <w:t xml:space="preserve"> </w:t>
      </w:r>
      <w:r w:rsidRPr="00551915">
        <w:rPr>
          <w:rFonts w:asciiTheme="minorHAnsi" w:hAnsiTheme="minorHAnsi" w:cs="Arial"/>
          <w:lang w:val="es-CR"/>
        </w:rPr>
        <w:t xml:space="preserve">decreto </w:t>
      </w:r>
      <w:r w:rsidR="0097417E">
        <w:rPr>
          <w:rFonts w:asciiTheme="minorHAnsi" w:hAnsiTheme="minorHAnsi" w:cs="Arial"/>
          <w:lang w:val="es-CR"/>
        </w:rPr>
        <w:t>“...</w:t>
      </w:r>
      <w:r w:rsidRPr="00551915">
        <w:rPr>
          <w:rFonts w:asciiTheme="minorHAnsi" w:hAnsiTheme="minorHAnsi" w:cs="Arial"/>
          <w:lang w:val="es-CR"/>
        </w:rPr>
        <w:t xml:space="preserve">no es posible aplicarlo y lo que corresponde es consensuar un procedimiento de consulta, lo cual fue lo que realizó la Administración” debido a que el territorio </w:t>
      </w:r>
      <w:proofErr w:type="spellStart"/>
      <w:r w:rsidRPr="00551915">
        <w:rPr>
          <w:rFonts w:asciiTheme="minorHAnsi" w:hAnsiTheme="minorHAnsi" w:cs="Arial"/>
          <w:lang w:val="es-CR"/>
        </w:rPr>
        <w:t>Cabécar</w:t>
      </w:r>
      <w:proofErr w:type="spellEnd"/>
      <w:r w:rsidRPr="00551915">
        <w:rPr>
          <w:rFonts w:asciiTheme="minorHAnsi" w:hAnsiTheme="minorHAnsi" w:cs="Arial"/>
          <w:lang w:val="es-CR"/>
        </w:rPr>
        <w:t xml:space="preserve"> no lo aceptó, según la información obtenida en reunión sostenida con el señor </w:t>
      </w:r>
      <w:proofErr w:type="spellStart"/>
      <w:r w:rsidRPr="00551915">
        <w:rPr>
          <w:rFonts w:asciiTheme="minorHAnsi" w:hAnsiTheme="minorHAnsi" w:cs="Arial"/>
          <w:lang w:val="es-CR"/>
        </w:rPr>
        <w:t>Geyner</w:t>
      </w:r>
      <w:proofErr w:type="spellEnd"/>
      <w:r w:rsidRPr="00551915">
        <w:rPr>
          <w:rFonts w:asciiTheme="minorHAnsi" w:hAnsiTheme="minorHAnsi" w:cs="Arial"/>
          <w:lang w:val="es-CR"/>
        </w:rPr>
        <w:t xml:space="preserve"> Blanco, asesor de Casa Presidencial en materia de temas de indígenas.</w:t>
      </w:r>
    </w:p>
    <w:p w:rsidR="007B7C3D" w:rsidRPr="00551915" w:rsidRDefault="007B7C3D" w:rsidP="00057B1E">
      <w:pPr>
        <w:ind w:left="142" w:right="193"/>
        <w:jc w:val="both"/>
        <w:rPr>
          <w:rFonts w:asciiTheme="minorHAnsi" w:hAnsiTheme="minorHAnsi" w:cs="Arial"/>
          <w:lang w:val="es-CR"/>
        </w:rPr>
      </w:pPr>
    </w:p>
    <w:p w:rsidR="007B7C3D" w:rsidRPr="00551915" w:rsidRDefault="007B7C3D" w:rsidP="00057B1E">
      <w:pPr>
        <w:ind w:left="142" w:right="193"/>
        <w:jc w:val="both"/>
        <w:rPr>
          <w:rFonts w:asciiTheme="minorHAnsi" w:hAnsiTheme="minorHAnsi" w:cs="Arial"/>
          <w:lang w:val="es-CR"/>
        </w:rPr>
      </w:pPr>
      <w:r w:rsidRPr="00551915">
        <w:rPr>
          <w:rFonts w:asciiTheme="minorHAnsi" w:hAnsiTheme="minorHAnsi" w:cs="Arial"/>
          <w:lang w:val="es-CR"/>
        </w:rPr>
        <w:t>No obstante lo anterior</w:t>
      </w:r>
      <w:r w:rsidR="0097417E">
        <w:rPr>
          <w:rFonts w:asciiTheme="minorHAnsi" w:hAnsiTheme="minorHAnsi" w:cs="Arial"/>
          <w:lang w:val="es-CR"/>
        </w:rPr>
        <w:t>…</w:t>
      </w:r>
      <w:r w:rsidRPr="00551915">
        <w:rPr>
          <w:rFonts w:asciiTheme="minorHAnsi" w:hAnsiTheme="minorHAnsi" w:cs="Arial"/>
          <w:lang w:val="es-CR"/>
        </w:rPr>
        <w:t xml:space="preserve"> se solicita respetuosamente a ese Órgano Colegiado revalorar la disposición contenida en el punto A) del Acuerdo No. 1 de la sesión 21-2019 del pasado 18 de febrero, relativa a la aprobación del procedimiento para la realización de la consulta pública de marras, y se sugiere que sea realizada conforme el decreto ejecutivo 40932-MP-MJP “Mecanismo General de Consulta a Pueblos Indígenas”. Esto siempre en el entendido de que estamos ante una revaloración más que nada de conveniencia y de oportunidad, así como de buenas relaciones entre las instituciones públicas.»</w:t>
      </w:r>
    </w:p>
    <w:p w:rsidR="007B7C3D" w:rsidRDefault="007B7C3D" w:rsidP="001871BB">
      <w:pPr>
        <w:spacing w:line="360" w:lineRule="auto"/>
        <w:jc w:val="both"/>
        <w:rPr>
          <w:rFonts w:cs="Arial"/>
          <w:sz w:val="22"/>
          <w:szCs w:val="22"/>
          <w:lang w:val="es-CR"/>
        </w:rPr>
      </w:pPr>
    </w:p>
    <w:p w:rsidR="007B7C3D" w:rsidRDefault="00731599" w:rsidP="001871BB">
      <w:pPr>
        <w:spacing w:line="360" w:lineRule="auto"/>
        <w:jc w:val="both"/>
        <w:rPr>
          <w:rFonts w:cs="Arial"/>
          <w:sz w:val="22"/>
          <w:szCs w:val="22"/>
          <w:lang w:val="es-CR"/>
        </w:rPr>
      </w:pPr>
      <w:r w:rsidRPr="00731599">
        <w:rPr>
          <w:rFonts w:cs="Arial"/>
          <w:b/>
          <w:sz w:val="22"/>
          <w:szCs w:val="22"/>
          <w:lang w:val="es-CR"/>
        </w:rPr>
        <w:t>Tercero:</w:t>
      </w:r>
      <w:r>
        <w:rPr>
          <w:rFonts w:cs="Arial"/>
          <w:sz w:val="22"/>
          <w:szCs w:val="22"/>
          <w:lang w:val="es-CR"/>
        </w:rPr>
        <w:t xml:space="preserve"> Que esta Junta Directiva concuerda con la </w:t>
      </w:r>
      <w:r w:rsidRPr="00731599">
        <w:rPr>
          <w:rFonts w:cs="Arial"/>
          <w:sz w:val="22"/>
          <w:szCs w:val="22"/>
          <w:lang w:val="es-CR"/>
        </w:rPr>
        <w:t>Gerencia General</w:t>
      </w:r>
      <w:r>
        <w:rPr>
          <w:rFonts w:cs="Arial"/>
          <w:sz w:val="22"/>
          <w:szCs w:val="22"/>
          <w:lang w:val="es-CR"/>
        </w:rPr>
        <w:t xml:space="preserve">, en cuanto a que por razones de oportunidad y conveniencia, </w:t>
      </w:r>
      <w:r w:rsidRPr="001871BB">
        <w:rPr>
          <w:rFonts w:cs="Arial"/>
          <w:sz w:val="22"/>
          <w:szCs w:val="22"/>
          <w:lang w:val="es-CR"/>
        </w:rPr>
        <w:t xml:space="preserve">lo </w:t>
      </w:r>
      <w:r>
        <w:rPr>
          <w:rFonts w:cs="Arial"/>
          <w:sz w:val="22"/>
          <w:szCs w:val="22"/>
          <w:lang w:val="es-CR"/>
        </w:rPr>
        <w:t xml:space="preserve">pertinente es </w:t>
      </w:r>
      <w:r w:rsidRPr="001871BB">
        <w:rPr>
          <w:rFonts w:cs="Arial"/>
          <w:sz w:val="22"/>
          <w:szCs w:val="22"/>
          <w:lang w:val="es-CR"/>
        </w:rPr>
        <w:t xml:space="preserve">revalorar el procedimiento para </w:t>
      </w:r>
      <w:r>
        <w:rPr>
          <w:rFonts w:cs="Arial"/>
          <w:sz w:val="22"/>
          <w:szCs w:val="22"/>
          <w:lang w:val="es-CR"/>
        </w:rPr>
        <w:t>l</w:t>
      </w:r>
      <w:r w:rsidRPr="001871BB">
        <w:rPr>
          <w:rFonts w:cs="Arial"/>
          <w:sz w:val="22"/>
          <w:szCs w:val="22"/>
          <w:lang w:val="es-CR"/>
        </w:rPr>
        <w:t>a realizaci</w:t>
      </w:r>
      <w:r>
        <w:rPr>
          <w:rFonts w:cs="Arial"/>
          <w:sz w:val="22"/>
          <w:szCs w:val="22"/>
          <w:lang w:val="es-CR"/>
        </w:rPr>
        <w:t>ó</w:t>
      </w:r>
      <w:r w:rsidRPr="001871BB">
        <w:rPr>
          <w:rFonts w:cs="Arial"/>
          <w:sz w:val="22"/>
          <w:szCs w:val="22"/>
          <w:lang w:val="es-CR"/>
        </w:rPr>
        <w:t xml:space="preserve">n de </w:t>
      </w:r>
      <w:r>
        <w:rPr>
          <w:rFonts w:cs="Arial"/>
          <w:sz w:val="22"/>
          <w:szCs w:val="22"/>
          <w:lang w:val="es-CR"/>
        </w:rPr>
        <w:t>l</w:t>
      </w:r>
      <w:r w:rsidRPr="001871BB">
        <w:rPr>
          <w:rFonts w:cs="Arial"/>
          <w:sz w:val="22"/>
          <w:szCs w:val="22"/>
          <w:lang w:val="es-CR"/>
        </w:rPr>
        <w:t xml:space="preserve">a </w:t>
      </w:r>
      <w:r w:rsidR="00551915">
        <w:rPr>
          <w:rFonts w:cs="Arial"/>
          <w:sz w:val="22"/>
          <w:szCs w:val="22"/>
          <w:lang w:val="es-CR"/>
        </w:rPr>
        <w:t xml:space="preserve">referida </w:t>
      </w:r>
      <w:r w:rsidRPr="001871BB">
        <w:rPr>
          <w:rFonts w:cs="Arial"/>
          <w:sz w:val="22"/>
          <w:szCs w:val="22"/>
          <w:lang w:val="es-CR"/>
        </w:rPr>
        <w:t>consulta</w:t>
      </w:r>
      <w:r>
        <w:rPr>
          <w:rFonts w:cs="Arial"/>
          <w:sz w:val="22"/>
          <w:szCs w:val="22"/>
          <w:lang w:val="es-CR"/>
        </w:rPr>
        <w:t xml:space="preserve"> </w:t>
      </w:r>
      <w:r w:rsidRPr="001871BB">
        <w:rPr>
          <w:rFonts w:cs="Arial"/>
          <w:sz w:val="22"/>
          <w:szCs w:val="22"/>
          <w:lang w:val="es-CR"/>
        </w:rPr>
        <w:t>p</w:t>
      </w:r>
      <w:r>
        <w:rPr>
          <w:rFonts w:cs="Arial"/>
          <w:sz w:val="22"/>
          <w:szCs w:val="22"/>
          <w:lang w:val="es-CR"/>
        </w:rPr>
        <w:t>ú</w:t>
      </w:r>
      <w:r w:rsidRPr="001871BB">
        <w:rPr>
          <w:rFonts w:cs="Arial"/>
          <w:sz w:val="22"/>
          <w:szCs w:val="22"/>
          <w:lang w:val="es-CR"/>
        </w:rPr>
        <w:t xml:space="preserve">blica, </w:t>
      </w:r>
      <w:r w:rsidR="00551915">
        <w:rPr>
          <w:rFonts w:cs="Arial"/>
          <w:sz w:val="22"/>
          <w:szCs w:val="22"/>
          <w:lang w:val="es-CR"/>
        </w:rPr>
        <w:t xml:space="preserve">de forma tal que ésta sea </w:t>
      </w:r>
      <w:r w:rsidRPr="001871BB">
        <w:rPr>
          <w:rFonts w:cs="Arial"/>
          <w:sz w:val="22"/>
          <w:szCs w:val="22"/>
          <w:lang w:val="es-CR"/>
        </w:rPr>
        <w:t>realizada conforme el decreto ejecutivo 40932-MP-MJP “Mecanismo General de Consulta a Pueblo</w:t>
      </w:r>
      <w:r>
        <w:rPr>
          <w:rFonts w:cs="Arial"/>
          <w:sz w:val="22"/>
          <w:szCs w:val="22"/>
          <w:lang w:val="es-CR"/>
        </w:rPr>
        <w:t>s Indígenas”.</w:t>
      </w:r>
    </w:p>
    <w:p w:rsidR="007B7C3D" w:rsidRDefault="007B7C3D" w:rsidP="001871BB">
      <w:pPr>
        <w:spacing w:line="360" w:lineRule="auto"/>
        <w:jc w:val="both"/>
        <w:rPr>
          <w:rFonts w:cs="Arial"/>
          <w:sz w:val="22"/>
          <w:szCs w:val="22"/>
          <w:lang w:val="es-CR"/>
        </w:rPr>
      </w:pPr>
    </w:p>
    <w:p w:rsidR="007B7C3D" w:rsidRPr="00551915" w:rsidRDefault="00551915" w:rsidP="001871BB">
      <w:pPr>
        <w:spacing w:line="360" w:lineRule="auto"/>
        <w:jc w:val="both"/>
        <w:rPr>
          <w:rFonts w:cs="Arial"/>
          <w:b/>
          <w:sz w:val="22"/>
          <w:szCs w:val="22"/>
          <w:lang w:val="es-CR"/>
        </w:rPr>
      </w:pPr>
      <w:r w:rsidRPr="00551915">
        <w:rPr>
          <w:rFonts w:cs="Arial"/>
          <w:b/>
          <w:sz w:val="22"/>
          <w:szCs w:val="22"/>
          <w:lang w:val="es-CR"/>
        </w:rPr>
        <w:t>Por tanto, se acuerda:</w:t>
      </w:r>
    </w:p>
    <w:p w:rsidR="00881011" w:rsidRDefault="00881011" w:rsidP="004076EF">
      <w:pPr>
        <w:spacing w:line="360" w:lineRule="auto"/>
        <w:jc w:val="both"/>
        <w:rPr>
          <w:rFonts w:cs="Arial"/>
          <w:sz w:val="22"/>
          <w:szCs w:val="22"/>
          <w:lang w:val="es-CR"/>
        </w:rPr>
      </w:pPr>
      <w:r w:rsidRPr="00881011">
        <w:rPr>
          <w:rFonts w:cs="Arial"/>
          <w:b/>
          <w:sz w:val="22"/>
          <w:szCs w:val="22"/>
        </w:rPr>
        <w:t>1)</w:t>
      </w:r>
      <w:r>
        <w:rPr>
          <w:rFonts w:cs="Arial"/>
          <w:sz w:val="22"/>
          <w:szCs w:val="22"/>
        </w:rPr>
        <w:t xml:space="preserve"> </w:t>
      </w:r>
      <w:r w:rsidR="004076EF">
        <w:rPr>
          <w:rFonts w:cs="Arial"/>
          <w:sz w:val="22"/>
          <w:szCs w:val="22"/>
        </w:rPr>
        <w:t xml:space="preserve">Instruir a la </w:t>
      </w:r>
      <w:r w:rsidR="004076EF" w:rsidRPr="004076EF">
        <w:rPr>
          <w:rFonts w:cs="Arial"/>
          <w:sz w:val="22"/>
          <w:szCs w:val="22"/>
        </w:rPr>
        <w:t>Administración</w:t>
      </w:r>
      <w:r w:rsidR="004076EF">
        <w:rPr>
          <w:rFonts w:cs="Arial"/>
          <w:sz w:val="22"/>
          <w:szCs w:val="22"/>
        </w:rPr>
        <w:t xml:space="preserve"> para que, según lo recomendado en el </w:t>
      </w:r>
      <w:r w:rsidR="008451C1">
        <w:rPr>
          <w:rFonts w:cs="Arial"/>
          <w:sz w:val="22"/>
          <w:szCs w:val="22"/>
        </w:rPr>
        <w:t xml:space="preserve">oficio </w:t>
      </w:r>
      <w:r w:rsidR="004076EF">
        <w:rPr>
          <w:rFonts w:cs="Arial"/>
          <w:sz w:val="22"/>
          <w:szCs w:val="22"/>
        </w:rPr>
        <w:t xml:space="preserve">GG-ME-0514-2019,  </w:t>
      </w:r>
      <w:r>
        <w:rPr>
          <w:rFonts w:cs="Arial"/>
          <w:sz w:val="22"/>
          <w:szCs w:val="22"/>
        </w:rPr>
        <w:t>el procedimiento de consulta de la directriz “</w:t>
      </w:r>
      <w:r w:rsidRPr="00ED1E9F">
        <w:rPr>
          <w:rFonts w:cs="Arial"/>
          <w:i/>
          <w:sz w:val="22"/>
          <w:szCs w:val="22"/>
        </w:rPr>
        <w:t xml:space="preserve">Requisitos para la postulación del </w:t>
      </w:r>
      <w:r w:rsidRPr="00ED1E9F">
        <w:rPr>
          <w:rFonts w:cs="Arial"/>
          <w:i/>
          <w:color w:val="000000"/>
          <w:sz w:val="22"/>
          <w:szCs w:val="22"/>
          <w:lang w:val="es-CR"/>
        </w:rPr>
        <w:t>Bono Familiar de Vivienda dentro del Programa Indígena</w:t>
      </w:r>
      <w:r>
        <w:rPr>
          <w:rFonts w:cs="Arial"/>
          <w:color w:val="000000"/>
          <w:sz w:val="22"/>
          <w:szCs w:val="22"/>
          <w:lang w:val="es-CR"/>
        </w:rPr>
        <w:t xml:space="preserve">”, sea realizado conforme el Decreto Ejecutivo N° 40932-MP-MJP “Mecanismo </w:t>
      </w:r>
      <w:r w:rsidRPr="001871BB">
        <w:rPr>
          <w:rFonts w:cs="Arial"/>
          <w:sz w:val="22"/>
          <w:szCs w:val="22"/>
          <w:lang w:val="es-CR"/>
        </w:rPr>
        <w:t>General de Consulta a Pueblo</w:t>
      </w:r>
      <w:r>
        <w:rPr>
          <w:rFonts w:cs="Arial"/>
          <w:sz w:val="22"/>
          <w:szCs w:val="22"/>
          <w:lang w:val="es-CR"/>
        </w:rPr>
        <w:t>s Indígenas”.</w:t>
      </w:r>
    </w:p>
    <w:p w:rsidR="00881011" w:rsidRDefault="00881011" w:rsidP="004076EF">
      <w:pPr>
        <w:spacing w:line="360" w:lineRule="auto"/>
        <w:jc w:val="both"/>
        <w:rPr>
          <w:rFonts w:cs="Arial"/>
          <w:sz w:val="22"/>
          <w:szCs w:val="22"/>
          <w:lang w:val="es-CR"/>
        </w:rPr>
      </w:pPr>
    </w:p>
    <w:p w:rsidR="00881011" w:rsidRDefault="00881011" w:rsidP="004076EF">
      <w:pPr>
        <w:spacing w:line="360" w:lineRule="auto"/>
        <w:jc w:val="both"/>
        <w:rPr>
          <w:rFonts w:cs="Arial"/>
          <w:sz w:val="22"/>
          <w:szCs w:val="22"/>
        </w:rPr>
      </w:pPr>
      <w:r w:rsidRPr="00881011">
        <w:rPr>
          <w:rFonts w:cs="Arial"/>
          <w:b/>
          <w:sz w:val="22"/>
          <w:szCs w:val="22"/>
        </w:rPr>
        <w:t>2)</w:t>
      </w:r>
      <w:r>
        <w:rPr>
          <w:rFonts w:cs="Arial"/>
          <w:sz w:val="22"/>
          <w:szCs w:val="22"/>
        </w:rPr>
        <w:t xml:space="preserve"> Consecuentemente, se revocan los acuerdos N° 1 de la sesión 21-2019, del 1</w:t>
      </w:r>
      <w:r w:rsidR="004A4990">
        <w:rPr>
          <w:rFonts w:cs="Arial"/>
          <w:sz w:val="22"/>
          <w:szCs w:val="22"/>
        </w:rPr>
        <w:t>4</w:t>
      </w:r>
      <w:r>
        <w:rPr>
          <w:rFonts w:cs="Arial"/>
          <w:sz w:val="22"/>
          <w:szCs w:val="22"/>
        </w:rPr>
        <w:t xml:space="preserve"> de </w:t>
      </w:r>
      <w:r w:rsidR="004A4990">
        <w:rPr>
          <w:rFonts w:cs="Arial"/>
          <w:sz w:val="22"/>
          <w:szCs w:val="22"/>
        </w:rPr>
        <w:t>ma</w:t>
      </w:r>
      <w:r w:rsidR="00426508">
        <w:rPr>
          <w:rFonts w:cs="Arial"/>
          <w:sz w:val="22"/>
          <w:szCs w:val="22"/>
        </w:rPr>
        <w:t>r</w:t>
      </w:r>
      <w:r w:rsidR="004A4990">
        <w:rPr>
          <w:rFonts w:cs="Arial"/>
          <w:sz w:val="22"/>
          <w:szCs w:val="22"/>
        </w:rPr>
        <w:t>zo</w:t>
      </w:r>
      <w:r>
        <w:rPr>
          <w:rFonts w:cs="Arial"/>
          <w:sz w:val="22"/>
          <w:szCs w:val="22"/>
        </w:rPr>
        <w:t xml:space="preserve"> de 2019, y N° 1 de la sesión 23-2019 del 21 de marzo de 2019, referidos al procedimiento y al cronograma de actividades, respectivamente, para llevar a cabo la referida consulta pública.</w:t>
      </w:r>
    </w:p>
    <w:p w:rsidR="00881011" w:rsidRDefault="00881011" w:rsidP="004076EF">
      <w:pPr>
        <w:spacing w:line="360" w:lineRule="auto"/>
        <w:jc w:val="both"/>
        <w:rPr>
          <w:rFonts w:cs="Arial"/>
          <w:sz w:val="22"/>
          <w:szCs w:val="22"/>
        </w:rPr>
      </w:pPr>
    </w:p>
    <w:p w:rsidR="002B71CC" w:rsidRDefault="00881011" w:rsidP="002B71CC">
      <w:pPr>
        <w:spacing w:line="360" w:lineRule="auto"/>
        <w:jc w:val="both"/>
        <w:rPr>
          <w:rFonts w:cs="Arial"/>
          <w:sz w:val="22"/>
          <w:szCs w:val="22"/>
        </w:rPr>
      </w:pPr>
      <w:r w:rsidRPr="00881011">
        <w:rPr>
          <w:rFonts w:cs="Arial"/>
          <w:b/>
          <w:sz w:val="22"/>
          <w:szCs w:val="22"/>
        </w:rPr>
        <w:t>3)</w:t>
      </w:r>
      <w:r>
        <w:rPr>
          <w:rFonts w:cs="Arial"/>
          <w:sz w:val="22"/>
          <w:szCs w:val="22"/>
        </w:rPr>
        <w:t xml:space="preserve"> Se solicita a la </w:t>
      </w:r>
      <w:r w:rsidRPr="00881011">
        <w:rPr>
          <w:rFonts w:cs="Arial"/>
          <w:sz w:val="22"/>
          <w:szCs w:val="22"/>
        </w:rPr>
        <w:t>Gerencia General</w:t>
      </w:r>
      <w:r>
        <w:rPr>
          <w:rFonts w:cs="Arial"/>
          <w:sz w:val="22"/>
          <w:szCs w:val="22"/>
        </w:rPr>
        <w:t xml:space="preserve">, que en </w:t>
      </w:r>
      <w:r w:rsidR="00941F9A">
        <w:rPr>
          <w:rFonts w:cs="Arial"/>
          <w:sz w:val="22"/>
          <w:szCs w:val="22"/>
        </w:rPr>
        <w:t>la</w:t>
      </w:r>
      <w:r>
        <w:rPr>
          <w:rFonts w:cs="Arial"/>
          <w:sz w:val="22"/>
          <w:szCs w:val="22"/>
        </w:rPr>
        <w:t xml:space="preserve"> próxima sesión exponga a este Órgano Colegiado, los alcances del citado</w:t>
      </w:r>
      <w:r w:rsidRPr="00881011">
        <w:rPr>
          <w:rFonts w:cs="Arial"/>
          <w:sz w:val="22"/>
          <w:szCs w:val="22"/>
          <w:lang w:val="es-CR"/>
        </w:rPr>
        <w:t xml:space="preserve"> </w:t>
      </w:r>
      <w:r>
        <w:rPr>
          <w:rFonts w:cs="Arial"/>
          <w:sz w:val="22"/>
          <w:szCs w:val="22"/>
          <w:lang w:val="es-CR"/>
        </w:rPr>
        <w:t>D</w:t>
      </w:r>
      <w:r w:rsidRPr="001871BB">
        <w:rPr>
          <w:rFonts w:cs="Arial"/>
          <w:sz w:val="22"/>
          <w:szCs w:val="22"/>
          <w:lang w:val="es-CR"/>
        </w:rPr>
        <w:t xml:space="preserve">ecreto </w:t>
      </w:r>
      <w:r>
        <w:rPr>
          <w:rFonts w:cs="Arial"/>
          <w:sz w:val="22"/>
          <w:szCs w:val="22"/>
          <w:lang w:val="es-CR"/>
        </w:rPr>
        <w:t>E</w:t>
      </w:r>
      <w:r w:rsidRPr="001871BB">
        <w:rPr>
          <w:rFonts w:cs="Arial"/>
          <w:sz w:val="22"/>
          <w:szCs w:val="22"/>
          <w:lang w:val="es-CR"/>
        </w:rPr>
        <w:t xml:space="preserve">jecutivo </w:t>
      </w:r>
      <w:r>
        <w:rPr>
          <w:rFonts w:cs="Arial"/>
          <w:sz w:val="22"/>
          <w:szCs w:val="22"/>
          <w:lang w:val="es-CR"/>
        </w:rPr>
        <w:t xml:space="preserve">N° </w:t>
      </w:r>
      <w:r w:rsidRPr="001871BB">
        <w:rPr>
          <w:rFonts w:cs="Arial"/>
          <w:sz w:val="22"/>
          <w:szCs w:val="22"/>
          <w:lang w:val="es-CR"/>
        </w:rPr>
        <w:t>40932-MP-MJP</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0E3E64" w:rsidRPr="000D1FA0" w:rsidRDefault="000E3E64" w:rsidP="002B71CC">
      <w:pPr>
        <w:spacing w:line="360" w:lineRule="auto"/>
        <w:jc w:val="both"/>
        <w:rPr>
          <w:rFonts w:cs="Arial"/>
          <w:b/>
          <w:sz w:val="22"/>
          <w:szCs w:val="22"/>
        </w:rPr>
      </w:pPr>
      <w:r w:rsidRPr="000D1FA0">
        <w:rPr>
          <w:rFonts w:cs="Arial"/>
          <w:b/>
          <w:sz w:val="22"/>
          <w:szCs w:val="22"/>
        </w:rPr>
        <w:t>Considerando:</w:t>
      </w:r>
    </w:p>
    <w:p w:rsidR="000E3E64" w:rsidRDefault="000E3E64" w:rsidP="002B71CC">
      <w:pPr>
        <w:spacing w:line="360" w:lineRule="auto"/>
        <w:jc w:val="both"/>
        <w:rPr>
          <w:rFonts w:cs="Arial"/>
          <w:sz w:val="22"/>
          <w:szCs w:val="22"/>
        </w:rPr>
      </w:pPr>
      <w:r w:rsidRPr="000D1FA0">
        <w:rPr>
          <w:rFonts w:cs="Arial"/>
          <w:b/>
          <w:sz w:val="22"/>
          <w:szCs w:val="22"/>
        </w:rPr>
        <w:t>A)</w:t>
      </w:r>
      <w:r>
        <w:rPr>
          <w:rFonts w:cs="Arial"/>
          <w:sz w:val="22"/>
          <w:szCs w:val="22"/>
        </w:rPr>
        <w:t xml:space="preserve"> Que por medio del oficio GG-ME-0513-2019 del 15 de mayo de 2019, la </w:t>
      </w:r>
      <w:r w:rsidRPr="000E3E64">
        <w:rPr>
          <w:rFonts w:cs="Arial"/>
          <w:sz w:val="22"/>
          <w:szCs w:val="22"/>
        </w:rPr>
        <w:t>Gerencia General</w:t>
      </w:r>
      <w:r>
        <w:rPr>
          <w:rFonts w:cs="Arial"/>
          <w:sz w:val="22"/>
          <w:szCs w:val="22"/>
        </w:rPr>
        <w:t xml:space="preserve"> solicita la aclaración de esta Junta Directiva, sobre varios alcances de los puntos segundo, tercero y quinto, de la “G</w:t>
      </w:r>
      <w:r w:rsidRPr="000E3E64">
        <w:rPr>
          <w:rFonts w:cs="Arial"/>
          <w:sz w:val="22"/>
          <w:szCs w:val="22"/>
        </w:rPr>
        <w:t>uía para el estudio legal de las solicitudes de financiamiento con recursos del Fondo de Subsidios para la Vivienda</w:t>
      </w:r>
      <w:r>
        <w:rPr>
          <w:rFonts w:cs="Arial"/>
          <w:sz w:val="22"/>
          <w:szCs w:val="22"/>
        </w:rPr>
        <w:t xml:space="preserve">”. </w:t>
      </w:r>
    </w:p>
    <w:p w:rsidR="000E3E64" w:rsidRDefault="000E3E64" w:rsidP="002B71CC">
      <w:pPr>
        <w:spacing w:line="360" w:lineRule="auto"/>
        <w:jc w:val="both"/>
        <w:rPr>
          <w:rFonts w:cs="Arial"/>
          <w:sz w:val="22"/>
          <w:szCs w:val="22"/>
        </w:rPr>
      </w:pPr>
    </w:p>
    <w:p w:rsidR="000D1FA0" w:rsidRDefault="000E3E64" w:rsidP="002B71CC">
      <w:pPr>
        <w:spacing w:line="360" w:lineRule="auto"/>
        <w:jc w:val="both"/>
        <w:rPr>
          <w:rFonts w:cs="Arial"/>
          <w:sz w:val="22"/>
          <w:szCs w:val="22"/>
        </w:rPr>
      </w:pPr>
      <w:r w:rsidRPr="000D1FA0">
        <w:rPr>
          <w:rFonts w:cs="Arial"/>
          <w:b/>
          <w:sz w:val="22"/>
          <w:szCs w:val="22"/>
        </w:rPr>
        <w:t>B)</w:t>
      </w:r>
      <w:r>
        <w:rPr>
          <w:rFonts w:cs="Arial"/>
          <w:sz w:val="22"/>
          <w:szCs w:val="22"/>
        </w:rPr>
        <w:t xml:space="preserve"> Que con respecto al </w:t>
      </w:r>
      <w:r w:rsidR="000D1FA0">
        <w:rPr>
          <w:rFonts w:cs="Arial"/>
          <w:sz w:val="22"/>
          <w:szCs w:val="22"/>
        </w:rPr>
        <w:t xml:space="preserve">apartado Segundo, referido al procedimiento para aplicar la Guía, </w:t>
      </w:r>
      <w:r w:rsidR="00616400">
        <w:rPr>
          <w:rFonts w:cs="Arial"/>
          <w:sz w:val="22"/>
          <w:szCs w:val="22"/>
        </w:rPr>
        <w:t xml:space="preserve">se </w:t>
      </w:r>
      <w:r w:rsidR="000D1FA0">
        <w:rPr>
          <w:rFonts w:cs="Arial"/>
          <w:sz w:val="22"/>
          <w:szCs w:val="22"/>
        </w:rPr>
        <w:t xml:space="preserve">solicita aclarar el inciso e), en cuanto a si el pronunciamiento de la </w:t>
      </w:r>
      <w:r w:rsidR="000D1FA0" w:rsidRPr="000D1FA0">
        <w:rPr>
          <w:rFonts w:cs="Arial"/>
          <w:sz w:val="22"/>
          <w:szCs w:val="22"/>
        </w:rPr>
        <w:t>Asesoría Legal</w:t>
      </w:r>
      <w:r w:rsidR="000D1FA0">
        <w:rPr>
          <w:rFonts w:cs="Arial"/>
          <w:sz w:val="22"/>
          <w:szCs w:val="22"/>
        </w:rPr>
        <w:t xml:space="preserve"> del BANHVI</w:t>
      </w:r>
      <w:r w:rsidR="00616400">
        <w:rPr>
          <w:rFonts w:cs="Arial"/>
          <w:sz w:val="22"/>
          <w:szCs w:val="22"/>
        </w:rPr>
        <w:t>,</w:t>
      </w:r>
      <w:r w:rsidR="000D1FA0">
        <w:rPr>
          <w:rFonts w:cs="Arial"/>
          <w:sz w:val="22"/>
          <w:szCs w:val="22"/>
        </w:rPr>
        <w:t xml:space="preserve"> se puede requerir sol</w:t>
      </w:r>
      <w:r w:rsidR="00616400">
        <w:rPr>
          <w:rFonts w:cs="Arial"/>
          <w:sz w:val="22"/>
          <w:szCs w:val="22"/>
        </w:rPr>
        <w:t>o</w:t>
      </w:r>
      <w:r w:rsidR="000D1FA0">
        <w:rPr>
          <w:rFonts w:cs="Arial"/>
          <w:sz w:val="22"/>
          <w:szCs w:val="22"/>
        </w:rPr>
        <w:t xml:space="preserve"> después de contar con el estudio legal de la entidad autorizada, o se puede requerir sin contar con el estudio legal de la entidad autorizada.</w:t>
      </w:r>
    </w:p>
    <w:p w:rsidR="000D1FA0" w:rsidRDefault="000D1FA0" w:rsidP="002B71CC">
      <w:pPr>
        <w:spacing w:line="360" w:lineRule="auto"/>
        <w:jc w:val="both"/>
        <w:rPr>
          <w:rFonts w:cs="Arial"/>
          <w:sz w:val="22"/>
          <w:szCs w:val="22"/>
        </w:rPr>
      </w:pPr>
    </w:p>
    <w:p w:rsidR="00616400" w:rsidRDefault="00616400" w:rsidP="002B71CC">
      <w:pPr>
        <w:spacing w:line="360" w:lineRule="auto"/>
        <w:jc w:val="both"/>
        <w:rPr>
          <w:rFonts w:cs="Arial"/>
          <w:sz w:val="22"/>
          <w:szCs w:val="22"/>
        </w:rPr>
      </w:pPr>
      <w:r w:rsidRPr="000B66EE">
        <w:rPr>
          <w:rFonts w:cs="Arial"/>
          <w:b/>
          <w:sz w:val="22"/>
          <w:szCs w:val="22"/>
        </w:rPr>
        <w:t>C)</w:t>
      </w:r>
      <w:r>
        <w:rPr>
          <w:rFonts w:cs="Arial"/>
          <w:sz w:val="22"/>
          <w:szCs w:val="22"/>
        </w:rPr>
        <w:t xml:space="preserve"> Que </w:t>
      </w:r>
      <w:r w:rsidR="00736AB7">
        <w:rPr>
          <w:rFonts w:cs="Arial"/>
          <w:sz w:val="22"/>
          <w:szCs w:val="22"/>
        </w:rPr>
        <w:t xml:space="preserve">sobre </w:t>
      </w:r>
      <w:r>
        <w:rPr>
          <w:rFonts w:cs="Arial"/>
          <w:sz w:val="22"/>
          <w:szCs w:val="22"/>
        </w:rPr>
        <w:t>el apartado Tercero</w:t>
      </w:r>
      <w:r w:rsidR="000D1FA0">
        <w:rPr>
          <w:rFonts w:cs="Arial"/>
          <w:sz w:val="22"/>
          <w:szCs w:val="22"/>
        </w:rPr>
        <w:t xml:space="preserve">, </w:t>
      </w:r>
      <w:r>
        <w:rPr>
          <w:rFonts w:cs="Arial"/>
          <w:sz w:val="22"/>
          <w:szCs w:val="22"/>
        </w:rPr>
        <w:t xml:space="preserve">referido a la fecha de vigencia de la Guía, se pide aclarar el procedimiento a aplicar a las solicitudes de financiamiento que ingresaron antes del 1° de abril de 2019, dado que se tienen algunas solicitudes </w:t>
      </w:r>
      <w:r w:rsidR="00527223">
        <w:rPr>
          <w:rFonts w:cs="Arial"/>
          <w:sz w:val="22"/>
          <w:szCs w:val="22"/>
        </w:rPr>
        <w:t xml:space="preserve">(cuatro en total) </w:t>
      </w:r>
      <w:r>
        <w:rPr>
          <w:rFonts w:cs="Arial"/>
          <w:sz w:val="22"/>
          <w:szCs w:val="22"/>
        </w:rPr>
        <w:t>que ingresaron antes de esa fecha y que, consecuentemente, no cuentan con el estudio legal de la entidad autorizada.</w:t>
      </w:r>
    </w:p>
    <w:p w:rsidR="00616400" w:rsidRDefault="00616400" w:rsidP="002B71CC">
      <w:pPr>
        <w:spacing w:line="360" w:lineRule="auto"/>
        <w:jc w:val="both"/>
        <w:rPr>
          <w:rFonts w:cs="Arial"/>
          <w:sz w:val="22"/>
          <w:szCs w:val="22"/>
        </w:rPr>
      </w:pPr>
    </w:p>
    <w:p w:rsidR="00616400" w:rsidRDefault="00616400" w:rsidP="002B71CC">
      <w:pPr>
        <w:spacing w:line="360" w:lineRule="auto"/>
        <w:jc w:val="both"/>
        <w:rPr>
          <w:rFonts w:cs="Arial"/>
          <w:sz w:val="22"/>
          <w:szCs w:val="22"/>
        </w:rPr>
      </w:pPr>
      <w:r w:rsidRPr="000B66EE">
        <w:rPr>
          <w:rFonts w:cs="Arial"/>
          <w:b/>
          <w:sz w:val="22"/>
          <w:szCs w:val="22"/>
        </w:rPr>
        <w:t>D)</w:t>
      </w:r>
      <w:r>
        <w:rPr>
          <w:rFonts w:cs="Arial"/>
          <w:sz w:val="22"/>
          <w:szCs w:val="22"/>
        </w:rPr>
        <w:t xml:space="preserve"> </w:t>
      </w:r>
      <w:r w:rsidR="00527223">
        <w:rPr>
          <w:rFonts w:cs="Arial"/>
          <w:sz w:val="22"/>
          <w:szCs w:val="22"/>
        </w:rPr>
        <w:t xml:space="preserve">Que </w:t>
      </w:r>
      <w:r w:rsidR="00736AB7">
        <w:rPr>
          <w:rFonts w:cs="Arial"/>
          <w:sz w:val="22"/>
          <w:szCs w:val="22"/>
        </w:rPr>
        <w:t xml:space="preserve">en relación con el </w:t>
      </w:r>
      <w:r>
        <w:rPr>
          <w:rFonts w:cs="Arial"/>
          <w:sz w:val="22"/>
          <w:szCs w:val="22"/>
        </w:rPr>
        <w:t>apartado Quinto</w:t>
      </w:r>
      <w:r w:rsidR="00527223">
        <w:rPr>
          <w:rFonts w:cs="Arial"/>
          <w:sz w:val="22"/>
          <w:szCs w:val="22"/>
        </w:rPr>
        <w:t xml:space="preserve"> de la Guía</w:t>
      </w:r>
      <w:r>
        <w:rPr>
          <w:rFonts w:cs="Arial"/>
          <w:sz w:val="22"/>
          <w:szCs w:val="22"/>
        </w:rPr>
        <w:t xml:space="preserve">, </w:t>
      </w:r>
      <w:r w:rsidR="000B66EE">
        <w:rPr>
          <w:rFonts w:cs="Arial"/>
          <w:sz w:val="22"/>
          <w:szCs w:val="22"/>
        </w:rPr>
        <w:t>re</w:t>
      </w:r>
      <w:r w:rsidR="00736AB7">
        <w:rPr>
          <w:rFonts w:cs="Arial"/>
          <w:sz w:val="22"/>
          <w:szCs w:val="22"/>
        </w:rPr>
        <w:t xml:space="preserve">ferido a </w:t>
      </w:r>
      <w:r w:rsidR="000B66EE">
        <w:rPr>
          <w:rFonts w:cs="Arial"/>
          <w:sz w:val="22"/>
          <w:szCs w:val="22"/>
        </w:rPr>
        <w:t xml:space="preserve">las labores de la Dirección FOSUVI </w:t>
      </w:r>
      <w:r w:rsidR="00736AB7">
        <w:rPr>
          <w:rFonts w:cs="Arial"/>
          <w:sz w:val="22"/>
          <w:szCs w:val="22"/>
        </w:rPr>
        <w:t xml:space="preserve">en torno a </w:t>
      </w:r>
      <w:r w:rsidR="000B66EE">
        <w:rPr>
          <w:rFonts w:cs="Arial"/>
          <w:sz w:val="22"/>
          <w:szCs w:val="22"/>
        </w:rPr>
        <w:t xml:space="preserve">la revisión y verificación de los estudios legales, se requiere aclarar el texto de dicha disposición, </w:t>
      </w:r>
      <w:r w:rsidR="00026011">
        <w:rPr>
          <w:rFonts w:cs="Arial"/>
          <w:sz w:val="22"/>
          <w:szCs w:val="22"/>
        </w:rPr>
        <w:t xml:space="preserve">dado que </w:t>
      </w:r>
      <w:r w:rsidR="000B66EE">
        <w:rPr>
          <w:rFonts w:cs="Arial"/>
          <w:sz w:val="22"/>
          <w:szCs w:val="22"/>
        </w:rPr>
        <w:t xml:space="preserve">según lo </w:t>
      </w:r>
      <w:r w:rsidR="00026011">
        <w:rPr>
          <w:rFonts w:cs="Arial"/>
          <w:sz w:val="22"/>
          <w:szCs w:val="22"/>
        </w:rPr>
        <w:t xml:space="preserve">indicado </w:t>
      </w:r>
      <w:r w:rsidR="000B66EE">
        <w:rPr>
          <w:rFonts w:cs="Arial"/>
          <w:sz w:val="22"/>
          <w:szCs w:val="22"/>
        </w:rPr>
        <w:t>por la Dirección FOSUVI, esa Dirección no tiene competencias legales para verificar el contenido de ningún documento emitido por parte de las asesorías legales de las entidades autorizadas.</w:t>
      </w:r>
    </w:p>
    <w:p w:rsidR="00616400" w:rsidRDefault="00616400" w:rsidP="002B71CC">
      <w:pPr>
        <w:spacing w:line="360" w:lineRule="auto"/>
        <w:jc w:val="both"/>
        <w:rPr>
          <w:rFonts w:cs="Arial"/>
          <w:sz w:val="22"/>
          <w:szCs w:val="22"/>
        </w:rPr>
      </w:pPr>
    </w:p>
    <w:p w:rsidR="000B66EE" w:rsidRPr="000B66EE" w:rsidRDefault="000B66EE" w:rsidP="002B71CC">
      <w:pPr>
        <w:spacing w:line="360" w:lineRule="auto"/>
        <w:jc w:val="both"/>
        <w:rPr>
          <w:rFonts w:cs="Arial"/>
          <w:b/>
          <w:sz w:val="22"/>
          <w:szCs w:val="22"/>
        </w:rPr>
      </w:pPr>
      <w:r w:rsidRPr="000B66EE">
        <w:rPr>
          <w:rFonts w:cs="Arial"/>
          <w:b/>
          <w:sz w:val="22"/>
          <w:szCs w:val="22"/>
        </w:rPr>
        <w:t>Por tanto, se acuerda:</w:t>
      </w:r>
    </w:p>
    <w:p w:rsidR="002B71CC" w:rsidRDefault="000E3E64" w:rsidP="002B71CC">
      <w:pPr>
        <w:spacing w:line="360" w:lineRule="auto"/>
        <w:jc w:val="both"/>
        <w:rPr>
          <w:rFonts w:cs="Arial"/>
          <w:sz w:val="22"/>
          <w:szCs w:val="22"/>
        </w:rPr>
      </w:pPr>
      <w:r>
        <w:rPr>
          <w:rFonts w:cs="Arial"/>
          <w:sz w:val="22"/>
          <w:szCs w:val="22"/>
        </w:rPr>
        <w:t>Emitir</w:t>
      </w:r>
      <w:r w:rsidR="00F155D9">
        <w:rPr>
          <w:rFonts w:cs="Arial"/>
          <w:sz w:val="22"/>
          <w:szCs w:val="22"/>
        </w:rPr>
        <w:t xml:space="preserve"> las siguientes aclaraciones y disposiciones con respecto a </w:t>
      </w:r>
      <w:r>
        <w:rPr>
          <w:rFonts w:cs="Arial"/>
          <w:sz w:val="22"/>
          <w:szCs w:val="22"/>
        </w:rPr>
        <w:t>la “</w:t>
      </w:r>
      <w:r w:rsidRPr="00527223">
        <w:rPr>
          <w:rFonts w:cs="Arial"/>
          <w:i/>
          <w:sz w:val="22"/>
          <w:szCs w:val="22"/>
        </w:rPr>
        <w:t>Guía para el estudio legal de las solicitudes de financiamiento con recursos del Fondo de Subsidios para la Vivienda</w:t>
      </w:r>
      <w:r>
        <w:rPr>
          <w:rFonts w:cs="Arial"/>
          <w:sz w:val="22"/>
          <w:szCs w:val="22"/>
        </w:rPr>
        <w:t xml:space="preserve">”: </w:t>
      </w:r>
    </w:p>
    <w:p w:rsidR="000E3E64" w:rsidRDefault="000E3E64" w:rsidP="002B71CC">
      <w:pPr>
        <w:spacing w:line="360" w:lineRule="auto"/>
        <w:jc w:val="both"/>
        <w:rPr>
          <w:rFonts w:cs="Arial"/>
          <w:sz w:val="22"/>
          <w:szCs w:val="22"/>
        </w:rPr>
      </w:pPr>
    </w:p>
    <w:p w:rsidR="004E3389" w:rsidRDefault="004E3389" w:rsidP="000E3E64">
      <w:pPr>
        <w:spacing w:line="360" w:lineRule="auto"/>
        <w:jc w:val="both"/>
        <w:rPr>
          <w:rFonts w:cs="Arial"/>
          <w:sz w:val="22"/>
          <w:szCs w:val="22"/>
        </w:rPr>
      </w:pPr>
      <w:r w:rsidRPr="00720C7B">
        <w:rPr>
          <w:rFonts w:cs="Arial"/>
          <w:b/>
          <w:sz w:val="22"/>
          <w:szCs w:val="22"/>
        </w:rPr>
        <w:t>1.-</w:t>
      </w:r>
      <w:r>
        <w:rPr>
          <w:rFonts w:cs="Arial"/>
          <w:sz w:val="22"/>
          <w:szCs w:val="22"/>
        </w:rPr>
        <w:t xml:space="preserve"> </w:t>
      </w:r>
      <w:r w:rsidR="00701050">
        <w:rPr>
          <w:rFonts w:cs="Arial"/>
          <w:sz w:val="22"/>
          <w:szCs w:val="22"/>
        </w:rPr>
        <w:t xml:space="preserve">Precisar </w:t>
      </w:r>
      <w:r>
        <w:rPr>
          <w:rFonts w:cs="Arial"/>
          <w:sz w:val="22"/>
          <w:szCs w:val="22"/>
        </w:rPr>
        <w:t xml:space="preserve">el inciso e) del apartado Segundo, para que se entienda que el pronunciamiento de la </w:t>
      </w:r>
      <w:r w:rsidRPr="004E3389">
        <w:rPr>
          <w:rFonts w:cs="Arial"/>
          <w:sz w:val="22"/>
          <w:szCs w:val="22"/>
        </w:rPr>
        <w:t>Asesoría Legal</w:t>
      </w:r>
      <w:r>
        <w:rPr>
          <w:rFonts w:cs="Arial"/>
          <w:sz w:val="22"/>
          <w:szCs w:val="22"/>
        </w:rPr>
        <w:t xml:space="preserve"> del BANHVI, se podrá requerir </w:t>
      </w:r>
      <w:r w:rsidR="00E65DB5">
        <w:rPr>
          <w:rFonts w:cs="Arial"/>
          <w:sz w:val="22"/>
          <w:szCs w:val="22"/>
        </w:rPr>
        <w:t xml:space="preserve">solo </w:t>
      </w:r>
      <w:r>
        <w:rPr>
          <w:rFonts w:cs="Arial"/>
          <w:sz w:val="22"/>
          <w:szCs w:val="22"/>
        </w:rPr>
        <w:t>después de contar con el respectivo estudio legal de la entidad autorizada.</w:t>
      </w:r>
    </w:p>
    <w:p w:rsidR="004E3389" w:rsidRDefault="004E3389" w:rsidP="000E3E64">
      <w:pPr>
        <w:spacing w:line="360" w:lineRule="auto"/>
        <w:jc w:val="both"/>
        <w:rPr>
          <w:rFonts w:cs="Arial"/>
          <w:sz w:val="22"/>
          <w:szCs w:val="22"/>
        </w:rPr>
      </w:pPr>
    </w:p>
    <w:p w:rsidR="00720C7B" w:rsidRDefault="004E3389" w:rsidP="000E3E64">
      <w:pPr>
        <w:spacing w:line="360" w:lineRule="auto"/>
        <w:jc w:val="both"/>
        <w:rPr>
          <w:rFonts w:cs="Arial"/>
          <w:sz w:val="22"/>
          <w:szCs w:val="22"/>
        </w:rPr>
      </w:pPr>
      <w:r w:rsidRPr="00720C7B">
        <w:rPr>
          <w:rFonts w:cs="Arial"/>
          <w:b/>
          <w:sz w:val="22"/>
          <w:szCs w:val="22"/>
        </w:rPr>
        <w:t>2.-</w:t>
      </w:r>
      <w:r>
        <w:rPr>
          <w:rFonts w:cs="Arial"/>
          <w:sz w:val="22"/>
          <w:szCs w:val="22"/>
        </w:rPr>
        <w:t xml:space="preserve"> Aclarar el apartado Tercero, en el sentido que todas las solicitudes de financiamiento presentadas a este Banco a partir del 1° de abril de 2019, deben </w:t>
      </w:r>
      <w:r w:rsidR="00701050">
        <w:rPr>
          <w:rFonts w:cs="Arial"/>
          <w:sz w:val="22"/>
          <w:szCs w:val="22"/>
        </w:rPr>
        <w:t xml:space="preserve">incluir el </w:t>
      </w:r>
      <w:r w:rsidR="00720C7B">
        <w:rPr>
          <w:rFonts w:cs="Arial"/>
          <w:sz w:val="22"/>
          <w:szCs w:val="22"/>
        </w:rPr>
        <w:t xml:space="preserve">respectivo </w:t>
      </w:r>
      <w:r>
        <w:rPr>
          <w:rFonts w:cs="Arial"/>
          <w:sz w:val="22"/>
          <w:szCs w:val="22"/>
        </w:rPr>
        <w:t>estudio legal de la entidad autorizada</w:t>
      </w:r>
      <w:r w:rsidR="00720C7B">
        <w:rPr>
          <w:rFonts w:cs="Arial"/>
          <w:sz w:val="22"/>
          <w:szCs w:val="22"/>
        </w:rPr>
        <w:t>.  Consecuentemente, las solicitudes de financiamiento que fueron recibidas por el BANHVI antes de esa fecha, debe</w:t>
      </w:r>
      <w:r w:rsidR="00527223">
        <w:rPr>
          <w:rFonts w:cs="Arial"/>
          <w:sz w:val="22"/>
          <w:szCs w:val="22"/>
        </w:rPr>
        <w:t>rán</w:t>
      </w:r>
      <w:r w:rsidR="00720C7B">
        <w:rPr>
          <w:rFonts w:cs="Arial"/>
          <w:sz w:val="22"/>
          <w:szCs w:val="22"/>
        </w:rPr>
        <w:t xml:space="preserve"> contar con el criterio jurídico de la </w:t>
      </w:r>
      <w:r w:rsidR="00720C7B" w:rsidRPr="00720C7B">
        <w:rPr>
          <w:rFonts w:cs="Arial"/>
          <w:sz w:val="22"/>
          <w:szCs w:val="22"/>
        </w:rPr>
        <w:t>Asesoría Legal</w:t>
      </w:r>
      <w:r w:rsidR="00720C7B">
        <w:rPr>
          <w:rFonts w:cs="Arial"/>
          <w:sz w:val="22"/>
          <w:szCs w:val="22"/>
        </w:rPr>
        <w:t xml:space="preserve"> de este Banco.</w:t>
      </w:r>
    </w:p>
    <w:p w:rsidR="00720C7B" w:rsidRDefault="00720C7B" w:rsidP="000E3E64">
      <w:pPr>
        <w:spacing w:line="360" w:lineRule="auto"/>
        <w:jc w:val="both"/>
        <w:rPr>
          <w:rFonts w:cs="Arial"/>
          <w:sz w:val="22"/>
          <w:szCs w:val="22"/>
        </w:rPr>
      </w:pPr>
    </w:p>
    <w:p w:rsidR="000E3E64" w:rsidRPr="000E3E64" w:rsidRDefault="00527223" w:rsidP="000E3E64">
      <w:pPr>
        <w:spacing w:line="360" w:lineRule="auto"/>
        <w:jc w:val="both"/>
        <w:rPr>
          <w:rFonts w:cs="Arial"/>
          <w:sz w:val="22"/>
          <w:szCs w:val="22"/>
        </w:rPr>
      </w:pPr>
      <w:r w:rsidRPr="00527223">
        <w:rPr>
          <w:rFonts w:cs="Arial"/>
          <w:b/>
          <w:sz w:val="22"/>
          <w:szCs w:val="22"/>
        </w:rPr>
        <w:t>3.-</w:t>
      </w:r>
      <w:r>
        <w:rPr>
          <w:rFonts w:cs="Arial"/>
          <w:sz w:val="22"/>
          <w:szCs w:val="22"/>
        </w:rPr>
        <w:t xml:space="preserve"> Solicitar a la </w:t>
      </w:r>
      <w:r w:rsidRPr="00527223">
        <w:rPr>
          <w:rFonts w:cs="Arial"/>
          <w:sz w:val="22"/>
          <w:szCs w:val="22"/>
        </w:rPr>
        <w:t>Gerencia General</w:t>
      </w:r>
      <w:r>
        <w:rPr>
          <w:rFonts w:cs="Arial"/>
          <w:sz w:val="22"/>
          <w:szCs w:val="22"/>
        </w:rPr>
        <w:t xml:space="preserve">, que en la próxima sesión presente a esta Junta Directiva, una propuesta de reforma al apartado Quinto, con el fin de dejar claramente establecidas, según lo expuesto por la </w:t>
      </w:r>
      <w:r w:rsidRPr="00527223">
        <w:rPr>
          <w:rFonts w:cs="Arial"/>
          <w:sz w:val="22"/>
          <w:szCs w:val="22"/>
        </w:rPr>
        <w:t>Asesoría Legal</w:t>
      </w:r>
      <w:r>
        <w:rPr>
          <w:rFonts w:cs="Arial"/>
          <w:sz w:val="22"/>
          <w:szCs w:val="22"/>
        </w:rPr>
        <w:t xml:space="preserve"> en esta sesión, las acciones que deberá ejecutar la Dirección FOSUVI, con respecto a los estudios legales que realicen las entidades autorizadas.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8B5E4F" w:rsidRPr="003154B6" w:rsidRDefault="003154B6" w:rsidP="008B5E4F">
      <w:pPr>
        <w:spacing w:line="360" w:lineRule="auto"/>
        <w:jc w:val="both"/>
        <w:rPr>
          <w:rFonts w:cs="Arial"/>
          <w:sz w:val="22"/>
          <w:szCs w:val="22"/>
        </w:rPr>
      </w:pPr>
      <w:r w:rsidRPr="003154B6">
        <w:rPr>
          <w:rFonts w:cs="Arial"/>
          <w:sz w:val="22"/>
          <w:szCs w:val="22"/>
        </w:rPr>
        <w:t xml:space="preserve">Aprobar los siguientes </w:t>
      </w:r>
      <w:r w:rsidR="000F6A90">
        <w:rPr>
          <w:rFonts w:cs="Arial"/>
          <w:i/>
          <w:sz w:val="22"/>
          <w:szCs w:val="22"/>
        </w:rPr>
        <w:t>L</w:t>
      </w:r>
      <w:r w:rsidRPr="000F6A90">
        <w:rPr>
          <w:rFonts w:cs="Arial"/>
          <w:i/>
          <w:sz w:val="22"/>
          <w:szCs w:val="22"/>
        </w:rPr>
        <w:t xml:space="preserve">ineamientos </w:t>
      </w:r>
      <w:r w:rsidR="008B5E4F" w:rsidRPr="000F6A90">
        <w:rPr>
          <w:rFonts w:cs="Arial"/>
          <w:i/>
          <w:sz w:val="22"/>
          <w:szCs w:val="22"/>
        </w:rPr>
        <w:t>para la contratación del estudio de modernización institucional del BANHVI</w:t>
      </w:r>
      <w:r>
        <w:rPr>
          <w:rFonts w:cs="Arial"/>
          <w:sz w:val="22"/>
          <w:szCs w:val="22"/>
        </w:rPr>
        <w:t xml:space="preserve">, y se instruye a la </w:t>
      </w:r>
      <w:r w:rsidRPr="003154B6">
        <w:rPr>
          <w:rFonts w:cs="Arial"/>
          <w:sz w:val="22"/>
          <w:szCs w:val="22"/>
        </w:rPr>
        <w:t>Administración</w:t>
      </w:r>
      <w:r>
        <w:rPr>
          <w:rFonts w:cs="Arial"/>
          <w:sz w:val="22"/>
          <w:szCs w:val="22"/>
        </w:rPr>
        <w:t xml:space="preserve"> para que con base en dichos lineamientos</w:t>
      </w:r>
      <w:r w:rsidR="0004356C">
        <w:rPr>
          <w:rFonts w:cs="Arial"/>
          <w:sz w:val="22"/>
          <w:szCs w:val="22"/>
        </w:rPr>
        <w:t>,</w:t>
      </w:r>
      <w:r>
        <w:rPr>
          <w:rFonts w:cs="Arial"/>
          <w:sz w:val="22"/>
          <w:szCs w:val="22"/>
        </w:rPr>
        <w:t xml:space="preserve"> prepare y someta a la consideración de esta Junta Directiva</w:t>
      </w:r>
      <w:r w:rsidR="000F6A90">
        <w:rPr>
          <w:rFonts w:cs="Arial"/>
          <w:sz w:val="22"/>
          <w:szCs w:val="22"/>
        </w:rPr>
        <w:t>, los respectivos términos de referencia.</w:t>
      </w:r>
    </w:p>
    <w:p w:rsidR="003B09E7" w:rsidRPr="00D32D06" w:rsidRDefault="003B09E7" w:rsidP="003B09E7">
      <w:pPr>
        <w:jc w:val="both"/>
        <w:rPr>
          <w:rFonts w:cs="Arial"/>
          <w:sz w:val="22"/>
        </w:rPr>
      </w:pPr>
    </w:p>
    <w:p w:rsidR="003B09E7" w:rsidRPr="0068335F" w:rsidRDefault="003B09E7" w:rsidP="001E5C67">
      <w:pPr>
        <w:pStyle w:val="Prrafodelista"/>
        <w:numPr>
          <w:ilvl w:val="0"/>
          <w:numId w:val="33"/>
        </w:numPr>
        <w:ind w:left="284" w:hanging="284"/>
        <w:jc w:val="both"/>
        <w:rPr>
          <w:rFonts w:cs="Arial"/>
          <w:b/>
          <w:sz w:val="22"/>
          <w:szCs w:val="22"/>
        </w:rPr>
      </w:pPr>
      <w:r w:rsidRPr="0068335F">
        <w:rPr>
          <w:rFonts w:cs="Arial"/>
          <w:b/>
          <w:bCs/>
          <w:sz w:val="22"/>
          <w:szCs w:val="22"/>
        </w:rPr>
        <w:t>Objeto de la Contratación</w:t>
      </w:r>
    </w:p>
    <w:p w:rsidR="003B09E7" w:rsidRPr="0068335F" w:rsidRDefault="003B09E7" w:rsidP="0068335F">
      <w:pPr>
        <w:jc w:val="both"/>
        <w:rPr>
          <w:rFonts w:cs="Arial"/>
          <w:b/>
          <w:bCs/>
          <w:sz w:val="22"/>
          <w:szCs w:val="22"/>
        </w:rPr>
      </w:pPr>
    </w:p>
    <w:p w:rsidR="003B09E7" w:rsidRPr="0068335F" w:rsidRDefault="003B09E7" w:rsidP="0068335F">
      <w:pPr>
        <w:jc w:val="both"/>
        <w:rPr>
          <w:rFonts w:cs="Arial"/>
          <w:sz w:val="22"/>
          <w:szCs w:val="22"/>
        </w:rPr>
      </w:pPr>
      <w:r w:rsidRPr="0068335F">
        <w:rPr>
          <w:rFonts w:cs="Arial"/>
          <w:sz w:val="22"/>
          <w:szCs w:val="22"/>
        </w:rPr>
        <w:t>Contratación de una persona jurídica que lleve a cabo un estudio de modernización del BANHVI, el cual consta de:</w:t>
      </w:r>
    </w:p>
    <w:p w:rsidR="003B09E7" w:rsidRPr="0068335F" w:rsidRDefault="003B09E7" w:rsidP="0068335F">
      <w:pPr>
        <w:jc w:val="both"/>
        <w:rPr>
          <w:rFonts w:cs="Arial"/>
          <w:sz w:val="22"/>
          <w:szCs w:val="22"/>
        </w:rPr>
      </w:pPr>
      <w:r w:rsidRPr="0068335F">
        <w:rPr>
          <w:rFonts w:cs="Arial"/>
          <w:sz w:val="22"/>
          <w:szCs w:val="22"/>
        </w:rPr>
        <w:t xml:space="preserve">  </w:t>
      </w:r>
    </w:p>
    <w:p w:rsidR="003B09E7" w:rsidRPr="0068335F" w:rsidRDefault="003B09E7" w:rsidP="0068335F">
      <w:pPr>
        <w:numPr>
          <w:ilvl w:val="0"/>
          <w:numId w:val="31"/>
        </w:numPr>
        <w:tabs>
          <w:tab w:val="clear" w:pos="720"/>
          <w:tab w:val="num" w:pos="426"/>
        </w:tabs>
        <w:ind w:left="426" w:hanging="284"/>
        <w:jc w:val="both"/>
        <w:rPr>
          <w:rFonts w:cs="Arial"/>
          <w:sz w:val="22"/>
          <w:szCs w:val="22"/>
        </w:rPr>
      </w:pPr>
      <w:r w:rsidRPr="0068335F">
        <w:rPr>
          <w:rFonts w:cs="Arial"/>
          <w:sz w:val="22"/>
          <w:szCs w:val="22"/>
        </w:rPr>
        <w:t>Rediseño de la estructura orgánica.</w:t>
      </w:r>
    </w:p>
    <w:p w:rsidR="003B09E7" w:rsidRPr="0068335F" w:rsidRDefault="003B09E7" w:rsidP="0068335F">
      <w:pPr>
        <w:numPr>
          <w:ilvl w:val="0"/>
          <w:numId w:val="31"/>
        </w:numPr>
        <w:tabs>
          <w:tab w:val="clear" w:pos="720"/>
          <w:tab w:val="num" w:pos="426"/>
        </w:tabs>
        <w:ind w:left="426" w:hanging="284"/>
        <w:jc w:val="both"/>
        <w:rPr>
          <w:rFonts w:cs="Arial"/>
          <w:sz w:val="22"/>
          <w:szCs w:val="22"/>
        </w:rPr>
      </w:pPr>
      <w:r w:rsidRPr="0068335F">
        <w:rPr>
          <w:rFonts w:cs="Arial"/>
          <w:sz w:val="22"/>
          <w:szCs w:val="22"/>
        </w:rPr>
        <w:t>Determinación de la nueva funcionalidad en cada unidad estructural.</w:t>
      </w:r>
    </w:p>
    <w:p w:rsidR="003B09E7" w:rsidRPr="0068335F" w:rsidRDefault="003B09E7" w:rsidP="0068335F">
      <w:pPr>
        <w:numPr>
          <w:ilvl w:val="0"/>
          <w:numId w:val="31"/>
        </w:numPr>
        <w:tabs>
          <w:tab w:val="clear" w:pos="720"/>
          <w:tab w:val="num" w:pos="426"/>
        </w:tabs>
        <w:ind w:left="426" w:hanging="284"/>
        <w:jc w:val="both"/>
        <w:rPr>
          <w:rFonts w:cs="Arial"/>
          <w:sz w:val="22"/>
          <w:szCs w:val="22"/>
        </w:rPr>
      </w:pPr>
      <w:r w:rsidRPr="0068335F">
        <w:rPr>
          <w:rFonts w:cs="Arial"/>
          <w:sz w:val="22"/>
          <w:szCs w:val="22"/>
        </w:rPr>
        <w:t>Implementación operativa de la nueva estructura.</w:t>
      </w:r>
    </w:p>
    <w:p w:rsidR="003B09E7" w:rsidRPr="0068335F" w:rsidRDefault="003B09E7" w:rsidP="0068335F">
      <w:pPr>
        <w:pStyle w:val="Textoindependiente2"/>
        <w:spacing w:line="240" w:lineRule="auto"/>
        <w:rPr>
          <w:szCs w:val="22"/>
        </w:rPr>
      </w:pPr>
    </w:p>
    <w:p w:rsidR="003B09E7" w:rsidRPr="0068335F" w:rsidRDefault="003B09E7" w:rsidP="0068335F">
      <w:pPr>
        <w:pStyle w:val="Textoindependiente2"/>
        <w:spacing w:line="240" w:lineRule="auto"/>
        <w:rPr>
          <w:szCs w:val="22"/>
        </w:rPr>
      </w:pPr>
      <w:r w:rsidRPr="0068335F">
        <w:rPr>
          <w:szCs w:val="22"/>
        </w:rPr>
        <w:t xml:space="preserve">La empresa contratista deberá aplicar una metodología específica de diseño basada en instrumentos que validen técnica y científicamente los resultados obtenidos en el estudio. La metodología deberá estar documentada en la literatura y haber probado su efectividad en otros trabajos similares. </w:t>
      </w:r>
    </w:p>
    <w:p w:rsidR="003B09E7" w:rsidRPr="0068335F" w:rsidRDefault="003B09E7" w:rsidP="0068335F">
      <w:pPr>
        <w:ind w:left="426"/>
        <w:jc w:val="both"/>
        <w:rPr>
          <w:rFonts w:cs="Arial"/>
          <w:sz w:val="22"/>
          <w:szCs w:val="22"/>
        </w:rPr>
      </w:pPr>
    </w:p>
    <w:p w:rsidR="003B09E7" w:rsidRPr="0068335F" w:rsidRDefault="003B09E7" w:rsidP="001E5C67">
      <w:pPr>
        <w:pStyle w:val="Prrafodelista"/>
        <w:numPr>
          <w:ilvl w:val="0"/>
          <w:numId w:val="33"/>
        </w:numPr>
        <w:ind w:left="284" w:hanging="284"/>
        <w:jc w:val="both"/>
        <w:rPr>
          <w:rFonts w:cs="Arial"/>
          <w:b/>
          <w:sz w:val="22"/>
          <w:szCs w:val="22"/>
        </w:rPr>
      </w:pPr>
      <w:r w:rsidRPr="0068335F">
        <w:rPr>
          <w:rFonts w:cs="Arial"/>
          <w:b/>
          <w:sz w:val="22"/>
          <w:szCs w:val="22"/>
        </w:rPr>
        <w:t>Objetivos:</w:t>
      </w:r>
    </w:p>
    <w:p w:rsidR="003B09E7" w:rsidRPr="0068335F" w:rsidRDefault="003B09E7" w:rsidP="0068335F">
      <w:pPr>
        <w:pStyle w:val="Prrafodelista"/>
        <w:ind w:left="1080"/>
        <w:jc w:val="both"/>
        <w:rPr>
          <w:rFonts w:cs="Arial"/>
          <w:b/>
          <w:sz w:val="22"/>
          <w:szCs w:val="22"/>
        </w:rPr>
      </w:pPr>
    </w:p>
    <w:p w:rsidR="003B09E7" w:rsidRPr="0068335F" w:rsidRDefault="003B09E7" w:rsidP="0068335F">
      <w:pPr>
        <w:jc w:val="both"/>
        <w:rPr>
          <w:sz w:val="22"/>
          <w:szCs w:val="22"/>
        </w:rPr>
      </w:pPr>
      <w:r w:rsidRPr="0068335F">
        <w:rPr>
          <w:sz w:val="22"/>
          <w:szCs w:val="22"/>
        </w:rPr>
        <w:t>El trabajo comprende alcanzar tres objetivos:</w:t>
      </w:r>
    </w:p>
    <w:p w:rsidR="00271A9D" w:rsidRDefault="00271A9D" w:rsidP="0068335F">
      <w:pPr>
        <w:jc w:val="both"/>
        <w:rPr>
          <w:rFonts w:cs="Arial"/>
          <w:sz w:val="22"/>
          <w:szCs w:val="22"/>
        </w:rPr>
      </w:pPr>
    </w:p>
    <w:p w:rsidR="003B09E7" w:rsidRPr="0068335F" w:rsidRDefault="003B09E7" w:rsidP="0068335F">
      <w:pPr>
        <w:jc w:val="both"/>
        <w:rPr>
          <w:rFonts w:cs="Arial"/>
          <w:sz w:val="22"/>
          <w:szCs w:val="22"/>
        </w:rPr>
      </w:pPr>
      <w:r w:rsidRPr="0068335F">
        <w:rPr>
          <w:rFonts w:cs="Arial"/>
          <w:sz w:val="22"/>
          <w:szCs w:val="22"/>
        </w:rPr>
        <w:t>a) Desarrollar un diagnóstico institucional de la situación actual del Sistema Financiero Nacional de la Vivienda (SFNV), valorando las fortalezas y debilidades, con respecto al cumplimiento de los objetivos y misión del BANHVI.</w:t>
      </w:r>
    </w:p>
    <w:p w:rsidR="003B09E7" w:rsidRPr="0068335F" w:rsidRDefault="003B09E7" w:rsidP="0068335F">
      <w:pPr>
        <w:jc w:val="both"/>
        <w:rPr>
          <w:rFonts w:cs="Arial"/>
          <w:sz w:val="22"/>
          <w:szCs w:val="22"/>
        </w:rPr>
      </w:pPr>
    </w:p>
    <w:p w:rsidR="003B09E7" w:rsidRPr="0068335F" w:rsidRDefault="003B09E7" w:rsidP="0068335F">
      <w:pPr>
        <w:jc w:val="both"/>
        <w:rPr>
          <w:rFonts w:cs="Arial"/>
          <w:sz w:val="22"/>
          <w:szCs w:val="22"/>
        </w:rPr>
      </w:pPr>
      <w:r w:rsidRPr="0068335F">
        <w:rPr>
          <w:rFonts w:cs="Arial"/>
          <w:sz w:val="22"/>
          <w:szCs w:val="22"/>
        </w:rPr>
        <w:t>b) Desarrollar una propuesta de estructura organizativa que permita al BANHVI cumplir mejor con su misión, realizar un cambio organizacional, así como mejorar su eficacia y eficiencia.</w:t>
      </w:r>
    </w:p>
    <w:p w:rsidR="003B09E7" w:rsidRPr="0068335F" w:rsidRDefault="003B09E7" w:rsidP="0068335F">
      <w:pPr>
        <w:jc w:val="both"/>
        <w:rPr>
          <w:rFonts w:cs="Arial"/>
          <w:sz w:val="22"/>
          <w:szCs w:val="22"/>
        </w:rPr>
      </w:pPr>
    </w:p>
    <w:p w:rsidR="003B09E7" w:rsidRPr="0068335F" w:rsidRDefault="003B09E7" w:rsidP="0068335F">
      <w:pPr>
        <w:jc w:val="both"/>
        <w:rPr>
          <w:sz w:val="22"/>
          <w:szCs w:val="22"/>
        </w:rPr>
      </w:pPr>
      <w:r w:rsidRPr="0068335F">
        <w:rPr>
          <w:rFonts w:cs="Arial"/>
          <w:sz w:val="22"/>
          <w:szCs w:val="22"/>
        </w:rPr>
        <w:t xml:space="preserve">c) </w:t>
      </w:r>
      <w:r w:rsidRPr="0068335F">
        <w:rPr>
          <w:sz w:val="22"/>
          <w:szCs w:val="22"/>
        </w:rPr>
        <w:t xml:space="preserve">Definición y determinación de misión, objetivos, funciones, responsabilidades, procesos y resultados esperados en cada Unidad de la estructura organizacional propuesta. </w:t>
      </w:r>
      <w:r w:rsidRPr="0068335F">
        <w:rPr>
          <w:rFonts w:cs="Arial"/>
          <w:sz w:val="22"/>
          <w:szCs w:val="22"/>
        </w:rPr>
        <w:t>Ajustando y especializando las funciones del BANHVI al marco de la nueva estructura, a fin de lograr una mayor coordinación e integración de las políticas y de los esfuerzos públicos y privados.</w:t>
      </w:r>
    </w:p>
    <w:p w:rsidR="003B09E7" w:rsidRPr="0068335F" w:rsidRDefault="003B09E7" w:rsidP="0068335F">
      <w:pPr>
        <w:jc w:val="both"/>
        <w:rPr>
          <w:rFonts w:cs="Arial"/>
          <w:sz w:val="22"/>
          <w:szCs w:val="22"/>
        </w:rPr>
      </w:pPr>
    </w:p>
    <w:p w:rsidR="003B09E7" w:rsidRPr="0068335F" w:rsidRDefault="003B09E7" w:rsidP="0068335F">
      <w:pPr>
        <w:jc w:val="both"/>
        <w:rPr>
          <w:rFonts w:cs="Arial"/>
          <w:sz w:val="22"/>
          <w:szCs w:val="22"/>
        </w:rPr>
      </w:pPr>
      <w:r w:rsidRPr="0068335F">
        <w:rPr>
          <w:rFonts w:cs="Arial"/>
          <w:sz w:val="22"/>
          <w:szCs w:val="22"/>
        </w:rPr>
        <w:t>Se tiene la necesidad de iniciar un proceso de diagnóstico profundo, que nos lleve a una modernización que abarque primero la estructura y funcionalidad en la institución, para posteriormente ajustar el manual de procedimientos (administración por procesos) y el manual de puestos debidamente integrado a la estructura y función de las diferentes unidades que resulten definidas.</w:t>
      </w:r>
    </w:p>
    <w:p w:rsidR="003B09E7" w:rsidRPr="0068335F" w:rsidRDefault="003B09E7" w:rsidP="0068335F">
      <w:pPr>
        <w:jc w:val="both"/>
        <w:rPr>
          <w:rFonts w:cs="Arial"/>
          <w:sz w:val="22"/>
          <w:szCs w:val="22"/>
        </w:rPr>
      </w:pPr>
    </w:p>
    <w:p w:rsidR="003B09E7" w:rsidRPr="0068335F" w:rsidRDefault="003B09E7" w:rsidP="001E5C67">
      <w:pPr>
        <w:pStyle w:val="Prrafodelista"/>
        <w:numPr>
          <w:ilvl w:val="0"/>
          <w:numId w:val="33"/>
        </w:numPr>
        <w:ind w:left="284" w:hanging="284"/>
        <w:jc w:val="both"/>
        <w:rPr>
          <w:rFonts w:cs="Arial"/>
          <w:b/>
          <w:sz w:val="22"/>
          <w:szCs w:val="22"/>
        </w:rPr>
      </w:pPr>
      <w:r w:rsidRPr="0068335F">
        <w:rPr>
          <w:rFonts w:cs="Arial"/>
          <w:b/>
          <w:sz w:val="22"/>
          <w:szCs w:val="22"/>
        </w:rPr>
        <w:t>Servicios a contratar:</w:t>
      </w:r>
    </w:p>
    <w:p w:rsidR="003B09E7" w:rsidRPr="0068335F" w:rsidRDefault="003B09E7" w:rsidP="0068335F">
      <w:pPr>
        <w:jc w:val="both"/>
        <w:rPr>
          <w:rFonts w:cs="Arial"/>
          <w:sz w:val="22"/>
          <w:szCs w:val="22"/>
          <w:u w:val="single"/>
        </w:rPr>
      </w:pPr>
    </w:p>
    <w:p w:rsidR="003B09E7" w:rsidRDefault="003B09E7" w:rsidP="0068335F">
      <w:pPr>
        <w:jc w:val="both"/>
        <w:rPr>
          <w:sz w:val="22"/>
          <w:szCs w:val="22"/>
        </w:rPr>
      </w:pPr>
      <w:r w:rsidRPr="0068335F">
        <w:rPr>
          <w:sz w:val="22"/>
          <w:szCs w:val="22"/>
        </w:rPr>
        <w:t>Contratación de servicios profesionales de una empresa especializada en el área de análisis de la estructura y funcionalidad de organizaciones para que con arreglo a los objetivos de esta contratación desarrolle lo siguiente:</w:t>
      </w:r>
    </w:p>
    <w:p w:rsidR="0068335F" w:rsidRPr="0068335F" w:rsidRDefault="0068335F" w:rsidP="0068335F">
      <w:pPr>
        <w:jc w:val="both"/>
        <w:rPr>
          <w:sz w:val="22"/>
          <w:szCs w:val="22"/>
        </w:rPr>
      </w:pPr>
    </w:p>
    <w:p w:rsidR="003B09E7" w:rsidRPr="0068335F" w:rsidRDefault="003B09E7" w:rsidP="0068335F">
      <w:pPr>
        <w:jc w:val="both"/>
        <w:rPr>
          <w:rFonts w:cs="Arial"/>
          <w:b/>
          <w:i/>
          <w:sz w:val="22"/>
          <w:szCs w:val="22"/>
        </w:rPr>
      </w:pPr>
      <w:r w:rsidRPr="0068335F">
        <w:rPr>
          <w:rFonts w:cs="Arial"/>
          <w:b/>
          <w:i/>
          <w:sz w:val="22"/>
          <w:szCs w:val="22"/>
          <w:u w:val="single"/>
        </w:rPr>
        <w:t>Primera Etapa:</w:t>
      </w:r>
    </w:p>
    <w:p w:rsidR="003B09E7" w:rsidRPr="0068335F" w:rsidRDefault="003B09E7" w:rsidP="0068335F">
      <w:pPr>
        <w:jc w:val="both"/>
        <w:rPr>
          <w:rFonts w:cs="Arial"/>
          <w:sz w:val="22"/>
          <w:szCs w:val="22"/>
        </w:rPr>
      </w:pPr>
    </w:p>
    <w:p w:rsidR="003B09E7" w:rsidRPr="0068335F" w:rsidRDefault="003B09E7" w:rsidP="001E5C67">
      <w:pPr>
        <w:pStyle w:val="Prrafodelista"/>
        <w:numPr>
          <w:ilvl w:val="0"/>
          <w:numId w:val="34"/>
        </w:numPr>
        <w:ind w:left="284" w:hanging="284"/>
        <w:jc w:val="both"/>
        <w:rPr>
          <w:sz w:val="22"/>
          <w:szCs w:val="22"/>
        </w:rPr>
      </w:pPr>
      <w:r w:rsidRPr="0068335F">
        <w:rPr>
          <w:rFonts w:cs="Arial"/>
          <w:sz w:val="22"/>
          <w:szCs w:val="22"/>
        </w:rPr>
        <w:t xml:space="preserve">Desarrollar un diagnóstico del SFNV que permita valorar la situación actual del BANHVI, valorando fortalezas y debilidades en el desempeño de las funciones actuales, con respecto a mejorar el cumplimiento de los objetivos que le da la Ley 7052 a la Institución; </w:t>
      </w:r>
      <w:r w:rsidRPr="0068335F">
        <w:rPr>
          <w:sz w:val="22"/>
          <w:szCs w:val="22"/>
        </w:rPr>
        <w:t>así como, analizar los aspectos relacionados con la sanidad de la estructura orgánica.  Se deberá tomar en cuenta el proceso administrativo, presupuesto, marco normativo, gestión de riesgos estratégicos, estrategia actual, cultura corporativa, clima, organizacional, imagen del BANHVI y otras que se consideren relevantes.</w:t>
      </w:r>
    </w:p>
    <w:p w:rsidR="003B09E7" w:rsidRPr="0068335F" w:rsidRDefault="003B09E7" w:rsidP="001E5C67">
      <w:pPr>
        <w:pStyle w:val="Prrafodelista"/>
        <w:ind w:left="284"/>
        <w:jc w:val="both"/>
        <w:rPr>
          <w:sz w:val="22"/>
          <w:szCs w:val="22"/>
        </w:rPr>
      </w:pPr>
    </w:p>
    <w:p w:rsidR="003B09E7" w:rsidRPr="0068335F" w:rsidRDefault="003B09E7" w:rsidP="001E5C67">
      <w:pPr>
        <w:pStyle w:val="Prrafodelista"/>
        <w:ind w:left="284"/>
        <w:jc w:val="both"/>
        <w:rPr>
          <w:rFonts w:eastAsia="Calibri"/>
          <w:sz w:val="22"/>
          <w:szCs w:val="22"/>
        </w:rPr>
      </w:pPr>
      <w:r w:rsidRPr="0068335F">
        <w:rPr>
          <w:sz w:val="22"/>
          <w:szCs w:val="22"/>
        </w:rPr>
        <w:t xml:space="preserve">El diagnóstico se desarrolla en todo el SFNV, debido a que se reconoce que el trabajo institucional, es una cadena de valor interna y externa; por tal motivo se pretende desarrollar un proceso de ingeniería inversa que permita realizar un diagnóstico profundo del accionar del BANHVI. </w:t>
      </w:r>
      <w:r w:rsidRPr="0068335F">
        <w:rPr>
          <w:rFonts w:eastAsia="Calibri"/>
          <w:sz w:val="22"/>
          <w:szCs w:val="22"/>
        </w:rPr>
        <w:t xml:space="preserve">El punto de partida de la ingeniería inversa serán los objetivos identificados en el punto II de este documento. Poniendo énfasis en la reducción de la complejidad del sistema, facilitando el mantenimiento del mismo. </w:t>
      </w:r>
    </w:p>
    <w:p w:rsidR="003B09E7" w:rsidRPr="002D6F6D" w:rsidRDefault="003B09E7" w:rsidP="00EB0DC0">
      <w:pPr>
        <w:jc w:val="center"/>
        <w:rPr>
          <w:rFonts w:cs="Arial"/>
          <w:sz w:val="22"/>
          <w:u w:val="single"/>
        </w:rPr>
      </w:pPr>
      <w:r w:rsidRPr="00E709C7">
        <w:rPr>
          <w:noProof/>
          <w:lang w:val="es-CR" w:eastAsia="es-CR"/>
        </w:rPr>
        <w:drawing>
          <wp:inline distT="0" distB="0" distL="0" distR="0" wp14:anchorId="4BB2E5A3" wp14:editId="29206B65">
            <wp:extent cx="4867275" cy="3552825"/>
            <wp:effectExtent l="0" t="0" r="9525" b="9525"/>
            <wp:docPr id="1" name="Imagen 1" descr="Macintosh HD:Users:angiemontielmunoz:Desktop:Modernización Banhvi.jpg"/>
            <wp:cNvGraphicFramePr/>
            <a:graphic xmlns:a="http://schemas.openxmlformats.org/drawingml/2006/main">
              <a:graphicData uri="http://schemas.openxmlformats.org/drawingml/2006/picture">
                <pic:pic xmlns:pic="http://schemas.openxmlformats.org/drawingml/2006/picture">
                  <pic:nvPicPr>
                    <pic:cNvPr id="1" name="Imagen 1" descr="Macintosh HD:Users:angiemontielmunoz:Desktop:Modernización Banhvi.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3552825"/>
                    </a:xfrm>
                    <a:prstGeom prst="rect">
                      <a:avLst/>
                    </a:prstGeom>
                    <a:noFill/>
                    <a:ln>
                      <a:noFill/>
                    </a:ln>
                  </pic:spPr>
                </pic:pic>
              </a:graphicData>
            </a:graphic>
          </wp:inline>
        </w:drawing>
      </w:r>
    </w:p>
    <w:p w:rsidR="003B09E7" w:rsidRPr="003B09E7" w:rsidRDefault="003B09E7" w:rsidP="003B09E7">
      <w:pPr>
        <w:ind w:left="705"/>
        <w:jc w:val="both"/>
        <w:rPr>
          <w:rFonts w:cs="Arial"/>
          <w:sz w:val="22"/>
          <w:szCs w:val="22"/>
        </w:rPr>
      </w:pPr>
      <w:r w:rsidRPr="003B09E7">
        <w:rPr>
          <w:rFonts w:cs="Arial"/>
          <w:sz w:val="22"/>
          <w:szCs w:val="22"/>
        </w:rPr>
        <w:t>Nota: Podrían identificarse otros productos no indicados en el gráfico anterior.</w:t>
      </w:r>
    </w:p>
    <w:p w:rsidR="003B09E7" w:rsidRPr="003B09E7" w:rsidRDefault="003B09E7" w:rsidP="003B09E7">
      <w:pPr>
        <w:jc w:val="both"/>
        <w:rPr>
          <w:rFonts w:cs="Arial"/>
          <w:sz w:val="22"/>
          <w:szCs w:val="22"/>
        </w:rPr>
      </w:pPr>
    </w:p>
    <w:p w:rsidR="003B09E7" w:rsidRPr="003B09E7" w:rsidRDefault="003B09E7" w:rsidP="001E5C67">
      <w:pPr>
        <w:ind w:left="284"/>
        <w:jc w:val="both"/>
        <w:rPr>
          <w:rFonts w:cs="Arial"/>
          <w:sz w:val="22"/>
          <w:szCs w:val="22"/>
        </w:rPr>
      </w:pPr>
      <w:bookmarkStart w:id="0" w:name="_Hlk9584116"/>
      <w:r w:rsidRPr="003B09E7">
        <w:rPr>
          <w:rFonts w:cs="Arial"/>
          <w:sz w:val="22"/>
          <w:szCs w:val="22"/>
        </w:rPr>
        <w:t xml:space="preserve">De la estructura actual se han señalado algunos temas, que deberán ser abordados con propiedad en el proceso de diagnóstico, ya que </w:t>
      </w:r>
      <w:r w:rsidRPr="003B09E7">
        <w:rPr>
          <w:snapToGrid w:val="0"/>
          <w:sz w:val="22"/>
          <w:szCs w:val="22"/>
        </w:rPr>
        <w:t>le ha ido restando capacidad de gestión</w:t>
      </w:r>
      <w:r w:rsidRPr="003B09E7">
        <w:rPr>
          <w:rFonts w:cs="Arial"/>
          <w:sz w:val="22"/>
          <w:szCs w:val="22"/>
        </w:rPr>
        <w:t>, temas que justifican desarrollar un proceso de cambio organizacional:</w:t>
      </w:r>
    </w:p>
    <w:bookmarkEnd w:id="0"/>
    <w:p w:rsidR="003B09E7" w:rsidRPr="003B09E7" w:rsidRDefault="003B09E7" w:rsidP="003B09E7">
      <w:pPr>
        <w:ind w:left="705"/>
        <w:jc w:val="both"/>
        <w:rPr>
          <w:rFonts w:cs="Arial"/>
          <w:sz w:val="22"/>
          <w:szCs w:val="22"/>
        </w:rPr>
      </w:pPr>
    </w:p>
    <w:p w:rsidR="003B09E7" w:rsidRPr="003B09E7"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rPr>
        <w:t>Duplicidad de funciones entre la Subgerencia Operativa y la Dirección FOSUVI, y entre la Subgerencia Financiera y la Dirección FONAVI.</w:t>
      </w:r>
    </w:p>
    <w:p w:rsidR="003B09E7" w:rsidRPr="003B09E7"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rPr>
        <w:t>La Dirección de Supervisión de Entidades Autorizadas no agrega valor a la misión institucional.</w:t>
      </w:r>
    </w:p>
    <w:p w:rsidR="003B09E7" w:rsidRPr="003B09E7"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rPr>
        <w:t>Poca supervisión a las Entidades Autorizadas en el cumplimiento de la normativa del SFNV.</w:t>
      </w:r>
    </w:p>
    <w:p w:rsidR="003B09E7" w:rsidRPr="003B09E7"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rPr>
        <w:t>El BANHVI realiza funciones del primer piso, cuando es una entidad de segundo piso.</w:t>
      </w:r>
    </w:p>
    <w:p w:rsidR="003B09E7" w:rsidRPr="003B09E7"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rPr>
        <w:t>Sobre regulación existente en los procesos de aprobación (exceso de trámites). No se cumple a cabalidad con la Ley 8220.</w:t>
      </w:r>
    </w:p>
    <w:p w:rsidR="003B09E7" w:rsidRPr="003B09E7"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rPr>
        <w:t>Poco acompañamiento de la institución ante entidades de gobierno (trámites de construcción)</w:t>
      </w:r>
    </w:p>
    <w:p w:rsidR="003B09E7" w:rsidRPr="003B09E7"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rPr>
        <w:t>No se funciona como una cadena de valor, se cree que es una institución de financiamiento.</w:t>
      </w:r>
    </w:p>
    <w:p w:rsidR="008451C1"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rPr>
        <w:t>No ha logrado</w:t>
      </w:r>
      <w:r w:rsidR="008451C1">
        <w:rPr>
          <w:rFonts w:cs="Arial"/>
          <w:sz w:val="22"/>
          <w:szCs w:val="22"/>
        </w:rPr>
        <w:t>:</w:t>
      </w:r>
    </w:p>
    <w:p w:rsidR="003B09E7" w:rsidRPr="003B09E7" w:rsidRDefault="008451C1" w:rsidP="00DB0A28">
      <w:pPr>
        <w:numPr>
          <w:ilvl w:val="0"/>
          <w:numId w:val="38"/>
        </w:numPr>
        <w:tabs>
          <w:tab w:val="clear" w:pos="720"/>
          <w:tab w:val="num" w:pos="851"/>
        </w:tabs>
        <w:ind w:left="851" w:hanging="218"/>
        <w:jc w:val="both"/>
        <w:rPr>
          <w:rFonts w:cs="Arial"/>
          <w:sz w:val="22"/>
          <w:szCs w:val="22"/>
        </w:rPr>
      </w:pPr>
      <w:r>
        <w:rPr>
          <w:rFonts w:cs="Arial"/>
          <w:sz w:val="22"/>
          <w:szCs w:val="22"/>
        </w:rPr>
        <w:t>U</w:t>
      </w:r>
      <w:r w:rsidR="003B09E7" w:rsidRPr="003B09E7">
        <w:rPr>
          <w:rFonts w:cs="Arial"/>
          <w:sz w:val="22"/>
          <w:szCs w:val="22"/>
        </w:rPr>
        <w:t>n avance significativo en la erradicación de precarios y asentamientos humanos.</w:t>
      </w:r>
    </w:p>
    <w:p w:rsidR="003B09E7" w:rsidRPr="003B09E7" w:rsidRDefault="008451C1" w:rsidP="00DB0A28">
      <w:pPr>
        <w:numPr>
          <w:ilvl w:val="0"/>
          <w:numId w:val="38"/>
        </w:numPr>
        <w:tabs>
          <w:tab w:val="clear" w:pos="720"/>
          <w:tab w:val="num" w:pos="851"/>
        </w:tabs>
        <w:ind w:left="851" w:hanging="218"/>
        <w:jc w:val="both"/>
        <w:rPr>
          <w:rFonts w:cs="Arial"/>
          <w:sz w:val="22"/>
          <w:szCs w:val="22"/>
        </w:rPr>
      </w:pPr>
      <w:r>
        <w:rPr>
          <w:rFonts w:cs="Arial"/>
          <w:sz w:val="22"/>
          <w:szCs w:val="22"/>
        </w:rPr>
        <w:t>E</w:t>
      </w:r>
      <w:r w:rsidR="003B09E7" w:rsidRPr="003B09E7">
        <w:rPr>
          <w:rFonts w:cs="Arial"/>
          <w:sz w:val="22"/>
          <w:szCs w:val="22"/>
        </w:rPr>
        <w:t>l desarrollo vertical de vivienda social en el GAM.</w:t>
      </w:r>
    </w:p>
    <w:p w:rsidR="003B09E7" w:rsidRPr="003B09E7" w:rsidRDefault="008451C1" w:rsidP="00DB0A28">
      <w:pPr>
        <w:numPr>
          <w:ilvl w:val="0"/>
          <w:numId w:val="38"/>
        </w:numPr>
        <w:tabs>
          <w:tab w:val="clear" w:pos="720"/>
          <w:tab w:val="num" w:pos="851"/>
        </w:tabs>
        <w:ind w:left="851" w:hanging="218"/>
        <w:jc w:val="both"/>
        <w:rPr>
          <w:rFonts w:cs="Arial"/>
          <w:sz w:val="22"/>
          <w:szCs w:val="22"/>
        </w:rPr>
      </w:pPr>
      <w:r>
        <w:rPr>
          <w:rFonts w:cs="Arial"/>
          <w:sz w:val="22"/>
          <w:szCs w:val="22"/>
          <w:lang w:eastAsia="es-CR"/>
        </w:rPr>
        <w:t>A</w:t>
      </w:r>
      <w:r w:rsidR="003B09E7" w:rsidRPr="003B09E7">
        <w:rPr>
          <w:rFonts w:cs="Arial"/>
          <w:sz w:val="22"/>
          <w:szCs w:val="22"/>
          <w:lang w:eastAsia="es-CR"/>
        </w:rPr>
        <w:t>tender con propiedad a familias con ingresos de 1.5 a 3 salarios mínimos (clase media baja) que no cuentan con lote propio.</w:t>
      </w:r>
    </w:p>
    <w:p w:rsidR="003B09E7" w:rsidRPr="003B09E7" w:rsidRDefault="008451C1" w:rsidP="00DB0A28">
      <w:pPr>
        <w:numPr>
          <w:ilvl w:val="0"/>
          <w:numId w:val="38"/>
        </w:numPr>
        <w:tabs>
          <w:tab w:val="clear" w:pos="720"/>
          <w:tab w:val="num" w:pos="851"/>
        </w:tabs>
        <w:ind w:left="851" w:hanging="218"/>
        <w:jc w:val="both"/>
        <w:rPr>
          <w:rFonts w:cs="Arial"/>
          <w:sz w:val="22"/>
          <w:szCs w:val="22"/>
        </w:rPr>
      </w:pPr>
      <w:r>
        <w:rPr>
          <w:rFonts w:cs="Arial"/>
          <w:sz w:val="22"/>
          <w:szCs w:val="22"/>
          <w:lang w:eastAsia="es-CR"/>
        </w:rPr>
        <w:t>A</w:t>
      </w:r>
      <w:r w:rsidR="003B09E7" w:rsidRPr="003B09E7">
        <w:rPr>
          <w:rFonts w:cs="Arial"/>
          <w:sz w:val="22"/>
          <w:szCs w:val="22"/>
          <w:lang w:eastAsia="es-CR"/>
        </w:rPr>
        <w:t>tender la problemática de las viviendas en: hacinamiento, regular y mal estado, así como las que se encuentran en buenas condiciones, pero tienen algún elemento regular o malo.</w:t>
      </w:r>
    </w:p>
    <w:p w:rsidR="003B09E7" w:rsidRPr="003B09E7" w:rsidRDefault="003B09E7" w:rsidP="00DB0A28">
      <w:pPr>
        <w:numPr>
          <w:ilvl w:val="0"/>
          <w:numId w:val="38"/>
        </w:numPr>
        <w:tabs>
          <w:tab w:val="clear" w:pos="720"/>
          <w:tab w:val="num" w:pos="851"/>
        </w:tabs>
        <w:ind w:left="851" w:hanging="218"/>
        <w:jc w:val="both"/>
        <w:rPr>
          <w:rFonts w:cs="Arial"/>
          <w:sz w:val="22"/>
          <w:szCs w:val="22"/>
        </w:rPr>
      </w:pPr>
      <w:r w:rsidRPr="003B09E7">
        <w:rPr>
          <w:rFonts w:cs="Arial"/>
          <w:sz w:val="22"/>
          <w:szCs w:val="22"/>
          <w:lang w:eastAsia="es-CR"/>
        </w:rPr>
        <w:t>Contar con procesos y procedimientos eficientes y eficaces para la gestión y aprobación de proyectos de vivienda.</w:t>
      </w:r>
    </w:p>
    <w:p w:rsidR="003B09E7" w:rsidRPr="003B09E7" w:rsidRDefault="008451C1" w:rsidP="00DB0A28">
      <w:pPr>
        <w:numPr>
          <w:ilvl w:val="0"/>
          <w:numId w:val="38"/>
        </w:numPr>
        <w:tabs>
          <w:tab w:val="clear" w:pos="720"/>
          <w:tab w:val="num" w:pos="851"/>
        </w:tabs>
        <w:ind w:left="851" w:hanging="218"/>
        <w:jc w:val="both"/>
        <w:rPr>
          <w:rFonts w:cs="Arial"/>
          <w:sz w:val="22"/>
          <w:szCs w:val="22"/>
        </w:rPr>
      </w:pPr>
      <w:r>
        <w:rPr>
          <w:rFonts w:cs="Arial"/>
          <w:sz w:val="22"/>
          <w:szCs w:val="22"/>
          <w:lang w:eastAsia="es-CR"/>
        </w:rPr>
        <w:t>P</w:t>
      </w:r>
      <w:r w:rsidRPr="003B09E7">
        <w:rPr>
          <w:rFonts w:cs="Arial"/>
          <w:sz w:val="22"/>
          <w:szCs w:val="22"/>
          <w:lang w:eastAsia="es-CR"/>
        </w:rPr>
        <w:t>roveer</w:t>
      </w:r>
      <w:r>
        <w:rPr>
          <w:rFonts w:cs="Arial"/>
          <w:sz w:val="22"/>
          <w:szCs w:val="22"/>
          <w:lang w:eastAsia="es-CR"/>
        </w:rPr>
        <w:t>,</w:t>
      </w:r>
      <w:r w:rsidRPr="003B09E7">
        <w:rPr>
          <w:rFonts w:cs="Arial"/>
          <w:sz w:val="22"/>
          <w:szCs w:val="22"/>
          <w:lang w:eastAsia="es-CR"/>
        </w:rPr>
        <w:t xml:space="preserve"> </w:t>
      </w:r>
      <w:r>
        <w:rPr>
          <w:rFonts w:cs="Arial"/>
          <w:sz w:val="22"/>
          <w:szCs w:val="22"/>
          <w:lang w:eastAsia="es-CR"/>
        </w:rPr>
        <w:t>c</w:t>
      </w:r>
      <w:r w:rsidR="003B09E7" w:rsidRPr="003B09E7">
        <w:rPr>
          <w:rFonts w:cs="Arial"/>
          <w:sz w:val="22"/>
          <w:szCs w:val="22"/>
          <w:lang w:eastAsia="es-CR"/>
        </w:rPr>
        <w:t>on la totalidad de los recursos de FONAVI, recursos de menos costo posible para financiar Programas de Vivienda o carteras diferentes, según el ingreso de los diferentes grupos familiares, en tal forma que las condiciones de financiación que fije para los grupos de mayor ingreso permitan al F</w:t>
      </w:r>
      <w:r w:rsidR="0065199A">
        <w:rPr>
          <w:rFonts w:cs="Arial"/>
          <w:sz w:val="22"/>
          <w:szCs w:val="22"/>
          <w:lang w:eastAsia="es-CR"/>
        </w:rPr>
        <w:t>ondo</w:t>
      </w:r>
      <w:r w:rsidR="003B09E7" w:rsidRPr="003B09E7">
        <w:rPr>
          <w:rFonts w:cs="Arial"/>
          <w:sz w:val="22"/>
          <w:szCs w:val="22"/>
          <w:lang w:eastAsia="es-CR"/>
        </w:rPr>
        <w:t> obtener en conjunto, un rendimiento neto apropiado, que asegure su permanencia y su adecuado crecimiento.</w:t>
      </w:r>
    </w:p>
    <w:p w:rsidR="003B09E7" w:rsidRPr="003B09E7" w:rsidRDefault="003B09E7" w:rsidP="00DB0A28">
      <w:pPr>
        <w:numPr>
          <w:ilvl w:val="0"/>
          <w:numId w:val="38"/>
        </w:numPr>
        <w:tabs>
          <w:tab w:val="clear" w:pos="720"/>
          <w:tab w:val="num" w:pos="851"/>
        </w:tabs>
        <w:ind w:left="851" w:hanging="218"/>
        <w:jc w:val="both"/>
        <w:rPr>
          <w:rFonts w:cs="Arial"/>
          <w:sz w:val="22"/>
          <w:szCs w:val="22"/>
        </w:rPr>
      </w:pPr>
      <w:r w:rsidRPr="003B09E7">
        <w:rPr>
          <w:rFonts w:cs="Arial"/>
          <w:sz w:val="22"/>
          <w:szCs w:val="22"/>
          <w:lang w:eastAsia="es-CR"/>
        </w:rPr>
        <w:t xml:space="preserve">Contar con un programa permanente de </w:t>
      </w:r>
      <w:r w:rsidR="00D50820">
        <w:rPr>
          <w:rFonts w:cs="Arial"/>
          <w:sz w:val="22"/>
          <w:szCs w:val="22"/>
          <w:lang w:eastAsia="es-CR"/>
        </w:rPr>
        <w:t>c</w:t>
      </w:r>
      <w:r w:rsidRPr="003B09E7">
        <w:rPr>
          <w:rFonts w:cs="Arial"/>
          <w:sz w:val="22"/>
          <w:szCs w:val="22"/>
          <w:lang w:eastAsia="es-CR"/>
        </w:rPr>
        <w:t>apacitación y asesoría a las Entidades Autorizadas</w:t>
      </w:r>
    </w:p>
    <w:p w:rsidR="003B09E7" w:rsidRPr="003B09E7" w:rsidRDefault="003B09E7" w:rsidP="00DB0A28">
      <w:pPr>
        <w:numPr>
          <w:ilvl w:val="0"/>
          <w:numId w:val="38"/>
        </w:numPr>
        <w:tabs>
          <w:tab w:val="clear" w:pos="720"/>
          <w:tab w:val="num" w:pos="851"/>
        </w:tabs>
        <w:ind w:left="851" w:hanging="218"/>
        <w:jc w:val="both"/>
        <w:rPr>
          <w:rFonts w:cs="Arial"/>
          <w:sz w:val="22"/>
          <w:szCs w:val="22"/>
        </w:rPr>
      </w:pPr>
      <w:r w:rsidRPr="003B09E7">
        <w:rPr>
          <w:rFonts w:cs="Arial"/>
          <w:sz w:val="22"/>
          <w:szCs w:val="22"/>
          <w:lang w:eastAsia="es-CR"/>
        </w:rPr>
        <w:t>Entender la importancia del sector privado en el proceso de facilitar la vivienda a las familias.</w:t>
      </w:r>
    </w:p>
    <w:p w:rsidR="003B09E7" w:rsidRPr="003B09E7" w:rsidRDefault="003B09E7" w:rsidP="00DB0A28">
      <w:pPr>
        <w:numPr>
          <w:ilvl w:val="0"/>
          <w:numId w:val="38"/>
        </w:numPr>
        <w:tabs>
          <w:tab w:val="clear" w:pos="720"/>
          <w:tab w:val="num" w:pos="851"/>
        </w:tabs>
        <w:ind w:left="851" w:hanging="218"/>
        <w:jc w:val="both"/>
        <w:rPr>
          <w:rFonts w:cs="Arial"/>
          <w:sz w:val="22"/>
          <w:szCs w:val="22"/>
        </w:rPr>
      </w:pPr>
      <w:r w:rsidRPr="003B09E7">
        <w:rPr>
          <w:rFonts w:cs="Arial"/>
          <w:sz w:val="22"/>
          <w:szCs w:val="22"/>
          <w:lang w:eastAsia="es-CR"/>
        </w:rPr>
        <w:t>El funcionamiento eficiente de diversos programas de vivienda. Ejemplo: ABC, Bono Diferido, Vivienda Patio, etc. </w:t>
      </w:r>
    </w:p>
    <w:p w:rsidR="003B09E7" w:rsidRPr="003B09E7" w:rsidRDefault="003B09E7" w:rsidP="00DB0A28">
      <w:pPr>
        <w:numPr>
          <w:ilvl w:val="0"/>
          <w:numId w:val="38"/>
        </w:numPr>
        <w:tabs>
          <w:tab w:val="clear" w:pos="720"/>
          <w:tab w:val="num" w:pos="851"/>
        </w:tabs>
        <w:ind w:left="851" w:hanging="218"/>
        <w:jc w:val="both"/>
        <w:rPr>
          <w:rFonts w:cs="Arial"/>
          <w:sz w:val="22"/>
          <w:szCs w:val="22"/>
        </w:rPr>
      </w:pPr>
      <w:r w:rsidRPr="003B09E7">
        <w:rPr>
          <w:rFonts w:cs="Arial"/>
          <w:sz w:val="22"/>
          <w:szCs w:val="22"/>
          <w:lang w:eastAsia="es-CR"/>
        </w:rPr>
        <w:t>Comunicar adecuadamente a la población el concepto del subsidio, los programas y mecanismos para acceder a los mismos.</w:t>
      </w:r>
    </w:p>
    <w:p w:rsidR="003B09E7" w:rsidRPr="003B09E7" w:rsidRDefault="008451C1" w:rsidP="00DB0A28">
      <w:pPr>
        <w:numPr>
          <w:ilvl w:val="0"/>
          <w:numId w:val="38"/>
        </w:numPr>
        <w:tabs>
          <w:tab w:val="clear" w:pos="720"/>
          <w:tab w:val="num" w:pos="851"/>
        </w:tabs>
        <w:ind w:left="851" w:hanging="218"/>
        <w:jc w:val="both"/>
        <w:rPr>
          <w:rFonts w:cs="Arial"/>
          <w:sz w:val="22"/>
          <w:szCs w:val="22"/>
        </w:rPr>
      </w:pPr>
      <w:r>
        <w:rPr>
          <w:rFonts w:cs="Arial"/>
          <w:sz w:val="22"/>
          <w:szCs w:val="22"/>
          <w:lang w:eastAsia="es-CR"/>
        </w:rPr>
        <w:t>Un a</w:t>
      </w:r>
      <w:r w:rsidR="003B09E7" w:rsidRPr="003B09E7">
        <w:rPr>
          <w:rFonts w:cs="Arial"/>
          <w:sz w:val="22"/>
          <w:szCs w:val="22"/>
          <w:lang w:eastAsia="es-CR"/>
        </w:rPr>
        <w:t>bordaje social de la problemática de asentamientos informales, antes, durante y después de que las familias habitan las viviendas nuevas.</w:t>
      </w:r>
    </w:p>
    <w:p w:rsidR="003B09E7" w:rsidRPr="003B09E7" w:rsidRDefault="008451C1" w:rsidP="00DB0A28">
      <w:pPr>
        <w:numPr>
          <w:ilvl w:val="0"/>
          <w:numId w:val="38"/>
        </w:numPr>
        <w:tabs>
          <w:tab w:val="clear" w:pos="720"/>
          <w:tab w:val="num" w:pos="851"/>
        </w:tabs>
        <w:ind w:left="851" w:hanging="218"/>
        <w:jc w:val="both"/>
        <w:rPr>
          <w:rFonts w:cs="Arial"/>
          <w:sz w:val="22"/>
          <w:szCs w:val="22"/>
        </w:rPr>
      </w:pPr>
      <w:r>
        <w:rPr>
          <w:rFonts w:cs="Arial"/>
          <w:sz w:val="22"/>
          <w:szCs w:val="22"/>
          <w:lang w:eastAsia="es-CR"/>
        </w:rPr>
        <w:t>Un a</w:t>
      </w:r>
      <w:r w:rsidR="003B09E7" w:rsidRPr="003B09E7">
        <w:rPr>
          <w:rFonts w:cs="Arial"/>
          <w:sz w:val="22"/>
          <w:szCs w:val="22"/>
          <w:lang w:eastAsia="es-CR"/>
        </w:rPr>
        <w:t>bordaje de la figura jurídica de condominio para las familias de extrema necesidad.</w:t>
      </w:r>
    </w:p>
    <w:p w:rsidR="003B09E7" w:rsidRPr="003B09E7" w:rsidRDefault="008451C1" w:rsidP="00DB0A28">
      <w:pPr>
        <w:numPr>
          <w:ilvl w:val="0"/>
          <w:numId w:val="38"/>
        </w:numPr>
        <w:tabs>
          <w:tab w:val="clear" w:pos="720"/>
          <w:tab w:val="num" w:pos="851"/>
        </w:tabs>
        <w:ind w:left="851" w:hanging="218"/>
        <w:jc w:val="both"/>
        <w:rPr>
          <w:rFonts w:cs="Arial"/>
          <w:sz w:val="22"/>
          <w:szCs w:val="22"/>
        </w:rPr>
      </w:pPr>
      <w:r>
        <w:rPr>
          <w:rFonts w:cs="Arial"/>
          <w:sz w:val="22"/>
          <w:szCs w:val="22"/>
          <w:lang w:eastAsia="es-CR"/>
        </w:rPr>
        <w:t>U</w:t>
      </w:r>
      <w:r w:rsidR="003B09E7" w:rsidRPr="003B09E7">
        <w:rPr>
          <w:rFonts w:cs="Arial"/>
          <w:sz w:val="22"/>
          <w:szCs w:val="22"/>
          <w:lang w:eastAsia="es-CR"/>
        </w:rPr>
        <w:t>n abordaje directo con la gestión de la política pública de vivienda definida por el MIVAH.</w:t>
      </w:r>
    </w:p>
    <w:p w:rsidR="003B09E7" w:rsidRPr="003B09E7"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lang w:eastAsia="es-CR"/>
        </w:rPr>
        <w:t>Debilidad en la gestión de riesgos estratégicos.</w:t>
      </w:r>
    </w:p>
    <w:p w:rsidR="003B09E7" w:rsidRPr="003B09E7"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lang w:eastAsia="es-CR"/>
        </w:rPr>
        <w:t>No se incrementa el impacto del SFNV cada año.</w:t>
      </w:r>
    </w:p>
    <w:p w:rsidR="003B09E7" w:rsidRPr="003B09E7" w:rsidRDefault="003B09E7" w:rsidP="001E5C67">
      <w:pPr>
        <w:numPr>
          <w:ilvl w:val="0"/>
          <w:numId w:val="32"/>
        </w:numPr>
        <w:tabs>
          <w:tab w:val="clear" w:pos="720"/>
          <w:tab w:val="num" w:pos="567"/>
        </w:tabs>
        <w:ind w:left="567" w:hanging="284"/>
        <w:jc w:val="both"/>
        <w:rPr>
          <w:rFonts w:cs="Arial"/>
          <w:sz w:val="22"/>
          <w:szCs w:val="22"/>
        </w:rPr>
      </w:pPr>
      <w:r w:rsidRPr="003B09E7">
        <w:rPr>
          <w:rFonts w:cs="Arial"/>
          <w:sz w:val="22"/>
          <w:szCs w:val="22"/>
          <w:lang w:eastAsia="es-CR"/>
        </w:rPr>
        <w:t>No hay mecanismos para medir el cambio social.</w:t>
      </w:r>
    </w:p>
    <w:p w:rsidR="003B09E7" w:rsidRPr="003B09E7" w:rsidRDefault="003B09E7" w:rsidP="003B09E7">
      <w:pPr>
        <w:jc w:val="both"/>
        <w:rPr>
          <w:rFonts w:cs="Arial"/>
          <w:sz w:val="22"/>
          <w:szCs w:val="22"/>
          <w:lang w:eastAsia="es-CR"/>
        </w:rPr>
      </w:pPr>
    </w:p>
    <w:p w:rsidR="003B09E7" w:rsidRPr="003B09E7" w:rsidRDefault="003B09E7" w:rsidP="001E5C67">
      <w:pPr>
        <w:ind w:left="284"/>
        <w:jc w:val="both"/>
        <w:rPr>
          <w:rFonts w:cs="Arial"/>
          <w:sz w:val="22"/>
          <w:szCs w:val="22"/>
        </w:rPr>
      </w:pPr>
      <w:r w:rsidRPr="003B09E7">
        <w:rPr>
          <w:rFonts w:cs="Arial"/>
          <w:sz w:val="22"/>
          <w:szCs w:val="22"/>
        </w:rPr>
        <w:t>Igualmente, de la estructura actual se han señalado temas de relevancia que hoy dicha estructura no aborda, que deberán entonces ser estudiados para lograr su abordaje en la nueva estructura:</w:t>
      </w:r>
    </w:p>
    <w:p w:rsidR="003B09E7" w:rsidRPr="003B09E7" w:rsidRDefault="003B09E7" w:rsidP="003B09E7">
      <w:pPr>
        <w:jc w:val="both"/>
        <w:rPr>
          <w:rFonts w:cs="Arial"/>
          <w:sz w:val="22"/>
          <w:szCs w:val="22"/>
        </w:rPr>
      </w:pPr>
    </w:p>
    <w:p w:rsidR="003B09E7" w:rsidRPr="0068335F" w:rsidRDefault="003B09E7" w:rsidP="00993CF8">
      <w:pPr>
        <w:numPr>
          <w:ilvl w:val="0"/>
          <w:numId w:val="35"/>
        </w:numPr>
        <w:tabs>
          <w:tab w:val="left" w:pos="851"/>
        </w:tabs>
        <w:ind w:left="851" w:hanging="142"/>
        <w:jc w:val="both"/>
        <w:rPr>
          <w:rFonts w:cs="Arial"/>
          <w:sz w:val="22"/>
          <w:szCs w:val="22"/>
        </w:rPr>
      </w:pPr>
      <w:r w:rsidRPr="0068335F">
        <w:rPr>
          <w:rFonts w:cs="Arial"/>
          <w:sz w:val="22"/>
          <w:szCs w:val="22"/>
        </w:rPr>
        <w:t>Inexistencia de programas de financiamiento para la clase media baja.</w:t>
      </w:r>
    </w:p>
    <w:p w:rsidR="003B09E7" w:rsidRPr="0068335F" w:rsidRDefault="003B09E7" w:rsidP="00993CF8">
      <w:pPr>
        <w:pStyle w:val="Prrafodelista"/>
        <w:numPr>
          <w:ilvl w:val="0"/>
          <w:numId w:val="35"/>
        </w:numPr>
        <w:shd w:val="clear" w:color="auto" w:fill="FFFFFF"/>
        <w:tabs>
          <w:tab w:val="left" w:pos="851"/>
        </w:tabs>
        <w:ind w:left="851" w:hanging="142"/>
        <w:rPr>
          <w:rFonts w:cs="Arial"/>
          <w:sz w:val="22"/>
          <w:szCs w:val="22"/>
        </w:rPr>
      </w:pPr>
      <w:r w:rsidRPr="0068335F">
        <w:rPr>
          <w:rFonts w:cs="Arial"/>
          <w:sz w:val="22"/>
          <w:szCs w:val="22"/>
        </w:rPr>
        <w:t>Renovación Urbana.</w:t>
      </w:r>
    </w:p>
    <w:p w:rsidR="003B09E7" w:rsidRPr="0068335F" w:rsidRDefault="003B09E7" w:rsidP="00993CF8">
      <w:pPr>
        <w:numPr>
          <w:ilvl w:val="0"/>
          <w:numId w:val="35"/>
        </w:numPr>
        <w:tabs>
          <w:tab w:val="left" w:pos="851"/>
        </w:tabs>
        <w:ind w:left="851" w:hanging="142"/>
        <w:jc w:val="both"/>
        <w:rPr>
          <w:rFonts w:cs="Arial"/>
          <w:sz w:val="22"/>
          <w:szCs w:val="22"/>
        </w:rPr>
      </w:pPr>
      <w:r w:rsidRPr="0068335F">
        <w:rPr>
          <w:rFonts w:cs="Arial"/>
          <w:sz w:val="22"/>
          <w:szCs w:val="22"/>
        </w:rPr>
        <w:t>Incentivar el ahorro interno como el medio más importante para lograr la solución del problema habitacional.</w:t>
      </w:r>
    </w:p>
    <w:p w:rsidR="003B09E7" w:rsidRPr="0068335F" w:rsidRDefault="003B09E7" w:rsidP="00993CF8">
      <w:pPr>
        <w:pStyle w:val="Prrafodelista"/>
        <w:numPr>
          <w:ilvl w:val="0"/>
          <w:numId w:val="35"/>
        </w:numPr>
        <w:shd w:val="clear" w:color="auto" w:fill="FFFFFF"/>
        <w:tabs>
          <w:tab w:val="left" w:pos="851"/>
        </w:tabs>
        <w:ind w:left="851" w:hanging="142"/>
        <w:rPr>
          <w:rFonts w:cs="Arial"/>
          <w:sz w:val="22"/>
          <w:szCs w:val="22"/>
        </w:rPr>
      </w:pPr>
      <w:r w:rsidRPr="0068335F">
        <w:rPr>
          <w:rFonts w:cs="Arial"/>
          <w:sz w:val="22"/>
          <w:szCs w:val="22"/>
        </w:rPr>
        <w:t>Vivienda en Alquiler. (Leasing Habitacional)</w:t>
      </w:r>
    </w:p>
    <w:p w:rsidR="003B09E7" w:rsidRPr="0068335F" w:rsidRDefault="003B09E7" w:rsidP="00993CF8">
      <w:pPr>
        <w:pStyle w:val="Prrafodelista"/>
        <w:numPr>
          <w:ilvl w:val="0"/>
          <w:numId w:val="35"/>
        </w:numPr>
        <w:shd w:val="clear" w:color="auto" w:fill="FFFFFF"/>
        <w:tabs>
          <w:tab w:val="left" w:pos="851"/>
        </w:tabs>
        <w:ind w:left="851" w:hanging="142"/>
        <w:rPr>
          <w:rFonts w:cs="Arial"/>
          <w:sz w:val="22"/>
          <w:szCs w:val="22"/>
        </w:rPr>
      </w:pPr>
      <w:r w:rsidRPr="0068335F">
        <w:rPr>
          <w:rFonts w:cs="Arial"/>
          <w:sz w:val="22"/>
          <w:szCs w:val="22"/>
        </w:rPr>
        <w:t>Programas de Vivienda Especiales que tomen en cuenta las diversas características y condiciones de la población a atender. Entre éstos están la: reconstrucción después de una Emergencia, los asentamientos informales, la vivienda colectiva para Adulto mayor.</w:t>
      </w:r>
    </w:p>
    <w:p w:rsidR="003B09E7" w:rsidRPr="0068335F" w:rsidRDefault="003B09E7" w:rsidP="00993CF8">
      <w:pPr>
        <w:pStyle w:val="Prrafodelista"/>
        <w:numPr>
          <w:ilvl w:val="0"/>
          <w:numId w:val="35"/>
        </w:numPr>
        <w:shd w:val="clear" w:color="auto" w:fill="FFFFFF"/>
        <w:tabs>
          <w:tab w:val="left" w:pos="851"/>
        </w:tabs>
        <w:ind w:left="851" w:hanging="142"/>
        <w:rPr>
          <w:rFonts w:cs="Arial"/>
          <w:sz w:val="22"/>
          <w:szCs w:val="22"/>
        </w:rPr>
      </w:pPr>
      <w:r w:rsidRPr="0068335F">
        <w:rPr>
          <w:rFonts w:cs="Arial"/>
          <w:sz w:val="22"/>
          <w:szCs w:val="22"/>
        </w:rPr>
        <w:t>Tampoco cuenta con un Fondo de garantía para respaldar los créditos que las Entidades Autorizadas otorgan a las familias.</w:t>
      </w:r>
    </w:p>
    <w:p w:rsidR="003B09E7" w:rsidRPr="0068335F" w:rsidRDefault="003B09E7" w:rsidP="00993CF8">
      <w:pPr>
        <w:numPr>
          <w:ilvl w:val="0"/>
          <w:numId w:val="35"/>
        </w:numPr>
        <w:tabs>
          <w:tab w:val="left" w:pos="851"/>
        </w:tabs>
        <w:ind w:left="851" w:hanging="142"/>
        <w:jc w:val="both"/>
        <w:rPr>
          <w:rFonts w:cs="Arial"/>
          <w:sz w:val="22"/>
          <w:szCs w:val="22"/>
        </w:rPr>
      </w:pPr>
      <w:r w:rsidRPr="0068335F">
        <w:rPr>
          <w:rFonts w:cs="Arial"/>
          <w:sz w:val="22"/>
          <w:szCs w:val="22"/>
        </w:rPr>
        <w:t>Incentivar la inversión nacional.</w:t>
      </w:r>
    </w:p>
    <w:p w:rsidR="003B09E7" w:rsidRPr="0068335F" w:rsidRDefault="003B09E7" w:rsidP="00993CF8">
      <w:pPr>
        <w:numPr>
          <w:ilvl w:val="0"/>
          <w:numId w:val="35"/>
        </w:numPr>
        <w:tabs>
          <w:tab w:val="left" w:pos="851"/>
        </w:tabs>
        <w:ind w:left="851" w:hanging="142"/>
        <w:jc w:val="both"/>
        <w:rPr>
          <w:rFonts w:cs="Arial"/>
          <w:sz w:val="22"/>
          <w:szCs w:val="22"/>
        </w:rPr>
      </w:pPr>
      <w:r w:rsidRPr="0068335F">
        <w:rPr>
          <w:rFonts w:cs="Arial"/>
          <w:sz w:val="22"/>
          <w:szCs w:val="22"/>
        </w:rPr>
        <w:t>Promover, desarrollar y estabilizar el mercado secundario de hipotecas.</w:t>
      </w:r>
    </w:p>
    <w:p w:rsidR="003B09E7" w:rsidRPr="0068335F" w:rsidRDefault="003B09E7" w:rsidP="00993CF8">
      <w:pPr>
        <w:numPr>
          <w:ilvl w:val="0"/>
          <w:numId w:val="35"/>
        </w:numPr>
        <w:tabs>
          <w:tab w:val="left" w:pos="851"/>
        </w:tabs>
        <w:ind w:left="851" w:hanging="142"/>
        <w:jc w:val="both"/>
        <w:rPr>
          <w:rFonts w:cs="Arial"/>
          <w:sz w:val="22"/>
          <w:szCs w:val="22"/>
        </w:rPr>
      </w:pPr>
      <w:r w:rsidRPr="0068335F">
        <w:rPr>
          <w:rFonts w:cs="Arial"/>
          <w:sz w:val="22"/>
          <w:szCs w:val="22"/>
        </w:rPr>
        <w:t>Promover desarrollar y estabilizar el mercado secundario de títulos valores en el campo de la vivienda.</w:t>
      </w:r>
    </w:p>
    <w:p w:rsidR="003B09E7" w:rsidRPr="0068335F" w:rsidRDefault="003B09E7" w:rsidP="00993CF8">
      <w:pPr>
        <w:numPr>
          <w:ilvl w:val="0"/>
          <w:numId w:val="35"/>
        </w:numPr>
        <w:tabs>
          <w:tab w:val="left" w:pos="851"/>
        </w:tabs>
        <w:ind w:left="851" w:hanging="142"/>
        <w:jc w:val="both"/>
        <w:rPr>
          <w:rFonts w:cs="Arial"/>
          <w:sz w:val="22"/>
          <w:szCs w:val="22"/>
        </w:rPr>
      </w:pPr>
      <w:r w:rsidRPr="0068335F">
        <w:rPr>
          <w:rFonts w:cs="Arial"/>
          <w:sz w:val="22"/>
          <w:szCs w:val="22"/>
        </w:rPr>
        <w:t>Contratar empréstitos en moneda nacional o extranjera dentro y fuera del país.</w:t>
      </w:r>
    </w:p>
    <w:p w:rsidR="003B09E7" w:rsidRPr="003B09E7" w:rsidRDefault="003B09E7" w:rsidP="003B09E7">
      <w:pPr>
        <w:jc w:val="both"/>
        <w:rPr>
          <w:rFonts w:cs="Arial"/>
          <w:sz w:val="22"/>
          <w:szCs w:val="22"/>
        </w:rPr>
      </w:pPr>
    </w:p>
    <w:p w:rsidR="003B09E7" w:rsidRPr="003B09E7" w:rsidRDefault="003B09E7" w:rsidP="0073697E">
      <w:pPr>
        <w:pStyle w:val="Prrafodelista"/>
        <w:numPr>
          <w:ilvl w:val="0"/>
          <w:numId w:val="34"/>
        </w:numPr>
        <w:ind w:left="426" w:hanging="437"/>
        <w:jc w:val="both"/>
        <w:rPr>
          <w:sz w:val="22"/>
          <w:szCs w:val="22"/>
        </w:rPr>
      </w:pPr>
      <w:r w:rsidRPr="003B09E7">
        <w:rPr>
          <w:rFonts w:cs="Arial"/>
          <w:sz w:val="22"/>
          <w:szCs w:val="22"/>
        </w:rPr>
        <w:t>Desarrollar una propuesta de una nueva estructura organizativa, que permita al BANHVI mejorar la gestión institucional y</w:t>
      </w:r>
      <w:r w:rsidRPr="003B09E7">
        <w:rPr>
          <w:sz w:val="22"/>
          <w:szCs w:val="22"/>
        </w:rPr>
        <w:t xml:space="preserve"> que responda a las necesidades estratégicas de su misión y objetivos en el contexto nacional. Es importante señalar, que se debe estudiar también las buenas prácticas que existen a nivel internacional en el abordaje de las soluciones al problema de vivienda social.</w:t>
      </w:r>
    </w:p>
    <w:p w:rsidR="003B09E7" w:rsidRPr="003B09E7" w:rsidRDefault="003B09E7" w:rsidP="0073697E">
      <w:pPr>
        <w:pStyle w:val="Prrafodelista"/>
        <w:ind w:left="426" w:hanging="437"/>
        <w:jc w:val="both"/>
        <w:rPr>
          <w:sz w:val="22"/>
          <w:szCs w:val="22"/>
        </w:rPr>
      </w:pPr>
    </w:p>
    <w:p w:rsidR="003B09E7" w:rsidRPr="003B09E7" w:rsidRDefault="003B09E7" w:rsidP="00032E9A">
      <w:pPr>
        <w:pStyle w:val="Prrafodelista"/>
        <w:ind w:left="426"/>
        <w:jc w:val="both"/>
        <w:rPr>
          <w:sz w:val="22"/>
          <w:szCs w:val="22"/>
        </w:rPr>
      </w:pPr>
      <w:r w:rsidRPr="003B09E7">
        <w:rPr>
          <w:sz w:val="22"/>
          <w:szCs w:val="22"/>
        </w:rPr>
        <w:t xml:space="preserve">Es necesario volver a anotar, que estudios de </w:t>
      </w:r>
      <w:r w:rsidR="00032E9A" w:rsidRPr="003B09E7">
        <w:rPr>
          <w:sz w:val="22"/>
          <w:szCs w:val="22"/>
        </w:rPr>
        <w:t>auditorías</w:t>
      </w:r>
      <w:r w:rsidRPr="003B09E7">
        <w:rPr>
          <w:sz w:val="22"/>
          <w:szCs w:val="22"/>
        </w:rPr>
        <w:t xml:space="preserve"> externas y del levantamiento de procesos han señalado, que no encuentran una diferenciación funcional entre las Subgerencias Operativa y Financiera con las Direcciones FOSUVI </w:t>
      </w:r>
      <w:r w:rsidR="004E4F0F">
        <w:rPr>
          <w:sz w:val="22"/>
          <w:szCs w:val="22"/>
        </w:rPr>
        <w:t>y</w:t>
      </w:r>
      <w:r w:rsidRPr="003B09E7">
        <w:rPr>
          <w:sz w:val="22"/>
          <w:szCs w:val="22"/>
        </w:rPr>
        <w:t xml:space="preserve"> FONAVI respectivamente; además, de que no encuentran que la Dirección de Supervisión, agrega valor a la institución, por ende, no encuentran la necesidad de tener rango de dirección.</w:t>
      </w:r>
    </w:p>
    <w:p w:rsidR="003B09E7" w:rsidRPr="003B09E7" w:rsidRDefault="003B09E7" w:rsidP="00032E9A">
      <w:pPr>
        <w:pStyle w:val="Prrafodelista"/>
        <w:ind w:left="426"/>
        <w:jc w:val="both"/>
        <w:rPr>
          <w:sz w:val="22"/>
          <w:szCs w:val="22"/>
        </w:rPr>
      </w:pPr>
    </w:p>
    <w:p w:rsidR="003B09E7" w:rsidRPr="003B09E7" w:rsidRDefault="003B09E7" w:rsidP="00032E9A">
      <w:pPr>
        <w:pStyle w:val="Prrafodelista"/>
        <w:ind w:left="426"/>
        <w:jc w:val="both"/>
        <w:rPr>
          <w:sz w:val="22"/>
          <w:szCs w:val="22"/>
        </w:rPr>
      </w:pPr>
      <w:r w:rsidRPr="003B09E7">
        <w:rPr>
          <w:sz w:val="22"/>
          <w:szCs w:val="22"/>
        </w:rPr>
        <w:t>A continuación, el organigrama actual:</w:t>
      </w:r>
    </w:p>
    <w:p w:rsidR="003B09E7" w:rsidRPr="003B09E7" w:rsidRDefault="003B09E7" w:rsidP="003B09E7">
      <w:pPr>
        <w:pStyle w:val="Prrafodelista"/>
        <w:jc w:val="both"/>
        <w:rPr>
          <w:sz w:val="22"/>
          <w:szCs w:val="22"/>
        </w:rPr>
      </w:pPr>
    </w:p>
    <w:p w:rsidR="003B09E7" w:rsidRPr="003B09E7" w:rsidRDefault="003B09E7" w:rsidP="003B09E7">
      <w:pPr>
        <w:pStyle w:val="Prrafodelista"/>
        <w:jc w:val="both"/>
        <w:rPr>
          <w:sz w:val="22"/>
          <w:szCs w:val="22"/>
        </w:rPr>
      </w:pPr>
    </w:p>
    <w:p w:rsidR="003B09E7" w:rsidRDefault="003B09E7" w:rsidP="003B09E7">
      <w:pPr>
        <w:pStyle w:val="Prrafodelista"/>
        <w:jc w:val="both"/>
      </w:pPr>
      <w:r>
        <w:rPr>
          <w:noProof/>
          <w:lang w:val="es-CR" w:eastAsia="es-CR"/>
        </w:rPr>
        <w:drawing>
          <wp:inline distT="0" distB="0" distL="0" distR="0" wp14:anchorId="04FCEDE5" wp14:editId="763F21C9">
            <wp:extent cx="5162550" cy="3724275"/>
            <wp:effectExtent l="0" t="0" r="0" b="0"/>
            <wp:docPr id="7" name="Imagen 6" descr="organigrama"/>
            <wp:cNvGraphicFramePr/>
            <a:graphic xmlns:a="http://schemas.openxmlformats.org/drawingml/2006/main">
              <a:graphicData uri="http://schemas.openxmlformats.org/drawingml/2006/picture">
                <pic:pic xmlns:pic="http://schemas.openxmlformats.org/drawingml/2006/picture">
                  <pic:nvPicPr>
                    <pic:cNvPr id="7" name="Imagen 6" descr="organigrama"/>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4303" cy="3725539"/>
                    </a:xfrm>
                    <a:prstGeom prst="rect">
                      <a:avLst/>
                    </a:prstGeom>
                    <a:noFill/>
                    <a:ln>
                      <a:noFill/>
                    </a:ln>
                  </pic:spPr>
                </pic:pic>
              </a:graphicData>
            </a:graphic>
          </wp:inline>
        </w:drawing>
      </w:r>
    </w:p>
    <w:p w:rsidR="003B09E7" w:rsidRPr="007D3C9A" w:rsidRDefault="003B09E7" w:rsidP="003B09E7">
      <w:pPr>
        <w:jc w:val="both"/>
      </w:pPr>
    </w:p>
    <w:p w:rsidR="003B09E7" w:rsidRPr="003B09E7" w:rsidRDefault="003B09E7" w:rsidP="00032E9A">
      <w:pPr>
        <w:pStyle w:val="Textoindependiente2"/>
        <w:spacing w:line="240" w:lineRule="auto"/>
        <w:ind w:left="284"/>
        <w:rPr>
          <w:szCs w:val="22"/>
        </w:rPr>
      </w:pPr>
      <w:r w:rsidRPr="003B09E7">
        <w:rPr>
          <w:szCs w:val="22"/>
        </w:rPr>
        <w:t>La empresa deberá ajustarse a las normas, reglamentos y directrices establecidas por el Ministerio de Planificación y otras entidades competentes, tengan establecidas para este tipo de estudios de modernización institucional.</w:t>
      </w:r>
    </w:p>
    <w:p w:rsidR="003B09E7" w:rsidRPr="003B09E7" w:rsidRDefault="003B09E7" w:rsidP="00032E9A">
      <w:pPr>
        <w:pStyle w:val="Prrafodelista"/>
        <w:ind w:hanging="436"/>
        <w:jc w:val="both"/>
        <w:rPr>
          <w:sz w:val="22"/>
          <w:szCs w:val="22"/>
        </w:rPr>
      </w:pPr>
    </w:p>
    <w:p w:rsidR="003B09E7" w:rsidRPr="003B09E7" w:rsidRDefault="003B09E7" w:rsidP="00032E9A">
      <w:pPr>
        <w:pStyle w:val="Prrafodelista"/>
        <w:numPr>
          <w:ilvl w:val="0"/>
          <w:numId w:val="34"/>
        </w:numPr>
        <w:ind w:left="284" w:hanging="284"/>
        <w:jc w:val="both"/>
        <w:rPr>
          <w:sz w:val="22"/>
          <w:szCs w:val="22"/>
        </w:rPr>
      </w:pPr>
      <w:r w:rsidRPr="003B09E7">
        <w:rPr>
          <w:rFonts w:cs="Arial"/>
          <w:sz w:val="22"/>
          <w:szCs w:val="22"/>
        </w:rPr>
        <w:t>Ajustar y especializar las funciones del BANHVI, al marco de la nueva estructura, a fin de lograr una mayor coordinación e integración de las políticas y de los esfuerzos públicos y privados.</w:t>
      </w:r>
    </w:p>
    <w:p w:rsidR="003B09E7" w:rsidRPr="003B09E7" w:rsidRDefault="003B09E7" w:rsidP="003B09E7">
      <w:pPr>
        <w:jc w:val="both"/>
        <w:rPr>
          <w:sz w:val="22"/>
          <w:szCs w:val="22"/>
        </w:rPr>
      </w:pPr>
    </w:p>
    <w:p w:rsidR="003B09E7" w:rsidRPr="003B09E7" w:rsidRDefault="003B09E7" w:rsidP="003B09E7">
      <w:pPr>
        <w:jc w:val="both"/>
        <w:rPr>
          <w:rFonts w:cs="Arial"/>
          <w:b/>
          <w:i/>
          <w:sz w:val="22"/>
          <w:szCs w:val="22"/>
        </w:rPr>
      </w:pPr>
      <w:r w:rsidRPr="003B09E7">
        <w:rPr>
          <w:rFonts w:cs="Arial"/>
          <w:b/>
          <w:i/>
          <w:sz w:val="22"/>
          <w:szCs w:val="22"/>
          <w:u w:val="single"/>
        </w:rPr>
        <w:t>Segunda Etapa:</w:t>
      </w:r>
    </w:p>
    <w:p w:rsidR="003B09E7" w:rsidRPr="003B09E7" w:rsidRDefault="003B09E7" w:rsidP="003B09E7">
      <w:pPr>
        <w:jc w:val="both"/>
        <w:rPr>
          <w:sz w:val="22"/>
          <w:szCs w:val="22"/>
        </w:rPr>
      </w:pPr>
    </w:p>
    <w:p w:rsidR="003B09E7" w:rsidRPr="003B09E7" w:rsidRDefault="003B09E7" w:rsidP="00032E9A">
      <w:pPr>
        <w:pStyle w:val="Prrafodelista"/>
        <w:numPr>
          <w:ilvl w:val="0"/>
          <w:numId w:val="34"/>
        </w:numPr>
        <w:ind w:left="284" w:hanging="284"/>
        <w:jc w:val="both"/>
        <w:rPr>
          <w:sz w:val="22"/>
          <w:szCs w:val="22"/>
        </w:rPr>
      </w:pPr>
      <w:r w:rsidRPr="003B09E7">
        <w:rPr>
          <w:rFonts w:cs="Arial"/>
          <w:sz w:val="22"/>
          <w:szCs w:val="22"/>
        </w:rPr>
        <w:t>Hacer operativa la nueva estructura organizacional aprobada por MIDEPLAN.</w:t>
      </w:r>
    </w:p>
    <w:p w:rsidR="003B09E7" w:rsidRPr="003B09E7" w:rsidRDefault="003B09E7" w:rsidP="00032E9A">
      <w:pPr>
        <w:pStyle w:val="Prrafodelista"/>
        <w:numPr>
          <w:ilvl w:val="0"/>
          <w:numId w:val="34"/>
        </w:numPr>
        <w:ind w:left="284" w:hanging="284"/>
        <w:jc w:val="both"/>
        <w:rPr>
          <w:sz w:val="22"/>
          <w:szCs w:val="22"/>
        </w:rPr>
      </w:pPr>
      <w:r w:rsidRPr="003B09E7">
        <w:rPr>
          <w:rFonts w:cs="Arial"/>
          <w:sz w:val="22"/>
          <w:szCs w:val="22"/>
        </w:rPr>
        <w:t>Ajustar y especializar las funciones del BANHVI al marco de la nueva estructura organizacional.</w:t>
      </w:r>
    </w:p>
    <w:p w:rsidR="003B09E7" w:rsidRPr="003B09E7" w:rsidRDefault="003B09E7" w:rsidP="00032E9A">
      <w:pPr>
        <w:pStyle w:val="Prrafodelista"/>
        <w:numPr>
          <w:ilvl w:val="0"/>
          <w:numId w:val="34"/>
        </w:numPr>
        <w:ind w:left="284" w:hanging="284"/>
        <w:jc w:val="both"/>
        <w:rPr>
          <w:sz w:val="22"/>
          <w:szCs w:val="22"/>
        </w:rPr>
      </w:pPr>
      <w:r w:rsidRPr="003B09E7">
        <w:rPr>
          <w:rFonts w:cs="Arial"/>
          <w:sz w:val="22"/>
          <w:szCs w:val="22"/>
        </w:rPr>
        <w:t>Actualizar el manual de procedimientos (administración por procesos), el manual de puestos y su respectiva valorización para asegurar la máxima eficiencia en el desarrollo de las funciones.</w:t>
      </w:r>
    </w:p>
    <w:p w:rsidR="002B71CC" w:rsidRPr="001E5C67" w:rsidRDefault="003B09E7" w:rsidP="00574511">
      <w:pPr>
        <w:pStyle w:val="Prrafodelista"/>
        <w:numPr>
          <w:ilvl w:val="0"/>
          <w:numId w:val="34"/>
        </w:numPr>
        <w:ind w:left="284" w:hanging="284"/>
        <w:jc w:val="both"/>
        <w:rPr>
          <w:rFonts w:cs="Arial"/>
          <w:sz w:val="22"/>
          <w:szCs w:val="22"/>
        </w:rPr>
      </w:pPr>
      <w:r w:rsidRPr="001E5C67">
        <w:rPr>
          <w:rFonts w:cs="Arial"/>
          <w:sz w:val="22"/>
          <w:szCs w:val="22"/>
        </w:rPr>
        <w:t>Contar con información sobre los niveles de recurso humano necesarios en cada proceso de la nueva estructura organizacional.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174DAD" w:rsidRDefault="00174DAD"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911ABE" w:rsidRPr="00911ABE" w:rsidRDefault="00911ABE" w:rsidP="00366D10">
      <w:pPr>
        <w:spacing w:line="360" w:lineRule="auto"/>
        <w:jc w:val="both"/>
        <w:rPr>
          <w:rFonts w:cs="Arial"/>
          <w:sz w:val="22"/>
          <w:szCs w:val="22"/>
        </w:rPr>
      </w:pPr>
      <w:r>
        <w:rPr>
          <w:rFonts w:cs="Arial"/>
          <w:sz w:val="22"/>
          <w:szCs w:val="22"/>
        </w:rPr>
        <w:t xml:space="preserve">Remitir a la </w:t>
      </w:r>
      <w:r w:rsidRPr="00911ABE">
        <w:rPr>
          <w:rFonts w:cs="Arial"/>
          <w:sz w:val="22"/>
          <w:szCs w:val="22"/>
        </w:rPr>
        <w:t>Administración</w:t>
      </w:r>
      <w:r>
        <w:rPr>
          <w:rFonts w:cs="Arial"/>
          <w:sz w:val="22"/>
          <w:szCs w:val="22"/>
        </w:rPr>
        <w:t>,</w:t>
      </w:r>
      <w:r w:rsidRPr="00911ABE">
        <w:rPr>
          <w:rFonts w:cs="Arial"/>
          <w:sz w:val="22"/>
          <w:szCs w:val="22"/>
        </w:rPr>
        <w:t xml:space="preserve"> los </w:t>
      </w:r>
      <w:r>
        <w:rPr>
          <w:rFonts w:cs="Arial"/>
          <w:sz w:val="22"/>
          <w:szCs w:val="22"/>
        </w:rPr>
        <w:t xml:space="preserve">siguientes </w:t>
      </w:r>
      <w:r w:rsidRPr="00911ABE">
        <w:rPr>
          <w:rFonts w:cs="Arial"/>
          <w:sz w:val="22"/>
          <w:szCs w:val="22"/>
        </w:rPr>
        <w:t>lineamientos para la elaboración de los términos de referencia para el nombramiento del Gerente General.</w:t>
      </w:r>
      <w:r w:rsidR="00366D10">
        <w:rPr>
          <w:rFonts w:cs="Arial"/>
          <w:sz w:val="22"/>
          <w:szCs w:val="22"/>
        </w:rPr>
        <w:t xml:space="preserve">  </w:t>
      </w:r>
      <w:r w:rsidRPr="00911ABE">
        <w:rPr>
          <w:rFonts w:cs="Arial"/>
          <w:sz w:val="22"/>
          <w:szCs w:val="22"/>
        </w:rPr>
        <w:t>Se le solicita a la Administración, que en la elaboración de</w:t>
      </w:r>
      <w:r w:rsidR="00366D10">
        <w:rPr>
          <w:rFonts w:cs="Arial"/>
          <w:sz w:val="22"/>
          <w:szCs w:val="22"/>
        </w:rPr>
        <w:t>l respectivo</w:t>
      </w:r>
      <w:r w:rsidRPr="00911ABE">
        <w:rPr>
          <w:rFonts w:cs="Arial"/>
          <w:sz w:val="22"/>
          <w:szCs w:val="22"/>
        </w:rPr>
        <w:t xml:space="preserve"> cartel, considere el </w:t>
      </w:r>
      <w:r w:rsidR="00366D10">
        <w:rPr>
          <w:rFonts w:cs="Arial"/>
          <w:sz w:val="22"/>
          <w:szCs w:val="22"/>
        </w:rPr>
        <w:t>o</w:t>
      </w:r>
      <w:r w:rsidRPr="00911ABE">
        <w:rPr>
          <w:rFonts w:cs="Arial"/>
          <w:sz w:val="22"/>
          <w:szCs w:val="22"/>
        </w:rPr>
        <w:t>ficio AL-OF-031-2019 del 2 de mayo del 2019</w:t>
      </w:r>
      <w:r w:rsidR="00366D10">
        <w:rPr>
          <w:rFonts w:cs="Arial"/>
          <w:sz w:val="22"/>
          <w:szCs w:val="22"/>
        </w:rPr>
        <w:t xml:space="preserve">, de la </w:t>
      </w:r>
      <w:r w:rsidR="00366D10" w:rsidRPr="00366D10">
        <w:rPr>
          <w:rFonts w:cs="Arial"/>
          <w:sz w:val="22"/>
          <w:szCs w:val="22"/>
        </w:rPr>
        <w:t>Asesoría Legal</w:t>
      </w:r>
      <w:r w:rsidRPr="00911ABE">
        <w:rPr>
          <w:rFonts w:cs="Arial"/>
          <w:sz w:val="22"/>
          <w:szCs w:val="22"/>
        </w:rPr>
        <w:t>.</w:t>
      </w:r>
      <w:bookmarkStart w:id="1" w:name="_GoBack"/>
      <w:bookmarkEnd w:id="1"/>
    </w:p>
    <w:p w:rsidR="00911ABE" w:rsidRDefault="00911ABE" w:rsidP="00911ABE">
      <w:pPr>
        <w:spacing w:after="120"/>
        <w:jc w:val="both"/>
        <w:rPr>
          <w:rFonts w:cs="Arial"/>
          <w:b/>
          <w:sz w:val="22"/>
          <w:szCs w:val="22"/>
        </w:rPr>
      </w:pPr>
    </w:p>
    <w:p w:rsidR="00337E6E" w:rsidRDefault="00337E6E" w:rsidP="00273B68">
      <w:pPr>
        <w:spacing w:after="120"/>
        <w:jc w:val="both"/>
        <w:rPr>
          <w:rFonts w:cs="Arial"/>
          <w:b/>
          <w:sz w:val="22"/>
          <w:szCs w:val="22"/>
        </w:rPr>
      </w:pPr>
      <w:r w:rsidRPr="00911ABE">
        <w:rPr>
          <w:rFonts w:cs="Arial"/>
          <w:b/>
          <w:color w:val="000000"/>
          <w:sz w:val="22"/>
          <w:szCs w:val="22"/>
        </w:rPr>
        <w:t>Nombre del Puesto:</w:t>
      </w:r>
      <w:r>
        <w:rPr>
          <w:rFonts w:cs="Arial"/>
          <w:b/>
          <w:color w:val="000000"/>
          <w:sz w:val="22"/>
          <w:szCs w:val="22"/>
        </w:rPr>
        <w:t xml:space="preserve"> </w:t>
      </w:r>
      <w:r w:rsidRPr="00337E6E">
        <w:rPr>
          <w:rFonts w:cs="Arial"/>
          <w:color w:val="000000"/>
          <w:sz w:val="22"/>
          <w:szCs w:val="22"/>
        </w:rPr>
        <w:t>Gerente General</w:t>
      </w:r>
    </w:p>
    <w:p w:rsidR="00337E6E" w:rsidRDefault="00337E6E" w:rsidP="00273B68">
      <w:pPr>
        <w:spacing w:after="120"/>
        <w:jc w:val="both"/>
        <w:rPr>
          <w:rFonts w:cs="Arial"/>
          <w:b/>
          <w:sz w:val="22"/>
          <w:szCs w:val="22"/>
        </w:rPr>
      </w:pPr>
      <w:r w:rsidRPr="00911ABE">
        <w:rPr>
          <w:rFonts w:cs="Arial"/>
          <w:b/>
          <w:color w:val="000000"/>
          <w:sz w:val="22"/>
          <w:szCs w:val="22"/>
        </w:rPr>
        <w:t xml:space="preserve">Puesto del Jefe Inmediato: </w:t>
      </w:r>
      <w:r w:rsidRPr="00337E6E">
        <w:rPr>
          <w:rFonts w:cs="Arial"/>
          <w:color w:val="000000"/>
          <w:sz w:val="22"/>
          <w:szCs w:val="22"/>
        </w:rPr>
        <w:t>Junta Directiva</w:t>
      </w:r>
    </w:p>
    <w:p w:rsidR="00337E6E" w:rsidRDefault="00337E6E" w:rsidP="00273B68">
      <w:pPr>
        <w:spacing w:after="120"/>
        <w:jc w:val="both"/>
        <w:rPr>
          <w:rFonts w:cs="Arial"/>
          <w:b/>
          <w:sz w:val="22"/>
          <w:szCs w:val="22"/>
        </w:rPr>
      </w:pPr>
      <w:r w:rsidRPr="00911ABE">
        <w:rPr>
          <w:rFonts w:cs="Arial"/>
          <w:b/>
          <w:color w:val="000000"/>
          <w:sz w:val="22"/>
          <w:szCs w:val="22"/>
        </w:rPr>
        <w:t>Área:</w:t>
      </w:r>
      <w:r w:rsidRPr="00337E6E">
        <w:rPr>
          <w:rFonts w:cs="Arial"/>
          <w:b/>
          <w:color w:val="000000"/>
          <w:sz w:val="22"/>
          <w:szCs w:val="22"/>
        </w:rPr>
        <w:t xml:space="preserve"> </w:t>
      </w:r>
      <w:r w:rsidRPr="00337E6E">
        <w:rPr>
          <w:rFonts w:cs="Arial"/>
          <w:color w:val="000000"/>
          <w:sz w:val="22"/>
          <w:szCs w:val="22"/>
        </w:rPr>
        <w:t>Gerencia General</w:t>
      </w:r>
    </w:p>
    <w:p w:rsidR="00911ABE" w:rsidRPr="00911ABE" w:rsidRDefault="00911ABE" w:rsidP="00273B68">
      <w:pPr>
        <w:spacing w:after="120"/>
        <w:jc w:val="both"/>
        <w:rPr>
          <w:rFonts w:cs="Arial"/>
          <w:b/>
          <w:sz w:val="22"/>
          <w:szCs w:val="22"/>
        </w:rPr>
      </w:pPr>
    </w:p>
    <w:p w:rsidR="00911ABE" w:rsidRPr="00911ABE" w:rsidRDefault="00911ABE" w:rsidP="00926F91">
      <w:pPr>
        <w:jc w:val="both"/>
        <w:rPr>
          <w:rFonts w:cs="Arial"/>
          <w:b/>
          <w:sz w:val="22"/>
          <w:szCs w:val="22"/>
        </w:rPr>
      </w:pPr>
      <w:r w:rsidRPr="00911ABE">
        <w:rPr>
          <w:rFonts w:cs="Arial"/>
          <w:b/>
          <w:sz w:val="22"/>
          <w:szCs w:val="22"/>
        </w:rPr>
        <w:t>CONDICIONES Y COMPETENCIAS REQUERIDAS</w:t>
      </w:r>
    </w:p>
    <w:p w:rsidR="00911ABE" w:rsidRPr="008F3E15" w:rsidRDefault="00911ABE" w:rsidP="00926F91">
      <w:pPr>
        <w:jc w:val="both"/>
        <w:rPr>
          <w:rFonts w:cs="Arial"/>
          <w:sz w:val="22"/>
          <w:szCs w:val="22"/>
        </w:rPr>
      </w:pPr>
    </w:p>
    <w:p w:rsidR="00911ABE" w:rsidRPr="008F3E15" w:rsidRDefault="00911ABE" w:rsidP="00926F91">
      <w:pPr>
        <w:jc w:val="both"/>
        <w:rPr>
          <w:rFonts w:cs="Arial"/>
          <w:sz w:val="22"/>
          <w:szCs w:val="22"/>
        </w:rPr>
      </w:pPr>
      <w:r w:rsidRPr="008F3E15">
        <w:rPr>
          <w:rFonts w:cs="Arial"/>
          <w:sz w:val="22"/>
          <w:szCs w:val="22"/>
        </w:rPr>
        <w:t xml:space="preserve">La Gerencia General deberá ser ocupada por una persona profesional con conocimiento y experiencia en </w:t>
      </w:r>
      <w:r w:rsidRPr="008F3E15">
        <w:rPr>
          <w:rFonts w:cs="Arial"/>
          <w:sz w:val="22"/>
          <w:szCs w:val="22"/>
          <w:lang w:eastAsia="es-CR"/>
        </w:rPr>
        <w:t>economía, finanzas, banca o administración</w:t>
      </w:r>
      <w:r w:rsidRPr="008F3E15">
        <w:rPr>
          <w:rFonts w:cs="Arial"/>
          <w:sz w:val="22"/>
          <w:szCs w:val="22"/>
        </w:rPr>
        <w:t>; además, de tener conocimiento en el análisis y la implementación de políticas sociales dentro del Estado y en el financiamiento de programas y proyectos habitacionales, orientados a mejorar las condiciones de vida de la población sin acceso a una vivienda, en especial la de los sectores más vulnerables.</w:t>
      </w:r>
    </w:p>
    <w:p w:rsidR="00911ABE" w:rsidRPr="008F3E15" w:rsidRDefault="00911ABE" w:rsidP="00926F91">
      <w:pPr>
        <w:jc w:val="both"/>
        <w:rPr>
          <w:rFonts w:cs="Arial"/>
          <w:color w:val="000000"/>
          <w:sz w:val="22"/>
          <w:szCs w:val="22"/>
          <w:lang w:val="es-CR"/>
        </w:rPr>
      </w:pPr>
    </w:p>
    <w:p w:rsidR="00911ABE" w:rsidRPr="00911ABE" w:rsidRDefault="00911ABE" w:rsidP="00273B68">
      <w:pPr>
        <w:jc w:val="both"/>
        <w:rPr>
          <w:rFonts w:cs="Arial"/>
          <w:b/>
          <w:color w:val="000000"/>
          <w:sz w:val="22"/>
          <w:szCs w:val="22"/>
          <w:lang w:val="es-CR"/>
        </w:rPr>
      </w:pPr>
      <w:r w:rsidRPr="00911ABE">
        <w:rPr>
          <w:rFonts w:cs="Arial"/>
          <w:b/>
          <w:color w:val="000000"/>
          <w:sz w:val="22"/>
          <w:szCs w:val="22"/>
          <w:lang w:val="es-CR"/>
        </w:rPr>
        <w:t>Perfil del puesto:</w:t>
      </w:r>
    </w:p>
    <w:p w:rsidR="00911ABE" w:rsidRPr="00911ABE" w:rsidRDefault="00911ABE" w:rsidP="00273B68">
      <w:pPr>
        <w:jc w:val="both"/>
        <w:rPr>
          <w:rFonts w:cs="Arial"/>
          <w:b/>
          <w:color w:val="000000"/>
          <w:sz w:val="22"/>
          <w:szCs w:val="22"/>
          <w:lang w:val="es-CR"/>
        </w:rPr>
      </w:pPr>
    </w:p>
    <w:p w:rsidR="00911ABE" w:rsidRPr="00911ABE" w:rsidRDefault="00911ABE" w:rsidP="00273B68">
      <w:pPr>
        <w:pStyle w:val="Prrafodelista"/>
        <w:numPr>
          <w:ilvl w:val="0"/>
          <w:numId w:val="22"/>
        </w:numPr>
        <w:ind w:left="284" w:hanging="284"/>
        <w:jc w:val="both"/>
        <w:rPr>
          <w:rFonts w:cs="Arial"/>
          <w:b/>
          <w:color w:val="000000"/>
          <w:sz w:val="22"/>
          <w:szCs w:val="22"/>
          <w:lang w:val="es-CR"/>
        </w:rPr>
      </w:pPr>
      <w:r w:rsidRPr="00911ABE">
        <w:rPr>
          <w:rFonts w:cs="Arial"/>
          <w:b/>
          <w:color w:val="000000"/>
          <w:sz w:val="22"/>
          <w:szCs w:val="22"/>
          <w:lang w:val="es-CR"/>
        </w:rPr>
        <w:t xml:space="preserve">Requisitos de elegibilidad </w:t>
      </w:r>
      <w:r w:rsidRPr="00911ABE">
        <w:rPr>
          <w:rFonts w:cs="Arial"/>
          <w:color w:val="000000"/>
          <w:sz w:val="22"/>
          <w:szCs w:val="22"/>
          <w:lang w:val="es-CR"/>
        </w:rPr>
        <w:t>(aquellos establecidos en la Ley</w:t>
      </w:r>
      <w:r w:rsidR="00FB47EE">
        <w:rPr>
          <w:rFonts w:cs="Arial"/>
          <w:color w:val="000000"/>
          <w:sz w:val="22"/>
          <w:szCs w:val="22"/>
          <w:lang w:val="es-CR"/>
        </w:rPr>
        <w:t xml:space="preserve"> 7052</w:t>
      </w:r>
      <w:r w:rsidRPr="00911ABE">
        <w:rPr>
          <w:rFonts w:cs="Arial"/>
          <w:color w:val="000000"/>
          <w:sz w:val="22"/>
          <w:szCs w:val="22"/>
          <w:lang w:val="es-CR"/>
        </w:rPr>
        <w:t>)</w:t>
      </w:r>
      <w:r w:rsidRPr="00911ABE">
        <w:rPr>
          <w:rFonts w:cs="Arial"/>
          <w:b/>
          <w:color w:val="000000"/>
          <w:sz w:val="22"/>
          <w:szCs w:val="22"/>
          <w:lang w:val="es-CR"/>
        </w:rPr>
        <w:t>:</w:t>
      </w:r>
    </w:p>
    <w:p w:rsidR="00911ABE" w:rsidRPr="00911ABE" w:rsidRDefault="00911ABE" w:rsidP="00273B68">
      <w:pPr>
        <w:pStyle w:val="Prrafodelista"/>
        <w:jc w:val="both"/>
        <w:rPr>
          <w:rFonts w:cs="Arial"/>
          <w:b/>
          <w:color w:val="000000"/>
          <w:sz w:val="22"/>
          <w:szCs w:val="22"/>
          <w:lang w:val="es-CR"/>
        </w:rPr>
      </w:pPr>
    </w:p>
    <w:p w:rsidR="00911ABE" w:rsidRPr="00911ABE" w:rsidRDefault="00911ABE" w:rsidP="00273B68">
      <w:pPr>
        <w:numPr>
          <w:ilvl w:val="0"/>
          <w:numId w:val="20"/>
        </w:numPr>
        <w:tabs>
          <w:tab w:val="clear" w:pos="928"/>
          <w:tab w:val="num" w:pos="567"/>
        </w:tabs>
        <w:ind w:left="567" w:hanging="283"/>
        <w:jc w:val="both"/>
        <w:rPr>
          <w:rFonts w:cs="Arial"/>
          <w:color w:val="000000"/>
          <w:sz w:val="22"/>
          <w:szCs w:val="22"/>
          <w:lang w:val="es-CR"/>
        </w:rPr>
      </w:pPr>
      <w:r w:rsidRPr="00911ABE">
        <w:rPr>
          <w:rFonts w:cs="Arial"/>
          <w:color w:val="000000"/>
          <w:sz w:val="22"/>
          <w:szCs w:val="22"/>
          <w:lang w:val="es-CR"/>
        </w:rPr>
        <w:t>Como mínimo grado académico de Licenciatura o su equivalente</w:t>
      </w:r>
      <w:r w:rsidR="00273B68">
        <w:rPr>
          <w:rFonts w:cs="Arial"/>
          <w:color w:val="000000"/>
          <w:sz w:val="22"/>
          <w:szCs w:val="22"/>
          <w:lang w:val="es-CR"/>
        </w:rPr>
        <w:t>.</w:t>
      </w:r>
    </w:p>
    <w:p w:rsidR="00911ABE" w:rsidRPr="00911ABE" w:rsidRDefault="00911ABE" w:rsidP="00273B68">
      <w:pPr>
        <w:numPr>
          <w:ilvl w:val="0"/>
          <w:numId w:val="20"/>
        </w:numPr>
        <w:tabs>
          <w:tab w:val="clear" w:pos="928"/>
          <w:tab w:val="num" w:pos="567"/>
        </w:tabs>
        <w:ind w:left="567" w:hanging="283"/>
        <w:jc w:val="both"/>
        <w:rPr>
          <w:rFonts w:cs="Arial"/>
          <w:color w:val="000000"/>
          <w:sz w:val="22"/>
          <w:szCs w:val="22"/>
          <w:lang w:val="es-CR"/>
        </w:rPr>
      </w:pPr>
      <w:r w:rsidRPr="00911ABE">
        <w:rPr>
          <w:rFonts w:cs="Arial"/>
          <w:color w:val="000000"/>
          <w:sz w:val="22"/>
          <w:szCs w:val="22"/>
          <w:lang w:val="es-CR"/>
        </w:rPr>
        <w:t>Demostrada experiencia en problemas relativos al desarrollo económico y social del país.</w:t>
      </w:r>
    </w:p>
    <w:p w:rsidR="00911ABE" w:rsidRPr="00911ABE" w:rsidRDefault="00911ABE" w:rsidP="00273B68">
      <w:pPr>
        <w:numPr>
          <w:ilvl w:val="0"/>
          <w:numId w:val="20"/>
        </w:numPr>
        <w:tabs>
          <w:tab w:val="clear" w:pos="928"/>
          <w:tab w:val="num" w:pos="567"/>
        </w:tabs>
        <w:ind w:left="567" w:hanging="283"/>
        <w:jc w:val="both"/>
        <w:rPr>
          <w:rFonts w:cs="Arial"/>
          <w:color w:val="000000"/>
          <w:sz w:val="22"/>
          <w:szCs w:val="22"/>
          <w:lang w:val="es-CR"/>
        </w:rPr>
      </w:pPr>
      <w:r w:rsidRPr="00911ABE">
        <w:rPr>
          <w:rFonts w:cs="Arial"/>
          <w:color w:val="000000"/>
          <w:sz w:val="22"/>
          <w:szCs w:val="22"/>
          <w:lang w:val="es-CR"/>
        </w:rPr>
        <w:t>Amplio conocimiento y experiencia en Economía, Finanzas, Banca o Administración</w:t>
      </w:r>
      <w:r w:rsidR="00273B68">
        <w:rPr>
          <w:rFonts w:cs="Arial"/>
          <w:color w:val="000000"/>
          <w:sz w:val="22"/>
          <w:szCs w:val="22"/>
          <w:lang w:val="es-CR"/>
        </w:rPr>
        <w:t>.</w:t>
      </w:r>
    </w:p>
    <w:p w:rsidR="00911ABE" w:rsidRPr="00911ABE" w:rsidRDefault="00911ABE" w:rsidP="00273B68">
      <w:pPr>
        <w:ind w:left="568"/>
        <w:jc w:val="both"/>
        <w:rPr>
          <w:rFonts w:cs="Arial"/>
          <w:color w:val="000000"/>
          <w:sz w:val="22"/>
          <w:szCs w:val="22"/>
          <w:lang w:val="es-CR"/>
        </w:rPr>
      </w:pPr>
    </w:p>
    <w:p w:rsidR="00911ABE" w:rsidRPr="00911ABE" w:rsidRDefault="00911ABE" w:rsidP="00273B68">
      <w:pPr>
        <w:pStyle w:val="Prrafodelista"/>
        <w:numPr>
          <w:ilvl w:val="0"/>
          <w:numId w:val="22"/>
        </w:numPr>
        <w:ind w:left="284" w:hanging="284"/>
        <w:jc w:val="both"/>
        <w:rPr>
          <w:rFonts w:cs="Arial"/>
          <w:b/>
          <w:color w:val="000000"/>
          <w:sz w:val="22"/>
          <w:szCs w:val="22"/>
          <w:lang w:val="es-CR"/>
        </w:rPr>
      </w:pPr>
      <w:r w:rsidRPr="00911ABE">
        <w:rPr>
          <w:rFonts w:cs="Arial"/>
          <w:b/>
          <w:color w:val="000000"/>
          <w:sz w:val="22"/>
          <w:szCs w:val="22"/>
          <w:lang w:val="es-CR"/>
        </w:rPr>
        <w:t xml:space="preserve">Conocimientos complementarios </w:t>
      </w:r>
      <w:r w:rsidRPr="007E7290">
        <w:rPr>
          <w:rFonts w:cs="Arial"/>
          <w:color w:val="000000"/>
          <w:sz w:val="22"/>
          <w:szCs w:val="22"/>
          <w:lang w:val="es-CR"/>
        </w:rPr>
        <w:t>(</w:t>
      </w:r>
      <w:r w:rsidRPr="00911ABE">
        <w:rPr>
          <w:rFonts w:cs="Arial"/>
          <w:color w:val="000000"/>
          <w:sz w:val="22"/>
          <w:szCs w:val="22"/>
          <w:lang w:val="es-CR"/>
        </w:rPr>
        <w:t>deseables)</w:t>
      </w:r>
      <w:r w:rsidRPr="00911ABE">
        <w:rPr>
          <w:rFonts w:cs="Arial"/>
          <w:b/>
          <w:color w:val="000000"/>
          <w:sz w:val="22"/>
          <w:szCs w:val="22"/>
          <w:lang w:val="es-CR"/>
        </w:rPr>
        <w:t>:</w:t>
      </w:r>
    </w:p>
    <w:p w:rsidR="00911ABE" w:rsidRPr="00911ABE" w:rsidRDefault="00911ABE" w:rsidP="00273B68">
      <w:pPr>
        <w:pStyle w:val="Prrafodelista"/>
        <w:ind w:left="360"/>
        <w:jc w:val="both"/>
        <w:rPr>
          <w:rFonts w:cs="Arial"/>
          <w:b/>
          <w:color w:val="000000"/>
          <w:sz w:val="22"/>
          <w:szCs w:val="22"/>
          <w:lang w:val="es-CR"/>
        </w:rPr>
      </w:pP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Experiencia demostrada en puestos gerenciales.</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Conocimiento en la gestión de la Administración Pública.</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Conocimiento en la gestión del Sistema Financiero Nacional para la Vivienda</w:t>
      </w:r>
      <w:r w:rsidR="00DE4992">
        <w:rPr>
          <w:rFonts w:cs="Arial"/>
          <w:color w:val="000000"/>
          <w:sz w:val="22"/>
          <w:szCs w:val="22"/>
          <w:lang w:val="es-CR"/>
        </w:rPr>
        <w:t>.</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Conocimiento en cambio organizacional y administración por procesos.</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Conocimiento en el sector de la construcción</w:t>
      </w:r>
      <w:r w:rsidRPr="00911ABE">
        <w:rPr>
          <w:rFonts w:cs="Arial"/>
          <w:color w:val="000000"/>
          <w:sz w:val="22"/>
          <w:szCs w:val="22"/>
        </w:rPr>
        <w:t>.</w:t>
      </w:r>
      <w:r w:rsidRPr="00911ABE">
        <w:rPr>
          <w:rFonts w:cs="Arial"/>
          <w:color w:val="000000"/>
          <w:sz w:val="22"/>
          <w:szCs w:val="22"/>
          <w:lang w:val="es-CR"/>
        </w:rPr>
        <w:t xml:space="preserve"> </w:t>
      </w:r>
    </w:p>
    <w:p w:rsidR="00911ABE" w:rsidRPr="00911ABE" w:rsidRDefault="00911ABE" w:rsidP="00273B68">
      <w:pPr>
        <w:ind w:left="1080"/>
        <w:jc w:val="both"/>
        <w:rPr>
          <w:rFonts w:cs="Arial"/>
          <w:color w:val="000000"/>
          <w:sz w:val="22"/>
          <w:szCs w:val="22"/>
          <w:lang w:val="es-CR"/>
        </w:rPr>
      </w:pPr>
    </w:p>
    <w:p w:rsidR="00911ABE" w:rsidRPr="00911ABE" w:rsidRDefault="00911ABE" w:rsidP="00273B68">
      <w:pPr>
        <w:pStyle w:val="Prrafodelista"/>
        <w:numPr>
          <w:ilvl w:val="0"/>
          <w:numId w:val="22"/>
        </w:numPr>
        <w:ind w:left="284" w:hanging="284"/>
        <w:jc w:val="both"/>
        <w:rPr>
          <w:rFonts w:cs="Arial"/>
          <w:b/>
          <w:color w:val="000000"/>
          <w:sz w:val="22"/>
          <w:szCs w:val="22"/>
          <w:lang w:val="es-CR"/>
        </w:rPr>
      </w:pPr>
      <w:r w:rsidRPr="00911ABE">
        <w:rPr>
          <w:rFonts w:cs="Arial"/>
          <w:b/>
          <w:color w:val="000000"/>
          <w:sz w:val="22"/>
          <w:szCs w:val="22"/>
          <w:lang w:val="es-CR"/>
        </w:rPr>
        <w:t>Competencias:</w:t>
      </w:r>
    </w:p>
    <w:p w:rsidR="00911ABE" w:rsidRPr="00911ABE" w:rsidRDefault="00911ABE" w:rsidP="00273B68">
      <w:pPr>
        <w:pStyle w:val="Prrafodelista"/>
        <w:jc w:val="both"/>
        <w:rPr>
          <w:rFonts w:cs="Arial"/>
          <w:b/>
          <w:color w:val="000000"/>
          <w:sz w:val="22"/>
          <w:szCs w:val="22"/>
          <w:lang w:val="es-CR"/>
        </w:rPr>
      </w:pP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Liderazgo y orientación hacia el trabajo en equipo.</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Pensamiento estratégico.</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Capacidad de toma de decisiones e iniciativa</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Capacidad de negociación y empatía</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Orientación hacia la producción de resultados.</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Creatividad e innovación.</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Capacidad de planificación.</w:t>
      </w:r>
    </w:p>
    <w:p w:rsidR="00911ABE" w:rsidRPr="00911ABE" w:rsidRDefault="00911ABE" w:rsidP="00273B68">
      <w:pPr>
        <w:numPr>
          <w:ilvl w:val="0"/>
          <w:numId w:val="21"/>
        </w:numPr>
        <w:ind w:left="567" w:hanging="283"/>
        <w:jc w:val="both"/>
        <w:rPr>
          <w:rFonts w:cs="Arial"/>
          <w:color w:val="000000"/>
          <w:sz w:val="22"/>
          <w:szCs w:val="22"/>
          <w:lang w:val="es-CR"/>
        </w:rPr>
      </w:pPr>
      <w:r w:rsidRPr="00911ABE">
        <w:rPr>
          <w:rFonts w:cs="Arial"/>
          <w:color w:val="000000"/>
          <w:sz w:val="22"/>
          <w:szCs w:val="22"/>
          <w:lang w:val="es-CR"/>
        </w:rPr>
        <w:t>Capacidad de comunicación oral y escrita</w:t>
      </w:r>
    </w:p>
    <w:p w:rsidR="00911ABE" w:rsidRPr="00911ABE" w:rsidRDefault="00911ABE" w:rsidP="00273B68">
      <w:pPr>
        <w:jc w:val="both"/>
        <w:rPr>
          <w:rFonts w:cs="Arial"/>
          <w:b/>
          <w:color w:val="000000"/>
          <w:sz w:val="22"/>
          <w:szCs w:val="22"/>
          <w:lang w:val="es-CR"/>
        </w:rPr>
      </w:pPr>
    </w:p>
    <w:p w:rsidR="00911ABE" w:rsidRPr="00911ABE" w:rsidRDefault="00911ABE" w:rsidP="00273B68">
      <w:pPr>
        <w:jc w:val="center"/>
        <w:rPr>
          <w:rFonts w:cs="Arial"/>
          <w:b/>
          <w:sz w:val="22"/>
          <w:szCs w:val="22"/>
        </w:rPr>
      </w:pPr>
    </w:p>
    <w:p w:rsidR="00911ABE" w:rsidRPr="00911ABE" w:rsidRDefault="00911ABE" w:rsidP="00273B68">
      <w:pPr>
        <w:jc w:val="center"/>
        <w:rPr>
          <w:rFonts w:cs="Arial"/>
          <w:b/>
          <w:sz w:val="22"/>
          <w:szCs w:val="22"/>
        </w:rPr>
      </w:pPr>
      <w:r w:rsidRPr="00911ABE">
        <w:rPr>
          <w:rFonts w:cs="Arial"/>
          <w:b/>
          <w:sz w:val="22"/>
          <w:szCs w:val="22"/>
        </w:rPr>
        <w:t>Orientaciones de la Junta Directiva del BA</w:t>
      </w:r>
      <w:r w:rsidR="00C47A8A">
        <w:rPr>
          <w:rFonts w:cs="Arial"/>
          <w:b/>
          <w:sz w:val="22"/>
          <w:szCs w:val="22"/>
        </w:rPr>
        <w:t>N</w:t>
      </w:r>
      <w:r w:rsidRPr="00911ABE">
        <w:rPr>
          <w:rFonts w:cs="Arial"/>
          <w:b/>
          <w:sz w:val="22"/>
          <w:szCs w:val="22"/>
        </w:rPr>
        <w:t>HVI para el diseño de las bases del concurso del puesto de Gerencia General</w:t>
      </w:r>
    </w:p>
    <w:p w:rsidR="00911ABE" w:rsidRPr="00911ABE" w:rsidRDefault="00911ABE" w:rsidP="00273B68">
      <w:pPr>
        <w:jc w:val="center"/>
        <w:rPr>
          <w:rFonts w:cs="Arial"/>
          <w:b/>
          <w:sz w:val="22"/>
          <w:szCs w:val="22"/>
        </w:rPr>
      </w:pPr>
    </w:p>
    <w:p w:rsidR="00911ABE" w:rsidRPr="00911ABE" w:rsidRDefault="00911ABE" w:rsidP="00273B68">
      <w:pPr>
        <w:pStyle w:val="Prrafodelista"/>
        <w:numPr>
          <w:ilvl w:val="0"/>
          <w:numId w:val="23"/>
        </w:numPr>
        <w:spacing w:after="120"/>
        <w:contextualSpacing w:val="0"/>
        <w:jc w:val="both"/>
        <w:rPr>
          <w:rFonts w:cs="Arial"/>
          <w:color w:val="000000"/>
          <w:sz w:val="22"/>
          <w:szCs w:val="22"/>
        </w:rPr>
      </w:pPr>
      <w:r w:rsidRPr="00911ABE">
        <w:rPr>
          <w:rFonts w:cs="Arial"/>
          <w:sz w:val="22"/>
          <w:szCs w:val="22"/>
        </w:rPr>
        <w:t xml:space="preserve">El BANHVI es una entidad bancaria y una institución fundamental para gestión de la política pública que atiende la problemática habitacional del país. Esta segunda condición, corresponde a la naturaleza sustantiva del Banco, establecida en el artículo 1º de la Ley del Sistema Financiero Nacional para la Vivienda (SFNV) y creación del BANHVI, en el cual se indica que el BANHVI fue creado para </w:t>
      </w:r>
      <w:r w:rsidRPr="00911ABE">
        <w:rPr>
          <w:rFonts w:cs="Arial"/>
          <w:i/>
          <w:sz w:val="22"/>
          <w:szCs w:val="22"/>
        </w:rPr>
        <w:t xml:space="preserve">“(…) procurar la solución del problema habitacional existente </w:t>
      </w:r>
      <w:r w:rsidRPr="00911ABE">
        <w:rPr>
          <w:rFonts w:cs="Arial"/>
          <w:i/>
          <w:sz w:val="22"/>
          <w:szCs w:val="22"/>
          <w:lang w:eastAsia="es-CR"/>
        </w:rPr>
        <w:t>en el país, incluido el as</w:t>
      </w:r>
      <w:r w:rsidRPr="00911ABE">
        <w:rPr>
          <w:rFonts w:cs="Arial"/>
          <w:i/>
          <w:color w:val="000000"/>
          <w:sz w:val="22"/>
          <w:szCs w:val="22"/>
          <w:lang w:eastAsia="es-CR"/>
        </w:rPr>
        <w:t>pecto de los servicios</w:t>
      </w:r>
      <w:r w:rsidRPr="00911ABE">
        <w:rPr>
          <w:rFonts w:cs="Arial"/>
          <w:i/>
          <w:color w:val="000000"/>
          <w:sz w:val="22"/>
          <w:szCs w:val="22"/>
        </w:rPr>
        <w:t>”</w:t>
      </w:r>
      <w:r w:rsidRPr="00911ABE">
        <w:rPr>
          <w:rFonts w:cs="Arial"/>
          <w:color w:val="000000"/>
          <w:sz w:val="22"/>
          <w:szCs w:val="22"/>
          <w:lang w:eastAsia="es-CR"/>
        </w:rPr>
        <w:t>.</w:t>
      </w:r>
      <w:r w:rsidRPr="00911ABE">
        <w:rPr>
          <w:rFonts w:cs="Arial"/>
          <w:color w:val="000000"/>
          <w:sz w:val="22"/>
          <w:szCs w:val="22"/>
        </w:rPr>
        <w:t xml:space="preserve"> </w:t>
      </w:r>
    </w:p>
    <w:p w:rsidR="00911ABE" w:rsidRPr="00911ABE" w:rsidRDefault="00911ABE" w:rsidP="00273B68">
      <w:pPr>
        <w:pStyle w:val="Prrafodelista"/>
        <w:numPr>
          <w:ilvl w:val="0"/>
          <w:numId w:val="23"/>
        </w:numPr>
        <w:spacing w:after="120"/>
        <w:contextualSpacing w:val="0"/>
        <w:jc w:val="both"/>
        <w:rPr>
          <w:rFonts w:cs="Arial"/>
          <w:color w:val="000000"/>
          <w:sz w:val="22"/>
          <w:szCs w:val="22"/>
        </w:rPr>
      </w:pPr>
      <w:r w:rsidRPr="00911ABE">
        <w:rPr>
          <w:rFonts w:cs="Arial"/>
          <w:sz w:val="22"/>
          <w:szCs w:val="22"/>
        </w:rPr>
        <w:t xml:space="preserve">El BANHVI es el rector del SFNV y por ende coordina una cadena de valor con entidades de carácter público y privado, con el fin de cumplir con su objetivo social. </w:t>
      </w:r>
      <w:r w:rsidRPr="00911ABE">
        <w:rPr>
          <w:rFonts w:cs="Arial"/>
          <w:color w:val="000000"/>
          <w:sz w:val="22"/>
          <w:szCs w:val="22"/>
        </w:rPr>
        <w:t>Igualmente, se requiere la articulación del financiamiento comercial para dar acceso a un sector de la población que no tiene acceso al mercado financiero vigente.</w:t>
      </w:r>
    </w:p>
    <w:p w:rsidR="00911ABE" w:rsidRPr="00911ABE" w:rsidRDefault="00911ABE" w:rsidP="00273B68">
      <w:pPr>
        <w:pStyle w:val="Prrafodelista"/>
        <w:numPr>
          <w:ilvl w:val="0"/>
          <w:numId w:val="23"/>
        </w:numPr>
        <w:spacing w:after="120"/>
        <w:contextualSpacing w:val="0"/>
        <w:jc w:val="both"/>
        <w:rPr>
          <w:rFonts w:cs="Arial"/>
          <w:color w:val="000000"/>
          <w:sz w:val="22"/>
          <w:szCs w:val="22"/>
        </w:rPr>
      </w:pPr>
      <w:r w:rsidRPr="00911ABE">
        <w:rPr>
          <w:rFonts w:cs="Arial"/>
          <w:color w:val="000000"/>
          <w:sz w:val="22"/>
          <w:szCs w:val="22"/>
        </w:rPr>
        <w:t xml:space="preserve">Teniendo esto presente, la Junta Directiva considera que el puesto de Gerente General, deberá ser ocupado por un/a profesional que no sólo tenga conocimiento y experiencia en </w:t>
      </w:r>
      <w:r w:rsidRPr="00911ABE">
        <w:rPr>
          <w:rFonts w:cs="Arial"/>
          <w:color w:val="000000"/>
          <w:sz w:val="22"/>
          <w:szCs w:val="22"/>
          <w:lang w:eastAsia="es-CR"/>
        </w:rPr>
        <w:t>economía, finanzas, banca o administración</w:t>
      </w:r>
      <w:r w:rsidRPr="00911ABE">
        <w:rPr>
          <w:rFonts w:cs="Arial"/>
          <w:color w:val="000000"/>
          <w:sz w:val="22"/>
          <w:szCs w:val="22"/>
        </w:rPr>
        <w:t>, sino que además, tener conocimiento en el análisis y la implementación de políticas sociales selectivas dentro del Estado y en el financiamiento para programas y proyectos de vivienda e infraestructura comunitaria, para mejorar las condiciones de vida de la población</w:t>
      </w:r>
      <w:r w:rsidRPr="00911ABE">
        <w:rPr>
          <w:rFonts w:cs="Arial"/>
          <w:color w:val="C0504D" w:themeColor="accent2"/>
          <w:sz w:val="22"/>
          <w:szCs w:val="22"/>
        </w:rPr>
        <w:t xml:space="preserve"> </w:t>
      </w:r>
      <w:r w:rsidRPr="00911ABE">
        <w:rPr>
          <w:rFonts w:cs="Arial"/>
          <w:sz w:val="22"/>
          <w:szCs w:val="22"/>
        </w:rPr>
        <w:t>sin acceso real a una vivienda</w:t>
      </w:r>
      <w:r w:rsidRPr="00911ABE">
        <w:rPr>
          <w:rFonts w:cs="Arial"/>
          <w:color w:val="C0504D" w:themeColor="accent2"/>
          <w:sz w:val="22"/>
          <w:szCs w:val="22"/>
        </w:rPr>
        <w:t xml:space="preserve">, </w:t>
      </w:r>
      <w:r w:rsidRPr="00911ABE">
        <w:rPr>
          <w:rFonts w:cs="Arial"/>
          <w:color w:val="000000"/>
          <w:sz w:val="22"/>
          <w:szCs w:val="22"/>
        </w:rPr>
        <w:t>en especial la de sus sectores más vulnerables.</w:t>
      </w:r>
    </w:p>
    <w:p w:rsidR="00911ABE" w:rsidRPr="00911ABE" w:rsidRDefault="00911ABE" w:rsidP="00273B68">
      <w:pPr>
        <w:pStyle w:val="Prrafodelista"/>
        <w:numPr>
          <w:ilvl w:val="0"/>
          <w:numId w:val="23"/>
        </w:numPr>
        <w:spacing w:after="120"/>
        <w:contextualSpacing w:val="0"/>
        <w:jc w:val="both"/>
        <w:rPr>
          <w:rFonts w:cs="Arial"/>
          <w:color w:val="000000"/>
          <w:sz w:val="22"/>
          <w:szCs w:val="22"/>
        </w:rPr>
      </w:pPr>
      <w:r w:rsidRPr="00911ABE">
        <w:rPr>
          <w:rFonts w:cs="Arial"/>
          <w:color w:val="000000"/>
          <w:sz w:val="22"/>
          <w:szCs w:val="22"/>
        </w:rPr>
        <w:t xml:space="preserve">El BANHVI es una entidad del sector público costarricense y consecuentemente, se encuentra inmersa dentro del sistema institucional público del país.  La gestión de una entidad pública, dista mucho de la gestión de una empresa privada, y por tanto se requiere tener conocimiento sobre la gestión pública. </w:t>
      </w:r>
    </w:p>
    <w:p w:rsidR="00911ABE" w:rsidRPr="00911ABE" w:rsidRDefault="00911ABE" w:rsidP="00273B68">
      <w:pPr>
        <w:pStyle w:val="Prrafodelista"/>
        <w:numPr>
          <w:ilvl w:val="0"/>
          <w:numId w:val="23"/>
        </w:numPr>
        <w:spacing w:after="120"/>
        <w:contextualSpacing w:val="0"/>
        <w:jc w:val="both"/>
        <w:rPr>
          <w:rFonts w:cs="Arial"/>
          <w:color w:val="000000"/>
          <w:sz w:val="22"/>
          <w:szCs w:val="22"/>
        </w:rPr>
      </w:pPr>
      <w:r w:rsidRPr="00911ABE">
        <w:rPr>
          <w:rFonts w:cs="Arial"/>
          <w:color w:val="000000"/>
          <w:sz w:val="22"/>
          <w:szCs w:val="22"/>
        </w:rPr>
        <w:t xml:space="preserve">En el momento actual, la Junta Directiva está comprometida en un proceso de modernización institucional del BANHVI y su rol en el Sistema Financiero Nacional para la Vivienda. Al Gerente General, le corresponderá liderar los aspectos operativos de ese proceso y además deberá asesorar a la Junta Directiva, en relación con los aspectos estratégicos del mismo. Teniendo esto en cuenta, la Junta Directiva considera que la persona que ocupe el puesto de Gerente General, debe tener conocimiento en el análisis y la implementación de reformas organizacionales. </w:t>
      </w:r>
    </w:p>
    <w:p w:rsidR="00911ABE" w:rsidRPr="00911ABE" w:rsidRDefault="00911ABE" w:rsidP="00273B68">
      <w:pPr>
        <w:pStyle w:val="Prrafodelista"/>
        <w:numPr>
          <w:ilvl w:val="0"/>
          <w:numId w:val="23"/>
        </w:numPr>
        <w:spacing w:after="120"/>
        <w:contextualSpacing w:val="0"/>
        <w:jc w:val="both"/>
        <w:rPr>
          <w:rFonts w:cs="Arial"/>
          <w:color w:val="000000"/>
          <w:sz w:val="22"/>
          <w:szCs w:val="22"/>
        </w:rPr>
      </w:pPr>
      <w:r w:rsidRPr="00911ABE">
        <w:rPr>
          <w:rFonts w:cs="Arial"/>
          <w:color w:val="000000"/>
          <w:sz w:val="22"/>
          <w:szCs w:val="22"/>
        </w:rPr>
        <w:t>El BANHVI es una entidad especializada en financiar y promover procesos de construcción de proyectos habitacionales.  Por esa razón, es deseable que el Gerente General, sea un/a profesional con conocimiento y experiencia en procesos de construcción.</w:t>
      </w:r>
    </w:p>
    <w:p w:rsidR="00911ABE" w:rsidRDefault="00911ABE" w:rsidP="00273B68">
      <w:pPr>
        <w:pStyle w:val="Prrafodelista"/>
        <w:numPr>
          <w:ilvl w:val="0"/>
          <w:numId w:val="23"/>
        </w:numPr>
        <w:jc w:val="both"/>
        <w:rPr>
          <w:rFonts w:cs="Arial"/>
          <w:color w:val="000000"/>
          <w:sz w:val="22"/>
          <w:szCs w:val="22"/>
          <w:lang w:val="es-CR"/>
        </w:rPr>
      </w:pPr>
      <w:r w:rsidRPr="00911ABE">
        <w:rPr>
          <w:rFonts w:cs="Arial"/>
          <w:color w:val="000000"/>
          <w:sz w:val="22"/>
          <w:szCs w:val="22"/>
        </w:rPr>
        <w:t xml:space="preserve">La teoría sobre reclutamiento y selección de personal de nivel gerencial, indica que los gerentes más exitosos, no son solamente aquellos que poseen considerable experiencia previa en el ejercicio de ese tipo de cargos; sino, sobre todo, los que poseen competencias gerenciales bien desarrolladas.  Teniendo esto en cuenta, la Junta Directiva considera que el proceso de selección del Gerente General, debe incluir una evaluación de competencias gerenciales de los candidatos.  En particular, la Junta Directiva considera que las competencias que deben ser evaluadas son las siguientes: a) </w:t>
      </w:r>
      <w:r w:rsidRPr="00911ABE">
        <w:rPr>
          <w:rFonts w:cs="Arial"/>
          <w:color w:val="000000"/>
          <w:sz w:val="22"/>
          <w:szCs w:val="22"/>
          <w:lang w:val="es-CR"/>
        </w:rPr>
        <w:t>Liderazgo y orientación hacia el trabajo en equipo, b) Pensamiento estratégico, c) Capacidad de toma de decisiones e iniciativa, d) Capacidad de negociación y empatía, e) Orientación hacia la producción de resultados, f) Creatividad e innovación, g) Capacidad de planificación y h) Capacidad de comunicación oral y escrita</w:t>
      </w:r>
      <w:r w:rsidR="005B0D83">
        <w:rPr>
          <w:rFonts w:cs="Arial"/>
          <w:color w:val="000000"/>
          <w:sz w:val="22"/>
          <w:szCs w:val="22"/>
          <w:lang w:val="es-CR"/>
        </w:rPr>
        <w:t>.</w:t>
      </w:r>
    </w:p>
    <w:p w:rsidR="005B0D83" w:rsidRPr="005B0D83" w:rsidRDefault="005B0D83" w:rsidP="005B0D83">
      <w:pPr>
        <w:jc w:val="both"/>
        <w:rPr>
          <w:rFonts w:cs="Arial"/>
          <w:color w:val="000000"/>
          <w:sz w:val="16"/>
          <w:szCs w:val="16"/>
          <w:lang w:val="es-CR"/>
        </w:rPr>
      </w:pPr>
    </w:p>
    <w:p w:rsidR="00911ABE" w:rsidRPr="00911ABE" w:rsidRDefault="00911ABE" w:rsidP="00273B68">
      <w:pPr>
        <w:pStyle w:val="Prrafodelista"/>
        <w:numPr>
          <w:ilvl w:val="0"/>
          <w:numId w:val="23"/>
        </w:numPr>
        <w:spacing w:after="120"/>
        <w:contextualSpacing w:val="0"/>
        <w:jc w:val="both"/>
        <w:rPr>
          <w:rFonts w:cs="Arial"/>
          <w:sz w:val="22"/>
          <w:szCs w:val="22"/>
        </w:rPr>
      </w:pPr>
      <w:r w:rsidRPr="00911ABE">
        <w:rPr>
          <w:rFonts w:cs="Arial"/>
          <w:sz w:val="22"/>
          <w:szCs w:val="22"/>
        </w:rPr>
        <w:t>La Junta Directiva considera que los aspectos a tener en cuenta en la selección del cargo de Gerente General, deberán ser los siguientes: a) formación académica, b) tiempo laborado en puestos gerenciales, c) conocimiento sobre la gestión pública, d) conocimiento  en el análisis de políticas sociales selectivas, e) conocimiento en el análisis y la implementación de procesos de reforma institucional, y f) competencias gerenciales.</w:t>
      </w:r>
    </w:p>
    <w:p w:rsidR="00911ABE" w:rsidRPr="00911ABE" w:rsidRDefault="00911ABE" w:rsidP="00273B68">
      <w:pPr>
        <w:pStyle w:val="Prrafodelista"/>
        <w:numPr>
          <w:ilvl w:val="0"/>
          <w:numId w:val="23"/>
        </w:numPr>
        <w:spacing w:after="120"/>
        <w:contextualSpacing w:val="0"/>
        <w:jc w:val="both"/>
        <w:rPr>
          <w:rFonts w:cs="Arial"/>
          <w:sz w:val="22"/>
          <w:szCs w:val="22"/>
        </w:rPr>
      </w:pPr>
      <w:r w:rsidRPr="00911ABE">
        <w:rPr>
          <w:rFonts w:cs="Arial"/>
          <w:sz w:val="22"/>
          <w:szCs w:val="22"/>
        </w:rPr>
        <w:t xml:space="preserve">Los candidatos al cargo que superen la fase de preselección deberán ser entrevistados por la Junta Directiva, y para ello se deberá estructurar una guía de entrevista, de tal forma que a todos los candidatos les sean planteadas las mismas preguntas. La entrevista se deberá aprovechar para evaluar aspectos que no fueron analizados en la fase de preselección. </w:t>
      </w:r>
    </w:p>
    <w:p w:rsidR="00911ABE" w:rsidRPr="00911ABE" w:rsidRDefault="00911ABE" w:rsidP="00273B68">
      <w:pPr>
        <w:pStyle w:val="Prrafodelista"/>
        <w:spacing w:after="120"/>
        <w:ind w:left="360"/>
        <w:contextualSpacing w:val="0"/>
        <w:jc w:val="both"/>
        <w:rPr>
          <w:rFonts w:cs="Arial"/>
          <w:sz w:val="22"/>
          <w:szCs w:val="22"/>
        </w:rPr>
      </w:pPr>
      <w:r w:rsidRPr="00911ABE">
        <w:rPr>
          <w:rFonts w:cs="Arial"/>
          <w:sz w:val="22"/>
          <w:szCs w:val="22"/>
        </w:rPr>
        <w:t>El procedimiento para la selección y nombramiento del Gerente General</w:t>
      </w:r>
      <w:r w:rsidR="0097435C">
        <w:rPr>
          <w:rFonts w:cs="Arial"/>
          <w:sz w:val="22"/>
          <w:szCs w:val="22"/>
        </w:rPr>
        <w:t>,</w:t>
      </w:r>
      <w:r w:rsidRPr="00911ABE">
        <w:rPr>
          <w:rFonts w:cs="Arial"/>
          <w:sz w:val="22"/>
          <w:szCs w:val="22"/>
        </w:rPr>
        <w:t xml:space="preserve"> deberá ser diseñado de tal forma, que se aseguren altos niveles de transparencia y equidad en todas las fases de su ejecución.  Con este propósito, todos los pasos del procedimiento deberán estar claramente sistematizados </w:t>
      </w:r>
    </w:p>
    <w:p w:rsidR="001424F7" w:rsidRPr="001424F7" w:rsidRDefault="001424F7" w:rsidP="00273B68">
      <w:pPr>
        <w:tabs>
          <w:tab w:val="right" w:leader="dot" w:pos="8222"/>
        </w:tabs>
        <w:ind w:right="299"/>
        <w:jc w:val="center"/>
        <w:rPr>
          <w:rFonts w:cs="Arial"/>
          <w:b/>
          <w:sz w:val="22"/>
          <w:szCs w:val="22"/>
        </w:rPr>
      </w:pPr>
      <w:bookmarkStart w:id="2" w:name="_Toc276118912"/>
      <w:bookmarkStart w:id="3" w:name="_Toc307211338"/>
    </w:p>
    <w:p w:rsidR="00B72D4A" w:rsidRDefault="00EF3D84" w:rsidP="00273B68">
      <w:pPr>
        <w:tabs>
          <w:tab w:val="right" w:leader="dot" w:pos="8222"/>
        </w:tabs>
        <w:ind w:right="299"/>
        <w:jc w:val="center"/>
        <w:rPr>
          <w:rFonts w:cs="Arial"/>
          <w:b/>
          <w:sz w:val="22"/>
          <w:szCs w:val="22"/>
        </w:rPr>
      </w:pPr>
      <w:r>
        <w:rPr>
          <w:rFonts w:cs="Arial"/>
          <w:b/>
          <w:sz w:val="22"/>
          <w:szCs w:val="22"/>
        </w:rPr>
        <w:t>Base</w:t>
      </w:r>
      <w:r w:rsidR="00B72D4A">
        <w:rPr>
          <w:rFonts w:cs="Arial"/>
          <w:b/>
          <w:sz w:val="22"/>
          <w:szCs w:val="22"/>
        </w:rPr>
        <w:t>s</w:t>
      </w:r>
      <w:r>
        <w:rPr>
          <w:rFonts w:cs="Arial"/>
          <w:b/>
          <w:sz w:val="22"/>
          <w:szCs w:val="22"/>
        </w:rPr>
        <w:t xml:space="preserve"> del c</w:t>
      </w:r>
      <w:r w:rsidR="00911ABE" w:rsidRPr="001424F7">
        <w:rPr>
          <w:rFonts w:cs="Arial"/>
          <w:b/>
          <w:sz w:val="22"/>
          <w:szCs w:val="22"/>
        </w:rPr>
        <w:t xml:space="preserve">oncurso para ocupar la plaza </w:t>
      </w:r>
      <w:bookmarkEnd w:id="2"/>
      <w:bookmarkEnd w:id="3"/>
      <w:r w:rsidR="0097435C">
        <w:rPr>
          <w:rFonts w:cs="Arial"/>
          <w:b/>
          <w:sz w:val="22"/>
          <w:szCs w:val="22"/>
        </w:rPr>
        <w:t>de</w:t>
      </w:r>
      <w:r w:rsidR="00B72D4A">
        <w:rPr>
          <w:rFonts w:cs="Arial"/>
          <w:b/>
          <w:sz w:val="22"/>
          <w:szCs w:val="22"/>
        </w:rPr>
        <w:t xml:space="preserve"> </w:t>
      </w:r>
      <w:r w:rsidR="00911ABE" w:rsidRPr="001424F7">
        <w:rPr>
          <w:rFonts w:cs="Arial"/>
          <w:b/>
          <w:sz w:val="22"/>
          <w:szCs w:val="22"/>
        </w:rPr>
        <w:t>Geren</w:t>
      </w:r>
      <w:r w:rsidR="00CE6396">
        <w:rPr>
          <w:rFonts w:cs="Arial"/>
          <w:b/>
          <w:sz w:val="22"/>
          <w:szCs w:val="22"/>
        </w:rPr>
        <w:t>cia</w:t>
      </w:r>
      <w:r w:rsidR="00B72D4A">
        <w:rPr>
          <w:rFonts w:cs="Arial"/>
          <w:b/>
          <w:sz w:val="22"/>
          <w:szCs w:val="22"/>
        </w:rPr>
        <w:t xml:space="preserve"> General</w:t>
      </w:r>
    </w:p>
    <w:p w:rsidR="00911ABE" w:rsidRDefault="001424F7" w:rsidP="00273B68">
      <w:pPr>
        <w:tabs>
          <w:tab w:val="right" w:leader="dot" w:pos="8222"/>
        </w:tabs>
        <w:ind w:right="299"/>
        <w:jc w:val="center"/>
        <w:rPr>
          <w:rFonts w:cs="Arial"/>
          <w:b/>
          <w:sz w:val="22"/>
          <w:szCs w:val="22"/>
        </w:rPr>
      </w:pPr>
      <w:proofErr w:type="gramStart"/>
      <w:r>
        <w:rPr>
          <w:rFonts w:cs="Arial"/>
          <w:b/>
          <w:sz w:val="22"/>
          <w:szCs w:val="22"/>
        </w:rPr>
        <w:t>del</w:t>
      </w:r>
      <w:proofErr w:type="gramEnd"/>
      <w:r w:rsidR="00EF3D84">
        <w:rPr>
          <w:rFonts w:cs="Arial"/>
          <w:b/>
          <w:sz w:val="22"/>
          <w:szCs w:val="22"/>
        </w:rPr>
        <w:t xml:space="preserve"> </w:t>
      </w:r>
      <w:r w:rsidR="00911ABE" w:rsidRPr="001424F7">
        <w:rPr>
          <w:rFonts w:cs="Arial"/>
          <w:b/>
          <w:sz w:val="22"/>
          <w:szCs w:val="22"/>
        </w:rPr>
        <w:t>Banco Hipotecario de la Vivienda</w:t>
      </w:r>
    </w:p>
    <w:p w:rsidR="001424F7" w:rsidRDefault="001424F7" w:rsidP="00273B68">
      <w:pPr>
        <w:tabs>
          <w:tab w:val="right" w:leader="dot" w:pos="8222"/>
        </w:tabs>
        <w:ind w:right="299"/>
        <w:jc w:val="center"/>
        <w:rPr>
          <w:rFonts w:cs="Arial"/>
          <w:b/>
          <w:sz w:val="22"/>
          <w:szCs w:val="22"/>
        </w:rPr>
      </w:pPr>
    </w:p>
    <w:p w:rsidR="001424F7" w:rsidRPr="0048251D" w:rsidRDefault="001424F7" w:rsidP="00273B68">
      <w:pPr>
        <w:rPr>
          <w:rFonts w:cs="Arial"/>
          <w:sz w:val="22"/>
          <w:szCs w:val="22"/>
        </w:rPr>
      </w:pPr>
      <w:r w:rsidRPr="001424F7">
        <w:rPr>
          <w:rFonts w:cs="Arial"/>
          <w:b/>
          <w:bCs/>
          <w:iCs/>
          <w:sz w:val="22"/>
          <w:szCs w:val="22"/>
          <w:lang w:val="es-CR" w:eastAsia="es-CR"/>
        </w:rPr>
        <w:t>Número y tipo de concurso</w:t>
      </w:r>
      <w:r>
        <w:rPr>
          <w:rFonts w:cs="Arial"/>
          <w:b/>
          <w:bCs/>
          <w:iCs/>
          <w:sz w:val="22"/>
          <w:szCs w:val="22"/>
          <w:lang w:val="es-CR" w:eastAsia="es-CR"/>
        </w:rPr>
        <w:t>:</w:t>
      </w:r>
      <w:r w:rsidRPr="001424F7">
        <w:rPr>
          <w:rFonts w:cs="Arial"/>
          <w:b/>
          <w:bCs/>
          <w:iCs/>
          <w:sz w:val="22"/>
          <w:szCs w:val="22"/>
          <w:lang w:val="es-CR" w:eastAsia="es-CR"/>
        </w:rPr>
        <w:t xml:space="preserve"> </w:t>
      </w:r>
      <w:r w:rsidRPr="001424F7">
        <w:rPr>
          <w:rFonts w:cs="Arial"/>
          <w:bCs/>
          <w:iCs/>
          <w:sz w:val="22"/>
          <w:szCs w:val="22"/>
          <w:lang w:val="es-CR" w:eastAsia="es-CR"/>
        </w:rPr>
        <w:t>Concurso xx</w:t>
      </w:r>
    </w:p>
    <w:p w:rsidR="001424F7" w:rsidRPr="0048251D" w:rsidRDefault="001424F7" w:rsidP="00273B68">
      <w:pPr>
        <w:rPr>
          <w:rFonts w:cs="Arial"/>
          <w:sz w:val="22"/>
          <w:szCs w:val="22"/>
        </w:rPr>
      </w:pPr>
      <w:r w:rsidRPr="001424F7">
        <w:rPr>
          <w:rFonts w:cs="Arial"/>
          <w:b/>
          <w:bCs/>
          <w:iCs/>
          <w:sz w:val="22"/>
          <w:szCs w:val="22"/>
          <w:lang w:val="es-CR" w:eastAsia="es-CR"/>
        </w:rPr>
        <w:t>Código de plaza:</w:t>
      </w:r>
      <w:r w:rsidRPr="001424F7">
        <w:rPr>
          <w:rFonts w:cs="Arial"/>
          <w:color w:val="000000"/>
          <w:sz w:val="22"/>
          <w:szCs w:val="22"/>
          <w:lang w:val="es-CR" w:eastAsia="es-CR"/>
        </w:rPr>
        <w:t xml:space="preserve"> </w:t>
      </w:r>
      <w:r w:rsidRPr="00911ABE">
        <w:rPr>
          <w:rFonts w:cs="Arial"/>
          <w:color w:val="000000"/>
          <w:sz w:val="22"/>
          <w:szCs w:val="22"/>
          <w:lang w:val="es-CR" w:eastAsia="es-CR"/>
        </w:rPr>
        <w:t>xx</w:t>
      </w:r>
    </w:p>
    <w:p w:rsidR="001424F7" w:rsidRPr="0048251D" w:rsidRDefault="001424F7" w:rsidP="00273B68">
      <w:pPr>
        <w:rPr>
          <w:rFonts w:cs="Arial"/>
          <w:sz w:val="22"/>
          <w:szCs w:val="22"/>
        </w:rPr>
      </w:pPr>
      <w:r w:rsidRPr="001424F7">
        <w:rPr>
          <w:rFonts w:cs="Arial"/>
          <w:b/>
          <w:bCs/>
          <w:iCs/>
          <w:sz w:val="22"/>
          <w:szCs w:val="22"/>
          <w:lang w:val="es-CR" w:eastAsia="es-CR"/>
        </w:rPr>
        <w:t>Clase y cargo:</w:t>
      </w:r>
      <w:r w:rsidRPr="001424F7">
        <w:rPr>
          <w:rFonts w:cs="Arial"/>
          <w:b/>
          <w:bCs/>
          <w:color w:val="000000"/>
          <w:sz w:val="22"/>
          <w:szCs w:val="22"/>
          <w:lang w:val="es-CR" w:eastAsia="es-CR"/>
        </w:rPr>
        <w:t xml:space="preserve"> </w:t>
      </w:r>
      <w:r w:rsidRPr="001424F7">
        <w:rPr>
          <w:rFonts w:cs="Arial"/>
          <w:bCs/>
          <w:color w:val="000000"/>
          <w:sz w:val="22"/>
          <w:szCs w:val="22"/>
          <w:lang w:val="es-CR" w:eastAsia="es-CR"/>
        </w:rPr>
        <w:t>Gerencia General</w:t>
      </w:r>
    </w:p>
    <w:p w:rsidR="001424F7" w:rsidRPr="0048251D" w:rsidRDefault="001424F7" w:rsidP="00273B68">
      <w:pPr>
        <w:rPr>
          <w:rFonts w:cs="Arial"/>
          <w:sz w:val="22"/>
          <w:szCs w:val="22"/>
        </w:rPr>
      </w:pPr>
      <w:r w:rsidRPr="001424F7">
        <w:rPr>
          <w:rFonts w:cs="Arial"/>
          <w:b/>
          <w:bCs/>
          <w:iCs/>
          <w:sz w:val="22"/>
          <w:szCs w:val="22"/>
          <w:lang w:val="es-CR" w:eastAsia="es-CR"/>
        </w:rPr>
        <w:t>Tipo de contratación</w:t>
      </w:r>
      <w:r>
        <w:rPr>
          <w:rFonts w:cs="Arial"/>
          <w:b/>
          <w:bCs/>
          <w:iCs/>
          <w:sz w:val="22"/>
          <w:szCs w:val="22"/>
          <w:lang w:val="es-CR" w:eastAsia="es-CR"/>
        </w:rPr>
        <w:t>:</w:t>
      </w:r>
      <w:r w:rsidRPr="001424F7">
        <w:rPr>
          <w:rFonts w:cs="Arial"/>
          <w:color w:val="000000"/>
          <w:sz w:val="22"/>
          <w:szCs w:val="22"/>
          <w:lang w:val="es-CR" w:eastAsia="es-CR"/>
        </w:rPr>
        <w:t xml:space="preserve"> </w:t>
      </w:r>
      <w:r w:rsidRPr="00911ABE">
        <w:rPr>
          <w:rFonts w:cs="Arial"/>
          <w:color w:val="000000"/>
          <w:sz w:val="22"/>
          <w:szCs w:val="22"/>
          <w:lang w:val="es-CR" w:eastAsia="es-CR"/>
        </w:rPr>
        <w:t>Plazo determinado</w:t>
      </w:r>
    </w:p>
    <w:p w:rsidR="001424F7" w:rsidRPr="0097435C" w:rsidRDefault="001424F7" w:rsidP="00273B68">
      <w:pPr>
        <w:rPr>
          <w:rFonts w:cs="Arial"/>
          <w:sz w:val="22"/>
          <w:szCs w:val="22"/>
        </w:rPr>
      </w:pPr>
    </w:p>
    <w:p w:rsidR="00911ABE" w:rsidRPr="00911ABE" w:rsidRDefault="00911ABE" w:rsidP="00273B68">
      <w:pPr>
        <w:jc w:val="both"/>
        <w:rPr>
          <w:rFonts w:cs="Arial"/>
          <w:sz w:val="22"/>
          <w:szCs w:val="22"/>
        </w:rPr>
      </w:pPr>
      <w:r w:rsidRPr="00911ABE">
        <w:rPr>
          <w:rFonts w:cs="Arial"/>
          <w:sz w:val="22"/>
          <w:szCs w:val="22"/>
        </w:rPr>
        <w:t>La presente base establece las reglas del concurso para ocupar la plaza de Geren</w:t>
      </w:r>
      <w:r w:rsidR="00CE6396">
        <w:rPr>
          <w:rFonts w:cs="Arial"/>
          <w:sz w:val="22"/>
          <w:szCs w:val="22"/>
        </w:rPr>
        <w:t>cia</w:t>
      </w:r>
      <w:r w:rsidRPr="00911ABE">
        <w:rPr>
          <w:rFonts w:cs="Arial"/>
          <w:sz w:val="22"/>
          <w:szCs w:val="22"/>
        </w:rPr>
        <w:t xml:space="preserve"> General del Banco Hipotecario de la Vivienda (BANHVI).</w:t>
      </w:r>
    </w:p>
    <w:p w:rsidR="00911ABE" w:rsidRPr="0048251D" w:rsidRDefault="00911ABE" w:rsidP="00273B68">
      <w:pPr>
        <w:jc w:val="both"/>
        <w:rPr>
          <w:rFonts w:cs="Arial"/>
          <w:sz w:val="22"/>
          <w:szCs w:val="22"/>
        </w:rPr>
      </w:pPr>
    </w:p>
    <w:p w:rsidR="00911ABE" w:rsidRPr="00EF3D84" w:rsidRDefault="00911ABE" w:rsidP="00273B68">
      <w:pPr>
        <w:pStyle w:val="Ttulo1"/>
        <w:keepLines/>
        <w:numPr>
          <w:ilvl w:val="1"/>
          <w:numId w:val="25"/>
        </w:numPr>
        <w:spacing w:line="240" w:lineRule="auto"/>
        <w:ind w:left="284" w:right="0" w:hanging="284"/>
        <w:jc w:val="both"/>
        <w:rPr>
          <w:rFonts w:cs="Arial"/>
          <w:szCs w:val="22"/>
        </w:rPr>
      </w:pPr>
      <w:bookmarkStart w:id="4" w:name="_Toc5553975"/>
      <w:r w:rsidRPr="00EF3D84">
        <w:rPr>
          <w:rFonts w:cs="Arial"/>
          <w:szCs w:val="22"/>
        </w:rPr>
        <w:t>Características del nombramiento</w:t>
      </w:r>
      <w:bookmarkEnd w:id="4"/>
    </w:p>
    <w:p w:rsidR="00911ABE" w:rsidRPr="00911ABE" w:rsidRDefault="00911ABE" w:rsidP="00273B68">
      <w:pPr>
        <w:jc w:val="both"/>
        <w:rPr>
          <w:rFonts w:cs="Arial"/>
          <w:sz w:val="22"/>
          <w:szCs w:val="22"/>
        </w:rPr>
      </w:pPr>
    </w:p>
    <w:p w:rsidR="00911ABE" w:rsidRPr="00911ABE" w:rsidRDefault="00911ABE" w:rsidP="00273B68">
      <w:pPr>
        <w:ind w:left="284"/>
        <w:jc w:val="both"/>
        <w:rPr>
          <w:rFonts w:cs="Arial"/>
          <w:sz w:val="22"/>
          <w:szCs w:val="22"/>
          <w:lang w:val="es-CR"/>
        </w:rPr>
      </w:pPr>
      <w:r w:rsidRPr="00911ABE">
        <w:rPr>
          <w:rFonts w:cs="Arial"/>
          <w:sz w:val="22"/>
          <w:szCs w:val="22"/>
        </w:rPr>
        <w:t xml:space="preserve">a.1 </w:t>
      </w:r>
      <w:r w:rsidRPr="00911ABE">
        <w:rPr>
          <w:rFonts w:cs="Arial"/>
          <w:sz w:val="22"/>
          <w:szCs w:val="22"/>
          <w:u w:val="single"/>
        </w:rPr>
        <w:t>Tipo de nombramiento</w:t>
      </w:r>
      <w:r w:rsidRPr="00911ABE">
        <w:rPr>
          <w:rFonts w:cs="Arial"/>
          <w:sz w:val="22"/>
          <w:szCs w:val="22"/>
        </w:rPr>
        <w:t xml:space="preserve">: </w:t>
      </w:r>
      <w:r w:rsidRPr="00911ABE">
        <w:rPr>
          <w:rFonts w:cs="Arial"/>
          <w:sz w:val="22"/>
          <w:szCs w:val="22"/>
          <w:lang w:val="es-CR"/>
        </w:rPr>
        <w:t>Plazo determinado por 6 años.</w:t>
      </w:r>
    </w:p>
    <w:p w:rsidR="00911ABE" w:rsidRPr="00911ABE" w:rsidRDefault="00911ABE" w:rsidP="00273B68">
      <w:pPr>
        <w:jc w:val="both"/>
        <w:rPr>
          <w:rFonts w:cs="Arial"/>
          <w:sz w:val="22"/>
          <w:szCs w:val="22"/>
          <w:lang w:val="es-CR"/>
        </w:rPr>
      </w:pPr>
    </w:p>
    <w:p w:rsidR="00911ABE" w:rsidRPr="00911ABE" w:rsidRDefault="00911ABE" w:rsidP="00273B68">
      <w:pPr>
        <w:ind w:left="284"/>
        <w:jc w:val="both"/>
        <w:rPr>
          <w:rFonts w:cs="Arial"/>
          <w:sz w:val="22"/>
          <w:szCs w:val="22"/>
        </w:rPr>
      </w:pPr>
      <w:r w:rsidRPr="00911ABE">
        <w:rPr>
          <w:rFonts w:cs="Arial"/>
          <w:sz w:val="22"/>
          <w:szCs w:val="22"/>
        </w:rPr>
        <w:t xml:space="preserve">a.2 </w:t>
      </w:r>
      <w:r w:rsidRPr="00911ABE">
        <w:rPr>
          <w:rFonts w:cs="Arial"/>
          <w:sz w:val="22"/>
          <w:szCs w:val="22"/>
          <w:u w:val="single"/>
        </w:rPr>
        <w:t>Condiciones Salariales</w:t>
      </w:r>
      <w:r w:rsidRPr="00911ABE">
        <w:rPr>
          <w:rFonts w:cs="Arial"/>
          <w:sz w:val="22"/>
          <w:szCs w:val="22"/>
        </w:rPr>
        <w:t xml:space="preserve">: </w:t>
      </w:r>
      <w:r w:rsidRPr="00911ABE">
        <w:rPr>
          <w:rFonts w:cs="Arial"/>
          <w:color w:val="26282A"/>
          <w:sz w:val="22"/>
          <w:szCs w:val="22"/>
        </w:rPr>
        <w:t>XXXX (</w:t>
      </w:r>
      <w:r w:rsidRPr="00EF3D84">
        <w:rPr>
          <w:rFonts w:cs="Arial"/>
          <w:color w:val="26282A"/>
          <w:sz w:val="22"/>
          <w:szCs w:val="22"/>
        </w:rPr>
        <w:t>este tema se debe revisar con la Administración)</w:t>
      </w:r>
    </w:p>
    <w:p w:rsidR="00911ABE" w:rsidRPr="00911ABE" w:rsidRDefault="00911ABE" w:rsidP="00273B68">
      <w:pPr>
        <w:jc w:val="both"/>
        <w:rPr>
          <w:rFonts w:cs="Arial"/>
          <w:sz w:val="22"/>
          <w:szCs w:val="22"/>
        </w:rPr>
      </w:pPr>
    </w:p>
    <w:p w:rsidR="00911ABE" w:rsidRPr="00911ABE" w:rsidRDefault="00911ABE" w:rsidP="00273B68">
      <w:pPr>
        <w:ind w:left="284"/>
        <w:jc w:val="both"/>
        <w:rPr>
          <w:rFonts w:cs="Arial"/>
          <w:sz w:val="22"/>
          <w:szCs w:val="22"/>
        </w:rPr>
      </w:pPr>
      <w:r w:rsidRPr="00911ABE">
        <w:rPr>
          <w:rFonts w:cs="Arial"/>
          <w:sz w:val="22"/>
          <w:szCs w:val="22"/>
        </w:rPr>
        <w:t xml:space="preserve">a.3 </w:t>
      </w:r>
      <w:r w:rsidRPr="00911ABE">
        <w:rPr>
          <w:rFonts w:cs="Arial"/>
          <w:sz w:val="22"/>
          <w:szCs w:val="22"/>
          <w:u w:val="single"/>
        </w:rPr>
        <w:t>Descripción de las funciones de la Gerencia General</w:t>
      </w:r>
      <w:r w:rsidRPr="00911ABE">
        <w:rPr>
          <w:rFonts w:cs="Arial"/>
          <w:sz w:val="22"/>
          <w:szCs w:val="22"/>
        </w:rPr>
        <w:t>:</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autoSpaceDE w:val="0"/>
        <w:autoSpaceDN w:val="0"/>
        <w:adjustRightInd w:val="0"/>
        <w:jc w:val="both"/>
        <w:rPr>
          <w:rFonts w:eastAsia="Calibri" w:cs="Arial"/>
          <w:b/>
          <w:color w:val="000000"/>
          <w:sz w:val="22"/>
          <w:szCs w:val="22"/>
        </w:rPr>
      </w:pPr>
      <w:r w:rsidRPr="00911ABE">
        <w:rPr>
          <w:rFonts w:eastAsia="Calibri" w:cs="Arial"/>
          <w:b/>
          <w:color w:val="000000"/>
          <w:sz w:val="22"/>
          <w:szCs w:val="22"/>
        </w:rPr>
        <w:t>Propósito general</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autoSpaceDE w:val="0"/>
        <w:autoSpaceDN w:val="0"/>
        <w:adjustRightInd w:val="0"/>
        <w:jc w:val="both"/>
        <w:rPr>
          <w:rFonts w:eastAsia="Calibri" w:cs="Arial"/>
          <w:color w:val="000000"/>
          <w:sz w:val="22"/>
          <w:szCs w:val="22"/>
        </w:rPr>
      </w:pPr>
      <w:r w:rsidRPr="00911ABE">
        <w:rPr>
          <w:rFonts w:eastAsia="Calibri" w:cs="Arial"/>
          <w:color w:val="000000"/>
          <w:sz w:val="22"/>
          <w:szCs w:val="22"/>
        </w:rPr>
        <w:t>Responsable ante la Junta Directiva, de la eficiente y correcta operación técnica y administrativa del Banco, y de plantear e implementar soluciones para atender los retos coyunturales y estratégicos que enfrente el Banco, durante su período de gestión, así como del SFNV.</w:t>
      </w:r>
    </w:p>
    <w:p w:rsidR="00911ABE" w:rsidRPr="00911ABE" w:rsidRDefault="00911ABE" w:rsidP="00273B68">
      <w:pPr>
        <w:autoSpaceDE w:val="0"/>
        <w:autoSpaceDN w:val="0"/>
        <w:adjustRightInd w:val="0"/>
        <w:jc w:val="both"/>
        <w:rPr>
          <w:rFonts w:eastAsia="Calibri" w:cs="Arial"/>
          <w:color w:val="000000"/>
          <w:sz w:val="22"/>
          <w:szCs w:val="22"/>
        </w:rPr>
      </w:pPr>
      <w:r w:rsidRPr="00911ABE">
        <w:rPr>
          <w:rFonts w:eastAsia="Calibri" w:cs="Arial"/>
          <w:color w:val="000000"/>
          <w:sz w:val="22"/>
          <w:szCs w:val="22"/>
        </w:rPr>
        <w:t xml:space="preserve"> </w:t>
      </w:r>
    </w:p>
    <w:p w:rsidR="00911ABE" w:rsidRPr="00911ABE" w:rsidRDefault="00911ABE" w:rsidP="00273B68">
      <w:pPr>
        <w:autoSpaceDE w:val="0"/>
        <w:autoSpaceDN w:val="0"/>
        <w:adjustRightInd w:val="0"/>
        <w:jc w:val="both"/>
        <w:rPr>
          <w:rFonts w:eastAsia="Calibri" w:cs="Arial"/>
          <w:b/>
          <w:color w:val="000000"/>
          <w:sz w:val="22"/>
          <w:szCs w:val="22"/>
        </w:rPr>
      </w:pPr>
      <w:r w:rsidRPr="00911ABE">
        <w:rPr>
          <w:rFonts w:eastAsia="Calibri" w:cs="Arial"/>
          <w:b/>
          <w:color w:val="000000"/>
          <w:sz w:val="22"/>
          <w:szCs w:val="22"/>
        </w:rPr>
        <w:t>Principales funciones:</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autoSpaceDE w:val="0"/>
        <w:autoSpaceDN w:val="0"/>
        <w:adjustRightInd w:val="0"/>
        <w:jc w:val="both"/>
        <w:rPr>
          <w:rFonts w:eastAsia="Calibri" w:cs="Arial"/>
          <w:color w:val="000000"/>
          <w:sz w:val="22"/>
          <w:szCs w:val="22"/>
        </w:rPr>
      </w:pPr>
      <w:r w:rsidRPr="00911ABE">
        <w:rPr>
          <w:rFonts w:eastAsia="Calibri" w:cs="Arial"/>
          <w:color w:val="000000"/>
          <w:sz w:val="22"/>
          <w:szCs w:val="22"/>
        </w:rPr>
        <w:t>Son funciones generales del gerente, las siguientes:</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Programar las actividades necesarias para alcanzar los objetivos del Banco dentro de los lineamientos de la política general fijada por la Junta Directiva.</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Establecer las políticas generales de la Institución y someterlas a la aprobación de la Junta Directiva.</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Ejercer las funciones que sean inherentes a su condición de Administrador y Jefe de Personal Administrativo del Banco: vigilar la organización, operación y coordinación de todas las dependencias y cumplir los acuerdos de la Junta Directiva y las leyes y reglamentos aplicables.</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Suministrar a la Junta Directiva la información, regular, exacta y completa que sea necesaria para asegurar el buen gobierno y dirección del Banco.</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Presentar a la Junta Directiva, para su examen y aprobación, con la necesaria anticipación, el presupuesto anual del Banco y en su oportunidad, la liquidación presupuestaria correspondiente.</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Proponer a la Junta Directiva la creación de plazas y servicios indispensables para el debido funcionamiento del Banco.</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Nombrar, promover y remover a los miembros del personal subalterno, concederles licencias e imponerles sanciones, todo de acuerdo con los reglamentos respectivos y con el escalafón del personal al servicio del Banco.</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Ejecutar o hacer ejecutar los reglamentos y los acuerdos y resoluciones que dicte la Junta Directiva.</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Autorizar con su firma, conjuntamente con el Presidente, la memoria anual y con carácter exclusivo, todos los otros documentos que se señalen en los reglamentos de la Ley Nº7052 y en los acuerdos de la Junta Directiva.</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Ejercer la representación legal del Banco, judicial y extrajudicial.</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Delegar atribuciones en la persona o personas que ejerzan las Subgerencias o en otros funcionarios del Banco, salvo cuando su intervención personal fuere legalmente obligatoria.</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Ejercer supervisión, entre otros, sobre los siguientes puestos: Subgerencias Asistente de Gerencia, los cuatro directores de área (FOSUVI, FONAVI, Administrativo y DSEA), Asesor Legal, Oficial de Cumplimiento, Oficial de Riesgos y jefes de los departamentos de Planificación, Comunicaciones y Tecnología de Información.</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 xml:space="preserve">Coordinar el diseño y ejecución del Plan </w:t>
      </w:r>
      <w:r w:rsidR="002A3D48">
        <w:rPr>
          <w:rFonts w:cs="Arial"/>
          <w:sz w:val="22"/>
          <w:szCs w:val="22"/>
          <w:lang w:val="es-ES_tradnl"/>
        </w:rPr>
        <w:t>E</w:t>
      </w:r>
      <w:r w:rsidRPr="00911ABE">
        <w:rPr>
          <w:rFonts w:cs="Arial"/>
          <w:sz w:val="22"/>
          <w:szCs w:val="22"/>
          <w:lang w:val="es-ES_tradnl"/>
        </w:rPr>
        <w:t>stratégico</w:t>
      </w:r>
      <w:r w:rsidR="002A3D48">
        <w:rPr>
          <w:rFonts w:cs="Arial"/>
          <w:sz w:val="22"/>
          <w:szCs w:val="22"/>
          <w:lang w:val="es-ES_tradnl"/>
        </w:rPr>
        <w:t>.</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Promover y velar porque exista un adecuado sistema de control interno y de administración de riesgos</w:t>
      </w:r>
      <w:r w:rsidR="002A3D48">
        <w:rPr>
          <w:rFonts w:cs="Arial"/>
          <w:sz w:val="22"/>
          <w:szCs w:val="22"/>
          <w:lang w:val="es-ES_tradnl"/>
        </w:rPr>
        <w:t>,</w:t>
      </w:r>
      <w:r w:rsidRPr="00911ABE">
        <w:rPr>
          <w:rFonts w:cs="Arial"/>
          <w:sz w:val="22"/>
          <w:szCs w:val="22"/>
          <w:lang w:val="es-ES_tradnl"/>
        </w:rPr>
        <w:t xml:space="preserve"> que permita cumplir con el marco normativo y los objetivos organizacionales</w:t>
      </w:r>
      <w:r w:rsidR="002A3D48">
        <w:rPr>
          <w:rFonts w:cs="Arial"/>
          <w:sz w:val="22"/>
          <w:szCs w:val="22"/>
          <w:lang w:val="es-ES_tradnl"/>
        </w:rPr>
        <w:t>.</w:t>
      </w:r>
    </w:p>
    <w:p w:rsidR="00911ABE" w:rsidRPr="00911ABE" w:rsidRDefault="00911ABE" w:rsidP="00273B68">
      <w:pPr>
        <w:pStyle w:val="Prrafodelista"/>
        <w:numPr>
          <w:ilvl w:val="0"/>
          <w:numId w:val="29"/>
        </w:numPr>
        <w:spacing w:before="120" w:after="120"/>
        <w:ind w:left="426" w:hanging="426"/>
        <w:contextualSpacing w:val="0"/>
        <w:jc w:val="both"/>
        <w:rPr>
          <w:rFonts w:cs="Arial"/>
          <w:sz w:val="22"/>
          <w:szCs w:val="22"/>
          <w:lang w:val="es-ES_tradnl"/>
        </w:rPr>
      </w:pPr>
      <w:r w:rsidRPr="00911ABE">
        <w:rPr>
          <w:rFonts w:cs="Arial"/>
          <w:sz w:val="22"/>
          <w:szCs w:val="22"/>
          <w:lang w:val="es-ES_tradnl"/>
        </w:rPr>
        <w:t>Cumplir con el establecido en el Código de Gobierno Corporativo</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autoSpaceDE w:val="0"/>
        <w:autoSpaceDN w:val="0"/>
        <w:adjustRightInd w:val="0"/>
        <w:jc w:val="both"/>
        <w:rPr>
          <w:rFonts w:eastAsia="Calibri" w:cs="Arial"/>
          <w:color w:val="000000"/>
          <w:sz w:val="22"/>
          <w:szCs w:val="22"/>
        </w:rPr>
      </w:pPr>
      <w:r w:rsidRPr="00911ABE">
        <w:rPr>
          <w:rFonts w:eastAsia="Calibri" w:cs="Arial"/>
          <w:b/>
          <w:color w:val="000000"/>
          <w:sz w:val="22"/>
          <w:szCs w:val="22"/>
        </w:rPr>
        <w:t>Superior jerárquico</w:t>
      </w:r>
      <w:r w:rsidRPr="00911ABE">
        <w:rPr>
          <w:rFonts w:eastAsia="Calibri" w:cs="Arial"/>
          <w:color w:val="000000"/>
          <w:sz w:val="22"/>
          <w:szCs w:val="22"/>
        </w:rPr>
        <w:t>: La Junta Directiva</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autoSpaceDE w:val="0"/>
        <w:autoSpaceDN w:val="0"/>
        <w:adjustRightInd w:val="0"/>
        <w:jc w:val="both"/>
        <w:rPr>
          <w:rFonts w:eastAsia="Calibri" w:cs="Arial"/>
          <w:color w:val="000000"/>
          <w:sz w:val="22"/>
          <w:szCs w:val="22"/>
        </w:rPr>
      </w:pPr>
      <w:r w:rsidRPr="005E47B9">
        <w:rPr>
          <w:rFonts w:eastAsia="Calibri" w:cs="Arial"/>
          <w:b/>
          <w:sz w:val="22"/>
          <w:szCs w:val="22"/>
        </w:rPr>
        <w:t>Condiciones especiales</w:t>
      </w:r>
      <w:r w:rsidRPr="005E47B9">
        <w:rPr>
          <w:rFonts w:eastAsia="Calibri" w:cs="Arial"/>
          <w:sz w:val="22"/>
          <w:szCs w:val="22"/>
        </w:rPr>
        <w:t xml:space="preserve">: Será una persona funcionaria de tiempo completo y </w:t>
      </w:r>
      <w:r w:rsidRPr="005E47B9">
        <w:rPr>
          <w:rFonts w:cs="Arial"/>
          <w:sz w:val="22"/>
          <w:szCs w:val="22"/>
        </w:rPr>
        <w:t>además de tener restricción para el ejercicio liberal de su profesión</w:t>
      </w:r>
      <w:r w:rsidRPr="005E47B9">
        <w:rPr>
          <w:rFonts w:eastAsia="Calibri" w:cs="Arial"/>
          <w:sz w:val="22"/>
          <w:szCs w:val="22"/>
        </w:rPr>
        <w:t xml:space="preserve">. </w:t>
      </w:r>
      <w:r w:rsidRPr="00911ABE">
        <w:rPr>
          <w:rFonts w:eastAsia="Calibri" w:cs="Arial"/>
          <w:color w:val="000000"/>
          <w:sz w:val="22"/>
          <w:szCs w:val="22"/>
        </w:rPr>
        <w:t>Le puede corresponder laborar fuera de la jornada laboral y viajar dentro y fuera del país.</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autoSpaceDE w:val="0"/>
        <w:autoSpaceDN w:val="0"/>
        <w:adjustRightInd w:val="0"/>
        <w:jc w:val="both"/>
        <w:rPr>
          <w:rFonts w:eastAsia="Calibri" w:cs="Arial"/>
          <w:b/>
          <w:color w:val="000000"/>
          <w:sz w:val="22"/>
          <w:szCs w:val="22"/>
        </w:rPr>
      </w:pPr>
      <w:r w:rsidRPr="00911ABE">
        <w:rPr>
          <w:rFonts w:eastAsia="Calibri" w:cs="Arial"/>
          <w:b/>
          <w:color w:val="000000"/>
          <w:sz w:val="22"/>
          <w:szCs w:val="22"/>
        </w:rPr>
        <w:t xml:space="preserve">Complejidad: </w:t>
      </w:r>
      <w:r w:rsidRPr="00911ABE">
        <w:rPr>
          <w:rFonts w:eastAsia="Calibri" w:cs="Arial"/>
          <w:color w:val="000000"/>
          <w:sz w:val="22"/>
          <w:szCs w:val="22"/>
        </w:rPr>
        <w:t>Le corresponde realizar el trabajo con base en políticas, reglamentos, leyes, planes de trabajo.</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autoSpaceDE w:val="0"/>
        <w:autoSpaceDN w:val="0"/>
        <w:adjustRightInd w:val="0"/>
        <w:jc w:val="both"/>
        <w:rPr>
          <w:rFonts w:eastAsia="Calibri" w:cs="Arial"/>
          <w:b/>
          <w:color w:val="000000"/>
          <w:sz w:val="22"/>
          <w:szCs w:val="22"/>
        </w:rPr>
      </w:pPr>
      <w:r w:rsidRPr="00911ABE">
        <w:rPr>
          <w:rFonts w:eastAsia="Calibri" w:cs="Arial"/>
          <w:b/>
          <w:color w:val="000000"/>
          <w:sz w:val="22"/>
          <w:szCs w:val="22"/>
        </w:rPr>
        <w:t xml:space="preserve">Impacto del puesto: </w:t>
      </w:r>
      <w:r w:rsidRPr="00911ABE">
        <w:rPr>
          <w:rFonts w:eastAsia="Calibri" w:cs="Arial"/>
          <w:color w:val="000000"/>
          <w:sz w:val="22"/>
          <w:szCs w:val="22"/>
        </w:rPr>
        <w:t>Las decisiones que tome impactan la gestión del Banco y el cumplimiento de objetivos institucionales en el sector.</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autoSpaceDE w:val="0"/>
        <w:autoSpaceDN w:val="0"/>
        <w:adjustRightInd w:val="0"/>
        <w:jc w:val="both"/>
        <w:rPr>
          <w:rFonts w:eastAsia="Calibri" w:cs="Arial"/>
          <w:b/>
          <w:color w:val="000000"/>
          <w:sz w:val="22"/>
          <w:szCs w:val="22"/>
        </w:rPr>
      </w:pPr>
      <w:r w:rsidRPr="00911ABE">
        <w:rPr>
          <w:rFonts w:eastAsia="Calibri" w:cs="Arial"/>
          <w:b/>
          <w:color w:val="000000"/>
          <w:sz w:val="22"/>
          <w:szCs w:val="22"/>
        </w:rPr>
        <w:t xml:space="preserve">Supervisión ejercida: </w:t>
      </w:r>
      <w:r w:rsidRPr="00911ABE">
        <w:rPr>
          <w:rFonts w:eastAsia="Calibri" w:cs="Arial"/>
          <w:sz w:val="22"/>
          <w:szCs w:val="22"/>
        </w:rPr>
        <w:t>Ejerce supervisión directa sobre las subgerencias,</w:t>
      </w:r>
      <w:r w:rsidRPr="00911ABE">
        <w:rPr>
          <w:rFonts w:cs="Arial"/>
          <w:sz w:val="22"/>
          <w:szCs w:val="22"/>
        </w:rPr>
        <w:t xml:space="preserve"> Asistente de Gerencia, los cuatro directores de área (FOSUVI, FONAVI, Administrativo y Dirección de Supervisión de Entidades Autorizadas), Asesor Legal, Oficial de Cumplimiento, Oficial de Riesgos y jefes de los departamentos de Planificación, Comunicaciones y Tecnología de Información.</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autoSpaceDE w:val="0"/>
        <w:autoSpaceDN w:val="0"/>
        <w:adjustRightInd w:val="0"/>
        <w:jc w:val="both"/>
        <w:rPr>
          <w:rFonts w:eastAsia="Calibri" w:cs="Arial"/>
          <w:b/>
          <w:color w:val="000000"/>
          <w:sz w:val="22"/>
          <w:szCs w:val="22"/>
        </w:rPr>
      </w:pPr>
      <w:r w:rsidRPr="00911ABE">
        <w:rPr>
          <w:rFonts w:eastAsia="Calibri" w:cs="Arial"/>
          <w:b/>
          <w:color w:val="000000"/>
          <w:sz w:val="22"/>
          <w:szCs w:val="22"/>
        </w:rPr>
        <w:t xml:space="preserve">Formación académica: </w:t>
      </w:r>
      <w:r w:rsidRPr="00911ABE">
        <w:rPr>
          <w:rFonts w:eastAsia="Calibri" w:cs="Arial"/>
          <w:color w:val="000000"/>
          <w:sz w:val="22"/>
          <w:szCs w:val="22"/>
        </w:rPr>
        <w:t>Mínimo el grado de licenciatura o su equivalente en áreas afines a las competencias del puesto.</w:t>
      </w:r>
    </w:p>
    <w:p w:rsidR="00911ABE" w:rsidRPr="00911ABE" w:rsidRDefault="00911ABE" w:rsidP="00273B68">
      <w:pPr>
        <w:autoSpaceDE w:val="0"/>
        <w:autoSpaceDN w:val="0"/>
        <w:adjustRightInd w:val="0"/>
        <w:jc w:val="both"/>
        <w:rPr>
          <w:rFonts w:eastAsia="Calibri" w:cs="Arial"/>
          <w:color w:val="000000"/>
          <w:sz w:val="22"/>
          <w:szCs w:val="22"/>
        </w:rPr>
      </w:pPr>
    </w:p>
    <w:p w:rsidR="00911ABE" w:rsidRPr="00911ABE" w:rsidRDefault="00911ABE" w:rsidP="00273B68">
      <w:pPr>
        <w:autoSpaceDE w:val="0"/>
        <w:autoSpaceDN w:val="0"/>
        <w:adjustRightInd w:val="0"/>
        <w:jc w:val="both"/>
        <w:rPr>
          <w:rFonts w:eastAsia="Calibri" w:cs="Arial"/>
          <w:b/>
          <w:color w:val="000000"/>
          <w:sz w:val="22"/>
          <w:szCs w:val="22"/>
        </w:rPr>
      </w:pPr>
      <w:r w:rsidRPr="00911ABE">
        <w:rPr>
          <w:rFonts w:eastAsia="Calibri" w:cs="Arial"/>
          <w:b/>
          <w:color w:val="000000"/>
          <w:sz w:val="22"/>
          <w:szCs w:val="22"/>
        </w:rPr>
        <w:t xml:space="preserve">Experiencia laboral: </w:t>
      </w:r>
      <w:r w:rsidRPr="00911ABE">
        <w:rPr>
          <w:rFonts w:eastAsia="Calibri" w:cs="Arial"/>
          <w:sz w:val="22"/>
          <w:szCs w:val="22"/>
        </w:rPr>
        <w:t xml:space="preserve">Al menos cinco años de experiencia laboral en puestos gerenciales, implementando actividades similares a las que se desarrollan en el SFNV, en las cuales haya tenido amplia experiencia y conocimientos de </w:t>
      </w:r>
      <w:r w:rsidRPr="00911ABE">
        <w:rPr>
          <w:rFonts w:cs="Arial"/>
          <w:sz w:val="22"/>
          <w:szCs w:val="22"/>
        </w:rPr>
        <w:t>economía, finanzas, banca, administración, o en el sector de la construcción y haya participado en temas relativos al desarrollo económico y social del país.</w:t>
      </w:r>
    </w:p>
    <w:p w:rsidR="00911ABE" w:rsidRPr="00911ABE" w:rsidRDefault="00911ABE" w:rsidP="00273B68">
      <w:pPr>
        <w:jc w:val="both"/>
        <w:rPr>
          <w:rFonts w:cs="Arial"/>
          <w:sz w:val="22"/>
          <w:szCs w:val="22"/>
          <w:lang w:val="es-CR" w:eastAsia="es-CR"/>
        </w:rPr>
      </w:pPr>
    </w:p>
    <w:p w:rsidR="00911ABE" w:rsidRPr="00911ABE" w:rsidRDefault="00911ABE" w:rsidP="00273B68">
      <w:pPr>
        <w:autoSpaceDE w:val="0"/>
        <w:autoSpaceDN w:val="0"/>
        <w:adjustRightInd w:val="0"/>
        <w:jc w:val="both"/>
        <w:rPr>
          <w:rFonts w:eastAsia="Calibri" w:cs="Arial"/>
          <w:b/>
          <w:color w:val="000000"/>
          <w:sz w:val="22"/>
          <w:szCs w:val="22"/>
        </w:rPr>
      </w:pPr>
      <w:r w:rsidRPr="00911ABE">
        <w:rPr>
          <w:rFonts w:eastAsia="Calibri" w:cs="Arial"/>
          <w:b/>
          <w:color w:val="000000"/>
          <w:sz w:val="22"/>
          <w:szCs w:val="22"/>
        </w:rPr>
        <w:t xml:space="preserve">Requisito legal: </w:t>
      </w:r>
      <w:r w:rsidRPr="00911ABE">
        <w:rPr>
          <w:rFonts w:eastAsia="Calibri" w:cs="Arial"/>
          <w:color w:val="000000"/>
          <w:sz w:val="22"/>
          <w:szCs w:val="22"/>
        </w:rPr>
        <w:t>Estar incorporado al colegio profesional respectivo.</w:t>
      </w:r>
    </w:p>
    <w:p w:rsidR="00911ABE" w:rsidRPr="00911ABE" w:rsidRDefault="00911ABE" w:rsidP="00273B68">
      <w:pPr>
        <w:autoSpaceDE w:val="0"/>
        <w:autoSpaceDN w:val="0"/>
        <w:adjustRightInd w:val="0"/>
        <w:jc w:val="both"/>
        <w:rPr>
          <w:rFonts w:eastAsia="Calibri" w:cs="Arial"/>
          <w:b/>
          <w:color w:val="000000"/>
          <w:sz w:val="22"/>
          <w:szCs w:val="22"/>
        </w:rPr>
      </w:pPr>
    </w:p>
    <w:p w:rsidR="00911ABE" w:rsidRPr="00911ABE" w:rsidRDefault="00911ABE" w:rsidP="00273B68">
      <w:pPr>
        <w:autoSpaceDE w:val="0"/>
        <w:autoSpaceDN w:val="0"/>
        <w:adjustRightInd w:val="0"/>
        <w:jc w:val="both"/>
        <w:rPr>
          <w:rFonts w:eastAsia="Calibri" w:cs="Arial"/>
          <w:color w:val="000000"/>
          <w:sz w:val="22"/>
          <w:szCs w:val="22"/>
        </w:rPr>
      </w:pPr>
      <w:r w:rsidRPr="00911ABE">
        <w:rPr>
          <w:rFonts w:eastAsia="Calibri" w:cs="Arial"/>
          <w:b/>
          <w:color w:val="000000"/>
          <w:sz w:val="22"/>
          <w:szCs w:val="22"/>
        </w:rPr>
        <w:t xml:space="preserve">Prohibiciones: </w:t>
      </w:r>
      <w:r w:rsidRPr="00911ABE">
        <w:rPr>
          <w:rFonts w:eastAsia="Calibri" w:cs="Arial"/>
          <w:color w:val="000000"/>
          <w:sz w:val="22"/>
          <w:szCs w:val="22"/>
        </w:rPr>
        <w:t xml:space="preserve">La Gerencia General no podrá nombrar a quienes estén ligados por matrimonio o por parentesco de consanguinidad o afinidad, hasta el tercer grado ambos inclusive, con los miembros de la Junta Directiva, con los subgerentes, con el auditor interno o con él mismo. Sin embargo, no será causal de remoción de un miembro del personal el que, con posterioridad a su designación, se nombre en dichos cargos a personas que tengan con él, el parentesco mencionado, o que llegue a ser pariente por afinidad de algunos de aquellos. Está sujeto a las incompatibilidades indicadas en los artículos 15 y 16 de la Ley 7052 y cumplir con los criterios de idoneidad del Acuerdo SUGEF 22-18. </w:t>
      </w:r>
    </w:p>
    <w:p w:rsidR="00911ABE" w:rsidRPr="00911ABE" w:rsidRDefault="00911ABE" w:rsidP="00273B68">
      <w:pPr>
        <w:autoSpaceDE w:val="0"/>
        <w:autoSpaceDN w:val="0"/>
        <w:adjustRightInd w:val="0"/>
        <w:jc w:val="both"/>
        <w:rPr>
          <w:rFonts w:eastAsia="Calibri" w:cs="Arial"/>
          <w:b/>
          <w:color w:val="000000"/>
          <w:sz w:val="22"/>
          <w:szCs w:val="22"/>
        </w:rPr>
      </w:pPr>
    </w:p>
    <w:p w:rsidR="00911ABE" w:rsidRPr="00911ABE" w:rsidRDefault="00911ABE" w:rsidP="00273B68">
      <w:pPr>
        <w:jc w:val="both"/>
        <w:rPr>
          <w:rFonts w:eastAsia="Calibri" w:cs="Arial"/>
          <w:color w:val="000000"/>
          <w:sz w:val="22"/>
          <w:szCs w:val="22"/>
        </w:rPr>
      </w:pPr>
    </w:p>
    <w:p w:rsidR="00911ABE" w:rsidRPr="005C7937" w:rsidRDefault="00911ABE" w:rsidP="00273B68">
      <w:pPr>
        <w:pStyle w:val="Prrafodelista"/>
        <w:numPr>
          <w:ilvl w:val="1"/>
          <w:numId w:val="25"/>
        </w:numPr>
        <w:ind w:left="284" w:hanging="284"/>
        <w:jc w:val="both"/>
        <w:rPr>
          <w:rFonts w:cs="Arial"/>
          <w:b/>
          <w:sz w:val="22"/>
          <w:szCs w:val="22"/>
          <w:u w:val="single"/>
        </w:rPr>
      </w:pPr>
      <w:bookmarkStart w:id="5" w:name="_Toc5553976"/>
      <w:r w:rsidRPr="005C7937">
        <w:rPr>
          <w:rFonts w:cs="Arial"/>
          <w:b/>
          <w:sz w:val="22"/>
          <w:szCs w:val="22"/>
          <w:u w:val="single"/>
        </w:rPr>
        <w:t xml:space="preserve">Fases del procedimiento de reclutamiento y selección de </w:t>
      </w:r>
      <w:bookmarkEnd w:id="5"/>
      <w:r w:rsidRPr="005C7937">
        <w:rPr>
          <w:rFonts w:cs="Arial"/>
          <w:b/>
          <w:sz w:val="22"/>
          <w:szCs w:val="22"/>
          <w:u w:val="single"/>
        </w:rPr>
        <w:t>personal</w:t>
      </w:r>
    </w:p>
    <w:p w:rsidR="00911ABE" w:rsidRPr="00911ABE" w:rsidRDefault="00911ABE" w:rsidP="00273B68">
      <w:pPr>
        <w:jc w:val="both"/>
        <w:rPr>
          <w:rFonts w:cs="Arial"/>
          <w:b/>
          <w:bCs/>
          <w:color w:val="365F91"/>
          <w:sz w:val="22"/>
          <w:szCs w:val="22"/>
        </w:rPr>
      </w:pPr>
    </w:p>
    <w:p w:rsidR="00911ABE" w:rsidRDefault="00911ABE" w:rsidP="00273B68">
      <w:pPr>
        <w:jc w:val="both"/>
        <w:rPr>
          <w:rFonts w:cs="Arial"/>
          <w:sz w:val="22"/>
          <w:szCs w:val="22"/>
          <w:lang w:val="es-CR"/>
        </w:rPr>
      </w:pPr>
      <w:r w:rsidRPr="00911ABE">
        <w:rPr>
          <w:rFonts w:cs="Arial"/>
          <w:sz w:val="22"/>
          <w:szCs w:val="22"/>
          <w:lang w:val="es-CR"/>
        </w:rPr>
        <w:t>El proceso para reclutar y seleccionar a la persona candidata para ocupar el puesto en concurso, consta de varias fases. Conforme se avance en el proceso, quedarán los oferentes que posean el perfil idóneo, según los requerimientos establecidos para el puesto.</w:t>
      </w:r>
    </w:p>
    <w:p w:rsidR="008F7002" w:rsidRPr="00911ABE" w:rsidRDefault="008F7002" w:rsidP="00273B68">
      <w:pPr>
        <w:jc w:val="both"/>
        <w:rPr>
          <w:rFonts w:cs="Arial"/>
          <w:sz w:val="22"/>
          <w:szCs w:val="22"/>
          <w:lang w:val="es-CR"/>
        </w:rPr>
      </w:pPr>
    </w:p>
    <w:p w:rsidR="00911ABE" w:rsidRPr="00911ABE" w:rsidRDefault="00911ABE" w:rsidP="00273B68">
      <w:pPr>
        <w:jc w:val="both"/>
        <w:rPr>
          <w:rFonts w:cs="Arial"/>
          <w:sz w:val="22"/>
          <w:szCs w:val="22"/>
          <w:lang w:val="es-CR"/>
        </w:rPr>
      </w:pPr>
      <w:r w:rsidRPr="00911ABE">
        <w:rPr>
          <w:rFonts w:cs="Arial"/>
          <w:sz w:val="22"/>
          <w:szCs w:val="22"/>
          <w:lang w:val="es-CR"/>
        </w:rPr>
        <w:t>Las fases del proceso serán las siguientes:</w:t>
      </w:r>
    </w:p>
    <w:p w:rsidR="00911ABE" w:rsidRPr="00911ABE" w:rsidRDefault="00911ABE" w:rsidP="00273B68">
      <w:pPr>
        <w:jc w:val="both"/>
        <w:rPr>
          <w:rFonts w:cs="Arial"/>
          <w:sz w:val="22"/>
          <w:szCs w:val="22"/>
          <w:lang w:val="es-CR"/>
        </w:rPr>
      </w:pPr>
    </w:p>
    <w:p w:rsidR="00911ABE" w:rsidRPr="00911ABE" w:rsidRDefault="00911ABE" w:rsidP="00273B68">
      <w:pPr>
        <w:numPr>
          <w:ilvl w:val="0"/>
          <w:numId w:val="26"/>
        </w:numPr>
        <w:spacing w:after="120"/>
        <w:ind w:left="426" w:hanging="426"/>
        <w:jc w:val="both"/>
        <w:rPr>
          <w:rFonts w:cs="Arial"/>
          <w:sz w:val="22"/>
          <w:szCs w:val="22"/>
          <w:lang w:val="es-CR"/>
        </w:rPr>
      </w:pPr>
      <w:r w:rsidRPr="00911ABE">
        <w:rPr>
          <w:rFonts w:cs="Arial"/>
          <w:sz w:val="22"/>
          <w:szCs w:val="22"/>
          <w:lang w:val="es-CR"/>
        </w:rPr>
        <w:t>Reclutamiento: publicación y recepción de ofertas.</w:t>
      </w:r>
    </w:p>
    <w:p w:rsidR="00911ABE" w:rsidRPr="00911ABE" w:rsidRDefault="00911ABE" w:rsidP="00273B68">
      <w:pPr>
        <w:numPr>
          <w:ilvl w:val="0"/>
          <w:numId w:val="26"/>
        </w:numPr>
        <w:spacing w:after="120"/>
        <w:ind w:left="426" w:hanging="426"/>
        <w:jc w:val="both"/>
        <w:rPr>
          <w:rFonts w:cs="Arial"/>
          <w:sz w:val="22"/>
          <w:szCs w:val="22"/>
          <w:lang w:val="es-CR"/>
        </w:rPr>
      </w:pPr>
      <w:r w:rsidRPr="00911ABE">
        <w:rPr>
          <w:rFonts w:cs="Arial"/>
          <w:sz w:val="22"/>
          <w:szCs w:val="22"/>
          <w:lang w:val="es-CR"/>
        </w:rPr>
        <w:t>Preselección: puntuación de factores y selección de los 5 mejores puntajes</w:t>
      </w:r>
      <w:r w:rsidR="002A3D48">
        <w:rPr>
          <w:rFonts w:cs="Arial"/>
          <w:sz w:val="22"/>
          <w:szCs w:val="22"/>
          <w:lang w:val="es-CR"/>
        </w:rPr>
        <w:t>.</w:t>
      </w:r>
    </w:p>
    <w:p w:rsidR="00911ABE" w:rsidRPr="00911ABE" w:rsidRDefault="00911ABE" w:rsidP="00273B68">
      <w:pPr>
        <w:numPr>
          <w:ilvl w:val="0"/>
          <w:numId w:val="26"/>
        </w:numPr>
        <w:spacing w:after="120"/>
        <w:ind w:left="426" w:hanging="426"/>
        <w:jc w:val="both"/>
        <w:rPr>
          <w:rFonts w:cs="Arial"/>
          <w:sz w:val="22"/>
          <w:szCs w:val="22"/>
          <w:lang w:val="es-CR"/>
        </w:rPr>
      </w:pPr>
      <w:r w:rsidRPr="00911ABE">
        <w:rPr>
          <w:rFonts w:cs="Arial"/>
          <w:sz w:val="22"/>
          <w:szCs w:val="22"/>
          <w:lang w:val="es-CR"/>
        </w:rPr>
        <w:t>Evaluación: referencias laborales, pruebas psicométricas y entrevistas</w:t>
      </w:r>
      <w:r w:rsidR="002A3D48">
        <w:rPr>
          <w:rFonts w:cs="Arial"/>
          <w:sz w:val="22"/>
          <w:szCs w:val="22"/>
          <w:lang w:val="es-CR"/>
        </w:rPr>
        <w:t>.</w:t>
      </w:r>
    </w:p>
    <w:p w:rsidR="00911ABE" w:rsidRPr="00911ABE" w:rsidRDefault="00911ABE" w:rsidP="00273B68">
      <w:pPr>
        <w:numPr>
          <w:ilvl w:val="0"/>
          <w:numId w:val="26"/>
        </w:numPr>
        <w:spacing w:after="120"/>
        <w:ind w:left="426" w:hanging="426"/>
        <w:jc w:val="both"/>
        <w:rPr>
          <w:rFonts w:cs="Arial"/>
          <w:sz w:val="22"/>
          <w:szCs w:val="22"/>
          <w:lang w:val="es-CR"/>
        </w:rPr>
      </w:pPr>
      <w:r w:rsidRPr="00911ABE">
        <w:rPr>
          <w:rFonts w:cs="Arial"/>
          <w:sz w:val="22"/>
          <w:szCs w:val="22"/>
          <w:lang w:val="es-CR"/>
        </w:rPr>
        <w:t>Selección y nombramiento.</w:t>
      </w:r>
    </w:p>
    <w:p w:rsidR="00911ABE" w:rsidRPr="00911ABE" w:rsidRDefault="00911ABE" w:rsidP="00273B68">
      <w:pPr>
        <w:pStyle w:val="Ttulo2"/>
        <w:rPr>
          <w:rFonts w:cs="Arial"/>
          <w:szCs w:val="22"/>
        </w:rPr>
      </w:pPr>
      <w:bookmarkStart w:id="6" w:name="_Toc5553977"/>
    </w:p>
    <w:p w:rsidR="00911ABE" w:rsidRPr="008F7002" w:rsidRDefault="00911ABE" w:rsidP="00273B68">
      <w:pPr>
        <w:pStyle w:val="Ttulo2"/>
        <w:rPr>
          <w:rFonts w:cs="Arial"/>
          <w:i w:val="0"/>
          <w:szCs w:val="22"/>
        </w:rPr>
      </w:pPr>
      <w:r w:rsidRPr="008F7002">
        <w:rPr>
          <w:rFonts w:cs="Arial"/>
          <w:i w:val="0"/>
          <w:szCs w:val="22"/>
        </w:rPr>
        <w:t>b.1 Fase de reclutamiento</w:t>
      </w:r>
      <w:bookmarkEnd w:id="6"/>
    </w:p>
    <w:p w:rsidR="00911ABE" w:rsidRPr="00911ABE" w:rsidRDefault="00911ABE" w:rsidP="00273B68">
      <w:pPr>
        <w:jc w:val="both"/>
        <w:rPr>
          <w:rFonts w:cs="Arial"/>
          <w:sz w:val="22"/>
          <w:szCs w:val="22"/>
        </w:rPr>
      </w:pPr>
    </w:p>
    <w:p w:rsidR="00911ABE" w:rsidRPr="00911ABE" w:rsidRDefault="00911ABE" w:rsidP="00273B68">
      <w:pPr>
        <w:jc w:val="both"/>
        <w:rPr>
          <w:rFonts w:cs="Arial"/>
          <w:sz w:val="22"/>
          <w:szCs w:val="22"/>
          <w:lang w:val="es-CR"/>
        </w:rPr>
      </w:pPr>
      <w:r w:rsidRPr="00911ABE">
        <w:rPr>
          <w:rFonts w:cs="Arial"/>
          <w:sz w:val="22"/>
          <w:szCs w:val="22"/>
          <w:lang w:val="es-CR"/>
        </w:rPr>
        <w:t xml:space="preserve">Esta fase se aplicará para atraer los oferentes que posean los requisitos indispensables para ocupar el puesto. </w:t>
      </w:r>
    </w:p>
    <w:p w:rsidR="00911ABE" w:rsidRPr="00911ABE" w:rsidRDefault="00911ABE" w:rsidP="00273B68">
      <w:pPr>
        <w:jc w:val="both"/>
        <w:rPr>
          <w:rFonts w:cs="Arial"/>
          <w:sz w:val="22"/>
          <w:szCs w:val="22"/>
          <w:lang w:val="es-CR"/>
        </w:rPr>
      </w:pPr>
    </w:p>
    <w:p w:rsidR="00911ABE" w:rsidRPr="00911ABE" w:rsidRDefault="00911ABE" w:rsidP="00273B68">
      <w:pPr>
        <w:jc w:val="both"/>
        <w:rPr>
          <w:rFonts w:cs="Arial"/>
          <w:sz w:val="22"/>
          <w:szCs w:val="22"/>
          <w:lang w:val="es-CR"/>
        </w:rPr>
      </w:pPr>
      <w:r w:rsidRPr="00911ABE">
        <w:rPr>
          <w:rFonts w:cs="Arial"/>
          <w:sz w:val="22"/>
          <w:szCs w:val="22"/>
          <w:lang w:val="es-CR"/>
        </w:rPr>
        <w:t>Los requisitos mínimos en cuanto a formación académica y experiencia profesional para ocupar el puesto son los siguientes:</w:t>
      </w:r>
    </w:p>
    <w:p w:rsidR="00911ABE" w:rsidRPr="00911ABE" w:rsidRDefault="00911ABE" w:rsidP="00273B68">
      <w:pPr>
        <w:jc w:val="both"/>
        <w:rPr>
          <w:rFonts w:cs="Arial"/>
          <w:sz w:val="22"/>
          <w:szCs w:val="22"/>
          <w:lang w:val="es-CR"/>
        </w:rPr>
      </w:pPr>
    </w:p>
    <w:p w:rsidR="00911ABE" w:rsidRPr="00911ABE" w:rsidRDefault="00911ABE" w:rsidP="00273B68">
      <w:pPr>
        <w:pStyle w:val="Prrafodelista"/>
        <w:numPr>
          <w:ilvl w:val="0"/>
          <w:numId w:val="28"/>
        </w:numPr>
        <w:spacing w:after="120"/>
        <w:ind w:left="426" w:hanging="426"/>
        <w:jc w:val="both"/>
        <w:rPr>
          <w:rFonts w:cs="Arial"/>
          <w:color w:val="000000"/>
          <w:sz w:val="22"/>
          <w:szCs w:val="22"/>
        </w:rPr>
      </w:pPr>
      <w:r w:rsidRPr="00911ABE">
        <w:rPr>
          <w:rFonts w:cs="Arial"/>
          <w:sz w:val="22"/>
          <w:szCs w:val="22"/>
          <w:lang w:val="es-CR"/>
        </w:rPr>
        <w:t xml:space="preserve">Formación académica: título académico con un nivel mínimo de licenciatura o su equivalente en áreas relacionadas con la </w:t>
      </w:r>
      <w:r w:rsidRPr="00911ABE">
        <w:rPr>
          <w:rFonts w:cs="Arial"/>
          <w:color w:val="000000"/>
          <w:sz w:val="22"/>
          <w:szCs w:val="22"/>
        </w:rPr>
        <w:t xml:space="preserve">Economía, Finanzas, Banca, Administración  o alguna otra ciencia relacionada al sector construcción, económico o social que sea relevante para ejercer funciones sustantivas relacionadas con el cargo. </w:t>
      </w:r>
    </w:p>
    <w:p w:rsidR="00911ABE" w:rsidRPr="00911ABE" w:rsidRDefault="00911ABE" w:rsidP="00273B68">
      <w:pPr>
        <w:pStyle w:val="Prrafodelista"/>
        <w:spacing w:after="120"/>
        <w:ind w:left="426"/>
        <w:jc w:val="both"/>
        <w:rPr>
          <w:rFonts w:cs="Arial"/>
          <w:color w:val="000000"/>
          <w:sz w:val="22"/>
          <w:szCs w:val="22"/>
        </w:rPr>
      </w:pPr>
    </w:p>
    <w:p w:rsidR="00911ABE" w:rsidRPr="00911ABE" w:rsidRDefault="00911ABE" w:rsidP="00273B68">
      <w:pPr>
        <w:pStyle w:val="Prrafodelista"/>
        <w:numPr>
          <w:ilvl w:val="0"/>
          <w:numId w:val="28"/>
        </w:numPr>
        <w:spacing w:after="120"/>
        <w:ind w:left="426" w:hanging="426"/>
        <w:jc w:val="both"/>
        <w:rPr>
          <w:rFonts w:cs="Arial"/>
          <w:sz w:val="22"/>
          <w:szCs w:val="22"/>
        </w:rPr>
      </w:pPr>
      <w:r w:rsidRPr="00911ABE">
        <w:rPr>
          <w:rFonts w:cs="Arial"/>
          <w:sz w:val="22"/>
          <w:szCs w:val="22"/>
        </w:rPr>
        <w:t xml:space="preserve">Experiencia profesional: un mínimo de 60 meses de experiencia en puestos gerenciales </w:t>
      </w:r>
    </w:p>
    <w:p w:rsidR="0098750C" w:rsidRDefault="0098750C" w:rsidP="00273B68">
      <w:pPr>
        <w:jc w:val="both"/>
        <w:rPr>
          <w:rFonts w:cs="Arial"/>
          <w:sz w:val="22"/>
          <w:szCs w:val="22"/>
          <w:lang w:val="es-CR"/>
        </w:rPr>
      </w:pPr>
    </w:p>
    <w:p w:rsidR="00911ABE" w:rsidRPr="00911ABE" w:rsidRDefault="00911ABE" w:rsidP="00273B68">
      <w:pPr>
        <w:jc w:val="both"/>
        <w:rPr>
          <w:rFonts w:cs="Arial"/>
          <w:sz w:val="22"/>
          <w:szCs w:val="22"/>
          <w:lang w:val="es-CR"/>
        </w:rPr>
      </w:pPr>
      <w:r w:rsidRPr="00911ABE">
        <w:rPr>
          <w:rFonts w:cs="Arial"/>
          <w:sz w:val="22"/>
          <w:szCs w:val="22"/>
          <w:lang w:val="es-CR"/>
        </w:rPr>
        <w:t>El concurso será divulgado en los siguientes medios:</w:t>
      </w:r>
    </w:p>
    <w:p w:rsidR="00911ABE" w:rsidRPr="0055694E" w:rsidRDefault="00911ABE" w:rsidP="00273B68">
      <w:pPr>
        <w:jc w:val="both"/>
        <w:rPr>
          <w:rFonts w:cs="Arial"/>
          <w:b/>
          <w:sz w:val="22"/>
          <w:szCs w:val="22"/>
          <w:lang w:val="es-CR"/>
        </w:rPr>
      </w:pPr>
    </w:p>
    <w:p w:rsidR="00911ABE" w:rsidRPr="00911ABE" w:rsidRDefault="00911ABE" w:rsidP="00273B68">
      <w:pPr>
        <w:numPr>
          <w:ilvl w:val="1"/>
          <w:numId w:val="24"/>
        </w:numPr>
        <w:spacing w:after="120"/>
        <w:ind w:left="0" w:firstLine="0"/>
        <w:jc w:val="both"/>
        <w:rPr>
          <w:rFonts w:cs="Arial"/>
          <w:sz w:val="22"/>
          <w:szCs w:val="22"/>
          <w:lang w:val="es-CR"/>
        </w:rPr>
      </w:pPr>
      <w:r w:rsidRPr="00911ABE">
        <w:rPr>
          <w:rFonts w:cs="Arial"/>
          <w:sz w:val="22"/>
          <w:szCs w:val="22"/>
          <w:lang w:val="es-CR"/>
        </w:rPr>
        <w:t>Página web del Banco.</w:t>
      </w:r>
    </w:p>
    <w:p w:rsidR="00911ABE" w:rsidRPr="00911ABE" w:rsidRDefault="00911ABE" w:rsidP="00273B68">
      <w:pPr>
        <w:numPr>
          <w:ilvl w:val="1"/>
          <w:numId w:val="24"/>
        </w:numPr>
        <w:spacing w:after="120"/>
        <w:ind w:left="0" w:firstLine="0"/>
        <w:jc w:val="both"/>
        <w:rPr>
          <w:rFonts w:cs="Arial"/>
          <w:sz w:val="22"/>
          <w:szCs w:val="22"/>
          <w:lang w:val="es-CR"/>
        </w:rPr>
      </w:pPr>
      <w:r w:rsidRPr="00911ABE">
        <w:rPr>
          <w:rFonts w:cs="Arial"/>
          <w:sz w:val="22"/>
          <w:szCs w:val="22"/>
          <w:lang w:val="es-CR"/>
        </w:rPr>
        <w:t>Redes sociales institucionales.</w:t>
      </w:r>
    </w:p>
    <w:p w:rsidR="00911ABE" w:rsidRPr="00911ABE" w:rsidRDefault="00911ABE" w:rsidP="00273B68">
      <w:pPr>
        <w:numPr>
          <w:ilvl w:val="1"/>
          <w:numId w:val="24"/>
        </w:numPr>
        <w:spacing w:after="120"/>
        <w:ind w:left="0" w:firstLine="0"/>
        <w:jc w:val="both"/>
        <w:rPr>
          <w:rFonts w:cs="Arial"/>
          <w:sz w:val="22"/>
          <w:szCs w:val="22"/>
          <w:lang w:val="es-CR"/>
        </w:rPr>
      </w:pPr>
      <w:r w:rsidRPr="00911ABE">
        <w:rPr>
          <w:rFonts w:cs="Arial"/>
          <w:sz w:val="22"/>
          <w:szCs w:val="22"/>
          <w:lang w:val="es-CR"/>
        </w:rPr>
        <w:t>Publicación en un medio escrito nacional.</w:t>
      </w:r>
    </w:p>
    <w:p w:rsidR="00911ABE" w:rsidRPr="00911ABE" w:rsidRDefault="00911ABE" w:rsidP="00273B68">
      <w:pPr>
        <w:spacing w:after="120"/>
        <w:jc w:val="both"/>
        <w:rPr>
          <w:rFonts w:cs="Arial"/>
          <w:sz w:val="22"/>
          <w:szCs w:val="22"/>
          <w:lang w:val="es-CR"/>
        </w:rPr>
      </w:pPr>
    </w:p>
    <w:p w:rsidR="00911ABE" w:rsidRPr="00911ABE" w:rsidRDefault="00911ABE" w:rsidP="00273B68">
      <w:pPr>
        <w:jc w:val="both"/>
        <w:rPr>
          <w:rFonts w:cs="Arial"/>
          <w:b/>
          <w:sz w:val="22"/>
          <w:szCs w:val="22"/>
          <w:lang w:val="es-CR"/>
        </w:rPr>
      </w:pPr>
      <w:r w:rsidRPr="00911ABE">
        <w:rPr>
          <w:rFonts w:cs="Arial"/>
          <w:sz w:val="22"/>
          <w:szCs w:val="22"/>
          <w:lang w:val="es-CR"/>
        </w:rPr>
        <w:t xml:space="preserve">La Junta Directiva recibirá las postulaciones mediante la aplicación de la </w:t>
      </w:r>
      <w:r w:rsidRPr="00911ABE">
        <w:rPr>
          <w:rFonts w:cs="Arial"/>
          <w:i/>
          <w:sz w:val="22"/>
          <w:szCs w:val="22"/>
          <w:lang w:val="es-CR"/>
        </w:rPr>
        <w:t>oferta de servicios en línea</w:t>
      </w:r>
      <w:r w:rsidRPr="00911ABE">
        <w:rPr>
          <w:rFonts w:cs="Arial"/>
          <w:sz w:val="22"/>
          <w:szCs w:val="22"/>
          <w:lang w:val="es-CR"/>
        </w:rPr>
        <w:t>, disponible en la página web de la Institución, en la siguiente dirección electrónica:</w:t>
      </w:r>
      <w:r w:rsidRPr="00911ABE">
        <w:rPr>
          <w:rFonts w:cs="Arial"/>
          <w:sz w:val="22"/>
          <w:szCs w:val="22"/>
        </w:rPr>
        <w:t xml:space="preserve"> </w:t>
      </w:r>
      <w:hyperlink r:id="rId10" w:history="1">
        <w:r w:rsidRPr="00911ABE">
          <w:rPr>
            <w:rStyle w:val="Hipervnculo"/>
            <w:rFonts w:cs="Arial"/>
            <w:sz w:val="22"/>
            <w:szCs w:val="22"/>
            <w:lang w:val="es-CR"/>
          </w:rPr>
          <w:t>https://xxx</w:t>
        </w:r>
      </w:hyperlink>
    </w:p>
    <w:p w:rsidR="00911ABE" w:rsidRPr="00911ABE" w:rsidRDefault="00911ABE" w:rsidP="00273B68">
      <w:pPr>
        <w:jc w:val="both"/>
        <w:rPr>
          <w:rFonts w:cs="Arial"/>
          <w:sz w:val="22"/>
          <w:szCs w:val="22"/>
          <w:lang w:val="es-CR"/>
        </w:rPr>
      </w:pPr>
    </w:p>
    <w:p w:rsidR="00911ABE" w:rsidRPr="00911ABE" w:rsidRDefault="00911ABE" w:rsidP="00273B68">
      <w:pPr>
        <w:jc w:val="both"/>
        <w:rPr>
          <w:rFonts w:cs="Arial"/>
          <w:sz w:val="22"/>
          <w:szCs w:val="22"/>
          <w:lang w:val="es-CR"/>
        </w:rPr>
      </w:pPr>
      <w:r w:rsidRPr="00911ABE">
        <w:rPr>
          <w:rFonts w:cs="Arial"/>
          <w:sz w:val="22"/>
          <w:szCs w:val="22"/>
          <w:lang w:val="es-CR"/>
        </w:rPr>
        <w:t xml:space="preserve">Los aspirantes deberán </w:t>
      </w:r>
      <w:r w:rsidRPr="0055694E">
        <w:rPr>
          <w:rFonts w:cs="Arial"/>
          <w:sz w:val="22"/>
          <w:szCs w:val="22"/>
          <w:lang w:val="es-CR"/>
        </w:rPr>
        <w:t>llenar la oferta y adjuntar en el plazo que se indique en la publicación, en formato electrónico</w:t>
      </w:r>
      <w:r w:rsidRPr="00911ABE">
        <w:rPr>
          <w:rFonts w:cs="Arial"/>
          <w:sz w:val="22"/>
          <w:szCs w:val="22"/>
          <w:lang w:val="es-CR"/>
        </w:rPr>
        <w:t>, los siguientes documentos:</w:t>
      </w:r>
    </w:p>
    <w:p w:rsidR="00911ABE" w:rsidRPr="00911ABE" w:rsidRDefault="00911ABE" w:rsidP="00273B68">
      <w:pPr>
        <w:jc w:val="both"/>
        <w:rPr>
          <w:rFonts w:cs="Arial"/>
          <w:sz w:val="22"/>
          <w:szCs w:val="22"/>
          <w:lang w:val="es-CR"/>
        </w:rPr>
      </w:pPr>
    </w:p>
    <w:p w:rsidR="00911ABE" w:rsidRPr="00911ABE" w:rsidRDefault="00911ABE" w:rsidP="00273B68">
      <w:pPr>
        <w:numPr>
          <w:ilvl w:val="0"/>
          <w:numId w:val="27"/>
        </w:numPr>
        <w:spacing w:after="120"/>
        <w:ind w:left="426" w:hanging="426"/>
        <w:jc w:val="both"/>
        <w:rPr>
          <w:rFonts w:cs="Arial"/>
          <w:sz w:val="22"/>
          <w:szCs w:val="22"/>
          <w:lang w:val="es-CR"/>
        </w:rPr>
      </w:pPr>
      <w:r w:rsidRPr="00911ABE">
        <w:rPr>
          <w:rFonts w:cs="Arial"/>
          <w:sz w:val="22"/>
          <w:szCs w:val="22"/>
          <w:lang w:val="es-CR"/>
        </w:rPr>
        <w:t>La hoja de vida completa, actualizada y en idioma español.</w:t>
      </w:r>
    </w:p>
    <w:p w:rsidR="00911ABE" w:rsidRPr="00911ABE" w:rsidRDefault="00911ABE" w:rsidP="00273B68">
      <w:pPr>
        <w:numPr>
          <w:ilvl w:val="0"/>
          <w:numId w:val="27"/>
        </w:numPr>
        <w:spacing w:after="120"/>
        <w:ind w:left="426" w:hanging="426"/>
        <w:jc w:val="both"/>
        <w:rPr>
          <w:rFonts w:cs="Arial"/>
          <w:sz w:val="22"/>
          <w:szCs w:val="22"/>
          <w:lang w:val="es-CR"/>
        </w:rPr>
      </w:pPr>
      <w:r w:rsidRPr="00911ABE">
        <w:rPr>
          <w:rFonts w:cs="Arial"/>
          <w:sz w:val="22"/>
          <w:szCs w:val="22"/>
          <w:lang w:val="es-CR"/>
        </w:rPr>
        <w:t>Copia de los títulos universitarios obtenidos atinentes al cargo. En caso de estudios realizados fuera del país, los títulos deberán estar debidamente reconocidos y equiparados, según procedimiento de la Comisión Nacional de Rectores (CONARE).</w:t>
      </w:r>
    </w:p>
    <w:p w:rsidR="00911ABE" w:rsidRPr="00911ABE" w:rsidRDefault="00911ABE" w:rsidP="00273B68">
      <w:pPr>
        <w:numPr>
          <w:ilvl w:val="0"/>
          <w:numId w:val="27"/>
        </w:numPr>
        <w:spacing w:after="120"/>
        <w:ind w:left="426" w:hanging="426"/>
        <w:jc w:val="both"/>
        <w:rPr>
          <w:rFonts w:cs="Arial"/>
          <w:sz w:val="22"/>
          <w:szCs w:val="22"/>
          <w:lang w:val="es-CR"/>
        </w:rPr>
      </w:pPr>
      <w:r w:rsidRPr="00911ABE">
        <w:rPr>
          <w:rFonts w:cs="Arial"/>
          <w:sz w:val="22"/>
          <w:szCs w:val="22"/>
          <w:lang w:val="es-CR"/>
        </w:rPr>
        <w:t>Certificación de la incorporación y de estar al día con las cuotas del colegio profesional respectivo, cuando sea obligatorio.</w:t>
      </w:r>
    </w:p>
    <w:p w:rsidR="00911ABE" w:rsidRPr="00911ABE" w:rsidRDefault="00911ABE" w:rsidP="00273B68">
      <w:pPr>
        <w:numPr>
          <w:ilvl w:val="0"/>
          <w:numId w:val="27"/>
        </w:numPr>
        <w:spacing w:after="120"/>
        <w:ind w:left="426" w:hanging="426"/>
        <w:jc w:val="both"/>
        <w:rPr>
          <w:rFonts w:cs="Arial"/>
          <w:sz w:val="22"/>
          <w:szCs w:val="22"/>
          <w:lang w:val="es-CR"/>
        </w:rPr>
      </w:pPr>
      <w:r w:rsidRPr="00911ABE">
        <w:rPr>
          <w:rFonts w:cs="Arial"/>
          <w:sz w:val="22"/>
          <w:szCs w:val="22"/>
          <w:lang w:val="es-CR"/>
        </w:rPr>
        <w:t>Declaración jurada de que no le aplican las prohibiciones de ley en el formato adjunto en la publicación del concurso.</w:t>
      </w:r>
    </w:p>
    <w:p w:rsidR="00911ABE" w:rsidRPr="00911ABE" w:rsidRDefault="00911ABE" w:rsidP="00273B68">
      <w:pPr>
        <w:numPr>
          <w:ilvl w:val="0"/>
          <w:numId w:val="27"/>
        </w:numPr>
        <w:spacing w:after="120"/>
        <w:ind w:left="426" w:hanging="426"/>
        <w:jc w:val="both"/>
        <w:rPr>
          <w:rFonts w:cs="Arial"/>
          <w:sz w:val="22"/>
          <w:szCs w:val="22"/>
          <w:lang w:val="es-CR"/>
        </w:rPr>
      </w:pPr>
      <w:r w:rsidRPr="00911ABE">
        <w:rPr>
          <w:rFonts w:cs="Arial"/>
          <w:sz w:val="22"/>
          <w:szCs w:val="22"/>
          <w:lang w:val="es-CR"/>
        </w:rPr>
        <w:t>Consentimiento informado según formato adjunto en la publicación.</w:t>
      </w:r>
    </w:p>
    <w:p w:rsidR="00911ABE" w:rsidRPr="00911ABE" w:rsidRDefault="00911ABE" w:rsidP="00273B68">
      <w:pPr>
        <w:numPr>
          <w:ilvl w:val="0"/>
          <w:numId w:val="27"/>
        </w:numPr>
        <w:spacing w:after="120"/>
        <w:ind w:left="426" w:hanging="426"/>
        <w:jc w:val="both"/>
        <w:rPr>
          <w:rFonts w:cs="Arial"/>
          <w:sz w:val="22"/>
          <w:szCs w:val="22"/>
          <w:lang w:val="es-CR"/>
        </w:rPr>
      </w:pPr>
      <w:r w:rsidRPr="00911ABE">
        <w:rPr>
          <w:rFonts w:cs="Arial"/>
          <w:sz w:val="22"/>
          <w:szCs w:val="22"/>
          <w:lang w:val="es-CR"/>
        </w:rPr>
        <w:t xml:space="preserve">Los documentos necesarios para acreditar la experiencia de los aspirantes al puesto, los cuales deberán cumplir los siguientes requisitos: </w:t>
      </w:r>
    </w:p>
    <w:p w:rsidR="00911ABE" w:rsidRPr="00911ABE" w:rsidRDefault="00911ABE" w:rsidP="00273B68">
      <w:pPr>
        <w:pStyle w:val="Prrafodelista"/>
        <w:numPr>
          <w:ilvl w:val="2"/>
          <w:numId w:val="27"/>
        </w:numPr>
        <w:spacing w:after="120"/>
        <w:ind w:left="709" w:hanging="142"/>
        <w:contextualSpacing w:val="0"/>
        <w:jc w:val="both"/>
        <w:rPr>
          <w:rFonts w:cs="Arial"/>
          <w:sz w:val="22"/>
          <w:szCs w:val="22"/>
          <w:lang w:val="es-CR"/>
        </w:rPr>
      </w:pPr>
      <w:r w:rsidRPr="00911ABE">
        <w:rPr>
          <w:rFonts w:cs="Arial"/>
          <w:sz w:val="22"/>
          <w:szCs w:val="22"/>
          <w:lang w:val="es-CR"/>
        </w:rPr>
        <w:t xml:space="preserve">Son aceptables las constancias de experiencia laboral o las declaraciones juradas de experiencia laboral, estas últimas debidamente autenticadas ante notario público. A continuación, se explican las condiciones para su aceptación y las características que deben tener. </w:t>
      </w:r>
    </w:p>
    <w:p w:rsidR="00911ABE" w:rsidRPr="00911ABE" w:rsidRDefault="00911ABE" w:rsidP="00273B68">
      <w:pPr>
        <w:pStyle w:val="Prrafodelista"/>
        <w:numPr>
          <w:ilvl w:val="0"/>
          <w:numId w:val="30"/>
        </w:numPr>
        <w:spacing w:after="120"/>
        <w:ind w:left="993" w:hanging="284"/>
        <w:contextualSpacing w:val="0"/>
        <w:jc w:val="both"/>
        <w:rPr>
          <w:rFonts w:cs="Arial"/>
          <w:sz w:val="22"/>
          <w:szCs w:val="22"/>
          <w:lang w:val="es-CR"/>
        </w:rPr>
      </w:pPr>
      <w:r w:rsidRPr="00911ABE">
        <w:rPr>
          <w:rFonts w:cs="Arial"/>
          <w:sz w:val="22"/>
          <w:szCs w:val="22"/>
          <w:lang w:val="es-CR"/>
        </w:rPr>
        <w:t xml:space="preserve">Las constancias de experiencia de trabajo serán indispensables cuando se trate de acreditar experiencia laboral acumulada en el marco de una relación laboral. Las constancias son aceptables, aunque no indispensables, cuando se trate de acreditar experiencia acumulada en el marco de contratos de servicios profesionales brindados por cuenta propia; en estos casos, la estudios específicos realizados por el postulante, que sirvan como evidencia de experiencia profesional a valorar en este concurso, tanto las constancias como las declaraciones juradas serán necesarias para acreditar experiencia laboral, medida mediante alguno de los siguientes indicadores: a) tiempo laborado, y b) número de estudios realizados. </w:t>
      </w:r>
    </w:p>
    <w:p w:rsidR="00911ABE" w:rsidRPr="00911ABE" w:rsidRDefault="00911ABE" w:rsidP="00273B68">
      <w:pPr>
        <w:pStyle w:val="Prrafodelista"/>
        <w:numPr>
          <w:ilvl w:val="2"/>
          <w:numId w:val="27"/>
        </w:numPr>
        <w:spacing w:after="120"/>
        <w:ind w:left="709" w:hanging="142"/>
        <w:contextualSpacing w:val="0"/>
        <w:jc w:val="both"/>
        <w:rPr>
          <w:rFonts w:cs="Arial"/>
          <w:sz w:val="22"/>
          <w:szCs w:val="22"/>
          <w:lang w:val="es-CR"/>
        </w:rPr>
      </w:pPr>
      <w:r w:rsidRPr="00911ABE">
        <w:rPr>
          <w:rFonts w:cs="Arial"/>
          <w:sz w:val="22"/>
          <w:szCs w:val="22"/>
          <w:lang w:val="es-CR"/>
        </w:rPr>
        <w:t>En relación con las constancias, se deben cumplir los siguientes requisitos:</w:t>
      </w:r>
    </w:p>
    <w:p w:rsidR="00911ABE" w:rsidRPr="00911ABE" w:rsidRDefault="00911ABE" w:rsidP="00273B68">
      <w:pPr>
        <w:numPr>
          <w:ilvl w:val="3"/>
          <w:numId w:val="27"/>
        </w:numPr>
        <w:spacing w:after="120"/>
        <w:ind w:left="993" w:hanging="284"/>
        <w:jc w:val="both"/>
        <w:rPr>
          <w:rFonts w:cs="Arial"/>
          <w:sz w:val="22"/>
          <w:szCs w:val="22"/>
          <w:lang w:val="es-CR"/>
        </w:rPr>
      </w:pPr>
      <w:r w:rsidRPr="00911ABE">
        <w:rPr>
          <w:rFonts w:cs="Arial"/>
          <w:sz w:val="22"/>
          <w:szCs w:val="22"/>
          <w:lang w:val="es-CR"/>
        </w:rPr>
        <w:t>Deberán ser emitidas por la empresa, organismo o institución contratante.</w:t>
      </w:r>
    </w:p>
    <w:p w:rsidR="00911ABE" w:rsidRPr="00911ABE" w:rsidRDefault="00911ABE" w:rsidP="00273B68">
      <w:pPr>
        <w:numPr>
          <w:ilvl w:val="3"/>
          <w:numId w:val="27"/>
        </w:numPr>
        <w:spacing w:after="120"/>
        <w:ind w:left="993" w:hanging="284"/>
        <w:jc w:val="both"/>
        <w:rPr>
          <w:rFonts w:cs="Arial"/>
          <w:sz w:val="22"/>
          <w:szCs w:val="22"/>
          <w:lang w:val="es-CR"/>
        </w:rPr>
      </w:pPr>
      <w:r w:rsidRPr="00911ABE">
        <w:rPr>
          <w:rFonts w:cs="Arial"/>
          <w:sz w:val="22"/>
          <w:szCs w:val="22"/>
          <w:lang w:val="es-CR"/>
        </w:rPr>
        <w:t xml:space="preserve">Para acreditar los períodos laborados se debe indicar la fecha de ingreso, la fecha de finalización, el motivo de salida, el tipo de jornada laboral (tiempo completo, medio tiempo o cuarto de tiempo), y los puestos ocupados con el detalle de las funciones realizadas. </w:t>
      </w:r>
    </w:p>
    <w:p w:rsidR="00911ABE" w:rsidRPr="00911ABE" w:rsidRDefault="00911ABE" w:rsidP="00273B68">
      <w:pPr>
        <w:numPr>
          <w:ilvl w:val="3"/>
          <w:numId w:val="27"/>
        </w:numPr>
        <w:spacing w:after="120"/>
        <w:ind w:left="993" w:hanging="284"/>
        <w:jc w:val="both"/>
        <w:rPr>
          <w:rFonts w:cs="Arial"/>
          <w:sz w:val="22"/>
          <w:szCs w:val="22"/>
          <w:lang w:val="es-CR"/>
        </w:rPr>
      </w:pPr>
      <w:r w:rsidRPr="00911ABE">
        <w:rPr>
          <w:rFonts w:cs="Arial"/>
          <w:sz w:val="22"/>
          <w:szCs w:val="22"/>
          <w:lang w:val="es-CR"/>
        </w:rPr>
        <w:t xml:space="preserve">Para acreditar estudios específicos realizados por el aspirante al puesto, que sirvan como evidencia de experiencia profesional a valorar en este concurso, la constancia deberá incluir una breve descripción de sus objetivos, alcances y resultados, y el período en que fueron elaborados. </w:t>
      </w:r>
    </w:p>
    <w:p w:rsidR="00911ABE" w:rsidRPr="00911ABE" w:rsidRDefault="00911ABE" w:rsidP="00273B68">
      <w:pPr>
        <w:numPr>
          <w:ilvl w:val="3"/>
          <w:numId w:val="27"/>
        </w:numPr>
        <w:spacing w:after="120"/>
        <w:ind w:left="993" w:hanging="284"/>
        <w:jc w:val="both"/>
        <w:rPr>
          <w:rFonts w:cs="Arial"/>
          <w:sz w:val="22"/>
          <w:szCs w:val="22"/>
          <w:lang w:val="es-CR"/>
        </w:rPr>
      </w:pPr>
      <w:r w:rsidRPr="00911ABE">
        <w:rPr>
          <w:rFonts w:cs="Arial"/>
          <w:sz w:val="22"/>
          <w:szCs w:val="22"/>
          <w:lang w:val="es-CR"/>
        </w:rPr>
        <w:t>Si se trata de experiencia laboral adquirida en el extranjero, la misma deberá estar debidamente legalizada o apostillada por el país en que se obtuvo y contener la información solicitada.  De ser un país con un idioma oficial diferente al español, deberá presentarse la debida traducción oficial por traductores autorizados en Costa Rica.</w:t>
      </w:r>
    </w:p>
    <w:p w:rsidR="00911ABE" w:rsidRPr="00911ABE" w:rsidRDefault="00911ABE" w:rsidP="00273B68">
      <w:pPr>
        <w:numPr>
          <w:ilvl w:val="2"/>
          <w:numId w:val="27"/>
        </w:numPr>
        <w:spacing w:after="120"/>
        <w:ind w:left="709" w:hanging="175"/>
        <w:jc w:val="both"/>
        <w:rPr>
          <w:rFonts w:cs="Arial"/>
          <w:sz w:val="22"/>
          <w:szCs w:val="22"/>
          <w:lang w:val="es-CR"/>
        </w:rPr>
      </w:pPr>
      <w:r w:rsidRPr="00911ABE">
        <w:rPr>
          <w:rFonts w:cs="Arial"/>
          <w:sz w:val="22"/>
          <w:szCs w:val="22"/>
          <w:lang w:val="es-CR"/>
        </w:rPr>
        <w:t xml:space="preserve">En relación con las declaraciones juradas se deben cumplir los siguientes requisitos: </w:t>
      </w:r>
    </w:p>
    <w:p w:rsidR="00911ABE" w:rsidRPr="00911ABE" w:rsidRDefault="00911ABE" w:rsidP="00273B68">
      <w:pPr>
        <w:numPr>
          <w:ilvl w:val="3"/>
          <w:numId w:val="27"/>
        </w:numPr>
        <w:spacing w:after="120"/>
        <w:ind w:left="993" w:hanging="284"/>
        <w:jc w:val="both"/>
        <w:rPr>
          <w:rFonts w:cs="Arial"/>
          <w:sz w:val="22"/>
          <w:szCs w:val="22"/>
          <w:lang w:val="es-CR"/>
        </w:rPr>
      </w:pPr>
      <w:r w:rsidRPr="00911ABE">
        <w:rPr>
          <w:rFonts w:cs="Arial"/>
          <w:sz w:val="22"/>
          <w:szCs w:val="22"/>
          <w:lang w:val="es-CR"/>
        </w:rPr>
        <w:t xml:space="preserve">Para acreditar experiencia medida mediante tiempo laborado, se deberán indicar los siguientes datos:  el nombre de la empresa o institución a la cual se brindó el servicio profesional, el período laborado (fecha de ingreso, fecha de finalización), el nombre del proyecto, los objetivos del proyecto, y una breve descripción de los productos generados. Además, se deberá indicar el nombre de la persona que actuó como contraparte técnica por parte del cliente, y su dirección electrónica actual o número de teléfono actual. </w:t>
      </w:r>
    </w:p>
    <w:p w:rsidR="00911ABE" w:rsidRPr="00911ABE" w:rsidRDefault="00911ABE" w:rsidP="00273B68">
      <w:pPr>
        <w:numPr>
          <w:ilvl w:val="3"/>
          <w:numId w:val="27"/>
        </w:numPr>
        <w:spacing w:after="120"/>
        <w:ind w:left="993" w:hanging="284"/>
        <w:jc w:val="both"/>
        <w:rPr>
          <w:rFonts w:cs="Arial"/>
          <w:sz w:val="22"/>
          <w:szCs w:val="22"/>
          <w:lang w:val="es-CR"/>
        </w:rPr>
      </w:pPr>
      <w:r w:rsidRPr="00911ABE">
        <w:rPr>
          <w:rFonts w:cs="Arial"/>
          <w:sz w:val="22"/>
          <w:szCs w:val="22"/>
          <w:lang w:val="es-CR"/>
        </w:rPr>
        <w:t xml:space="preserve">Para acreditar estudios realizados por el postulante, la declaración deberá indicar para cada estudio específico lo siguiente: una breve descripción de sus objetivos, alcances y resultados, y el período en que fue elaborado. Además, se deberá indicar el nombre de la persona que actuó como contraparte técnica por parte del cliente, y su dirección electrónica actual o número de teléfono actual. </w:t>
      </w:r>
    </w:p>
    <w:p w:rsidR="00911ABE" w:rsidRPr="00911ABE" w:rsidRDefault="00911ABE" w:rsidP="00273B68">
      <w:pPr>
        <w:jc w:val="both"/>
        <w:rPr>
          <w:rFonts w:cs="Arial"/>
          <w:sz w:val="22"/>
          <w:szCs w:val="22"/>
          <w:lang w:val="es-CR"/>
        </w:rPr>
      </w:pPr>
      <w:r w:rsidRPr="00911ABE">
        <w:rPr>
          <w:rFonts w:cs="Arial"/>
          <w:sz w:val="22"/>
          <w:szCs w:val="22"/>
          <w:lang w:val="es-CR"/>
        </w:rPr>
        <w:t xml:space="preserve">Toda la documentación indicada en los puntos anteriores, deberá adjuntarse a la oferta en línea para demostrar el cumplimiento de requisitos del puesto; en caso de presentarse alguna dificultad a la hora de adjuntar la documentación, puede comunicarse </w:t>
      </w:r>
      <w:r w:rsidRPr="00111A2A">
        <w:rPr>
          <w:rFonts w:cs="Arial"/>
          <w:sz w:val="22"/>
          <w:szCs w:val="22"/>
          <w:lang w:val="es-CR"/>
        </w:rPr>
        <w:t xml:space="preserve">con </w:t>
      </w:r>
      <w:proofErr w:type="spellStart"/>
      <w:r w:rsidRPr="00111A2A">
        <w:rPr>
          <w:rFonts w:cs="Arial"/>
          <w:sz w:val="22"/>
          <w:szCs w:val="22"/>
          <w:lang w:val="es-CR"/>
        </w:rPr>
        <w:t>xxxx</w:t>
      </w:r>
      <w:proofErr w:type="spellEnd"/>
      <w:r w:rsidRPr="00911ABE">
        <w:rPr>
          <w:rFonts w:cs="Arial"/>
          <w:sz w:val="22"/>
          <w:szCs w:val="22"/>
          <w:lang w:val="es-CR"/>
        </w:rPr>
        <w:t xml:space="preserve"> al correo electrónico: </w:t>
      </w:r>
      <w:hyperlink r:id="rId11" w:history="1">
        <w:proofErr w:type="spellStart"/>
        <w:r w:rsidRPr="00111A2A">
          <w:rPr>
            <w:rStyle w:val="Hipervnculo"/>
            <w:rFonts w:cs="Arial"/>
            <w:sz w:val="22"/>
            <w:szCs w:val="22"/>
            <w:lang w:val="es-CR"/>
          </w:rPr>
          <w:t>xxxxxxxxxxxr</w:t>
        </w:r>
        <w:proofErr w:type="spellEnd"/>
      </w:hyperlink>
      <w:r w:rsidRPr="00911ABE">
        <w:rPr>
          <w:rFonts w:cs="Arial"/>
          <w:sz w:val="22"/>
          <w:szCs w:val="22"/>
          <w:lang w:val="es-CR"/>
        </w:rPr>
        <w:t>,</w:t>
      </w:r>
      <w:r w:rsidRPr="00911ABE">
        <w:rPr>
          <w:rFonts w:cs="Arial"/>
          <w:b/>
          <w:sz w:val="22"/>
          <w:szCs w:val="22"/>
          <w:lang w:val="es-CR"/>
        </w:rPr>
        <w:t xml:space="preserve"> </w:t>
      </w:r>
      <w:r w:rsidRPr="00911ABE">
        <w:rPr>
          <w:rFonts w:cs="Arial"/>
          <w:sz w:val="22"/>
          <w:szCs w:val="22"/>
          <w:lang w:val="es-CR"/>
        </w:rPr>
        <w:t>quien le dará las instrucciones que deberá seguir; esto debe hacerse antes de que cierre la fecha de recepción de ofertas.</w:t>
      </w:r>
    </w:p>
    <w:p w:rsidR="00911ABE" w:rsidRPr="00911ABE" w:rsidRDefault="00911ABE" w:rsidP="00273B68">
      <w:pPr>
        <w:jc w:val="both"/>
        <w:rPr>
          <w:rFonts w:cs="Arial"/>
          <w:sz w:val="22"/>
          <w:szCs w:val="22"/>
          <w:lang w:val="es-CR"/>
        </w:rPr>
      </w:pPr>
    </w:p>
    <w:p w:rsidR="00911ABE" w:rsidRPr="00911ABE" w:rsidRDefault="00911ABE" w:rsidP="00273B68">
      <w:pPr>
        <w:jc w:val="both"/>
        <w:rPr>
          <w:rFonts w:cs="Arial"/>
          <w:b/>
          <w:i/>
          <w:sz w:val="22"/>
          <w:szCs w:val="22"/>
          <w:lang w:val="es-CR"/>
        </w:rPr>
      </w:pPr>
      <w:r w:rsidRPr="00911ABE">
        <w:rPr>
          <w:rFonts w:cs="Arial"/>
          <w:b/>
          <w:i/>
          <w:sz w:val="22"/>
          <w:szCs w:val="22"/>
          <w:lang w:val="es-CR"/>
        </w:rPr>
        <w:t>La persona oferente que no adjunte toda la documentación indicada a la fecha de cierre del concurso, quedará excluid</w:t>
      </w:r>
      <w:r w:rsidR="004B58F8">
        <w:rPr>
          <w:rFonts w:cs="Arial"/>
          <w:b/>
          <w:i/>
          <w:sz w:val="22"/>
          <w:szCs w:val="22"/>
          <w:lang w:val="es-CR"/>
        </w:rPr>
        <w:t>a</w:t>
      </w:r>
      <w:r w:rsidRPr="00911ABE">
        <w:rPr>
          <w:rFonts w:cs="Arial"/>
          <w:b/>
          <w:i/>
          <w:sz w:val="22"/>
          <w:szCs w:val="22"/>
          <w:lang w:val="es-CR"/>
        </w:rPr>
        <w:t xml:space="preserve"> automáticamente del proceso.</w:t>
      </w:r>
    </w:p>
    <w:p w:rsidR="00111A2A" w:rsidRDefault="00111A2A" w:rsidP="00273B68">
      <w:pPr>
        <w:pStyle w:val="Ttulo2"/>
        <w:rPr>
          <w:rFonts w:cs="Arial"/>
          <w:szCs w:val="22"/>
        </w:rPr>
      </w:pPr>
      <w:bookmarkStart w:id="7" w:name="_Toc5553978"/>
    </w:p>
    <w:p w:rsidR="00911ABE" w:rsidRPr="00111A2A" w:rsidRDefault="00911ABE" w:rsidP="00273B68">
      <w:pPr>
        <w:pStyle w:val="Ttulo2"/>
        <w:rPr>
          <w:rFonts w:cs="Arial"/>
          <w:i w:val="0"/>
          <w:szCs w:val="22"/>
        </w:rPr>
      </w:pPr>
      <w:r w:rsidRPr="00111A2A">
        <w:rPr>
          <w:rFonts w:cs="Arial"/>
          <w:i w:val="0"/>
          <w:szCs w:val="22"/>
        </w:rPr>
        <w:t>b.2 Fase de preselección</w:t>
      </w:r>
      <w:bookmarkEnd w:id="7"/>
    </w:p>
    <w:p w:rsidR="00111A2A" w:rsidRDefault="00111A2A" w:rsidP="00273B68">
      <w:pPr>
        <w:jc w:val="both"/>
        <w:rPr>
          <w:rFonts w:cs="Arial"/>
          <w:sz w:val="22"/>
          <w:szCs w:val="22"/>
          <w:lang w:val="es-CR"/>
        </w:rPr>
      </w:pPr>
    </w:p>
    <w:p w:rsidR="00911ABE" w:rsidRDefault="00911ABE" w:rsidP="00273B68">
      <w:pPr>
        <w:jc w:val="both"/>
        <w:rPr>
          <w:rFonts w:cs="Arial"/>
          <w:sz w:val="22"/>
          <w:szCs w:val="22"/>
          <w:lang w:val="es-CR"/>
        </w:rPr>
      </w:pPr>
      <w:r w:rsidRPr="00911ABE">
        <w:rPr>
          <w:rFonts w:cs="Arial"/>
          <w:sz w:val="22"/>
          <w:szCs w:val="22"/>
          <w:lang w:val="es-CR"/>
        </w:rPr>
        <w:t>La fase de preselección iniciará con la identificación de los oferentes que cumplen con todos los requisitos indispensables para ocupar el puesto en concurso, que hayan presentado toda la documentación requerida dentro del plazo establecido y que no le afecten las prohibiciones, impedimentos e incompatibilidades establecidos en la Ley 7052 y sus reformas</w:t>
      </w:r>
      <w:r w:rsidR="00111A2A">
        <w:rPr>
          <w:rFonts w:cs="Arial"/>
          <w:sz w:val="22"/>
          <w:szCs w:val="22"/>
          <w:lang w:val="es-CR"/>
        </w:rPr>
        <w:t>,</w:t>
      </w:r>
      <w:r w:rsidRPr="00911ABE">
        <w:rPr>
          <w:rFonts w:cs="Arial"/>
          <w:sz w:val="22"/>
          <w:szCs w:val="22"/>
          <w:lang w:val="es-CR"/>
        </w:rPr>
        <w:t xml:space="preserve"> ni se encuentre inhabilitad</w:t>
      </w:r>
      <w:r w:rsidR="00111A2A">
        <w:rPr>
          <w:rFonts w:cs="Arial"/>
          <w:sz w:val="22"/>
          <w:szCs w:val="22"/>
          <w:lang w:val="es-CR"/>
        </w:rPr>
        <w:t>o para ejercer cargos públicos.</w:t>
      </w:r>
    </w:p>
    <w:p w:rsidR="00111A2A" w:rsidRPr="00911ABE" w:rsidRDefault="00111A2A" w:rsidP="00273B68">
      <w:pPr>
        <w:jc w:val="both"/>
        <w:rPr>
          <w:rFonts w:cs="Arial"/>
          <w:sz w:val="22"/>
          <w:szCs w:val="22"/>
          <w:lang w:val="es-CR"/>
        </w:rPr>
      </w:pPr>
    </w:p>
    <w:p w:rsidR="00911ABE" w:rsidRDefault="00911ABE" w:rsidP="00273B68">
      <w:pPr>
        <w:jc w:val="both"/>
        <w:rPr>
          <w:rFonts w:cs="Arial"/>
          <w:sz w:val="22"/>
          <w:szCs w:val="22"/>
          <w:lang w:val="es-CR"/>
        </w:rPr>
      </w:pPr>
      <w:bookmarkStart w:id="8" w:name="_Hlk5599820"/>
      <w:r w:rsidRPr="00911ABE">
        <w:rPr>
          <w:rFonts w:cs="Arial"/>
          <w:sz w:val="22"/>
          <w:szCs w:val="22"/>
          <w:lang w:val="es-CR"/>
        </w:rPr>
        <w:t>Posteriormente, se califica a cada uno de los oferentes según se indica en los cuadros 1 y 2, en los cuales se indican los criterios que se utilizarán para preseleccionar los cinco candidatos con las puntuaciones más altas, para conformar la lista de candidatos que serán seleccionados para entrevistar.</w:t>
      </w:r>
    </w:p>
    <w:p w:rsidR="00111A2A" w:rsidRPr="00911ABE" w:rsidRDefault="00111A2A" w:rsidP="00273B68">
      <w:pPr>
        <w:jc w:val="both"/>
        <w:rPr>
          <w:rFonts w:cs="Arial"/>
          <w:sz w:val="22"/>
          <w:szCs w:val="22"/>
          <w:lang w:val="es-CR"/>
        </w:rPr>
      </w:pPr>
    </w:p>
    <w:p w:rsidR="00911ABE" w:rsidRPr="00911ABE" w:rsidRDefault="00911ABE" w:rsidP="00273B68">
      <w:pPr>
        <w:ind w:right="49"/>
        <w:jc w:val="both"/>
        <w:rPr>
          <w:rFonts w:cs="Arial"/>
          <w:sz w:val="22"/>
          <w:szCs w:val="22"/>
          <w:lang w:val="es-CR"/>
        </w:rPr>
      </w:pPr>
      <w:r w:rsidRPr="00911ABE">
        <w:rPr>
          <w:rFonts w:cs="Arial"/>
          <w:sz w:val="22"/>
          <w:szCs w:val="22"/>
          <w:lang w:val="es-CR"/>
        </w:rPr>
        <w:t>En caso de que exista un empate en las calificaciones de los oferentes, que implique superar la conformación de la nómina de los 5 candidatos preseleccionados, se utilizará como criterio de desempate la acreditación de la mayor cantidad de años de experiencia en puestos gerenciales.</w:t>
      </w:r>
    </w:p>
    <w:p w:rsidR="00911ABE" w:rsidRPr="00911ABE" w:rsidRDefault="00911ABE" w:rsidP="00273B68">
      <w:pPr>
        <w:ind w:right="299"/>
        <w:jc w:val="both"/>
        <w:rPr>
          <w:rFonts w:cs="Arial"/>
          <w:sz w:val="22"/>
          <w:szCs w:val="22"/>
          <w:lang w:val="es-CR"/>
        </w:rPr>
      </w:pPr>
    </w:p>
    <w:p w:rsidR="00A91E76" w:rsidRDefault="00911ABE" w:rsidP="00A91E76">
      <w:pPr>
        <w:ind w:right="299"/>
        <w:jc w:val="center"/>
        <w:rPr>
          <w:rFonts w:cs="Arial"/>
          <w:b/>
          <w:sz w:val="22"/>
          <w:szCs w:val="22"/>
          <w:lang w:val="es-CR"/>
        </w:rPr>
      </w:pPr>
      <w:r w:rsidRPr="00911ABE">
        <w:rPr>
          <w:rFonts w:cs="Arial"/>
          <w:b/>
          <w:sz w:val="22"/>
          <w:szCs w:val="22"/>
          <w:lang w:val="es-CR"/>
        </w:rPr>
        <w:t>Cuadro 1. Predictores y aspectos a ev</w:t>
      </w:r>
      <w:r w:rsidR="00A91E76">
        <w:rPr>
          <w:rFonts w:cs="Arial"/>
          <w:b/>
          <w:sz w:val="22"/>
          <w:szCs w:val="22"/>
          <w:lang w:val="es-CR"/>
        </w:rPr>
        <w:t>aluar dentro de cada predictor,</w:t>
      </w:r>
    </w:p>
    <w:p w:rsidR="00911ABE" w:rsidRDefault="00911ABE" w:rsidP="00A91E76">
      <w:pPr>
        <w:ind w:right="299"/>
        <w:jc w:val="center"/>
        <w:rPr>
          <w:rFonts w:cs="Arial"/>
          <w:b/>
          <w:sz w:val="22"/>
          <w:szCs w:val="22"/>
          <w:lang w:val="es-CR"/>
        </w:rPr>
      </w:pPr>
      <w:proofErr w:type="gramStart"/>
      <w:r w:rsidRPr="00911ABE">
        <w:rPr>
          <w:rFonts w:cs="Arial"/>
          <w:b/>
          <w:sz w:val="22"/>
          <w:szCs w:val="22"/>
          <w:lang w:val="es-CR"/>
        </w:rPr>
        <w:t>con</w:t>
      </w:r>
      <w:proofErr w:type="gramEnd"/>
      <w:r w:rsidRPr="00911ABE">
        <w:rPr>
          <w:rFonts w:cs="Arial"/>
          <w:b/>
          <w:sz w:val="22"/>
          <w:szCs w:val="22"/>
          <w:lang w:val="es-CR"/>
        </w:rPr>
        <w:t xml:space="preserve"> sus respectivos pesos relativos</w:t>
      </w:r>
    </w:p>
    <w:p w:rsidR="00111A2A" w:rsidRPr="00911ABE" w:rsidRDefault="00111A2A" w:rsidP="00911ABE">
      <w:pPr>
        <w:ind w:right="299"/>
        <w:jc w:val="both"/>
        <w:rPr>
          <w:rFonts w:cs="Arial"/>
          <w:b/>
          <w:sz w:val="22"/>
          <w:szCs w:val="22"/>
          <w:lang w:val="es-C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4111"/>
        <w:gridCol w:w="1716"/>
      </w:tblGrid>
      <w:tr w:rsidR="00393604" w:rsidRPr="00911ABE" w:rsidTr="00CE6396">
        <w:trPr>
          <w:trHeight w:val="588"/>
          <w:tblHeader/>
        </w:trPr>
        <w:tc>
          <w:tcPr>
            <w:tcW w:w="1701" w:type="dxa"/>
            <w:shd w:val="clear" w:color="auto" w:fill="auto"/>
            <w:vAlign w:val="center"/>
            <w:hideMark/>
          </w:tcPr>
          <w:p w:rsidR="00911ABE" w:rsidRPr="00111A2A" w:rsidRDefault="00911ABE" w:rsidP="000813C8">
            <w:pPr>
              <w:tabs>
                <w:tab w:val="left" w:pos="1593"/>
              </w:tabs>
              <w:ind w:right="-10"/>
              <w:jc w:val="center"/>
              <w:rPr>
                <w:rFonts w:cs="Arial"/>
                <w:b/>
                <w:sz w:val="20"/>
                <w:szCs w:val="20"/>
              </w:rPr>
            </w:pPr>
            <w:r w:rsidRPr="00111A2A">
              <w:rPr>
                <w:rFonts w:cs="Arial"/>
                <w:b/>
                <w:sz w:val="20"/>
                <w:szCs w:val="20"/>
              </w:rPr>
              <w:t>Predictor</w:t>
            </w:r>
          </w:p>
        </w:tc>
        <w:tc>
          <w:tcPr>
            <w:tcW w:w="1418" w:type="dxa"/>
            <w:shd w:val="clear" w:color="auto" w:fill="auto"/>
            <w:vAlign w:val="center"/>
          </w:tcPr>
          <w:p w:rsidR="00911ABE" w:rsidRPr="00111A2A" w:rsidRDefault="00911ABE" w:rsidP="00393604">
            <w:pPr>
              <w:ind w:right="34"/>
              <w:jc w:val="center"/>
              <w:rPr>
                <w:rFonts w:cs="Arial"/>
                <w:b/>
                <w:bCs/>
                <w:sz w:val="20"/>
                <w:szCs w:val="20"/>
              </w:rPr>
            </w:pPr>
            <w:r w:rsidRPr="00111A2A">
              <w:rPr>
                <w:rFonts w:cs="Arial"/>
                <w:b/>
                <w:bCs/>
                <w:sz w:val="20"/>
                <w:szCs w:val="20"/>
              </w:rPr>
              <w:t>Peso relativo de cada predictor</w:t>
            </w:r>
          </w:p>
        </w:tc>
        <w:tc>
          <w:tcPr>
            <w:tcW w:w="4111" w:type="dxa"/>
            <w:shd w:val="clear" w:color="auto" w:fill="auto"/>
            <w:vAlign w:val="center"/>
          </w:tcPr>
          <w:p w:rsidR="00911ABE" w:rsidRPr="00111A2A" w:rsidRDefault="00911ABE" w:rsidP="00393604">
            <w:pPr>
              <w:jc w:val="center"/>
              <w:rPr>
                <w:rFonts w:cs="Arial"/>
                <w:b/>
                <w:bCs/>
                <w:sz w:val="20"/>
                <w:szCs w:val="20"/>
              </w:rPr>
            </w:pPr>
            <w:r w:rsidRPr="00111A2A">
              <w:rPr>
                <w:rFonts w:cs="Arial"/>
                <w:b/>
                <w:bCs/>
                <w:sz w:val="20"/>
                <w:szCs w:val="20"/>
              </w:rPr>
              <w:t>Aspecto para evaluar dentro de cada predictor</w:t>
            </w:r>
          </w:p>
        </w:tc>
        <w:tc>
          <w:tcPr>
            <w:tcW w:w="1716" w:type="dxa"/>
            <w:shd w:val="clear" w:color="auto" w:fill="auto"/>
            <w:vAlign w:val="center"/>
          </w:tcPr>
          <w:p w:rsidR="00911ABE" w:rsidRPr="00111A2A" w:rsidRDefault="00911ABE" w:rsidP="00A70655">
            <w:pPr>
              <w:tabs>
                <w:tab w:val="left" w:pos="1642"/>
              </w:tabs>
              <w:jc w:val="center"/>
              <w:rPr>
                <w:rFonts w:cs="Arial"/>
                <w:b/>
                <w:bCs/>
                <w:sz w:val="20"/>
                <w:szCs w:val="20"/>
              </w:rPr>
            </w:pPr>
            <w:r w:rsidRPr="00111A2A">
              <w:rPr>
                <w:rFonts w:cs="Arial"/>
                <w:b/>
                <w:bCs/>
                <w:sz w:val="20"/>
                <w:szCs w:val="20"/>
              </w:rPr>
              <w:t>Puntaje máximo para obtener dentro de cada aspecto</w:t>
            </w:r>
          </w:p>
        </w:tc>
      </w:tr>
      <w:tr w:rsidR="00393604" w:rsidRPr="00911ABE" w:rsidTr="00CE6396">
        <w:trPr>
          <w:trHeight w:val="1012"/>
        </w:trPr>
        <w:tc>
          <w:tcPr>
            <w:tcW w:w="1701" w:type="dxa"/>
            <w:shd w:val="clear" w:color="auto" w:fill="auto"/>
            <w:vAlign w:val="center"/>
            <w:hideMark/>
          </w:tcPr>
          <w:p w:rsidR="00911ABE" w:rsidRPr="00111A2A" w:rsidRDefault="00911ABE" w:rsidP="000813C8">
            <w:pPr>
              <w:tabs>
                <w:tab w:val="left" w:pos="1593"/>
              </w:tabs>
              <w:ind w:right="-10"/>
              <w:jc w:val="center"/>
              <w:rPr>
                <w:rFonts w:cs="Arial"/>
                <w:b/>
                <w:sz w:val="20"/>
                <w:szCs w:val="20"/>
              </w:rPr>
            </w:pPr>
            <w:r w:rsidRPr="00111A2A">
              <w:rPr>
                <w:rFonts w:cs="Arial"/>
                <w:b/>
                <w:sz w:val="20"/>
                <w:szCs w:val="20"/>
              </w:rPr>
              <w:t>Formación Académica</w:t>
            </w:r>
          </w:p>
        </w:tc>
        <w:tc>
          <w:tcPr>
            <w:tcW w:w="1418" w:type="dxa"/>
            <w:shd w:val="clear" w:color="auto" w:fill="auto"/>
            <w:vAlign w:val="center"/>
          </w:tcPr>
          <w:p w:rsidR="00911ABE" w:rsidRPr="00111A2A" w:rsidRDefault="00911ABE" w:rsidP="00393604">
            <w:pPr>
              <w:ind w:right="34"/>
              <w:jc w:val="center"/>
              <w:rPr>
                <w:rFonts w:cs="Arial"/>
                <w:sz w:val="20"/>
                <w:szCs w:val="20"/>
              </w:rPr>
            </w:pPr>
            <w:r w:rsidRPr="00111A2A">
              <w:rPr>
                <w:rFonts w:cs="Arial"/>
                <w:sz w:val="20"/>
                <w:szCs w:val="20"/>
              </w:rPr>
              <w:t>20%</w:t>
            </w:r>
          </w:p>
        </w:tc>
        <w:tc>
          <w:tcPr>
            <w:tcW w:w="4111" w:type="dxa"/>
            <w:shd w:val="clear" w:color="auto" w:fill="auto"/>
            <w:vAlign w:val="center"/>
          </w:tcPr>
          <w:p w:rsidR="00911ABE" w:rsidRPr="00111A2A" w:rsidRDefault="00911ABE" w:rsidP="00393604">
            <w:pPr>
              <w:rPr>
                <w:rFonts w:cs="Arial"/>
                <w:sz w:val="20"/>
                <w:szCs w:val="20"/>
              </w:rPr>
            </w:pPr>
            <w:r w:rsidRPr="00111A2A">
              <w:rPr>
                <w:rFonts w:cs="Arial"/>
                <w:sz w:val="20"/>
                <w:szCs w:val="20"/>
              </w:rPr>
              <w:t>Título académico más alto que posea el aspir</w:t>
            </w:r>
            <w:r w:rsidR="00111A2A">
              <w:rPr>
                <w:rFonts w:cs="Arial"/>
                <w:sz w:val="20"/>
                <w:szCs w:val="20"/>
              </w:rPr>
              <w:t>ante, que corresponda a alguna(</w:t>
            </w:r>
            <w:r w:rsidRPr="00111A2A">
              <w:rPr>
                <w:rFonts w:cs="Arial"/>
                <w:sz w:val="20"/>
                <w:szCs w:val="20"/>
              </w:rPr>
              <w:t>s) de las disciplinas relevantes para el puesto</w:t>
            </w:r>
          </w:p>
        </w:tc>
        <w:tc>
          <w:tcPr>
            <w:tcW w:w="1716" w:type="dxa"/>
            <w:shd w:val="clear" w:color="auto" w:fill="auto"/>
            <w:vAlign w:val="center"/>
          </w:tcPr>
          <w:p w:rsidR="00911ABE" w:rsidRPr="00111A2A" w:rsidRDefault="00911ABE" w:rsidP="00A70655">
            <w:pPr>
              <w:tabs>
                <w:tab w:val="left" w:pos="1642"/>
              </w:tabs>
              <w:jc w:val="center"/>
              <w:rPr>
                <w:rFonts w:cs="Arial"/>
                <w:sz w:val="20"/>
                <w:szCs w:val="20"/>
              </w:rPr>
            </w:pPr>
            <w:r w:rsidRPr="00111A2A">
              <w:rPr>
                <w:rFonts w:cs="Arial"/>
                <w:sz w:val="20"/>
                <w:szCs w:val="20"/>
              </w:rPr>
              <w:t>20%</w:t>
            </w:r>
          </w:p>
        </w:tc>
      </w:tr>
      <w:tr w:rsidR="00393604" w:rsidRPr="00911ABE" w:rsidTr="00CE6396">
        <w:trPr>
          <w:trHeight w:val="744"/>
        </w:trPr>
        <w:tc>
          <w:tcPr>
            <w:tcW w:w="1701" w:type="dxa"/>
            <w:vMerge w:val="restart"/>
            <w:shd w:val="clear" w:color="auto" w:fill="auto"/>
            <w:vAlign w:val="center"/>
          </w:tcPr>
          <w:p w:rsidR="00911ABE" w:rsidRPr="00111A2A" w:rsidRDefault="00911ABE" w:rsidP="000813C8">
            <w:pPr>
              <w:tabs>
                <w:tab w:val="left" w:pos="1593"/>
              </w:tabs>
              <w:ind w:right="-10"/>
              <w:jc w:val="center"/>
              <w:rPr>
                <w:rFonts w:cs="Arial"/>
                <w:b/>
                <w:sz w:val="20"/>
                <w:szCs w:val="20"/>
              </w:rPr>
            </w:pPr>
            <w:r w:rsidRPr="00111A2A">
              <w:rPr>
                <w:rFonts w:cs="Arial"/>
                <w:b/>
                <w:sz w:val="20"/>
                <w:szCs w:val="20"/>
              </w:rPr>
              <w:t>Experiencia profesional</w:t>
            </w:r>
          </w:p>
        </w:tc>
        <w:tc>
          <w:tcPr>
            <w:tcW w:w="1418" w:type="dxa"/>
            <w:vMerge w:val="restart"/>
            <w:shd w:val="clear" w:color="auto" w:fill="auto"/>
            <w:vAlign w:val="center"/>
          </w:tcPr>
          <w:p w:rsidR="00911ABE" w:rsidRPr="00111A2A" w:rsidRDefault="00911ABE" w:rsidP="00393604">
            <w:pPr>
              <w:ind w:right="34"/>
              <w:jc w:val="center"/>
              <w:rPr>
                <w:rFonts w:cs="Arial"/>
                <w:sz w:val="20"/>
                <w:szCs w:val="20"/>
              </w:rPr>
            </w:pPr>
            <w:r w:rsidRPr="00111A2A">
              <w:rPr>
                <w:rFonts w:cs="Arial"/>
                <w:sz w:val="20"/>
                <w:szCs w:val="20"/>
              </w:rPr>
              <w:t>50%</w:t>
            </w:r>
          </w:p>
        </w:tc>
        <w:tc>
          <w:tcPr>
            <w:tcW w:w="4111" w:type="dxa"/>
            <w:shd w:val="clear" w:color="auto" w:fill="auto"/>
            <w:vAlign w:val="center"/>
          </w:tcPr>
          <w:p w:rsidR="00911ABE" w:rsidRPr="00111A2A" w:rsidRDefault="00911ABE" w:rsidP="00393604">
            <w:pPr>
              <w:rPr>
                <w:rFonts w:cs="Arial"/>
                <w:sz w:val="20"/>
                <w:szCs w:val="20"/>
              </w:rPr>
            </w:pPr>
            <w:r w:rsidRPr="00111A2A">
              <w:rPr>
                <w:rFonts w:cs="Arial"/>
                <w:sz w:val="20"/>
                <w:szCs w:val="20"/>
              </w:rPr>
              <w:t xml:space="preserve">Tiempo laborado en puestos gerenciales </w:t>
            </w:r>
          </w:p>
        </w:tc>
        <w:tc>
          <w:tcPr>
            <w:tcW w:w="1716" w:type="dxa"/>
            <w:shd w:val="clear" w:color="auto" w:fill="auto"/>
            <w:vAlign w:val="center"/>
          </w:tcPr>
          <w:p w:rsidR="00911ABE" w:rsidRPr="00111A2A" w:rsidRDefault="00911ABE" w:rsidP="00A70655">
            <w:pPr>
              <w:tabs>
                <w:tab w:val="left" w:pos="1642"/>
              </w:tabs>
              <w:jc w:val="center"/>
              <w:rPr>
                <w:rFonts w:cs="Arial"/>
                <w:sz w:val="20"/>
                <w:szCs w:val="20"/>
              </w:rPr>
            </w:pPr>
            <w:r w:rsidRPr="00111A2A">
              <w:rPr>
                <w:rFonts w:cs="Arial"/>
                <w:sz w:val="20"/>
                <w:szCs w:val="20"/>
              </w:rPr>
              <w:t>25%</w:t>
            </w:r>
          </w:p>
        </w:tc>
      </w:tr>
      <w:tr w:rsidR="00393604" w:rsidRPr="00911ABE" w:rsidTr="00CE6396">
        <w:trPr>
          <w:trHeight w:val="879"/>
        </w:trPr>
        <w:tc>
          <w:tcPr>
            <w:tcW w:w="1701" w:type="dxa"/>
            <w:vMerge/>
            <w:shd w:val="clear" w:color="auto" w:fill="auto"/>
            <w:vAlign w:val="center"/>
          </w:tcPr>
          <w:p w:rsidR="00911ABE" w:rsidRPr="00111A2A" w:rsidRDefault="00911ABE" w:rsidP="000813C8">
            <w:pPr>
              <w:tabs>
                <w:tab w:val="left" w:pos="1593"/>
              </w:tabs>
              <w:ind w:right="-10"/>
              <w:jc w:val="center"/>
              <w:rPr>
                <w:rFonts w:cs="Arial"/>
                <w:b/>
                <w:sz w:val="20"/>
                <w:szCs w:val="20"/>
              </w:rPr>
            </w:pPr>
          </w:p>
        </w:tc>
        <w:tc>
          <w:tcPr>
            <w:tcW w:w="1418" w:type="dxa"/>
            <w:vMerge/>
            <w:shd w:val="clear" w:color="auto" w:fill="auto"/>
            <w:vAlign w:val="center"/>
          </w:tcPr>
          <w:p w:rsidR="00911ABE" w:rsidRPr="00111A2A" w:rsidRDefault="00911ABE" w:rsidP="00393604">
            <w:pPr>
              <w:ind w:right="34"/>
              <w:jc w:val="center"/>
              <w:rPr>
                <w:rFonts w:cs="Arial"/>
                <w:sz w:val="20"/>
                <w:szCs w:val="20"/>
              </w:rPr>
            </w:pPr>
          </w:p>
        </w:tc>
        <w:tc>
          <w:tcPr>
            <w:tcW w:w="4111" w:type="dxa"/>
            <w:shd w:val="clear" w:color="auto" w:fill="auto"/>
            <w:vAlign w:val="center"/>
          </w:tcPr>
          <w:p w:rsidR="00911ABE" w:rsidRPr="00111A2A" w:rsidRDefault="00911ABE" w:rsidP="00393604">
            <w:pPr>
              <w:rPr>
                <w:rFonts w:cs="Arial"/>
                <w:sz w:val="20"/>
                <w:szCs w:val="20"/>
              </w:rPr>
            </w:pPr>
            <w:r w:rsidRPr="00111A2A">
              <w:rPr>
                <w:rFonts w:cs="Arial"/>
                <w:sz w:val="20"/>
                <w:szCs w:val="20"/>
              </w:rPr>
              <w:t>Tiempo laborado en el sector público costarricense o  relacionado con la gestión de programas del sector público</w:t>
            </w:r>
          </w:p>
        </w:tc>
        <w:tc>
          <w:tcPr>
            <w:tcW w:w="1716" w:type="dxa"/>
            <w:shd w:val="clear" w:color="auto" w:fill="auto"/>
            <w:vAlign w:val="center"/>
          </w:tcPr>
          <w:p w:rsidR="00911ABE" w:rsidRPr="00111A2A" w:rsidRDefault="00911ABE" w:rsidP="00A70655">
            <w:pPr>
              <w:tabs>
                <w:tab w:val="left" w:pos="1642"/>
              </w:tabs>
              <w:jc w:val="center"/>
              <w:rPr>
                <w:rFonts w:cs="Arial"/>
                <w:sz w:val="20"/>
                <w:szCs w:val="20"/>
              </w:rPr>
            </w:pPr>
            <w:r w:rsidRPr="00111A2A">
              <w:rPr>
                <w:rFonts w:cs="Arial"/>
                <w:sz w:val="20"/>
                <w:szCs w:val="20"/>
              </w:rPr>
              <w:t>5%</w:t>
            </w:r>
          </w:p>
        </w:tc>
      </w:tr>
      <w:tr w:rsidR="00393604" w:rsidRPr="00911ABE" w:rsidTr="00CE6396">
        <w:trPr>
          <w:trHeight w:val="879"/>
        </w:trPr>
        <w:tc>
          <w:tcPr>
            <w:tcW w:w="1701" w:type="dxa"/>
            <w:vMerge/>
            <w:shd w:val="clear" w:color="auto" w:fill="auto"/>
            <w:vAlign w:val="center"/>
          </w:tcPr>
          <w:p w:rsidR="00911ABE" w:rsidRPr="00111A2A" w:rsidRDefault="00911ABE" w:rsidP="000813C8">
            <w:pPr>
              <w:tabs>
                <w:tab w:val="left" w:pos="1593"/>
              </w:tabs>
              <w:ind w:right="-10"/>
              <w:jc w:val="center"/>
              <w:rPr>
                <w:rFonts w:cs="Arial"/>
                <w:b/>
                <w:sz w:val="20"/>
                <w:szCs w:val="20"/>
              </w:rPr>
            </w:pPr>
          </w:p>
        </w:tc>
        <w:tc>
          <w:tcPr>
            <w:tcW w:w="1418" w:type="dxa"/>
            <w:vMerge/>
            <w:shd w:val="clear" w:color="auto" w:fill="auto"/>
            <w:vAlign w:val="center"/>
          </w:tcPr>
          <w:p w:rsidR="00911ABE" w:rsidRPr="00111A2A" w:rsidRDefault="00911ABE" w:rsidP="00393604">
            <w:pPr>
              <w:ind w:right="34"/>
              <w:jc w:val="center"/>
              <w:rPr>
                <w:rFonts w:cs="Arial"/>
                <w:sz w:val="20"/>
                <w:szCs w:val="20"/>
              </w:rPr>
            </w:pPr>
          </w:p>
        </w:tc>
        <w:tc>
          <w:tcPr>
            <w:tcW w:w="4111" w:type="dxa"/>
            <w:shd w:val="clear" w:color="auto" w:fill="auto"/>
            <w:vAlign w:val="center"/>
          </w:tcPr>
          <w:p w:rsidR="00911ABE" w:rsidRPr="00111A2A" w:rsidRDefault="00911ABE" w:rsidP="00393604">
            <w:pPr>
              <w:rPr>
                <w:rFonts w:cs="Arial"/>
                <w:sz w:val="20"/>
                <w:szCs w:val="20"/>
              </w:rPr>
            </w:pPr>
            <w:r w:rsidRPr="00111A2A">
              <w:rPr>
                <w:rFonts w:cs="Arial"/>
                <w:sz w:val="20"/>
                <w:szCs w:val="20"/>
              </w:rPr>
              <w:t xml:space="preserve">Experiencia directa en labores propias del sector construcción, relacionada con  procesos de construcción de proyectos habitacionales. </w:t>
            </w:r>
          </w:p>
        </w:tc>
        <w:tc>
          <w:tcPr>
            <w:tcW w:w="1716" w:type="dxa"/>
            <w:shd w:val="clear" w:color="auto" w:fill="auto"/>
            <w:vAlign w:val="center"/>
          </w:tcPr>
          <w:p w:rsidR="00911ABE" w:rsidRPr="00111A2A" w:rsidRDefault="00911ABE" w:rsidP="00A70655">
            <w:pPr>
              <w:tabs>
                <w:tab w:val="left" w:pos="1642"/>
              </w:tabs>
              <w:jc w:val="center"/>
              <w:rPr>
                <w:rFonts w:cs="Arial"/>
                <w:sz w:val="20"/>
                <w:szCs w:val="20"/>
              </w:rPr>
            </w:pPr>
            <w:r w:rsidRPr="00111A2A">
              <w:rPr>
                <w:rFonts w:cs="Arial"/>
                <w:sz w:val="20"/>
                <w:szCs w:val="20"/>
              </w:rPr>
              <w:t>7,5%</w:t>
            </w:r>
          </w:p>
        </w:tc>
      </w:tr>
      <w:tr w:rsidR="00393604" w:rsidRPr="00911ABE" w:rsidTr="00CE6396">
        <w:trPr>
          <w:trHeight w:val="879"/>
        </w:trPr>
        <w:tc>
          <w:tcPr>
            <w:tcW w:w="1701" w:type="dxa"/>
            <w:vMerge/>
            <w:shd w:val="clear" w:color="auto" w:fill="auto"/>
            <w:vAlign w:val="center"/>
          </w:tcPr>
          <w:p w:rsidR="00911ABE" w:rsidRPr="00111A2A" w:rsidRDefault="00911ABE" w:rsidP="000813C8">
            <w:pPr>
              <w:tabs>
                <w:tab w:val="left" w:pos="1593"/>
              </w:tabs>
              <w:ind w:right="-10"/>
              <w:jc w:val="center"/>
              <w:rPr>
                <w:rFonts w:cs="Arial"/>
                <w:b/>
                <w:sz w:val="20"/>
                <w:szCs w:val="20"/>
              </w:rPr>
            </w:pPr>
          </w:p>
        </w:tc>
        <w:tc>
          <w:tcPr>
            <w:tcW w:w="1418" w:type="dxa"/>
            <w:vMerge/>
            <w:shd w:val="clear" w:color="auto" w:fill="auto"/>
            <w:vAlign w:val="center"/>
          </w:tcPr>
          <w:p w:rsidR="00911ABE" w:rsidRPr="00111A2A" w:rsidRDefault="00911ABE" w:rsidP="00393604">
            <w:pPr>
              <w:ind w:right="34"/>
              <w:jc w:val="center"/>
              <w:rPr>
                <w:rFonts w:cs="Arial"/>
                <w:sz w:val="20"/>
                <w:szCs w:val="20"/>
              </w:rPr>
            </w:pPr>
          </w:p>
        </w:tc>
        <w:tc>
          <w:tcPr>
            <w:tcW w:w="4111" w:type="dxa"/>
            <w:shd w:val="clear" w:color="auto" w:fill="auto"/>
            <w:vAlign w:val="center"/>
          </w:tcPr>
          <w:p w:rsidR="00911ABE" w:rsidRPr="00111A2A" w:rsidRDefault="00911ABE" w:rsidP="00393604">
            <w:pPr>
              <w:rPr>
                <w:rFonts w:cs="Arial"/>
                <w:sz w:val="20"/>
                <w:szCs w:val="20"/>
              </w:rPr>
            </w:pPr>
            <w:r w:rsidRPr="00111A2A">
              <w:rPr>
                <w:rFonts w:cs="Arial"/>
                <w:sz w:val="20"/>
                <w:szCs w:val="20"/>
              </w:rPr>
              <w:t>Experiencia relacionada con la gestión del SFNV</w:t>
            </w:r>
          </w:p>
        </w:tc>
        <w:tc>
          <w:tcPr>
            <w:tcW w:w="1716" w:type="dxa"/>
            <w:shd w:val="clear" w:color="auto" w:fill="auto"/>
            <w:vAlign w:val="center"/>
          </w:tcPr>
          <w:p w:rsidR="00911ABE" w:rsidRPr="00111A2A" w:rsidRDefault="00911ABE" w:rsidP="00A70655">
            <w:pPr>
              <w:tabs>
                <w:tab w:val="left" w:pos="1642"/>
              </w:tabs>
              <w:jc w:val="center"/>
              <w:rPr>
                <w:rFonts w:cs="Arial"/>
                <w:sz w:val="20"/>
                <w:szCs w:val="20"/>
              </w:rPr>
            </w:pPr>
            <w:r w:rsidRPr="00111A2A">
              <w:rPr>
                <w:rFonts w:cs="Arial"/>
                <w:sz w:val="20"/>
                <w:szCs w:val="20"/>
              </w:rPr>
              <w:t>5%</w:t>
            </w:r>
          </w:p>
        </w:tc>
      </w:tr>
      <w:tr w:rsidR="00393604" w:rsidRPr="00911ABE" w:rsidTr="00CE6396">
        <w:trPr>
          <w:trHeight w:val="879"/>
        </w:trPr>
        <w:tc>
          <w:tcPr>
            <w:tcW w:w="1701" w:type="dxa"/>
            <w:vMerge/>
            <w:shd w:val="clear" w:color="auto" w:fill="auto"/>
            <w:vAlign w:val="center"/>
          </w:tcPr>
          <w:p w:rsidR="00911ABE" w:rsidRPr="00111A2A" w:rsidRDefault="00911ABE" w:rsidP="000813C8">
            <w:pPr>
              <w:tabs>
                <w:tab w:val="left" w:pos="1593"/>
              </w:tabs>
              <w:ind w:right="-10"/>
              <w:jc w:val="center"/>
              <w:rPr>
                <w:rFonts w:cs="Arial"/>
                <w:b/>
                <w:sz w:val="20"/>
                <w:szCs w:val="20"/>
              </w:rPr>
            </w:pPr>
          </w:p>
        </w:tc>
        <w:tc>
          <w:tcPr>
            <w:tcW w:w="1418" w:type="dxa"/>
            <w:vMerge/>
            <w:shd w:val="clear" w:color="auto" w:fill="auto"/>
            <w:vAlign w:val="center"/>
          </w:tcPr>
          <w:p w:rsidR="00911ABE" w:rsidRPr="00111A2A" w:rsidRDefault="00911ABE" w:rsidP="00393604">
            <w:pPr>
              <w:ind w:right="34"/>
              <w:jc w:val="center"/>
              <w:rPr>
                <w:rFonts w:cs="Arial"/>
                <w:sz w:val="20"/>
                <w:szCs w:val="20"/>
              </w:rPr>
            </w:pPr>
          </w:p>
        </w:tc>
        <w:tc>
          <w:tcPr>
            <w:tcW w:w="4111" w:type="dxa"/>
            <w:shd w:val="clear" w:color="auto" w:fill="auto"/>
            <w:vAlign w:val="center"/>
          </w:tcPr>
          <w:p w:rsidR="00911ABE" w:rsidRPr="00111A2A" w:rsidRDefault="00911ABE" w:rsidP="00393604">
            <w:pPr>
              <w:rPr>
                <w:rFonts w:cs="Arial"/>
                <w:sz w:val="20"/>
                <w:szCs w:val="20"/>
              </w:rPr>
            </w:pPr>
            <w:r w:rsidRPr="00111A2A">
              <w:rPr>
                <w:rFonts w:cs="Arial"/>
                <w:sz w:val="20"/>
                <w:szCs w:val="20"/>
              </w:rPr>
              <w:t>Experiencia en evaluación, diseño o implementación de políticas sociales selectivas</w:t>
            </w:r>
          </w:p>
        </w:tc>
        <w:tc>
          <w:tcPr>
            <w:tcW w:w="1716" w:type="dxa"/>
            <w:shd w:val="clear" w:color="auto" w:fill="auto"/>
            <w:vAlign w:val="center"/>
          </w:tcPr>
          <w:p w:rsidR="00911ABE" w:rsidRPr="00111A2A" w:rsidRDefault="00911ABE" w:rsidP="00A70655">
            <w:pPr>
              <w:tabs>
                <w:tab w:val="left" w:pos="1642"/>
              </w:tabs>
              <w:jc w:val="center"/>
              <w:rPr>
                <w:rFonts w:cs="Arial"/>
                <w:sz w:val="20"/>
                <w:szCs w:val="20"/>
              </w:rPr>
            </w:pPr>
            <w:r w:rsidRPr="00111A2A">
              <w:rPr>
                <w:rFonts w:cs="Arial"/>
                <w:sz w:val="20"/>
                <w:szCs w:val="20"/>
              </w:rPr>
              <w:t>7,5%</w:t>
            </w:r>
          </w:p>
        </w:tc>
      </w:tr>
      <w:tr w:rsidR="00393604" w:rsidRPr="00911ABE" w:rsidTr="00CE6396">
        <w:trPr>
          <w:trHeight w:val="415"/>
        </w:trPr>
        <w:tc>
          <w:tcPr>
            <w:tcW w:w="1701" w:type="dxa"/>
            <w:shd w:val="clear" w:color="auto" w:fill="auto"/>
            <w:vAlign w:val="center"/>
          </w:tcPr>
          <w:p w:rsidR="00911ABE" w:rsidRPr="00111A2A" w:rsidRDefault="00911ABE" w:rsidP="000813C8">
            <w:pPr>
              <w:tabs>
                <w:tab w:val="left" w:pos="1593"/>
              </w:tabs>
              <w:ind w:right="-10"/>
              <w:jc w:val="center"/>
              <w:rPr>
                <w:rFonts w:cs="Arial"/>
                <w:b/>
                <w:sz w:val="20"/>
                <w:szCs w:val="20"/>
              </w:rPr>
            </w:pPr>
            <w:r w:rsidRPr="00111A2A">
              <w:rPr>
                <w:rFonts w:cs="Arial"/>
                <w:b/>
                <w:sz w:val="20"/>
                <w:szCs w:val="20"/>
              </w:rPr>
              <w:t>Competencias gerenciales</w:t>
            </w:r>
          </w:p>
        </w:tc>
        <w:tc>
          <w:tcPr>
            <w:tcW w:w="1418" w:type="dxa"/>
            <w:shd w:val="clear" w:color="auto" w:fill="auto"/>
            <w:vAlign w:val="center"/>
          </w:tcPr>
          <w:p w:rsidR="00911ABE" w:rsidRPr="00111A2A" w:rsidRDefault="00911ABE" w:rsidP="00393604">
            <w:pPr>
              <w:ind w:right="34"/>
              <w:jc w:val="center"/>
              <w:rPr>
                <w:rFonts w:cs="Arial"/>
                <w:sz w:val="20"/>
                <w:szCs w:val="20"/>
              </w:rPr>
            </w:pPr>
            <w:r w:rsidRPr="00111A2A">
              <w:rPr>
                <w:rFonts w:cs="Arial"/>
                <w:sz w:val="20"/>
                <w:szCs w:val="20"/>
              </w:rPr>
              <w:t>30%</w:t>
            </w:r>
          </w:p>
        </w:tc>
        <w:tc>
          <w:tcPr>
            <w:tcW w:w="4111" w:type="dxa"/>
            <w:shd w:val="clear" w:color="auto" w:fill="auto"/>
            <w:vAlign w:val="center"/>
          </w:tcPr>
          <w:p w:rsidR="00911ABE" w:rsidRPr="00111A2A" w:rsidRDefault="00911ABE" w:rsidP="00393604">
            <w:pPr>
              <w:rPr>
                <w:rFonts w:cs="Arial"/>
                <w:sz w:val="20"/>
                <w:szCs w:val="20"/>
              </w:rPr>
            </w:pPr>
            <w:r w:rsidRPr="00111A2A">
              <w:rPr>
                <w:rFonts w:cs="Arial"/>
                <w:sz w:val="20"/>
                <w:szCs w:val="20"/>
              </w:rPr>
              <w:t>Calificación resultante de la prueba psicométrica</w:t>
            </w:r>
          </w:p>
        </w:tc>
        <w:tc>
          <w:tcPr>
            <w:tcW w:w="1716" w:type="dxa"/>
            <w:shd w:val="clear" w:color="auto" w:fill="auto"/>
            <w:vAlign w:val="center"/>
          </w:tcPr>
          <w:p w:rsidR="00911ABE" w:rsidRPr="00111A2A" w:rsidRDefault="00911ABE" w:rsidP="00A70655">
            <w:pPr>
              <w:tabs>
                <w:tab w:val="left" w:pos="1642"/>
              </w:tabs>
              <w:jc w:val="center"/>
              <w:rPr>
                <w:rFonts w:cs="Arial"/>
                <w:sz w:val="20"/>
                <w:szCs w:val="20"/>
              </w:rPr>
            </w:pPr>
            <w:r w:rsidRPr="00111A2A">
              <w:rPr>
                <w:rFonts w:cs="Arial"/>
                <w:sz w:val="20"/>
                <w:szCs w:val="20"/>
              </w:rPr>
              <w:t>30%</w:t>
            </w:r>
          </w:p>
        </w:tc>
      </w:tr>
    </w:tbl>
    <w:p w:rsidR="00911ABE" w:rsidRPr="00911ABE" w:rsidRDefault="00911ABE" w:rsidP="00911ABE">
      <w:pPr>
        <w:tabs>
          <w:tab w:val="left" w:pos="1236"/>
        </w:tabs>
        <w:jc w:val="both"/>
        <w:rPr>
          <w:rFonts w:cs="Arial"/>
          <w:sz w:val="22"/>
          <w:szCs w:val="22"/>
          <w:lang w:val="es-CR"/>
        </w:rPr>
      </w:pPr>
    </w:p>
    <w:p w:rsidR="00911ABE" w:rsidRDefault="00911ABE" w:rsidP="00911ABE">
      <w:pPr>
        <w:tabs>
          <w:tab w:val="left" w:pos="1236"/>
        </w:tabs>
        <w:jc w:val="both"/>
        <w:rPr>
          <w:rFonts w:cs="Arial"/>
          <w:sz w:val="22"/>
          <w:szCs w:val="22"/>
          <w:lang w:val="es-CR"/>
        </w:rPr>
      </w:pPr>
      <w:r w:rsidRPr="00911ABE">
        <w:rPr>
          <w:rFonts w:cs="Arial"/>
          <w:sz w:val="22"/>
          <w:szCs w:val="22"/>
          <w:lang w:val="es-CR"/>
        </w:rPr>
        <w:tab/>
      </w:r>
    </w:p>
    <w:p w:rsidR="003B0A3C" w:rsidRDefault="003B0A3C" w:rsidP="00A91E76">
      <w:pPr>
        <w:ind w:right="299"/>
        <w:jc w:val="center"/>
        <w:rPr>
          <w:rFonts w:cs="Arial"/>
          <w:b/>
          <w:sz w:val="22"/>
          <w:szCs w:val="22"/>
        </w:rPr>
      </w:pPr>
      <w:r w:rsidRPr="00911ABE">
        <w:rPr>
          <w:rFonts w:cs="Arial"/>
          <w:b/>
          <w:sz w:val="22"/>
          <w:szCs w:val="22"/>
        </w:rPr>
        <w:t>Cuadro 2. Predictores, aspectos a evaluar, indicadores, criterios de valoración y puntajes resultantes de la aplicación de los criterios</w:t>
      </w:r>
    </w:p>
    <w:p w:rsidR="003B0A3C" w:rsidRDefault="003B0A3C" w:rsidP="00911ABE">
      <w:pPr>
        <w:tabs>
          <w:tab w:val="left" w:pos="1236"/>
        </w:tabs>
        <w:jc w:val="both"/>
        <w:rPr>
          <w:rFonts w:cs="Arial"/>
          <w:sz w:val="22"/>
          <w:szCs w:val="22"/>
          <w:lang w:val="es-CR"/>
        </w:rPr>
      </w:pPr>
    </w:p>
    <w:p w:rsidR="003B0A3C" w:rsidRDefault="003B0A3C" w:rsidP="00911ABE">
      <w:pPr>
        <w:tabs>
          <w:tab w:val="left" w:pos="1236"/>
        </w:tabs>
        <w:jc w:val="both"/>
        <w:rPr>
          <w:rFonts w:cs="Arial"/>
          <w:sz w:val="22"/>
          <w:szCs w:val="22"/>
          <w:lang w:val="es-CR"/>
        </w:rPr>
      </w:pPr>
    </w:p>
    <w:tbl>
      <w:tblPr>
        <w:tblStyle w:val="Tablaconcuadrcula5oscura-nfasis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2694"/>
        <w:gridCol w:w="1984"/>
        <w:gridCol w:w="851"/>
      </w:tblGrid>
      <w:tr w:rsidR="005F2F8B" w:rsidRPr="00966A3A" w:rsidTr="00A53E98">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right w:val="single" w:sz="4" w:space="0" w:color="auto"/>
            </w:tcBorders>
            <w:shd w:val="clear" w:color="auto" w:fill="auto"/>
            <w:vAlign w:val="center"/>
            <w:hideMark/>
          </w:tcPr>
          <w:p w:rsidR="005F2F8B" w:rsidRPr="00966A3A" w:rsidRDefault="005F2F8B" w:rsidP="00EC74DF">
            <w:pPr>
              <w:tabs>
                <w:tab w:val="left" w:pos="1735"/>
              </w:tabs>
              <w:ind w:right="-108"/>
              <w:jc w:val="center"/>
              <w:rPr>
                <w:rFonts w:cs="Arial"/>
                <w:color w:val="auto"/>
                <w:sz w:val="18"/>
                <w:szCs w:val="18"/>
              </w:rPr>
            </w:pPr>
            <w:r w:rsidRPr="00966A3A">
              <w:rPr>
                <w:rFonts w:cs="Arial"/>
                <w:color w:val="auto"/>
                <w:sz w:val="18"/>
                <w:szCs w:val="18"/>
              </w:rPr>
              <w:t>Predictor</w:t>
            </w:r>
          </w:p>
        </w:tc>
        <w:tc>
          <w:tcPr>
            <w:tcW w:w="2126" w:type="dxa"/>
            <w:tcBorders>
              <w:top w:val="single" w:sz="4" w:space="0" w:color="auto"/>
              <w:left w:val="single" w:sz="4" w:space="0" w:color="auto"/>
              <w:right w:val="single" w:sz="4" w:space="0" w:color="auto"/>
            </w:tcBorders>
            <w:shd w:val="clear" w:color="auto" w:fill="auto"/>
            <w:vAlign w:val="center"/>
          </w:tcPr>
          <w:p w:rsidR="005F2F8B" w:rsidRPr="00966A3A" w:rsidRDefault="005F2F8B" w:rsidP="00664A50">
            <w:pPr>
              <w:tabs>
                <w:tab w:val="left" w:pos="3436"/>
              </w:tabs>
              <w:ind w:right="-108"/>
              <w:jc w:val="center"/>
              <w:cnfStyle w:val="100000000000" w:firstRow="1" w:lastRow="0" w:firstColumn="0" w:lastColumn="0" w:oddVBand="0" w:evenVBand="0" w:oddHBand="0" w:evenHBand="0" w:firstRowFirstColumn="0" w:firstRowLastColumn="0" w:lastRowFirstColumn="0" w:lastRowLastColumn="0"/>
              <w:rPr>
                <w:rFonts w:cs="Arial"/>
                <w:bCs w:val="0"/>
                <w:color w:val="auto"/>
                <w:sz w:val="18"/>
                <w:szCs w:val="18"/>
              </w:rPr>
            </w:pPr>
            <w:r w:rsidRPr="00966A3A">
              <w:rPr>
                <w:rFonts w:cs="Arial"/>
                <w:color w:val="auto"/>
                <w:sz w:val="18"/>
                <w:szCs w:val="18"/>
              </w:rPr>
              <w:t>Aspecto a evaluar dentro de cada predictor</w:t>
            </w:r>
          </w:p>
        </w:tc>
        <w:tc>
          <w:tcPr>
            <w:tcW w:w="2694" w:type="dxa"/>
            <w:tcBorders>
              <w:top w:val="single" w:sz="4" w:space="0" w:color="auto"/>
              <w:left w:val="single" w:sz="4" w:space="0" w:color="auto"/>
              <w:right w:val="single" w:sz="4" w:space="0" w:color="auto"/>
            </w:tcBorders>
            <w:shd w:val="clear" w:color="auto" w:fill="auto"/>
            <w:vAlign w:val="center"/>
            <w:hideMark/>
          </w:tcPr>
          <w:p w:rsidR="005F2F8B" w:rsidRPr="00966A3A" w:rsidRDefault="005F2F8B" w:rsidP="00664A50">
            <w:pPr>
              <w:ind w:right="33"/>
              <w:jc w:val="center"/>
              <w:cnfStyle w:val="100000000000" w:firstRow="1" w:lastRow="0" w:firstColumn="0" w:lastColumn="0" w:oddVBand="0" w:evenVBand="0" w:oddHBand="0" w:evenHBand="0" w:firstRowFirstColumn="0" w:firstRowLastColumn="0" w:lastRowFirstColumn="0" w:lastRowLastColumn="0"/>
              <w:rPr>
                <w:rFonts w:cs="Arial"/>
                <w:bCs w:val="0"/>
                <w:color w:val="auto"/>
                <w:sz w:val="18"/>
                <w:szCs w:val="18"/>
              </w:rPr>
            </w:pPr>
            <w:r w:rsidRPr="00966A3A">
              <w:rPr>
                <w:rFonts w:cs="Arial"/>
                <w:bCs w:val="0"/>
                <w:color w:val="auto"/>
                <w:sz w:val="18"/>
                <w:szCs w:val="18"/>
              </w:rPr>
              <w:t>Indicador</w:t>
            </w:r>
          </w:p>
        </w:tc>
        <w:tc>
          <w:tcPr>
            <w:tcW w:w="1984" w:type="dxa"/>
            <w:tcBorders>
              <w:top w:val="single" w:sz="4" w:space="0" w:color="auto"/>
              <w:left w:val="single" w:sz="4" w:space="0" w:color="auto"/>
              <w:right w:val="single" w:sz="4" w:space="0" w:color="auto"/>
            </w:tcBorders>
            <w:shd w:val="clear" w:color="auto" w:fill="auto"/>
            <w:vAlign w:val="center"/>
            <w:hideMark/>
          </w:tcPr>
          <w:p w:rsidR="005F2F8B" w:rsidRPr="00966A3A" w:rsidRDefault="005F2F8B" w:rsidP="00664A50">
            <w:pPr>
              <w:jc w:val="center"/>
              <w:cnfStyle w:val="100000000000" w:firstRow="1" w:lastRow="0" w:firstColumn="0" w:lastColumn="0" w:oddVBand="0" w:evenVBand="0" w:oddHBand="0" w:evenHBand="0" w:firstRowFirstColumn="0" w:firstRowLastColumn="0" w:lastRowFirstColumn="0" w:lastRowLastColumn="0"/>
              <w:rPr>
                <w:rFonts w:cs="Arial"/>
                <w:bCs w:val="0"/>
                <w:color w:val="auto"/>
                <w:sz w:val="18"/>
                <w:szCs w:val="18"/>
              </w:rPr>
            </w:pPr>
            <w:r w:rsidRPr="00966A3A">
              <w:rPr>
                <w:rFonts w:cs="Arial"/>
                <w:bCs w:val="0"/>
                <w:color w:val="auto"/>
                <w:sz w:val="18"/>
                <w:szCs w:val="18"/>
              </w:rPr>
              <w:t>Criterio de valoración</w:t>
            </w:r>
          </w:p>
        </w:tc>
        <w:tc>
          <w:tcPr>
            <w:tcW w:w="851" w:type="dxa"/>
            <w:tcBorders>
              <w:top w:val="single" w:sz="4" w:space="0" w:color="auto"/>
              <w:left w:val="single" w:sz="4" w:space="0" w:color="auto"/>
              <w:right w:val="single" w:sz="4" w:space="0" w:color="auto"/>
            </w:tcBorders>
            <w:shd w:val="clear" w:color="auto" w:fill="auto"/>
            <w:vAlign w:val="center"/>
          </w:tcPr>
          <w:p w:rsidR="005F2F8B" w:rsidRPr="00966A3A" w:rsidRDefault="005F2F8B" w:rsidP="00E77C7C">
            <w:pPr>
              <w:tabs>
                <w:tab w:val="left" w:pos="1026"/>
                <w:tab w:val="left" w:pos="3265"/>
              </w:tabs>
              <w:ind w:left="-108"/>
              <w:jc w:val="center"/>
              <w:cnfStyle w:val="100000000000" w:firstRow="1" w:lastRow="0" w:firstColumn="0" w:lastColumn="0" w:oddVBand="0" w:evenVBand="0" w:oddHBand="0" w:evenHBand="0" w:firstRowFirstColumn="0" w:firstRowLastColumn="0" w:lastRowFirstColumn="0" w:lastRowLastColumn="0"/>
              <w:rPr>
                <w:rFonts w:cs="Arial"/>
                <w:bCs w:val="0"/>
                <w:color w:val="auto"/>
                <w:sz w:val="18"/>
                <w:szCs w:val="18"/>
              </w:rPr>
            </w:pPr>
            <w:r w:rsidRPr="00966A3A">
              <w:rPr>
                <w:rFonts w:cs="Arial"/>
                <w:color w:val="auto"/>
                <w:sz w:val="18"/>
                <w:szCs w:val="18"/>
              </w:rPr>
              <w:t>P</w:t>
            </w:r>
            <w:r w:rsidRPr="00966A3A">
              <w:rPr>
                <w:rFonts w:cs="Arial"/>
                <w:bCs w:val="0"/>
                <w:color w:val="auto"/>
                <w:sz w:val="18"/>
                <w:szCs w:val="18"/>
              </w:rPr>
              <w:t>untaje</w:t>
            </w:r>
          </w:p>
        </w:tc>
      </w:tr>
      <w:tr w:rsidR="005F2F8B" w:rsidRPr="004548DD" w:rsidTr="00A53E9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vMerge w:val="restart"/>
            <w:tcBorders>
              <w:left w:val="single" w:sz="4" w:space="0" w:color="auto"/>
            </w:tcBorders>
            <w:shd w:val="clear" w:color="auto" w:fill="auto"/>
          </w:tcPr>
          <w:p w:rsidR="005F2F8B" w:rsidRPr="004548DD" w:rsidRDefault="005F2F8B" w:rsidP="00EC74DF">
            <w:pPr>
              <w:tabs>
                <w:tab w:val="left" w:pos="1735"/>
              </w:tabs>
              <w:ind w:right="-108"/>
              <w:jc w:val="both"/>
              <w:rPr>
                <w:rFonts w:cs="Arial"/>
                <w:b w:val="0"/>
                <w:color w:val="auto"/>
                <w:sz w:val="18"/>
                <w:szCs w:val="18"/>
              </w:rPr>
            </w:pPr>
          </w:p>
          <w:p w:rsidR="005F2F8B" w:rsidRPr="004548DD" w:rsidRDefault="005F2F8B" w:rsidP="00EC74DF">
            <w:pPr>
              <w:tabs>
                <w:tab w:val="left" w:pos="1735"/>
              </w:tabs>
              <w:ind w:right="-108"/>
              <w:jc w:val="both"/>
              <w:rPr>
                <w:rFonts w:cs="Arial"/>
                <w:b w:val="0"/>
                <w:color w:val="auto"/>
                <w:sz w:val="18"/>
                <w:szCs w:val="18"/>
              </w:rPr>
            </w:pPr>
          </w:p>
          <w:p w:rsidR="005F2F8B" w:rsidRPr="004548DD" w:rsidRDefault="005F2F8B" w:rsidP="00EC74DF">
            <w:pPr>
              <w:tabs>
                <w:tab w:val="left" w:pos="1735"/>
              </w:tabs>
              <w:ind w:right="-108"/>
              <w:jc w:val="both"/>
              <w:rPr>
                <w:rFonts w:cs="Arial"/>
                <w:b w:val="0"/>
                <w:sz w:val="18"/>
                <w:szCs w:val="18"/>
              </w:rPr>
            </w:pPr>
            <w:r w:rsidRPr="004548DD">
              <w:rPr>
                <w:rFonts w:cs="Arial"/>
                <w:color w:val="auto"/>
                <w:sz w:val="18"/>
                <w:szCs w:val="18"/>
              </w:rPr>
              <w:t>Formación Académica</w:t>
            </w:r>
          </w:p>
        </w:tc>
        <w:tc>
          <w:tcPr>
            <w:tcW w:w="2126" w:type="dxa"/>
            <w:vMerge w:val="restart"/>
            <w:shd w:val="clear" w:color="auto" w:fill="auto"/>
          </w:tcPr>
          <w:p w:rsidR="005F2F8B" w:rsidRPr="004548DD" w:rsidRDefault="005F2F8B" w:rsidP="00664A50">
            <w:pPr>
              <w:tabs>
                <w:tab w:val="left" w:pos="3436"/>
              </w:tabs>
              <w:ind w:right="-108"/>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Título académico más alto que posea el aspirante, que corresponda a alguna(as) de las disciplinas relevantes para el puesto</w:t>
            </w:r>
          </w:p>
        </w:tc>
        <w:tc>
          <w:tcPr>
            <w:tcW w:w="2694" w:type="dxa"/>
            <w:shd w:val="clear" w:color="auto" w:fill="auto"/>
          </w:tcPr>
          <w:p w:rsidR="005F2F8B" w:rsidRPr="004548DD" w:rsidRDefault="005F2F8B" w:rsidP="003A01B1">
            <w:pPr>
              <w:ind w:right="33"/>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Licenciatura en alguna de las siguientes carreras: ingeniería civil, economía, administración de empresas, administración pública, o alguna otra ciencia económica o social que sea relevante para ejercer funciones sustantivas de gerencia pública.</w:t>
            </w:r>
          </w:p>
        </w:tc>
        <w:tc>
          <w:tcPr>
            <w:tcW w:w="1984" w:type="dxa"/>
            <w:shd w:val="clear" w:color="auto" w:fill="auto"/>
          </w:tcPr>
          <w:p w:rsidR="005F2F8B" w:rsidRPr="004548DD" w:rsidRDefault="005F2F8B" w:rsidP="00664A50">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 xml:space="preserve">Si el título más alto es la </w:t>
            </w:r>
            <w:r w:rsidRPr="004548DD">
              <w:rPr>
                <w:rFonts w:cs="Arial"/>
                <w:b/>
                <w:sz w:val="18"/>
                <w:szCs w:val="18"/>
              </w:rPr>
              <w:t>licenciatura</w:t>
            </w:r>
            <w:r w:rsidRPr="004548DD">
              <w:rPr>
                <w:rFonts w:cs="Arial"/>
                <w:sz w:val="18"/>
                <w:szCs w:val="18"/>
              </w:rPr>
              <w:t xml:space="preserve"> en alguna de las carreras indicadas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548DD">
              <w:rPr>
                <w:rFonts w:cs="Arial"/>
                <w:bCs/>
                <w:sz w:val="18"/>
                <w:szCs w:val="18"/>
              </w:rPr>
              <w:t>10%</w:t>
            </w:r>
          </w:p>
        </w:tc>
      </w:tr>
      <w:tr w:rsidR="005F2F8B" w:rsidRPr="004548DD" w:rsidTr="00A53E98">
        <w:trPr>
          <w:trHeight w:val="567"/>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hideMark/>
          </w:tcPr>
          <w:p w:rsidR="005F2F8B" w:rsidRPr="004548DD" w:rsidRDefault="005F2F8B" w:rsidP="00EC74DF">
            <w:pPr>
              <w:tabs>
                <w:tab w:val="left" w:pos="1735"/>
              </w:tabs>
              <w:ind w:right="-108"/>
              <w:jc w:val="both"/>
              <w:rPr>
                <w:rFonts w:cs="Arial"/>
                <w:b w:val="0"/>
                <w:color w:val="auto"/>
                <w:sz w:val="18"/>
                <w:szCs w:val="18"/>
              </w:rPr>
            </w:pPr>
          </w:p>
        </w:tc>
        <w:tc>
          <w:tcPr>
            <w:tcW w:w="2126" w:type="dxa"/>
            <w:vMerge/>
            <w:shd w:val="clear" w:color="auto" w:fill="auto"/>
          </w:tcPr>
          <w:p w:rsidR="005F2F8B" w:rsidRPr="004548DD" w:rsidRDefault="005F2F8B" w:rsidP="00664A50">
            <w:pPr>
              <w:tabs>
                <w:tab w:val="left" w:pos="3436"/>
              </w:tabs>
              <w:ind w:right="-108"/>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694" w:type="dxa"/>
            <w:shd w:val="clear" w:color="auto" w:fill="auto"/>
            <w:hideMark/>
          </w:tcPr>
          <w:p w:rsidR="005F2F8B" w:rsidRPr="004548DD" w:rsidRDefault="005F2F8B" w:rsidP="00664A50">
            <w:pPr>
              <w:ind w:right="33"/>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 xml:space="preserve">Maestría en alguna de las siguientes carreras: ingeniería civil, economía, administración de empresas, administración pública, o alguna otra ciencia económica o social que sea relevante para ejercer funciones sustantivas de gerencia pública. </w:t>
            </w:r>
          </w:p>
        </w:tc>
        <w:tc>
          <w:tcPr>
            <w:tcW w:w="1984" w:type="dxa"/>
            <w:shd w:val="clear" w:color="auto" w:fill="auto"/>
            <w:hideMark/>
          </w:tcPr>
          <w:p w:rsidR="005F2F8B" w:rsidRPr="004548DD" w:rsidRDefault="005F2F8B" w:rsidP="00664A50">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 xml:space="preserve">Si el título más alto es </w:t>
            </w:r>
            <w:r w:rsidRPr="004548DD">
              <w:rPr>
                <w:rFonts w:cs="Arial"/>
                <w:b/>
                <w:sz w:val="18"/>
                <w:szCs w:val="18"/>
              </w:rPr>
              <w:t>maestría</w:t>
            </w:r>
            <w:r w:rsidRPr="004548DD">
              <w:rPr>
                <w:rFonts w:cs="Arial"/>
                <w:sz w:val="18"/>
                <w:szCs w:val="18"/>
              </w:rPr>
              <w:t xml:space="preserve"> profesional o académica en alguna de las carreras indicadas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5F2F8B" w:rsidRPr="004548DD" w:rsidRDefault="005F2F8B" w:rsidP="00E77C7C">
            <w:pPr>
              <w:tabs>
                <w:tab w:val="left" w:pos="1026"/>
                <w:tab w:val="left" w:pos="3265"/>
              </w:tabs>
              <w:ind w:left="-10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bCs/>
                <w:sz w:val="18"/>
                <w:szCs w:val="18"/>
              </w:rPr>
              <w:t>15%</w:t>
            </w:r>
          </w:p>
        </w:tc>
      </w:tr>
      <w:tr w:rsidR="005F2F8B" w:rsidRPr="004548DD" w:rsidTr="00A53E9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hideMark/>
          </w:tcPr>
          <w:p w:rsidR="005F2F8B" w:rsidRPr="004548DD" w:rsidRDefault="005F2F8B" w:rsidP="00EC74DF">
            <w:pPr>
              <w:tabs>
                <w:tab w:val="left" w:pos="1735"/>
              </w:tabs>
              <w:ind w:right="-108"/>
              <w:jc w:val="both"/>
              <w:rPr>
                <w:rFonts w:cs="Arial"/>
                <w:b w:val="0"/>
                <w:color w:val="auto"/>
                <w:sz w:val="18"/>
                <w:szCs w:val="18"/>
              </w:rPr>
            </w:pPr>
          </w:p>
        </w:tc>
        <w:tc>
          <w:tcPr>
            <w:tcW w:w="2126" w:type="dxa"/>
            <w:vMerge/>
            <w:shd w:val="clear" w:color="auto" w:fill="auto"/>
          </w:tcPr>
          <w:p w:rsidR="005F2F8B" w:rsidRPr="004548DD" w:rsidRDefault="005F2F8B" w:rsidP="00664A50">
            <w:pPr>
              <w:tabs>
                <w:tab w:val="left" w:pos="3436"/>
              </w:tabs>
              <w:ind w:right="-108"/>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694" w:type="dxa"/>
            <w:shd w:val="clear" w:color="auto" w:fill="auto"/>
            <w:hideMark/>
          </w:tcPr>
          <w:p w:rsidR="005F2F8B" w:rsidRPr="004548DD" w:rsidRDefault="005F2F8B" w:rsidP="00664A50">
            <w:pPr>
              <w:ind w:right="33"/>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Doctorado en alguna de las siguientes carreras: ingeniería civil, economía, administración de empresas, administración pública, o alguna otra ciencia económica o social que sea relevante para ejercer funciones sustantivas de gerencia pública.</w:t>
            </w:r>
          </w:p>
        </w:tc>
        <w:tc>
          <w:tcPr>
            <w:tcW w:w="1984" w:type="dxa"/>
            <w:shd w:val="clear" w:color="auto" w:fill="auto"/>
            <w:hideMark/>
          </w:tcPr>
          <w:p w:rsidR="005F2F8B" w:rsidRPr="004548DD" w:rsidRDefault="005F2F8B" w:rsidP="00664A50">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 xml:space="preserve">Si el título más alto es </w:t>
            </w:r>
            <w:r w:rsidRPr="004548DD">
              <w:rPr>
                <w:rFonts w:cs="Arial"/>
                <w:b/>
                <w:sz w:val="18"/>
                <w:szCs w:val="18"/>
              </w:rPr>
              <w:t>doctorado</w:t>
            </w:r>
            <w:r w:rsidRPr="004548DD">
              <w:rPr>
                <w:rFonts w:cs="Arial"/>
                <w:sz w:val="18"/>
                <w:szCs w:val="18"/>
              </w:rPr>
              <w:t xml:space="preserve"> académico en alguna de las carreras indicadas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20%</w:t>
            </w:r>
          </w:p>
        </w:tc>
      </w:tr>
      <w:tr w:rsidR="005F2F8B" w:rsidRPr="004548DD" w:rsidTr="00A53E98">
        <w:trPr>
          <w:trHeight w:val="367"/>
        </w:trPr>
        <w:tc>
          <w:tcPr>
            <w:cnfStyle w:val="001000000000" w:firstRow="0" w:lastRow="0" w:firstColumn="1" w:lastColumn="0" w:oddVBand="0" w:evenVBand="0" w:oddHBand="0" w:evenHBand="0" w:firstRowFirstColumn="0" w:firstRowLastColumn="0" w:lastRowFirstColumn="0" w:lastRowLastColumn="0"/>
            <w:tcW w:w="1384" w:type="dxa"/>
            <w:vMerge w:val="restart"/>
            <w:tcBorders>
              <w:left w:val="single" w:sz="4" w:space="0" w:color="auto"/>
            </w:tcBorders>
            <w:shd w:val="clear" w:color="auto" w:fill="auto"/>
          </w:tcPr>
          <w:p w:rsidR="00EC74DF" w:rsidRDefault="00EC74DF" w:rsidP="00EC74DF">
            <w:pPr>
              <w:tabs>
                <w:tab w:val="left" w:pos="1735"/>
              </w:tabs>
              <w:ind w:right="-108"/>
              <w:jc w:val="both"/>
              <w:rPr>
                <w:rFonts w:cs="Arial"/>
                <w:color w:val="auto"/>
                <w:sz w:val="18"/>
                <w:szCs w:val="18"/>
              </w:rPr>
            </w:pPr>
          </w:p>
          <w:p w:rsidR="005F2F8B" w:rsidRPr="004548DD" w:rsidRDefault="005F2F8B" w:rsidP="00EC74DF">
            <w:pPr>
              <w:tabs>
                <w:tab w:val="left" w:pos="1735"/>
              </w:tabs>
              <w:ind w:right="-108"/>
              <w:jc w:val="both"/>
              <w:rPr>
                <w:rFonts w:cs="Arial"/>
                <w:b w:val="0"/>
                <w:color w:val="auto"/>
                <w:sz w:val="18"/>
                <w:szCs w:val="18"/>
              </w:rPr>
            </w:pPr>
            <w:r w:rsidRPr="004548DD">
              <w:rPr>
                <w:rFonts w:cs="Arial"/>
                <w:color w:val="auto"/>
                <w:sz w:val="18"/>
                <w:szCs w:val="18"/>
              </w:rPr>
              <w:t>Experiencia profesional</w:t>
            </w:r>
          </w:p>
        </w:tc>
        <w:tc>
          <w:tcPr>
            <w:tcW w:w="2126" w:type="dxa"/>
            <w:vMerge w:val="restart"/>
            <w:shd w:val="clear" w:color="auto" w:fill="auto"/>
          </w:tcPr>
          <w:p w:rsidR="005F2F8B" w:rsidRPr="004548DD" w:rsidRDefault="005F2F8B" w:rsidP="00664A50">
            <w:pPr>
              <w:tabs>
                <w:tab w:val="left" w:pos="3436"/>
              </w:tabs>
              <w:ind w:right="-108"/>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Tiempo laborado en puestos gerenciales</w:t>
            </w:r>
          </w:p>
        </w:tc>
        <w:tc>
          <w:tcPr>
            <w:tcW w:w="2694" w:type="dxa"/>
            <w:vMerge w:val="restart"/>
            <w:shd w:val="clear" w:color="auto" w:fill="auto"/>
          </w:tcPr>
          <w:p w:rsidR="005F2F8B" w:rsidRPr="004548DD" w:rsidRDefault="005F2F8B" w:rsidP="00664A50">
            <w:pPr>
              <w:ind w:right="33"/>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 xml:space="preserve">Número de meses laborados en ese tipo de puestos </w:t>
            </w:r>
          </w:p>
        </w:tc>
        <w:tc>
          <w:tcPr>
            <w:tcW w:w="1984" w:type="dxa"/>
            <w:shd w:val="clear" w:color="auto" w:fill="auto"/>
          </w:tcPr>
          <w:p w:rsidR="005F2F8B" w:rsidRPr="004548DD" w:rsidRDefault="005F2F8B" w:rsidP="00664A50">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De 60 meses a 72 meses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4548DD">
              <w:rPr>
                <w:rFonts w:cs="Arial"/>
                <w:bCs/>
                <w:sz w:val="18"/>
                <w:szCs w:val="18"/>
              </w:rPr>
              <w:t>15%</w:t>
            </w:r>
          </w:p>
        </w:tc>
      </w:tr>
      <w:tr w:rsidR="005F2F8B" w:rsidRPr="004548DD" w:rsidTr="005703C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tcPr>
          <w:p w:rsidR="005F2F8B" w:rsidRPr="004548DD" w:rsidRDefault="005F2F8B" w:rsidP="00EC74DF">
            <w:pPr>
              <w:tabs>
                <w:tab w:val="left" w:pos="1735"/>
              </w:tabs>
              <w:ind w:right="-108"/>
              <w:jc w:val="both"/>
              <w:rPr>
                <w:rFonts w:cs="Arial"/>
                <w:b w:val="0"/>
                <w:color w:val="auto"/>
                <w:sz w:val="18"/>
                <w:szCs w:val="18"/>
              </w:rPr>
            </w:pPr>
          </w:p>
        </w:tc>
        <w:tc>
          <w:tcPr>
            <w:tcW w:w="2126" w:type="dxa"/>
            <w:vMerge/>
            <w:shd w:val="clear" w:color="auto" w:fill="auto"/>
          </w:tcPr>
          <w:p w:rsidR="005F2F8B" w:rsidRPr="004548DD" w:rsidRDefault="005F2F8B" w:rsidP="00664A50">
            <w:pPr>
              <w:tabs>
                <w:tab w:val="left" w:pos="3436"/>
              </w:tabs>
              <w:ind w:right="-108"/>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694" w:type="dxa"/>
            <w:vMerge/>
            <w:shd w:val="clear" w:color="auto" w:fill="auto"/>
          </w:tcPr>
          <w:p w:rsidR="005F2F8B" w:rsidRPr="004548DD" w:rsidRDefault="005F2F8B" w:rsidP="00664A50">
            <w:pPr>
              <w:ind w:right="33"/>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4" w:type="dxa"/>
            <w:shd w:val="clear" w:color="auto" w:fill="auto"/>
            <w:vAlign w:val="center"/>
          </w:tcPr>
          <w:p w:rsidR="005F2F8B" w:rsidRPr="004548DD" w:rsidRDefault="005F2F8B" w:rsidP="005703C1">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Más de 72 meses</w:t>
            </w:r>
          </w:p>
        </w:tc>
        <w:tc>
          <w:tcPr>
            <w:tcW w:w="851" w:type="dxa"/>
            <w:shd w:val="clear" w:color="auto" w:fill="auto"/>
            <w:vAlign w:val="center"/>
          </w:tcPr>
          <w:p w:rsidR="005F2F8B" w:rsidRPr="004548DD" w:rsidRDefault="005F2F8B" w:rsidP="005703C1">
            <w:pPr>
              <w:tabs>
                <w:tab w:val="left" w:pos="1026"/>
                <w:tab w:val="left" w:pos="3265"/>
              </w:tabs>
              <w:ind w:left="-10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bCs/>
                <w:sz w:val="18"/>
                <w:szCs w:val="18"/>
              </w:rPr>
              <w:t>25%</w:t>
            </w:r>
          </w:p>
        </w:tc>
      </w:tr>
      <w:tr w:rsidR="005F2F8B" w:rsidRPr="004548DD" w:rsidTr="005703C1">
        <w:trPr>
          <w:trHeight w:val="680"/>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tcPr>
          <w:p w:rsidR="005F2F8B" w:rsidRPr="004548DD" w:rsidRDefault="005F2F8B" w:rsidP="00EC74DF">
            <w:pPr>
              <w:tabs>
                <w:tab w:val="left" w:pos="1735"/>
              </w:tabs>
              <w:ind w:right="-108"/>
              <w:jc w:val="both"/>
              <w:rPr>
                <w:rFonts w:cs="Arial"/>
                <w:b w:val="0"/>
                <w:sz w:val="18"/>
                <w:szCs w:val="18"/>
              </w:rPr>
            </w:pPr>
          </w:p>
        </w:tc>
        <w:tc>
          <w:tcPr>
            <w:tcW w:w="2126" w:type="dxa"/>
            <w:vMerge w:val="restart"/>
            <w:shd w:val="clear" w:color="auto" w:fill="auto"/>
          </w:tcPr>
          <w:p w:rsidR="005F2F8B" w:rsidRPr="005703C1" w:rsidDel="00586E96" w:rsidRDefault="005F2F8B" w:rsidP="00664A50">
            <w:pPr>
              <w:tabs>
                <w:tab w:val="left" w:pos="3436"/>
              </w:tabs>
              <w:ind w:right="-108"/>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 xml:space="preserve">Tiempo laborado en el sector público costarricense o  relacionado con la gestión de programas del sector público </w:t>
            </w:r>
          </w:p>
        </w:tc>
        <w:tc>
          <w:tcPr>
            <w:tcW w:w="2694" w:type="dxa"/>
            <w:vMerge w:val="restart"/>
            <w:shd w:val="clear" w:color="auto" w:fill="auto"/>
          </w:tcPr>
          <w:p w:rsidR="005F2F8B" w:rsidRPr="004548DD" w:rsidRDefault="005F2F8B" w:rsidP="00664A50">
            <w:pPr>
              <w:ind w:right="33"/>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 xml:space="preserve">Número de meses laborados en ese tipo de puestos </w:t>
            </w:r>
          </w:p>
        </w:tc>
        <w:tc>
          <w:tcPr>
            <w:tcW w:w="1984" w:type="dxa"/>
            <w:shd w:val="clear" w:color="auto" w:fill="auto"/>
          </w:tcPr>
          <w:p w:rsidR="005F2F8B" w:rsidRPr="004548DD" w:rsidRDefault="005F2F8B" w:rsidP="00664A50">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De 37 meses a 72 meses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3%</w:t>
            </w:r>
          </w:p>
        </w:tc>
      </w:tr>
      <w:tr w:rsidR="005F2F8B" w:rsidRPr="004548DD" w:rsidTr="005703C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tcPr>
          <w:p w:rsidR="005F2F8B" w:rsidRPr="004548DD" w:rsidRDefault="005F2F8B" w:rsidP="00EC74DF">
            <w:pPr>
              <w:tabs>
                <w:tab w:val="left" w:pos="1735"/>
              </w:tabs>
              <w:ind w:right="-108"/>
              <w:jc w:val="both"/>
              <w:rPr>
                <w:rFonts w:cs="Arial"/>
                <w:b w:val="0"/>
                <w:sz w:val="18"/>
                <w:szCs w:val="18"/>
              </w:rPr>
            </w:pPr>
          </w:p>
        </w:tc>
        <w:tc>
          <w:tcPr>
            <w:tcW w:w="2126" w:type="dxa"/>
            <w:vMerge/>
            <w:shd w:val="clear" w:color="auto" w:fill="auto"/>
          </w:tcPr>
          <w:p w:rsidR="005F2F8B" w:rsidRPr="004548DD" w:rsidRDefault="005F2F8B" w:rsidP="00664A50">
            <w:pPr>
              <w:tabs>
                <w:tab w:val="left" w:pos="3436"/>
              </w:tabs>
              <w:ind w:right="-108"/>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694" w:type="dxa"/>
            <w:vMerge/>
            <w:shd w:val="clear" w:color="auto" w:fill="auto"/>
          </w:tcPr>
          <w:p w:rsidR="005F2F8B" w:rsidRPr="004548DD" w:rsidRDefault="005F2F8B" w:rsidP="00664A50">
            <w:pPr>
              <w:ind w:right="33"/>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4" w:type="dxa"/>
            <w:shd w:val="clear" w:color="auto" w:fill="auto"/>
            <w:vAlign w:val="center"/>
          </w:tcPr>
          <w:p w:rsidR="005F2F8B" w:rsidRPr="004548DD" w:rsidRDefault="005F2F8B" w:rsidP="005703C1">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Más de 72 meses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548DD">
              <w:rPr>
                <w:rFonts w:cs="Arial"/>
                <w:bCs/>
                <w:sz w:val="18"/>
                <w:szCs w:val="18"/>
              </w:rPr>
              <w:t>5%</w:t>
            </w:r>
          </w:p>
        </w:tc>
      </w:tr>
      <w:tr w:rsidR="005F2F8B" w:rsidRPr="004548DD" w:rsidTr="005703C1">
        <w:trPr>
          <w:trHeight w:val="567"/>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tcPr>
          <w:p w:rsidR="005F2F8B" w:rsidRPr="004548DD" w:rsidRDefault="005F2F8B" w:rsidP="00EC74DF">
            <w:pPr>
              <w:tabs>
                <w:tab w:val="left" w:pos="1735"/>
              </w:tabs>
              <w:ind w:right="-108"/>
              <w:jc w:val="both"/>
              <w:rPr>
                <w:rFonts w:cs="Arial"/>
                <w:b w:val="0"/>
                <w:sz w:val="18"/>
                <w:szCs w:val="18"/>
              </w:rPr>
            </w:pPr>
          </w:p>
        </w:tc>
        <w:tc>
          <w:tcPr>
            <w:tcW w:w="2126" w:type="dxa"/>
            <w:vMerge w:val="restart"/>
            <w:shd w:val="clear" w:color="auto" w:fill="auto"/>
          </w:tcPr>
          <w:p w:rsidR="005F2F8B" w:rsidRPr="004548DD" w:rsidRDefault="005F2F8B" w:rsidP="00664A50">
            <w:pPr>
              <w:tabs>
                <w:tab w:val="left" w:pos="3436"/>
              </w:tabs>
              <w:ind w:right="-108"/>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 xml:space="preserve">Experiencia directa en labores propias del sector construcción. </w:t>
            </w:r>
          </w:p>
          <w:p w:rsidR="005F2F8B" w:rsidRPr="004548DD" w:rsidDel="00586E96" w:rsidRDefault="005F2F8B" w:rsidP="00664A50">
            <w:pPr>
              <w:tabs>
                <w:tab w:val="left" w:pos="3436"/>
              </w:tabs>
              <w:ind w:right="-108"/>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p>
        </w:tc>
        <w:tc>
          <w:tcPr>
            <w:tcW w:w="2694" w:type="dxa"/>
            <w:vMerge w:val="restart"/>
            <w:shd w:val="clear" w:color="auto" w:fill="auto"/>
          </w:tcPr>
          <w:p w:rsidR="005F2F8B" w:rsidRPr="004548DD" w:rsidRDefault="005F2F8B" w:rsidP="00664A50">
            <w:pPr>
              <w:ind w:right="33"/>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Número de meses laborados en ese tipo de puestos</w:t>
            </w:r>
          </w:p>
        </w:tc>
        <w:tc>
          <w:tcPr>
            <w:tcW w:w="1984" w:type="dxa"/>
            <w:shd w:val="clear" w:color="auto" w:fill="auto"/>
          </w:tcPr>
          <w:p w:rsidR="005F2F8B" w:rsidRPr="004548DD" w:rsidRDefault="005F2F8B" w:rsidP="00664A50">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De 37 meses a 72 meses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4%</w:t>
            </w:r>
          </w:p>
        </w:tc>
      </w:tr>
      <w:tr w:rsidR="005F2F8B" w:rsidRPr="004548DD" w:rsidTr="005703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tcPr>
          <w:p w:rsidR="005F2F8B" w:rsidRPr="004548DD" w:rsidRDefault="005F2F8B" w:rsidP="00EC74DF">
            <w:pPr>
              <w:tabs>
                <w:tab w:val="left" w:pos="1735"/>
              </w:tabs>
              <w:ind w:right="-108"/>
              <w:jc w:val="both"/>
              <w:rPr>
                <w:rFonts w:cs="Arial"/>
                <w:b w:val="0"/>
                <w:sz w:val="18"/>
                <w:szCs w:val="18"/>
              </w:rPr>
            </w:pPr>
          </w:p>
        </w:tc>
        <w:tc>
          <w:tcPr>
            <w:tcW w:w="2126" w:type="dxa"/>
            <w:vMerge/>
            <w:shd w:val="clear" w:color="auto" w:fill="auto"/>
          </w:tcPr>
          <w:p w:rsidR="005F2F8B" w:rsidRPr="004548DD" w:rsidRDefault="005F2F8B" w:rsidP="00664A50">
            <w:pPr>
              <w:tabs>
                <w:tab w:val="left" w:pos="3436"/>
              </w:tabs>
              <w:ind w:right="-108"/>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694" w:type="dxa"/>
            <w:vMerge/>
            <w:shd w:val="clear" w:color="auto" w:fill="auto"/>
          </w:tcPr>
          <w:p w:rsidR="005F2F8B" w:rsidRPr="004548DD" w:rsidRDefault="005F2F8B" w:rsidP="00664A50">
            <w:pPr>
              <w:ind w:right="33"/>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4" w:type="dxa"/>
            <w:shd w:val="clear" w:color="auto" w:fill="auto"/>
            <w:vAlign w:val="center"/>
          </w:tcPr>
          <w:p w:rsidR="005F2F8B" w:rsidRPr="004548DD" w:rsidRDefault="005F2F8B" w:rsidP="005703C1">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Más de 72 meses</w:t>
            </w:r>
          </w:p>
        </w:tc>
        <w:tc>
          <w:tcPr>
            <w:tcW w:w="851" w:type="dxa"/>
            <w:shd w:val="clear" w:color="auto" w:fill="auto"/>
            <w:vAlign w:val="center"/>
          </w:tcPr>
          <w:p w:rsidR="005F2F8B" w:rsidRPr="004548DD" w:rsidRDefault="005F2F8B" w:rsidP="005703C1">
            <w:pPr>
              <w:tabs>
                <w:tab w:val="left" w:pos="1026"/>
                <w:tab w:val="left" w:pos="3265"/>
              </w:tabs>
              <w:ind w:left="-10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7,5%</w:t>
            </w:r>
          </w:p>
        </w:tc>
      </w:tr>
      <w:tr w:rsidR="005F2F8B" w:rsidRPr="004548DD" w:rsidTr="005703C1">
        <w:trPr>
          <w:trHeight w:val="567"/>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tcPr>
          <w:p w:rsidR="005F2F8B" w:rsidRPr="004548DD" w:rsidRDefault="005F2F8B" w:rsidP="00EC74DF">
            <w:pPr>
              <w:tabs>
                <w:tab w:val="left" w:pos="1735"/>
              </w:tabs>
              <w:ind w:right="-108"/>
              <w:jc w:val="both"/>
              <w:rPr>
                <w:rFonts w:cs="Arial"/>
                <w:b w:val="0"/>
                <w:sz w:val="18"/>
                <w:szCs w:val="18"/>
              </w:rPr>
            </w:pPr>
          </w:p>
        </w:tc>
        <w:tc>
          <w:tcPr>
            <w:tcW w:w="2126" w:type="dxa"/>
            <w:vMerge w:val="restart"/>
            <w:shd w:val="clear" w:color="auto" w:fill="auto"/>
          </w:tcPr>
          <w:p w:rsidR="005F2F8B" w:rsidRPr="004548DD" w:rsidRDefault="005F2F8B" w:rsidP="00664A50">
            <w:pPr>
              <w:tabs>
                <w:tab w:val="left" w:pos="3436"/>
              </w:tabs>
              <w:ind w:right="-108"/>
              <w:cnfStyle w:val="000000000000" w:firstRow="0" w:lastRow="0" w:firstColumn="0" w:lastColumn="0" w:oddVBand="0" w:evenVBand="0" w:oddHBand="0" w:evenHBand="0" w:firstRowFirstColumn="0" w:firstRowLastColumn="0" w:lastRowFirstColumn="0" w:lastRowLastColumn="0"/>
              <w:rPr>
                <w:rFonts w:cs="Arial"/>
                <w:sz w:val="18"/>
                <w:szCs w:val="18"/>
              </w:rPr>
            </w:pPr>
          </w:p>
          <w:p w:rsidR="005F2F8B" w:rsidRPr="004548DD" w:rsidRDefault="005F2F8B" w:rsidP="00664A50">
            <w:pPr>
              <w:tabs>
                <w:tab w:val="left" w:pos="3436"/>
              </w:tabs>
              <w:ind w:right="-108"/>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Experiencia relacionada a la gestión del SFNV</w:t>
            </w:r>
          </w:p>
        </w:tc>
        <w:tc>
          <w:tcPr>
            <w:tcW w:w="2694" w:type="dxa"/>
            <w:vMerge w:val="restart"/>
            <w:shd w:val="clear" w:color="auto" w:fill="auto"/>
          </w:tcPr>
          <w:p w:rsidR="005F2F8B" w:rsidRPr="004548DD" w:rsidRDefault="005F2F8B" w:rsidP="00664A50">
            <w:pPr>
              <w:ind w:right="33"/>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Número de meses laborados en ese tipo de puestos</w:t>
            </w:r>
          </w:p>
        </w:tc>
        <w:tc>
          <w:tcPr>
            <w:tcW w:w="1984" w:type="dxa"/>
            <w:shd w:val="clear" w:color="auto" w:fill="auto"/>
          </w:tcPr>
          <w:p w:rsidR="005F2F8B" w:rsidRPr="004548DD" w:rsidRDefault="005F2F8B" w:rsidP="00664A50">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De 37 meses a 72 meses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3%</w:t>
            </w:r>
          </w:p>
        </w:tc>
      </w:tr>
      <w:tr w:rsidR="005F2F8B" w:rsidRPr="004548DD" w:rsidTr="005703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tcPr>
          <w:p w:rsidR="005F2F8B" w:rsidRPr="004548DD" w:rsidRDefault="005F2F8B" w:rsidP="00EC74DF">
            <w:pPr>
              <w:tabs>
                <w:tab w:val="left" w:pos="1735"/>
              </w:tabs>
              <w:ind w:right="-108"/>
              <w:jc w:val="both"/>
              <w:rPr>
                <w:rFonts w:cs="Arial"/>
                <w:b w:val="0"/>
                <w:sz w:val="18"/>
                <w:szCs w:val="18"/>
              </w:rPr>
            </w:pPr>
          </w:p>
        </w:tc>
        <w:tc>
          <w:tcPr>
            <w:tcW w:w="2126" w:type="dxa"/>
            <w:vMerge/>
            <w:shd w:val="clear" w:color="auto" w:fill="auto"/>
          </w:tcPr>
          <w:p w:rsidR="005F2F8B" w:rsidRPr="004548DD" w:rsidRDefault="005F2F8B" w:rsidP="00664A50">
            <w:pPr>
              <w:tabs>
                <w:tab w:val="left" w:pos="3436"/>
              </w:tabs>
              <w:ind w:right="-108"/>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694" w:type="dxa"/>
            <w:vMerge/>
            <w:shd w:val="clear" w:color="auto" w:fill="auto"/>
          </w:tcPr>
          <w:p w:rsidR="005F2F8B" w:rsidRPr="004548DD" w:rsidRDefault="005F2F8B" w:rsidP="00664A50">
            <w:pPr>
              <w:ind w:right="33"/>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4" w:type="dxa"/>
            <w:shd w:val="clear" w:color="auto" w:fill="auto"/>
          </w:tcPr>
          <w:p w:rsidR="005F2F8B" w:rsidRPr="004548DD" w:rsidRDefault="005F2F8B" w:rsidP="00664A50">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Más de 72 meses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5%</w:t>
            </w:r>
          </w:p>
        </w:tc>
      </w:tr>
      <w:tr w:rsidR="005F2F8B" w:rsidRPr="004548DD" w:rsidTr="005703C1">
        <w:trPr>
          <w:trHeight w:val="567"/>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tcPr>
          <w:p w:rsidR="005F2F8B" w:rsidRPr="004548DD" w:rsidRDefault="005F2F8B" w:rsidP="00EC74DF">
            <w:pPr>
              <w:tabs>
                <w:tab w:val="left" w:pos="1735"/>
              </w:tabs>
              <w:ind w:right="-108"/>
              <w:jc w:val="both"/>
              <w:rPr>
                <w:rFonts w:cs="Arial"/>
                <w:b w:val="0"/>
                <w:color w:val="auto"/>
                <w:sz w:val="18"/>
                <w:szCs w:val="18"/>
              </w:rPr>
            </w:pPr>
          </w:p>
        </w:tc>
        <w:tc>
          <w:tcPr>
            <w:tcW w:w="2126" w:type="dxa"/>
            <w:vMerge w:val="restart"/>
            <w:shd w:val="clear" w:color="auto" w:fill="auto"/>
          </w:tcPr>
          <w:p w:rsidR="005F2F8B" w:rsidRPr="004548DD" w:rsidRDefault="005F2F8B" w:rsidP="00664A50">
            <w:pPr>
              <w:tabs>
                <w:tab w:val="left" w:pos="3436"/>
              </w:tabs>
              <w:ind w:right="-108"/>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Conocimiento en gestión, evaluac</w:t>
            </w:r>
            <w:r w:rsidR="003A01B1">
              <w:rPr>
                <w:rFonts w:cs="Arial"/>
                <w:sz w:val="18"/>
                <w:szCs w:val="18"/>
              </w:rPr>
              <w:t xml:space="preserve">ión, diseño o implementación de </w:t>
            </w:r>
            <w:r w:rsidRPr="004548DD">
              <w:rPr>
                <w:rFonts w:cs="Arial"/>
                <w:sz w:val="18"/>
                <w:szCs w:val="18"/>
              </w:rPr>
              <w:t>políticas sociales selectivas</w:t>
            </w:r>
          </w:p>
        </w:tc>
        <w:tc>
          <w:tcPr>
            <w:tcW w:w="2694" w:type="dxa"/>
            <w:vMerge w:val="restart"/>
            <w:shd w:val="clear" w:color="auto" w:fill="auto"/>
          </w:tcPr>
          <w:p w:rsidR="005F2F8B" w:rsidRPr="004548DD" w:rsidRDefault="005F2F8B" w:rsidP="00664A50">
            <w:pPr>
              <w:ind w:right="33"/>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Número de casos, actividades o programas involucrado cuyo objetivo sea la evaluac</w:t>
            </w:r>
            <w:r w:rsidR="003A01B1">
              <w:rPr>
                <w:rFonts w:cs="Arial"/>
                <w:sz w:val="18"/>
                <w:szCs w:val="18"/>
              </w:rPr>
              <w:t xml:space="preserve">ión, diseño o implementación de </w:t>
            </w:r>
            <w:r w:rsidRPr="004548DD">
              <w:rPr>
                <w:rFonts w:cs="Arial"/>
                <w:sz w:val="18"/>
                <w:szCs w:val="18"/>
              </w:rPr>
              <w:t>políticas sociales selectivas</w:t>
            </w:r>
          </w:p>
        </w:tc>
        <w:tc>
          <w:tcPr>
            <w:tcW w:w="1984" w:type="dxa"/>
            <w:shd w:val="clear" w:color="auto" w:fill="auto"/>
          </w:tcPr>
          <w:p w:rsidR="005F2F8B" w:rsidRPr="004548DD" w:rsidRDefault="005F2F8B" w:rsidP="00664A50">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5 casos, actividades o programas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2%</w:t>
            </w:r>
          </w:p>
        </w:tc>
      </w:tr>
      <w:tr w:rsidR="005F2F8B" w:rsidRPr="004548DD" w:rsidTr="00A53E9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tcPr>
          <w:p w:rsidR="005F2F8B" w:rsidRPr="004548DD" w:rsidRDefault="005F2F8B" w:rsidP="00EC74DF">
            <w:pPr>
              <w:tabs>
                <w:tab w:val="left" w:pos="1735"/>
              </w:tabs>
              <w:ind w:right="-108"/>
              <w:jc w:val="both"/>
              <w:rPr>
                <w:rFonts w:cs="Arial"/>
                <w:b w:val="0"/>
                <w:color w:val="auto"/>
                <w:sz w:val="18"/>
                <w:szCs w:val="18"/>
              </w:rPr>
            </w:pPr>
          </w:p>
        </w:tc>
        <w:tc>
          <w:tcPr>
            <w:tcW w:w="2126" w:type="dxa"/>
            <w:vMerge/>
            <w:shd w:val="clear" w:color="auto" w:fill="auto"/>
          </w:tcPr>
          <w:p w:rsidR="005F2F8B" w:rsidRPr="004548DD" w:rsidRDefault="005F2F8B" w:rsidP="00664A50">
            <w:pPr>
              <w:tabs>
                <w:tab w:val="left" w:pos="3436"/>
              </w:tabs>
              <w:ind w:right="-108"/>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694" w:type="dxa"/>
            <w:vMerge/>
            <w:shd w:val="clear" w:color="auto" w:fill="auto"/>
          </w:tcPr>
          <w:p w:rsidR="005F2F8B" w:rsidRPr="004548DD" w:rsidRDefault="005F2F8B" w:rsidP="00664A50">
            <w:pPr>
              <w:ind w:right="33"/>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4" w:type="dxa"/>
            <w:shd w:val="clear" w:color="auto" w:fill="auto"/>
          </w:tcPr>
          <w:p w:rsidR="005F2F8B" w:rsidRPr="004548DD" w:rsidRDefault="005F2F8B" w:rsidP="00664A50">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6 a 10 casos, actividades o programas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4%</w:t>
            </w:r>
          </w:p>
        </w:tc>
      </w:tr>
      <w:tr w:rsidR="005F2F8B" w:rsidRPr="004548DD" w:rsidTr="00A53E98">
        <w:trPr>
          <w:trHeight w:val="720"/>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4" w:space="0" w:color="auto"/>
            </w:tcBorders>
            <w:shd w:val="clear" w:color="auto" w:fill="auto"/>
          </w:tcPr>
          <w:p w:rsidR="005F2F8B" w:rsidRPr="004548DD" w:rsidRDefault="005F2F8B" w:rsidP="00EC74DF">
            <w:pPr>
              <w:tabs>
                <w:tab w:val="left" w:pos="1735"/>
              </w:tabs>
              <w:ind w:right="-108"/>
              <w:jc w:val="both"/>
              <w:rPr>
                <w:rFonts w:cs="Arial"/>
                <w:b w:val="0"/>
                <w:color w:val="auto"/>
                <w:sz w:val="18"/>
                <w:szCs w:val="18"/>
              </w:rPr>
            </w:pPr>
          </w:p>
        </w:tc>
        <w:tc>
          <w:tcPr>
            <w:tcW w:w="2126" w:type="dxa"/>
            <w:vMerge/>
            <w:shd w:val="clear" w:color="auto" w:fill="auto"/>
          </w:tcPr>
          <w:p w:rsidR="005F2F8B" w:rsidRPr="004548DD" w:rsidRDefault="005F2F8B" w:rsidP="00664A50">
            <w:pPr>
              <w:tabs>
                <w:tab w:val="left" w:pos="3436"/>
              </w:tabs>
              <w:ind w:right="-108"/>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694" w:type="dxa"/>
            <w:vMerge/>
            <w:shd w:val="clear" w:color="auto" w:fill="auto"/>
          </w:tcPr>
          <w:p w:rsidR="005F2F8B" w:rsidRPr="004548DD" w:rsidRDefault="005F2F8B" w:rsidP="00664A50">
            <w:pPr>
              <w:ind w:right="33"/>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984" w:type="dxa"/>
            <w:shd w:val="clear" w:color="auto" w:fill="auto"/>
          </w:tcPr>
          <w:p w:rsidR="005F2F8B" w:rsidRPr="004548DD" w:rsidRDefault="005F2F8B" w:rsidP="00664A50">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Más de 10  casos, actividades o programas</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48DD">
              <w:rPr>
                <w:rFonts w:cs="Arial"/>
                <w:sz w:val="18"/>
                <w:szCs w:val="18"/>
              </w:rPr>
              <w:t>7,5%</w:t>
            </w:r>
          </w:p>
        </w:tc>
      </w:tr>
      <w:tr w:rsidR="005F2F8B" w:rsidRPr="004548DD" w:rsidTr="00A53E9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bottom w:val="single" w:sz="4" w:space="0" w:color="auto"/>
            </w:tcBorders>
            <w:shd w:val="clear" w:color="auto" w:fill="auto"/>
          </w:tcPr>
          <w:p w:rsidR="00EC74DF" w:rsidRDefault="00EC74DF" w:rsidP="00EC74DF">
            <w:pPr>
              <w:tabs>
                <w:tab w:val="left" w:pos="1735"/>
              </w:tabs>
              <w:ind w:right="-108"/>
              <w:jc w:val="both"/>
              <w:rPr>
                <w:rFonts w:cs="Arial"/>
                <w:color w:val="auto"/>
                <w:sz w:val="18"/>
                <w:szCs w:val="18"/>
              </w:rPr>
            </w:pPr>
          </w:p>
          <w:p w:rsidR="005F2F8B" w:rsidRPr="004548DD" w:rsidRDefault="005F2F8B" w:rsidP="00EC74DF">
            <w:pPr>
              <w:tabs>
                <w:tab w:val="left" w:pos="1735"/>
              </w:tabs>
              <w:ind w:right="-108"/>
              <w:jc w:val="both"/>
              <w:rPr>
                <w:rFonts w:cs="Arial"/>
                <w:b w:val="0"/>
                <w:color w:val="auto"/>
                <w:sz w:val="18"/>
                <w:szCs w:val="18"/>
              </w:rPr>
            </w:pPr>
            <w:r w:rsidRPr="004548DD">
              <w:rPr>
                <w:rFonts w:cs="Arial"/>
                <w:color w:val="auto"/>
                <w:sz w:val="18"/>
                <w:szCs w:val="18"/>
              </w:rPr>
              <w:t>Competencias gerenciales</w:t>
            </w:r>
          </w:p>
        </w:tc>
        <w:tc>
          <w:tcPr>
            <w:tcW w:w="2126" w:type="dxa"/>
            <w:shd w:val="clear" w:color="auto" w:fill="auto"/>
          </w:tcPr>
          <w:p w:rsidR="005F2F8B" w:rsidRPr="004548DD" w:rsidRDefault="005F2F8B" w:rsidP="00DD3732">
            <w:pPr>
              <w:numPr>
                <w:ilvl w:val="0"/>
                <w:numId w:val="21"/>
              </w:numPr>
              <w:tabs>
                <w:tab w:val="left" w:pos="3436"/>
              </w:tabs>
              <w:ind w:left="34" w:right="-108" w:hanging="142"/>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548DD">
              <w:rPr>
                <w:rFonts w:cs="Arial"/>
                <w:sz w:val="18"/>
                <w:szCs w:val="18"/>
              </w:rPr>
              <w:t xml:space="preserve">Valoración de las siguientes competencias: </w:t>
            </w:r>
            <w:r w:rsidRPr="004548DD">
              <w:rPr>
                <w:rFonts w:cs="Arial"/>
                <w:color w:val="000000"/>
                <w:sz w:val="18"/>
                <w:szCs w:val="18"/>
              </w:rPr>
              <w:t>Liderazgo y orientación hacia el trabajo en equipo.</w:t>
            </w:r>
          </w:p>
          <w:p w:rsidR="005F2F8B" w:rsidRPr="004548DD" w:rsidRDefault="005F2F8B" w:rsidP="00DD3732">
            <w:pPr>
              <w:numPr>
                <w:ilvl w:val="0"/>
                <w:numId w:val="21"/>
              </w:numPr>
              <w:tabs>
                <w:tab w:val="left" w:pos="3436"/>
              </w:tabs>
              <w:ind w:left="34" w:right="-108" w:hanging="142"/>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548DD">
              <w:rPr>
                <w:rFonts w:cs="Arial"/>
                <w:color w:val="000000"/>
                <w:sz w:val="18"/>
                <w:szCs w:val="18"/>
              </w:rPr>
              <w:t>Pensamiento estratégico.</w:t>
            </w:r>
          </w:p>
          <w:p w:rsidR="005F2F8B" w:rsidRPr="004548DD" w:rsidRDefault="005F2F8B" w:rsidP="00DD3732">
            <w:pPr>
              <w:numPr>
                <w:ilvl w:val="0"/>
                <w:numId w:val="21"/>
              </w:numPr>
              <w:tabs>
                <w:tab w:val="left" w:pos="3436"/>
              </w:tabs>
              <w:ind w:left="34" w:right="-108" w:hanging="142"/>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548DD">
              <w:rPr>
                <w:rFonts w:cs="Arial"/>
                <w:color w:val="000000"/>
                <w:sz w:val="18"/>
                <w:szCs w:val="18"/>
              </w:rPr>
              <w:t>Capacidad de toma de decisiones e iniciativa</w:t>
            </w:r>
          </w:p>
          <w:p w:rsidR="005F2F8B" w:rsidRPr="004548DD" w:rsidRDefault="005F2F8B" w:rsidP="00DD3732">
            <w:pPr>
              <w:numPr>
                <w:ilvl w:val="0"/>
                <w:numId w:val="21"/>
              </w:numPr>
              <w:tabs>
                <w:tab w:val="left" w:pos="3436"/>
              </w:tabs>
              <w:ind w:left="34" w:right="-108" w:hanging="142"/>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548DD">
              <w:rPr>
                <w:rFonts w:cs="Arial"/>
                <w:color w:val="000000"/>
                <w:sz w:val="18"/>
                <w:szCs w:val="18"/>
              </w:rPr>
              <w:t>Capacidad de negociación y empatía</w:t>
            </w:r>
          </w:p>
          <w:p w:rsidR="005F2F8B" w:rsidRPr="004548DD" w:rsidRDefault="005F2F8B" w:rsidP="00DD3732">
            <w:pPr>
              <w:numPr>
                <w:ilvl w:val="0"/>
                <w:numId w:val="21"/>
              </w:numPr>
              <w:tabs>
                <w:tab w:val="left" w:pos="3436"/>
              </w:tabs>
              <w:ind w:left="34" w:right="-108" w:hanging="142"/>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548DD">
              <w:rPr>
                <w:rFonts w:cs="Arial"/>
                <w:color w:val="000000"/>
                <w:sz w:val="18"/>
                <w:szCs w:val="18"/>
              </w:rPr>
              <w:t>Orientación hacia la producción de resultados.</w:t>
            </w:r>
          </w:p>
          <w:p w:rsidR="005F2F8B" w:rsidRPr="004548DD" w:rsidRDefault="005F2F8B" w:rsidP="00DD3732">
            <w:pPr>
              <w:numPr>
                <w:ilvl w:val="0"/>
                <w:numId w:val="21"/>
              </w:numPr>
              <w:tabs>
                <w:tab w:val="left" w:pos="3436"/>
              </w:tabs>
              <w:ind w:left="34" w:right="-108" w:hanging="142"/>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548DD">
              <w:rPr>
                <w:rFonts w:cs="Arial"/>
                <w:color w:val="000000"/>
                <w:sz w:val="18"/>
                <w:szCs w:val="18"/>
              </w:rPr>
              <w:t>Creatividad e innovación.</w:t>
            </w:r>
          </w:p>
          <w:p w:rsidR="005F2F8B" w:rsidRPr="004548DD" w:rsidRDefault="005F2F8B" w:rsidP="00DD3732">
            <w:pPr>
              <w:numPr>
                <w:ilvl w:val="0"/>
                <w:numId w:val="21"/>
              </w:numPr>
              <w:tabs>
                <w:tab w:val="left" w:pos="3436"/>
              </w:tabs>
              <w:ind w:left="34" w:right="-108" w:hanging="142"/>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548DD">
              <w:rPr>
                <w:rFonts w:cs="Arial"/>
                <w:color w:val="000000"/>
                <w:sz w:val="18"/>
                <w:szCs w:val="18"/>
              </w:rPr>
              <w:t>Capacidad de planificación.</w:t>
            </w:r>
          </w:p>
          <w:p w:rsidR="005F2F8B" w:rsidRPr="00202441" w:rsidRDefault="005F2F8B" w:rsidP="00DD3732">
            <w:pPr>
              <w:numPr>
                <w:ilvl w:val="0"/>
                <w:numId w:val="21"/>
              </w:numPr>
              <w:tabs>
                <w:tab w:val="left" w:pos="3436"/>
              </w:tabs>
              <w:ind w:left="34" w:right="-108" w:hanging="142"/>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548DD">
              <w:rPr>
                <w:rFonts w:cs="Arial"/>
                <w:color w:val="000000"/>
                <w:sz w:val="18"/>
                <w:szCs w:val="18"/>
              </w:rPr>
              <w:t>Capacidad de comunicación oral y escrita</w:t>
            </w:r>
          </w:p>
        </w:tc>
        <w:tc>
          <w:tcPr>
            <w:tcW w:w="2694" w:type="dxa"/>
            <w:shd w:val="clear" w:color="auto" w:fill="auto"/>
          </w:tcPr>
          <w:p w:rsidR="005F2F8B" w:rsidRPr="004548DD" w:rsidRDefault="005F2F8B" w:rsidP="00664A50">
            <w:pPr>
              <w:ind w:right="33"/>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 xml:space="preserve">Resultado de la prueba psicométrica aplicada al aspirante en la fase de preselección. </w:t>
            </w:r>
          </w:p>
          <w:p w:rsidR="005F2F8B" w:rsidRPr="004548DD" w:rsidRDefault="005F2F8B" w:rsidP="00664A50">
            <w:pPr>
              <w:ind w:right="33"/>
              <w:jc w:val="both"/>
              <w:cnfStyle w:val="000000100000" w:firstRow="0" w:lastRow="0" w:firstColumn="0" w:lastColumn="0" w:oddVBand="0" w:evenVBand="0" w:oddHBand="1" w:evenHBand="0" w:firstRowFirstColumn="0" w:firstRowLastColumn="0" w:lastRowFirstColumn="0" w:lastRowLastColumn="0"/>
              <w:rPr>
                <w:rFonts w:cs="Arial"/>
                <w:sz w:val="18"/>
                <w:szCs w:val="18"/>
              </w:rPr>
            </w:pPr>
          </w:p>
          <w:p w:rsidR="005F2F8B" w:rsidRPr="004548DD" w:rsidRDefault="005F2F8B" w:rsidP="00664A50">
            <w:pPr>
              <w:ind w:right="33"/>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84" w:type="dxa"/>
            <w:shd w:val="clear" w:color="auto" w:fill="auto"/>
          </w:tcPr>
          <w:p w:rsidR="005F2F8B" w:rsidRPr="004548DD" w:rsidRDefault="005F2F8B" w:rsidP="00664A50">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La puntuación a asignar por este predictor será calculada con la siguiente fórmula:</w:t>
            </w:r>
          </w:p>
          <w:p w:rsidR="005F2F8B" w:rsidRPr="004548DD" w:rsidRDefault="005F2F8B" w:rsidP="00664A50">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[(Ro-</w:t>
            </w:r>
            <w:proofErr w:type="spellStart"/>
            <w:r w:rsidRPr="004548DD">
              <w:rPr>
                <w:rFonts w:cs="Arial"/>
                <w:sz w:val="18"/>
                <w:szCs w:val="18"/>
              </w:rPr>
              <w:t>Rmin</w:t>
            </w:r>
            <w:proofErr w:type="spellEnd"/>
            <w:r w:rsidRPr="004548DD">
              <w:rPr>
                <w:rFonts w:cs="Arial"/>
                <w:sz w:val="18"/>
                <w:szCs w:val="18"/>
              </w:rPr>
              <w:t>)/(</w:t>
            </w:r>
            <w:proofErr w:type="spellStart"/>
            <w:r w:rsidRPr="004548DD">
              <w:rPr>
                <w:rFonts w:cs="Arial"/>
                <w:sz w:val="18"/>
                <w:szCs w:val="18"/>
              </w:rPr>
              <w:t>Rmax-Rmin</w:t>
            </w:r>
            <w:proofErr w:type="spellEnd"/>
            <w:r w:rsidRPr="004548DD">
              <w:rPr>
                <w:rFonts w:cs="Arial"/>
                <w:sz w:val="18"/>
                <w:szCs w:val="18"/>
              </w:rPr>
              <w:t>)]*30%</w:t>
            </w:r>
          </w:p>
          <w:p w:rsidR="005F2F8B" w:rsidRPr="004548DD" w:rsidRDefault="005F2F8B" w:rsidP="00664A50">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Donde:</w:t>
            </w:r>
          </w:p>
          <w:p w:rsidR="005F2F8B" w:rsidRPr="004548DD" w:rsidRDefault="005F2F8B" w:rsidP="00664A50">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4548DD">
              <w:rPr>
                <w:rFonts w:cs="Arial"/>
                <w:sz w:val="18"/>
                <w:szCs w:val="18"/>
              </w:rPr>
              <w:t>Rmax</w:t>
            </w:r>
            <w:proofErr w:type="spellEnd"/>
            <w:r w:rsidRPr="004548DD">
              <w:rPr>
                <w:rFonts w:cs="Arial"/>
                <w:sz w:val="18"/>
                <w:szCs w:val="18"/>
              </w:rPr>
              <w:t xml:space="preserve"> es el resultado de la prueba psicométrica obtenido por el aspirante que obtuvo la mayor calificación en esa prueba.</w:t>
            </w:r>
          </w:p>
          <w:p w:rsidR="005F2F8B" w:rsidRPr="004548DD" w:rsidRDefault="005F2F8B" w:rsidP="00664A50">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4548DD">
              <w:rPr>
                <w:rFonts w:cs="Arial"/>
                <w:sz w:val="18"/>
                <w:szCs w:val="18"/>
              </w:rPr>
              <w:t>Rmin</w:t>
            </w:r>
            <w:proofErr w:type="spellEnd"/>
            <w:r w:rsidRPr="004548DD">
              <w:rPr>
                <w:rFonts w:cs="Arial"/>
                <w:sz w:val="18"/>
                <w:szCs w:val="18"/>
              </w:rPr>
              <w:t xml:space="preserve"> es el resultado de la prueba psicométrica obtenido por el aspirante que obtuvo la menor calificación en esa prueba.</w:t>
            </w:r>
          </w:p>
          <w:p w:rsidR="005F2F8B" w:rsidRPr="004548DD" w:rsidRDefault="005F2F8B" w:rsidP="00664A50">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Ro es el resultado de la prueba psicométrica obtenido por el aspirante a evaluar.</w:t>
            </w:r>
          </w:p>
        </w:tc>
        <w:tc>
          <w:tcPr>
            <w:tcW w:w="851" w:type="dxa"/>
            <w:shd w:val="clear" w:color="auto" w:fill="auto"/>
            <w:vAlign w:val="center"/>
          </w:tcPr>
          <w:p w:rsidR="005F2F8B" w:rsidRPr="004548DD" w:rsidRDefault="005F2F8B" w:rsidP="00E77C7C">
            <w:pPr>
              <w:tabs>
                <w:tab w:val="left" w:pos="1026"/>
                <w:tab w:val="left" w:pos="3265"/>
              </w:tabs>
              <w:ind w:left="-10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548DD">
              <w:rPr>
                <w:rFonts w:cs="Arial"/>
                <w:sz w:val="18"/>
                <w:szCs w:val="18"/>
              </w:rPr>
              <w:t>El que resulte de aplicar la fórmula (30% máximo)</w:t>
            </w:r>
          </w:p>
        </w:tc>
      </w:tr>
    </w:tbl>
    <w:p w:rsidR="003B0A3C" w:rsidRDefault="003B0A3C" w:rsidP="00911ABE">
      <w:pPr>
        <w:tabs>
          <w:tab w:val="left" w:pos="1236"/>
        </w:tabs>
        <w:jc w:val="both"/>
        <w:rPr>
          <w:rFonts w:cs="Arial"/>
          <w:sz w:val="22"/>
          <w:szCs w:val="22"/>
          <w:lang w:val="es-CR"/>
        </w:rPr>
      </w:pPr>
    </w:p>
    <w:p w:rsidR="003B0A3C" w:rsidRDefault="003B0A3C" w:rsidP="00911ABE">
      <w:pPr>
        <w:tabs>
          <w:tab w:val="left" w:pos="1236"/>
        </w:tabs>
        <w:jc w:val="both"/>
        <w:rPr>
          <w:rFonts w:cs="Arial"/>
          <w:sz w:val="22"/>
          <w:szCs w:val="22"/>
          <w:lang w:val="es-CR"/>
        </w:rPr>
      </w:pPr>
    </w:p>
    <w:p w:rsidR="000F79CB" w:rsidRPr="000F79CB" w:rsidRDefault="000F79CB" w:rsidP="000F79CB">
      <w:pPr>
        <w:pStyle w:val="Ttulo2"/>
        <w:rPr>
          <w:rFonts w:cs="Arial"/>
          <w:i w:val="0"/>
          <w:szCs w:val="22"/>
        </w:rPr>
      </w:pPr>
      <w:r w:rsidRPr="000F79CB">
        <w:rPr>
          <w:rFonts w:cs="Arial"/>
          <w:i w:val="0"/>
          <w:szCs w:val="22"/>
        </w:rPr>
        <w:t>b.3 Fase de evaluación</w:t>
      </w:r>
    </w:p>
    <w:p w:rsidR="000F79CB" w:rsidRPr="00911ABE" w:rsidRDefault="000F79CB" w:rsidP="000F79CB">
      <w:pPr>
        <w:jc w:val="both"/>
        <w:rPr>
          <w:rFonts w:cs="Arial"/>
          <w:sz w:val="22"/>
          <w:szCs w:val="22"/>
        </w:rPr>
      </w:pPr>
    </w:p>
    <w:p w:rsidR="000F79CB" w:rsidRPr="00911ABE" w:rsidRDefault="000F79CB" w:rsidP="000F79CB">
      <w:pPr>
        <w:jc w:val="both"/>
        <w:rPr>
          <w:rFonts w:cs="Arial"/>
          <w:sz w:val="22"/>
          <w:szCs w:val="22"/>
        </w:rPr>
      </w:pPr>
      <w:r w:rsidRPr="00911ABE">
        <w:rPr>
          <w:rFonts w:cs="Arial"/>
          <w:sz w:val="22"/>
          <w:szCs w:val="22"/>
          <w:lang w:val="es-CR"/>
        </w:rPr>
        <w:t xml:space="preserve">Las cinco personas candidatas que entraron en la fase de evaluación, deberán presentar copias digitales o físicas de constancia o declaración jurada, para acreditar sus conocimientos </w:t>
      </w:r>
      <w:r w:rsidRPr="00911ABE">
        <w:rPr>
          <w:rFonts w:cs="Arial"/>
          <w:sz w:val="22"/>
          <w:szCs w:val="22"/>
        </w:rPr>
        <w:t xml:space="preserve"> en gestión, evaluación, diseño o implementación </w:t>
      </w:r>
      <w:r w:rsidR="003A01B1">
        <w:rPr>
          <w:rFonts w:cs="Arial"/>
          <w:sz w:val="22"/>
          <w:szCs w:val="22"/>
        </w:rPr>
        <w:t xml:space="preserve">de </w:t>
      </w:r>
      <w:r w:rsidRPr="00911ABE">
        <w:rPr>
          <w:rFonts w:cs="Arial"/>
          <w:sz w:val="22"/>
          <w:szCs w:val="22"/>
        </w:rPr>
        <w:t xml:space="preserve">políticas sociales selectivas y en análisis de casos de reforma organizativa. La presentación de estas constancias, será requisito para mantener la valoración de los respectivos indicadores de experiencia, que se realizó en la fase de preselección. Si no se presentara alguna, no se reconocerá la experiencia asociada a este y se volverán a calcular los valores de los indicadores respectivos. </w:t>
      </w:r>
    </w:p>
    <w:p w:rsidR="000F79CB" w:rsidRPr="00911ABE" w:rsidRDefault="000F79CB" w:rsidP="000F79CB">
      <w:pPr>
        <w:jc w:val="both"/>
        <w:rPr>
          <w:rFonts w:cs="Arial"/>
          <w:sz w:val="22"/>
          <w:szCs w:val="22"/>
        </w:rPr>
      </w:pPr>
    </w:p>
    <w:p w:rsidR="000F79CB" w:rsidRPr="00911ABE" w:rsidRDefault="000F79CB" w:rsidP="000F79CB">
      <w:pPr>
        <w:jc w:val="both"/>
        <w:rPr>
          <w:rFonts w:cs="Arial"/>
          <w:sz w:val="22"/>
          <w:szCs w:val="22"/>
        </w:rPr>
      </w:pPr>
      <w:r w:rsidRPr="00911ABE">
        <w:rPr>
          <w:rFonts w:cs="Arial"/>
          <w:sz w:val="22"/>
          <w:szCs w:val="22"/>
        </w:rPr>
        <w:t xml:space="preserve">Existe la posibilidad de que, al no presentar los informes respectivos, un candidato obtenga un puntaje inferior a alguno que no hubiera sido seleccionado dentro de la terna. Si esta situación se presentara, se deberán hacer las sustituciones requeridas en la conformación de la terna. </w:t>
      </w:r>
    </w:p>
    <w:p w:rsidR="000F79CB" w:rsidRPr="00911ABE" w:rsidRDefault="000F79CB" w:rsidP="000F79CB">
      <w:pPr>
        <w:jc w:val="both"/>
        <w:rPr>
          <w:rFonts w:cs="Arial"/>
          <w:sz w:val="22"/>
          <w:szCs w:val="22"/>
          <w:lang w:val="es-CR"/>
        </w:rPr>
      </w:pPr>
    </w:p>
    <w:p w:rsidR="000F79CB" w:rsidRPr="00911ABE" w:rsidRDefault="000F79CB" w:rsidP="000F79CB">
      <w:pPr>
        <w:jc w:val="both"/>
        <w:rPr>
          <w:rFonts w:cs="Arial"/>
          <w:sz w:val="22"/>
          <w:szCs w:val="22"/>
          <w:lang w:val="es-CR"/>
        </w:rPr>
      </w:pPr>
      <w:r w:rsidRPr="00911ABE">
        <w:rPr>
          <w:rFonts w:cs="Arial"/>
          <w:sz w:val="22"/>
          <w:szCs w:val="22"/>
          <w:lang w:val="es-CR"/>
        </w:rPr>
        <w:t xml:space="preserve">Las cinco personas candidatas finalmente seleccionadas, serán entrevistados individualmente por un panel entrevistador conformado por la Junta Directiva del Banco. Todos los miembros de la Junta Directiva calificarán a cada candidato. </w:t>
      </w:r>
    </w:p>
    <w:p w:rsidR="000F79CB" w:rsidRPr="00911ABE" w:rsidRDefault="000F79CB" w:rsidP="000F79CB">
      <w:pPr>
        <w:jc w:val="both"/>
        <w:rPr>
          <w:rFonts w:cs="Arial"/>
          <w:sz w:val="22"/>
          <w:szCs w:val="22"/>
          <w:lang w:val="es-CR"/>
        </w:rPr>
      </w:pPr>
    </w:p>
    <w:p w:rsidR="000F79CB" w:rsidRPr="00911ABE" w:rsidRDefault="000F79CB" w:rsidP="000F79CB">
      <w:pPr>
        <w:jc w:val="both"/>
        <w:rPr>
          <w:rFonts w:cs="Arial"/>
          <w:sz w:val="22"/>
          <w:szCs w:val="22"/>
          <w:lang w:val="es-CR"/>
        </w:rPr>
      </w:pPr>
      <w:r w:rsidRPr="00911ABE">
        <w:rPr>
          <w:rFonts w:cs="Arial"/>
          <w:sz w:val="22"/>
          <w:szCs w:val="22"/>
          <w:lang w:val="es-CR"/>
        </w:rPr>
        <w:t>Las personas candidatas que sean preseleccionadas, presentarán el día de la entrevista, los documentos físicos originales solicitados en la invitación a concurso para su confrontación con las copias.</w:t>
      </w:r>
    </w:p>
    <w:p w:rsidR="000F79CB" w:rsidRPr="00911ABE" w:rsidRDefault="000F79CB" w:rsidP="000F79CB">
      <w:pPr>
        <w:jc w:val="both"/>
        <w:rPr>
          <w:rFonts w:cs="Arial"/>
          <w:sz w:val="22"/>
          <w:szCs w:val="22"/>
          <w:lang w:val="es-CR"/>
        </w:rPr>
      </w:pPr>
    </w:p>
    <w:p w:rsidR="000F79CB" w:rsidRPr="00911ABE" w:rsidRDefault="000F79CB" w:rsidP="000F79CB">
      <w:pPr>
        <w:jc w:val="both"/>
        <w:rPr>
          <w:rFonts w:cs="Arial"/>
          <w:sz w:val="22"/>
          <w:szCs w:val="22"/>
          <w:lang w:val="es-CR"/>
        </w:rPr>
      </w:pPr>
      <w:r>
        <w:rPr>
          <w:rFonts w:cs="Arial"/>
          <w:sz w:val="22"/>
          <w:szCs w:val="22"/>
          <w:lang w:val="es-CR"/>
        </w:rPr>
        <w:t>La Junta Directiva (o a quien é</w:t>
      </w:r>
      <w:r w:rsidRPr="00911ABE">
        <w:rPr>
          <w:rFonts w:cs="Arial"/>
          <w:sz w:val="22"/>
          <w:szCs w:val="22"/>
          <w:lang w:val="es-CR"/>
        </w:rPr>
        <w:t xml:space="preserve">sta designe), analizará la información remitida por los aspirantes que participen para el puesto y verificará que hayan cumplido con los requisitos establecidos en la presente base. </w:t>
      </w:r>
    </w:p>
    <w:p w:rsidR="000F79CB" w:rsidRPr="00911ABE" w:rsidRDefault="000F79CB" w:rsidP="000F79CB">
      <w:pPr>
        <w:jc w:val="both"/>
        <w:rPr>
          <w:rFonts w:cs="Arial"/>
          <w:sz w:val="22"/>
          <w:szCs w:val="22"/>
          <w:lang w:val="es-CR"/>
        </w:rPr>
      </w:pPr>
    </w:p>
    <w:p w:rsidR="000F79CB" w:rsidRPr="00911ABE" w:rsidRDefault="000F79CB" w:rsidP="000F79CB">
      <w:pPr>
        <w:jc w:val="both"/>
        <w:rPr>
          <w:rFonts w:cs="Arial"/>
          <w:sz w:val="22"/>
          <w:szCs w:val="22"/>
          <w:lang w:val="es-CR"/>
        </w:rPr>
      </w:pPr>
      <w:r w:rsidRPr="00911ABE">
        <w:rPr>
          <w:rFonts w:cs="Arial"/>
          <w:sz w:val="22"/>
          <w:szCs w:val="22"/>
          <w:lang w:val="es-CR"/>
        </w:rPr>
        <w:t xml:space="preserve">La persona que no presente la documentación completa durante el plazo de vigencia de la recepción de ofertas que acredite el cumplimiento de los requisitos, quedará excluida del proceso. </w:t>
      </w:r>
    </w:p>
    <w:p w:rsidR="000F79CB" w:rsidRPr="00911ABE" w:rsidRDefault="000F79CB" w:rsidP="000F79CB">
      <w:pPr>
        <w:jc w:val="both"/>
        <w:rPr>
          <w:rFonts w:cs="Arial"/>
          <w:sz w:val="22"/>
          <w:szCs w:val="22"/>
          <w:lang w:val="es-CR"/>
        </w:rPr>
      </w:pPr>
    </w:p>
    <w:p w:rsidR="000F79CB" w:rsidRPr="00911ABE" w:rsidRDefault="000F79CB" w:rsidP="000F79CB">
      <w:pPr>
        <w:jc w:val="both"/>
        <w:rPr>
          <w:rFonts w:cs="Arial"/>
          <w:sz w:val="22"/>
          <w:szCs w:val="22"/>
          <w:lang w:val="es-CR"/>
        </w:rPr>
      </w:pPr>
      <w:r w:rsidRPr="00911ABE">
        <w:rPr>
          <w:rFonts w:cs="Arial"/>
          <w:sz w:val="22"/>
          <w:szCs w:val="22"/>
          <w:lang w:val="es-CR"/>
        </w:rPr>
        <w:t xml:space="preserve">En la entrevista, a todas las personas candidatas se les realizarán las mismas preguntas. Antes de las entrevistas, se elaborará el cuestionario a utilizar en ellas, en el cual también se indicarán los puntajes asignados a cada pregunta y los criterios de calificación de las respuestas a cada pregunta.  </w:t>
      </w:r>
    </w:p>
    <w:p w:rsidR="000F79CB" w:rsidRPr="00911ABE" w:rsidRDefault="000F79CB" w:rsidP="000F79CB">
      <w:pPr>
        <w:jc w:val="both"/>
        <w:rPr>
          <w:rFonts w:cs="Arial"/>
          <w:sz w:val="22"/>
          <w:szCs w:val="22"/>
          <w:lang w:val="es-CR"/>
        </w:rPr>
      </w:pPr>
    </w:p>
    <w:p w:rsidR="000F79CB" w:rsidRPr="00911ABE" w:rsidRDefault="000F79CB" w:rsidP="000F79CB">
      <w:pPr>
        <w:jc w:val="both"/>
        <w:rPr>
          <w:rFonts w:cs="Arial"/>
          <w:sz w:val="22"/>
          <w:szCs w:val="22"/>
          <w:lang w:val="es-CR"/>
        </w:rPr>
      </w:pPr>
      <w:r w:rsidRPr="00911ABE">
        <w:rPr>
          <w:rFonts w:cs="Arial"/>
          <w:sz w:val="22"/>
          <w:szCs w:val="22"/>
          <w:lang w:val="es-CR"/>
        </w:rPr>
        <w:t>Durante la entrevista, cada persona miembro de la Junta Directiva calificará la respuesta a cada pregunta y anotará la calificación en un formulario elaborado para ese propósito.  La calificación general para asignar a cada candidato será el promedio de las calificaciones dadas por cada miembro de la Junta Directiva. Esta nota será una guía, que la Junta Directiva considerará para la toma de decisión</w:t>
      </w:r>
      <w:r w:rsidR="00304560">
        <w:rPr>
          <w:rFonts w:cs="Arial"/>
          <w:sz w:val="22"/>
          <w:szCs w:val="22"/>
          <w:lang w:val="es-CR"/>
        </w:rPr>
        <w:t>.</w:t>
      </w:r>
      <w:r w:rsidRPr="00911ABE">
        <w:rPr>
          <w:rFonts w:cs="Arial"/>
          <w:sz w:val="22"/>
          <w:szCs w:val="22"/>
          <w:lang w:val="es-CR"/>
        </w:rPr>
        <w:t xml:space="preserve"> </w:t>
      </w:r>
    </w:p>
    <w:p w:rsidR="000F79CB" w:rsidRPr="00911ABE" w:rsidRDefault="000F79CB" w:rsidP="000F79CB">
      <w:pPr>
        <w:jc w:val="both"/>
        <w:rPr>
          <w:rFonts w:cs="Arial"/>
          <w:sz w:val="22"/>
          <w:szCs w:val="22"/>
          <w:lang w:val="es-CR"/>
        </w:rPr>
      </w:pPr>
    </w:p>
    <w:p w:rsidR="000F79CB" w:rsidRPr="00911ABE" w:rsidRDefault="000F79CB" w:rsidP="000F79CB">
      <w:pPr>
        <w:jc w:val="both"/>
        <w:rPr>
          <w:rFonts w:cs="Arial"/>
          <w:sz w:val="22"/>
          <w:szCs w:val="22"/>
          <w:lang w:val="es-CR"/>
        </w:rPr>
      </w:pPr>
      <w:r w:rsidRPr="00911ABE">
        <w:rPr>
          <w:rFonts w:cs="Arial"/>
          <w:sz w:val="22"/>
          <w:szCs w:val="22"/>
          <w:lang w:val="es-CR"/>
        </w:rPr>
        <w:t>La persona candidata seleccionada para ocupar el puesto de Geren</w:t>
      </w:r>
      <w:r w:rsidR="000334C4">
        <w:rPr>
          <w:rFonts w:cs="Arial"/>
          <w:sz w:val="22"/>
          <w:szCs w:val="22"/>
          <w:lang w:val="es-CR"/>
        </w:rPr>
        <w:t>te</w:t>
      </w:r>
      <w:r w:rsidRPr="00911ABE">
        <w:rPr>
          <w:rFonts w:cs="Arial"/>
          <w:sz w:val="22"/>
          <w:szCs w:val="22"/>
          <w:lang w:val="es-CR"/>
        </w:rPr>
        <w:t xml:space="preserve"> General, será la que la Junta Directiva, determine que es la persona idónea para el puesto, posterior a la revisión de la entrevista y deliberación del órgano colegiado, cuando así lo considere al menos 5 de sus miembros.</w:t>
      </w:r>
    </w:p>
    <w:p w:rsidR="000F79CB" w:rsidRPr="00911ABE" w:rsidRDefault="000F79CB" w:rsidP="000F79CB">
      <w:pPr>
        <w:jc w:val="both"/>
        <w:rPr>
          <w:rFonts w:cs="Arial"/>
          <w:sz w:val="22"/>
          <w:szCs w:val="22"/>
          <w:lang w:val="es-CR"/>
        </w:rPr>
      </w:pPr>
    </w:p>
    <w:p w:rsidR="000F79CB" w:rsidRPr="00911ABE" w:rsidRDefault="000F79CB" w:rsidP="000F79CB">
      <w:pPr>
        <w:jc w:val="both"/>
        <w:rPr>
          <w:rFonts w:cs="Arial"/>
          <w:sz w:val="22"/>
          <w:szCs w:val="22"/>
          <w:lang w:val="es-CR"/>
        </w:rPr>
      </w:pPr>
      <w:r w:rsidRPr="00911ABE">
        <w:rPr>
          <w:rFonts w:cs="Arial"/>
          <w:sz w:val="22"/>
          <w:szCs w:val="22"/>
          <w:lang w:val="es-CR"/>
        </w:rPr>
        <w:t>La Junta Directiva comunicará mediante acuerdo, el resultado de la selección del ocupante del puesto de Gerente General a la Dirección de Recursos Humanos, y adjuntará la minuta con los resultados de las evaluaciones de las entrevistas.</w:t>
      </w:r>
    </w:p>
    <w:p w:rsidR="000F79CB" w:rsidRPr="00911ABE" w:rsidRDefault="000F79CB" w:rsidP="000F79CB">
      <w:pPr>
        <w:jc w:val="both"/>
        <w:rPr>
          <w:rFonts w:cs="Arial"/>
          <w:sz w:val="22"/>
          <w:szCs w:val="22"/>
          <w:lang w:val="es-CR"/>
        </w:rPr>
      </w:pPr>
    </w:p>
    <w:p w:rsidR="000F79CB" w:rsidRPr="000F79CB" w:rsidRDefault="000F79CB" w:rsidP="000F79CB">
      <w:pPr>
        <w:pStyle w:val="Ttulo2"/>
        <w:rPr>
          <w:rFonts w:cs="Arial"/>
          <w:i w:val="0"/>
          <w:szCs w:val="22"/>
        </w:rPr>
      </w:pPr>
      <w:r w:rsidRPr="000F79CB">
        <w:rPr>
          <w:rFonts w:cs="Arial"/>
          <w:i w:val="0"/>
          <w:szCs w:val="22"/>
        </w:rPr>
        <w:t xml:space="preserve">b.4 Fase de selección y nombramiento </w:t>
      </w:r>
    </w:p>
    <w:p w:rsidR="000F79CB" w:rsidRDefault="000F79CB" w:rsidP="000F79CB">
      <w:pPr>
        <w:jc w:val="both"/>
        <w:rPr>
          <w:rFonts w:cs="Arial"/>
          <w:sz w:val="22"/>
          <w:szCs w:val="22"/>
          <w:lang w:val="es-CR"/>
        </w:rPr>
      </w:pPr>
    </w:p>
    <w:p w:rsidR="000F79CB" w:rsidRDefault="000F79CB" w:rsidP="00C03F89">
      <w:pPr>
        <w:jc w:val="both"/>
        <w:rPr>
          <w:rFonts w:cs="Arial"/>
          <w:sz w:val="22"/>
          <w:szCs w:val="22"/>
        </w:rPr>
      </w:pPr>
      <w:r w:rsidRPr="00911ABE">
        <w:rPr>
          <w:rFonts w:cs="Arial"/>
          <w:sz w:val="22"/>
          <w:szCs w:val="22"/>
          <w:lang w:val="es-CR"/>
        </w:rPr>
        <w:t>La Junta Directiva tomará la decisión del nombramiento y lo comunicará a la DRH para su trámite.</w:t>
      </w:r>
      <w:r w:rsidRPr="00911ABE">
        <w:rPr>
          <w:rFonts w:cs="Arial"/>
          <w:sz w:val="22"/>
          <w:szCs w:val="22"/>
        </w:rPr>
        <w:t xml:space="preserve"> </w:t>
      </w:r>
    </w:p>
    <w:p w:rsidR="000F79CB" w:rsidRPr="00AB2826" w:rsidRDefault="000F79CB" w:rsidP="000F79C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0F79CB" w:rsidRPr="00D14EAF" w:rsidRDefault="000F79CB" w:rsidP="000F79CB">
      <w:pPr>
        <w:spacing w:line="360" w:lineRule="auto"/>
        <w:jc w:val="both"/>
        <w:rPr>
          <w:rFonts w:cs="Arial"/>
          <w:b/>
          <w:sz w:val="22"/>
        </w:rPr>
      </w:pPr>
      <w:r w:rsidRPr="00D14EAF">
        <w:rPr>
          <w:rFonts w:cs="Arial"/>
          <w:b/>
          <w:sz w:val="22"/>
        </w:rPr>
        <w:t>************</w:t>
      </w:r>
    </w:p>
    <w:p w:rsidR="000F79CB" w:rsidRDefault="000F79CB" w:rsidP="000F79CB">
      <w:pPr>
        <w:spacing w:line="360" w:lineRule="auto"/>
        <w:jc w:val="both"/>
        <w:rPr>
          <w:rFonts w:cs="Arial"/>
          <w:sz w:val="22"/>
          <w:szCs w:val="22"/>
        </w:rPr>
      </w:pPr>
    </w:p>
    <w:p w:rsidR="003B0A3C" w:rsidRDefault="003B0A3C" w:rsidP="00911ABE">
      <w:pPr>
        <w:tabs>
          <w:tab w:val="left" w:pos="1236"/>
        </w:tabs>
        <w:jc w:val="both"/>
        <w:rPr>
          <w:rFonts w:cs="Arial"/>
          <w:sz w:val="22"/>
          <w:szCs w:val="22"/>
          <w:lang w:val="es-CR"/>
        </w:rPr>
      </w:pPr>
    </w:p>
    <w:bookmarkEnd w:id="8"/>
    <w:p w:rsidR="002B71CC" w:rsidRPr="00AB2826" w:rsidRDefault="002B71CC" w:rsidP="00AB2826">
      <w:pPr>
        <w:spacing w:line="360" w:lineRule="auto"/>
        <w:jc w:val="both"/>
        <w:rPr>
          <w:rFonts w:cs="Arial"/>
          <w:sz w:val="22"/>
          <w:szCs w:val="22"/>
        </w:rPr>
      </w:pPr>
    </w:p>
    <w:sectPr w:rsidR="002B71CC" w:rsidRPr="00AB2826">
      <w:headerReference w:type="default" r:id="rId12"/>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BF" w:rsidRDefault="00B70CBF">
      <w:r>
        <w:separator/>
      </w:r>
    </w:p>
  </w:endnote>
  <w:endnote w:type="continuationSeparator" w:id="0">
    <w:p w:rsidR="00B70CBF" w:rsidRDefault="00B7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BF" w:rsidRDefault="00B70CBF">
      <w:r>
        <w:separator/>
      </w:r>
    </w:p>
  </w:footnote>
  <w:footnote w:type="continuationSeparator" w:id="0">
    <w:p w:rsidR="00B70CBF" w:rsidRDefault="00B70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B8" w:rsidRDefault="007E57B8">
    <w:pPr>
      <w:pStyle w:val="Encabezado"/>
      <w:rPr>
        <w:lang w:val="es-ES"/>
      </w:rPr>
    </w:pPr>
  </w:p>
  <w:p w:rsidR="007E57B8" w:rsidRDefault="007E57B8">
    <w:pPr>
      <w:pStyle w:val="Encabezado"/>
      <w:rPr>
        <w:rStyle w:val="Nmerodepgina"/>
        <w:sz w:val="18"/>
      </w:rPr>
    </w:pPr>
    <w:r>
      <w:rPr>
        <w:sz w:val="18"/>
        <w:lang w:val="es-ES"/>
      </w:rPr>
      <w:t xml:space="preserve">    Minuta de la sesión Nº 37-2019                   16 de mayo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6D23B1">
      <w:rPr>
        <w:rStyle w:val="Nmerodepgina"/>
        <w:noProof/>
        <w:sz w:val="18"/>
      </w:rPr>
      <w:t>2</w:t>
    </w:r>
    <w:r>
      <w:rPr>
        <w:rStyle w:val="Nmerodepgina"/>
        <w:sz w:val="18"/>
      </w:rPr>
      <w:fldChar w:fldCharType="end"/>
    </w:r>
  </w:p>
  <w:p w:rsidR="007E57B8" w:rsidRDefault="007E57B8">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4BF5247"/>
    <w:multiLevelType w:val="hybridMultilevel"/>
    <w:tmpl w:val="A600CF16"/>
    <w:lvl w:ilvl="0" w:tplc="6DACF46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563506A"/>
    <w:multiLevelType w:val="hybridMultilevel"/>
    <w:tmpl w:val="5AE8E888"/>
    <w:lvl w:ilvl="0" w:tplc="5D76127A">
      <w:start w:val="1"/>
      <w:numFmt w:val="bullet"/>
      <w:lvlText w:val=""/>
      <w:lvlJc w:val="left"/>
      <w:pPr>
        <w:ind w:left="1080" w:hanging="360"/>
      </w:pPr>
      <w:rPr>
        <w:rFonts w:ascii="Wingdings" w:hAnsi="Wingdings" w:hint="default"/>
        <w:sz w:val="24"/>
        <w:szCs w:val="24"/>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0D3270D9"/>
    <w:multiLevelType w:val="hybridMultilevel"/>
    <w:tmpl w:val="2F4CE2D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nsid w:val="1A113B1A"/>
    <w:multiLevelType w:val="hybridMultilevel"/>
    <w:tmpl w:val="BECAD61E"/>
    <w:lvl w:ilvl="0" w:tplc="52666B14">
      <w:start w:val="1"/>
      <w:numFmt w:val="lowerLetter"/>
      <w:lvlText w:val="%1."/>
      <w:lvlJc w:val="left"/>
      <w:pPr>
        <w:ind w:left="720" w:hanging="360"/>
      </w:pPr>
      <w:rPr>
        <w:rFonts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3A2177"/>
    <w:multiLevelType w:val="hybridMultilevel"/>
    <w:tmpl w:val="2C08BB3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8433FB3"/>
    <w:multiLevelType w:val="hybridMultilevel"/>
    <w:tmpl w:val="6B620B22"/>
    <w:lvl w:ilvl="0" w:tplc="5D76127A">
      <w:start w:val="1"/>
      <w:numFmt w:val="bullet"/>
      <w:lvlText w:val=""/>
      <w:lvlJc w:val="left"/>
      <w:pPr>
        <w:tabs>
          <w:tab w:val="num" w:pos="928"/>
        </w:tabs>
        <w:ind w:left="928" w:hanging="360"/>
      </w:pPr>
      <w:rPr>
        <w:rFonts w:ascii="Wingdings" w:hAnsi="Wingdings" w:hint="default"/>
        <w:sz w:val="24"/>
        <w:szCs w:val="24"/>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11">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5F045A1"/>
    <w:multiLevelType w:val="hybridMultilevel"/>
    <w:tmpl w:val="D65C0FBA"/>
    <w:lvl w:ilvl="0" w:tplc="96965EB8">
      <w:start w:val="1"/>
      <w:numFmt w:val="bullet"/>
      <w:lvlText w:val="-"/>
      <w:lvlJc w:val="left"/>
      <w:pPr>
        <w:tabs>
          <w:tab w:val="num" w:pos="720"/>
        </w:tabs>
        <w:ind w:left="720" w:hanging="360"/>
      </w:pPr>
      <w:rPr>
        <w:rFonts w:ascii="Times New Roman" w:hAnsi="Times New Roman" w:hint="default"/>
      </w:rPr>
    </w:lvl>
    <w:lvl w:ilvl="1" w:tplc="5156B7B2" w:tentative="1">
      <w:start w:val="1"/>
      <w:numFmt w:val="bullet"/>
      <w:lvlText w:val="-"/>
      <w:lvlJc w:val="left"/>
      <w:pPr>
        <w:tabs>
          <w:tab w:val="num" w:pos="1440"/>
        </w:tabs>
        <w:ind w:left="1440" w:hanging="360"/>
      </w:pPr>
      <w:rPr>
        <w:rFonts w:ascii="Times New Roman" w:hAnsi="Times New Roman" w:hint="default"/>
      </w:rPr>
    </w:lvl>
    <w:lvl w:ilvl="2" w:tplc="9C7CD450" w:tentative="1">
      <w:start w:val="1"/>
      <w:numFmt w:val="bullet"/>
      <w:lvlText w:val="-"/>
      <w:lvlJc w:val="left"/>
      <w:pPr>
        <w:tabs>
          <w:tab w:val="num" w:pos="2160"/>
        </w:tabs>
        <w:ind w:left="2160" w:hanging="360"/>
      </w:pPr>
      <w:rPr>
        <w:rFonts w:ascii="Times New Roman" w:hAnsi="Times New Roman" w:hint="default"/>
      </w:rPr>
    </w:lvl>
    <w:lvl w:ilvl="3" w:tplc="A87075AE" w:tentative="1">
      <w:start w:val="1"/>
      <w:numFmt w:val="bullet"/>
      <w:lvlText w:val="-"/>
      <w:lvlJc w:val="left"/>
      <w:pPr>
        <w:tabs>
          <w:tab w:val="num" w:pos="2880"/>
        </w:tabs>
        <w:ind w:left="2880" w:hanging="360"/>
      </w:pPr>
      <w:rPr>
        <w:rFonts w:ascii="Times New Roman" w:hAnsi="Times New Roman" w:hint="default"/>
      </w:rPr>
    </w:lvl>
    <w:lvl w:ilvl="4" w:tplc="104A60F6" w:tentative="1">
      <w:start w:val="1"/>
      <w:numFmt w:val="bullet"/>
      <w:lvlText w:val="-"/>
      <w:lvlJc w:val="left"/>
      <w:pPr>
        <w:tabs>
          <w:tab w:val="num" w:pos="3600"/>
        </w:tabs>
        <w:ind w:left="3600" w:hanging="360"/>
      </w:pPr>
      <w:rPr>
        <w:rFonts w:ascii="Times New Roman" w:hAnsi="Times New Roman" w:hint="default"/>
      </w:rPr>
    </w:lvl>
    <w:lvl w:ilvl="5" w:tplc="475C27C4" w:tentative="1">
      <w:start w:val="1"/>
      <w:numFmt w:val="bullet"/>
      <w:lvlText w:val="-"/>
      <w:lvlJc w:val="left"/>
      <w:pPr>
        <w:tabs>
          <w:tab w:val="num" w:pos="4320"/>
        </w:tabs>
        <w:ind w:left="4320" w:hanging="360"/>
      </w:pPr>
      <w:rPr>
        <w:rFonts w:ascii="Times New Roman" w:hAnsi="Times New Roman" w:hint="default"/>
      </w:rPr>
    </w:lvl>
    <w:lvl w:ilvl="6" w:tplc="D598D1C2" w:tentative="1">
      <w:start w:val="1"/>
      <w:numFmt w:val="bullet"/>
      <w:lvlText w:val="-"/>
      <w:lvlJc w:val="left"/>
      <w:pPr>
        <w:tabs>
          <w:tab w:val="num" w:pos="5040"/>
        </w:tabs>
        <w:ind w:left="5040" w:hanging="360"/>
      </w:pPr>
      <w:rPr>
        <w:rFonts w:ascii="Times New Roman" w:hAnsi="Times New Roman" w:hint="default"/>
      </w:rPr>
    </w:lvl>
    <w:lvl w:ilvl="7" w:tplc="7CD4337A" w:tentative="1">
      <w:start w:val="1"/>
      <w:numFmt w:val="bullet"/>
      <w:lvlText w:val="-"/>
      <w:lvlJc w:val="left"/>
      <w:pPr>
        <w:tabs>
          <w:tab w:val="num" w:pos="5760"/>
        </w:tabs>
        <w:ind w:left="5760" w:hanging="360"/>
      </w:pPr>
      <w:rPr>
        <w:rFonts w:ascii="Times New Roman" w:hAnsi="Times New Roman" w:hint="default"/>
      </w:rPr>
    </w:lvl>
    <w:lvl w:ilvl="8" w:tplc="2EAABAE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65B63EE"/>
    <w:multiLevelType w:val="hybridMultilevel"/>
    <w:tmpl w:val="E584B166"/>
    <w:lvl w:ilvl="0" w:tplc="14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81C1D08"/>
    <w:multiLevelType w:val="hybridMultilevel"/>
    <w:tmpl w:val="E85A422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9A57CF6"/>
    <w:multiLevelType w:val="hybridMultilevel"/>
    <w:tmpl w:val="69FC7086"/>
    <w:lvl w:ilvl="0" w:tplc="140A0001">
      <w:start w:val="1"/>
      <w:numFmt w:val="bullet"/>
      <w:lvlText w:val=""/>
      <w:lvlJc w:val="left"/>
      <w:pPr>
        <w:ind w:left="1712" w:hanging="360"/>
      </w:pPr>
      <w:rPr>
        <w:rFonts w:ascii="Symbol" w:hAnsi="Symbol" w:hint="default"/>
      </w:rPr>
    </w:lvl>
    <w:lvl w:ilvl="1" w:tplc="140A0003" w:tentative="1">
      <w:start w:val="1"/>
      <w:numFmt w:val="bullet"/>
      <w:lvlText w:val="o"/>
      <w:lvlJc w:val="left"/>
      <w:pPr>
        <w:ind w:left="2432" w:hanging="360"/>
      </w:pPr>
      <w:rPr>
        <w:rFonts w:ascii="Courier New" w:hAnsi="Courier New" w:cs="Courier New" w:hint="default"/>
      </w:rPr>
    </w:lvl>
    <w:lvl w:ilvl="2" w:tplc="140A0005" w:tentative="1">
      <w:start w:val="1"/>
      <w:numFmt w:val="bullet"/>
      <w:lvlText w:val=""/>
      <w:lvlJc w:val="left"/>
      <w:pPr>
        <w:ind w:left="3152" w:hanging="360"/>
      </w:pPr>
      <w:rPr>
        <w:rFonts w:ascii="Wingdings" w:hAnsi="Wingdings" w:hint="default"/>
      </w:rPr>
    </w:lvl>
    <w:lvl w:ilvl="3" w:tplc="140A0001" w:tentative="1">
      <w:start w:val="1"/>
      <w:numFmt w:val="bullet"/>
      <w:lvlText w:val=""/>
      <w:lvlJc w:val="left"/>
      <w:pPr>
        <w:ind w:left="3872" w:hanging="360"/>
      </w:pPr>
      <w:rPr>
        <w:rFonts w:ascii="Symbol" w:hAnsi="Symbol" w:hint="default"/>
      </w:rPr>
    </w:lvl>
    <w:lvl w:ilvl="4" w:tplc="140A0003" w:tentative="1">
      <w:start w:val="1"/>
      <w:numFmt w:val="bullet"/>
      <w:lvlText w:val="o"/>
      <w:lvlJc w:val="left"/>
      <w:pPr>
        <w:ind w:left="4592" w:hanging="360"/>
      </w:pPr>
      <w:rPr>
        <w:rFonts w:ascii="Courier New" w:hAnsi="Courier New" w:cs="Courier New" w:hint="default"/>
      </w:rPr>
    </w:lvl>
    <w:lvl w:ilvl="5" w:tplc="140A0005" w:tentative="1">
      <w:start w:val="1"/>
      <w:numFmt w:val="bullet"/>
      <w:lvlText w:val=""/>
      <w:lvlJc w:val="left"/>
      <w:pPr>
        <w:ind w:left="5312" w:hanging="360"/>
      </w:pPr>
      <w:rPr>
        <w:rFonts w:ascii="Wingdings" w:hAnsi="Wingdings" w:hint="default"/>
      </w:rPr>
    </w:lvl>
    <w:lvl w:ilvl="6" w:tplc="140A0001" w:tentative="1">
      <w:start w:val="1"/>
      <w:numFmt w:val="bullet"/>
      <w:lvlText w:val=""/>
      <w:lvlJc w:val="left"/>
      <w:pPr>
        <w:ind w:left="6032" w:hanging="360"/>
      </w:pPr>
      <w:rPr>
        <w:rFonts w:ascii="Symbol" w:hAnsi="Symbol" w:hint="default"/>
      </w:rPr>
    </w:lvl>
    <w:lvl w:ilvl="7" w:tplc="140A0003" w:tentative="1">
      <w:start w:val="1"/>
      <w:numFmt w:val="bullet"/>
      <w:lvlText w:val="o"/>
      <w:lvlJc w:val="left"/>
      <w:pPr>
        <w:ind w:left="6752" w:hanging="360"/>
      </w:pPr>
      <w:rPr>
        <w:rFonts w:ascii="Courier New" w:hAnsi="Courier New" w:cs="Courier New" w:hint="default"/>
      </w:rPr>
    </w:lvl>
    <w:lvl w:ilvl="8" w:tplc="140A0005" w:tentative="1">
      <w:start w:val="1"/>
      <w:numFmt w:val="bullet"/>
      <w:lvlText w:val=""/>
      <w:lvlJc w:val="left"/>
      <w:pPr>
        <w:ind w:left="7472" w:hanging="360"/>
      </w:pPr>
      <w:rPr>
        <w:rFonts w:ascii="Wingdings" w:hAnsi="Wingdings" w:hint="default"/>
      </w:rPr>
    </w:lvl>
  </w:abstractNum>
  <w:abstractNum w:abstractNumId="20">
    <w:nsid w:val="49E23388"/>
    <w:multiLevelType w:val="hybridMultilevel"/>
    <w:tmpl w:val="28C690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CAE0003"/>
    <w:multiLevelType w:val="hybridMultilevel"/>
    <w:tmpl w:val="A2703862"/>
    <w:lvl w:ilvl="0" w:tplc="C7244752">
      <w:start w:val="1"/>
      <w:numFmt w:val="decimal"/>
      <w:lvlText w:val="%1."/>
      <w:lvlJc w:val="left"/>
      <w:pPr>
        <w:ind w:left="360" w:hanging="360"/>
      </w:pPr>
      <w:rPr>
        <w:rFonts w:asciiTheme="minorHAnsi" w:hAnsiTheme="minorHAnsi"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nsid w:val="4D4505A4"/>
    <w:multiLevelType w:val="hybridMultilevel"/>
    <w:tmpl w:val="105A9D44"/>
    <w:lvl w:ilvl="0" w:tplc="140A0013">
      <w:start w:val="1"/>
      <w:numFmt w:val="upp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EF60A86"/>
    <w:multiLevelType w:val="hybridMultilevel"/>
    <w:tmpl w:val="D424FF48"/>
    <w:lvl w:ilvl="0" w:tplc="373C49E4">
      <w:start w:val="1"/>
      <w:numFmt w:val="lowerLetter"/>
      <w:lvlText w:val="%1."/>
      <w:lvlJc w:val="left"/>
      <w:pPr>
        <w:ind w:left="720" w:hanging="360"/>
      </w:pPr>
      <w:rPr>
        <w:rFonts w:hint="default"/>
        <w:b w:val="0"/>
        <w:i w:val="0"/>
        <w:caps w:val="0"/>
        <w:strike w:val="0"/>
        <w:dstrike w:val="0"/>
        <w:vanish w:val="0"/>
        <w:sz w:val="22"/>
        <w:vertAlign w:val="baseline"/>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535953DE"/>
    <w:multiLevelType w:val="hybridMultilevel"/>
    <w:tmpl w:val="7DD85D96"/>
    <w:lvl w:ilvl="0" w:tplc="96965EB8">
      <w:start w:val="1"/>
      <w:numFmt w:val="bullet"/>
      <w:lvlText w:val="-"/>
      <w:lvlJc w:val="left"/>
      <w:pPr>
        <w:tabs>
          <w:tab w:val="num" w:pos="720"/>
        </w:tabs>
        <w:ind w:left="720" w:hanging="360"/>
      </w:pPr>
      <w:rPr>
        <w:rFonts w:ascii="Times New Roman" w:hAnsi="Times New Roman" w:hint="default"/>
      </w:rPr>
    </w:lvl>
    <w:lvl w:ilvl="1" w:tplc="D6343A64" w:tentative="1">
      <w:start w:val="1"/>
      <w:numFmt w:val="bullet"/>
      <w:lvlText w:val="•"/>
      <w:lvlJc w:val="left"/>
      <w:pPr>
        <w:tabs>
          <w:tab w:val="num" w:pos="1440"/>
        </w:tabs>
        <w:ind w:left="1440" w:hanging="360"/>
      </w:pPr>
      <w:rPr>
        <w:rFonts w:ascii="Arial" w:hAnsi="Arial" w:hint="default"/>
      </w:rPr>
    </w:lvl>
    <w:lvl w:ilvl="2" w:tplc="8C6C995E" w:tentative="1">
      <w:start w:val="1"/>
      <w:numFmt w:val="bullet"/>
      <w:lvlText w:val="•"/>
      <w:lvlJc w:val="left"/>
      <w:pPr>
        <w:tabs>
          <w:tab w:val="num" w:pos="2160"/>
        </w:tabs>
        <w:ind w:left="2160" w:hanging="360"/>
      </w:pPr>
      <w:rPr>
        <w:rFonts w:ascii="Arial" w:hAnsi="Arial" w:hint="default"/>
      </w:rPr>
    </w:lvl>
    <w:lvl w:ilvl="3" w:tplc="47B6A0CC" w:tentative="1">
      <w:start w:val="1"/>
      <w:numFmt w:val="bullet"/>
      <w:lvlText w:val="•"/>
      <w:lvlJc w:val="left"/>
      <w:pPr>
        <w:tabs>
          <w:tab w:val="num" w:pos="2880"/>
        </w:tabs>
        <w:ind w:left="2880" w:hanging="360"/>
      </w:pPr>
      <w:rPr>
        <w:rFonts w:ascii="Arial" w:hAnsi="Arial" w:hint="default"/>
      </w:rPr>
    </w:lvl>
    <w:lvl w:ilvl="4" w:tplc="1B8C1890" w:tentative="1">
      <w:start w:val="1"/>
      <w:numFmt w:val="bullet"/>
      <w:lvlText w:val="•"/>
      <w:lvlJc w:val="left"/>
      <w:pPr>
        <w:tabs>
          <w:tab w:val="num" w:pos="3600"/>
        </w:tabs>
        <w:ind w:left="3600" w:hanging="360"/>
      </w:pPr>
      <w:rPr>
        <w:rFonts w:ascii="Arial" w:hAnsi="Arial" w:hint="default"/>
      </w:rPr>
    </w:lvl>
    <w:lvl w:ilvl="5" w:tplc="BF56C5D6" w:tentative="1">
      <w:start w:val="1"/>
      <w:numFmt w:val="bullet"/>
      <w:lvlText w:val="•"/>
      <w:lvlJc w:val="left"/>
      <w:pPr>
        <w:tabs>
          <w:tab w:val="num" w:pos="4320"/>
        </w:tabs>
        <w:ind w:left="4320" w:hanging="360"/>
      </w:pPr>
      <w:rPr>
        <w:rFonts w:ascii="Arial" w:hAnsi="Arial" w:hint="default"/>
      </w:rPr>
    </w:lvl>
    <w:lvl w:ilvl="6" w:tplc="574697DA" w:tentative="1">
      <w:start w:val="1"/>
      <w:numFmt w:val="bullet"/>
      <w:lvlText w:val="•"/>
      <w:lvlJc w:val="left"/>
      <w:pPr>
        <w:tabs>
          <w:tab w:val="num" w:pos="5040"/>
        </w:tabs>
        <w:ind w:left="5040" w:hanging="360"/>
      </w:pPr>
      <w:rPr>
        <w:rFonts w:ascii="Arial" w:hAnsi="Arial" w:hint="default"/>
      </w:rPr>
    </w:lvl>
    <w:lvl w:ilvl="7" w:tplc="03BCBF92" w:tentative="1">
      <w:start w:val="1"/>
      <w:numFmt w:val="bullet"/>
      <w:lvlText w:val="•"/>
      <w:lvlJc w:val="left"/>
      <w:pPr>
        <w:tabs>
          <w:tab w:val="num" w:pos="5760"/>
        </w:tabs>
        <w:ind w:left="5760" w:hanging="360"/>
      </w:pPr>
      <w:rPr>
        <w:rFonts w:ascii="Arial" w:hAnsi="Arial" w:hint="default"/>
      </w:rPr>
    </w:lvl>
    <w:lvl w:ilvl="8" w:tplc="C9648924" w:tentative="1">
      <w:start w:val="1"/>
      <w:numFmt w:val="bullet"/>
      <w:lvlText w:val="•"/>
      <w:lvlJc w:val="left"/>
      <w:pPr>
        <w:tabs>
          <w:tab w:val="num" w:pos="6480"/>
        </w:tabs>
        <w:ind w:left="6480" w:hanging="360"/>
      </w:pPr>
      <w:rPr>
        <w:rFonts w:ascii="Arial" w:hAnsi="Arial" w:hint="default"/>
      </w:rPr>
    </w:lvl>
  </w:abstractNum>
  <w:abstractNum w:abstractNumId="26">
    <w:nsid w:val="54C12EFE"/>
    <w:multiLevelType w:val="hybridMultilevel"/>
    <w:tmpl w:val="1F2C46F8"/>
    <w:lvl w:ilvl="0" w:tplc="1FC2A588">
      <w:start w:val="1"/>
      <w:numFmt w:val="bullet"/>
      <w:lvlText w:val="•"/>
      <w:lvlJc w:val="left"/>
      <w:pPr>
        <w:tabs>
          <w:tab w:val="num" w:pos="720"/>
        </w:tabs>
        <w:ind w:left="720" w:hanging="360"/>
      </w:pPr>
      <w:rPr>
        <w:rFonts w:ascii="Arial" w:hAnsi="Arial" w:hint="default"/>
      </w:rPr>
    </w:lvl>
    <w:lvl w:ilvl="1" w:tplc="D6343A64" w:tentative="1">
      <w:start w:val="1"/>
      <w:numFmt w:val="bullet"/>
      <w:lvlText w:val="•"/>
      <w:lvlJc w:val="left"/>
      <w:pPr>
        <w:tabs>
          <w:tab w:val="num" w:pos="1440"/>
        </w:tabs>
        <w:ind w:left="1440" w:hanging="360"/>
      </w:pPr>
      <w:rPr>
        <w:rFonts w:ascii="Arial" w:hAnsi="Arial" w:hint="default"/>
      </w:rPr>
    </w:lvl>
    <w:lvl w:ilvl="2" w:tplc="8C6C995E" w:tentative="1">
      <w:start w:val="1"/>
      <w:numFmt w:val="bullet"/>
      <w:lvlText w:val="•"/>
      <w:lvlJc w:val="left"/>
      <w:pPr>
        <w:tabs>
          <w:tab w:val="num" w:pos="2160"/>
        </w:tabs>
        <w:ind w:left="2160" w:hanging="360"/>
      </w:pPr>
      <w:rPr>
        <w:rFonts w:ascii="Arial" w:hAnsi="Arial" w:hint="default"/>
      </w:rPr>
    </w:lvl>
    <w:lvl w:ilvl="3" w:tplc="47B6A0CC" w:tentative="1">
      <w:start w:val="1"/>
      <w:numFmt w:val="bullet"/>
      <w:lvlText w:val="•"/>
      <w:lvlJc w:val="left"/>
      <w:pPr>
        <w:tabs>
          <w:tab w:val="num" w:pos="2880"/>
        </w:tabs>
        <w:ind w:left="2880" w:hanging="360"/>
      </w:pPr>
      <w:rPr>
        <w:rFonts w:ascii="Arial" w:hAnsi="Arial" w:hint="default"/>
      </w:rPr>
    </w:lvl>
    <w:lvl w:ilvl="4" w:tplc="1B8C1890" w:tentative="1">
      <w:start w:val="1"/>
      <w:numFmt w:val="bullet"/>
      <w:lvlText w:val="•"/>
      <w:lvlJc w:val="left"/>
      <w:pPr>
        <w:tabs>
          <w:tab w:val="num" w:pos="3600"/>
        </w:tabs>
        <w:ind w:left="3600" w:hanging="360"/>
      </w:pPr>
      <w:rPr>
        <w:rFonts w:ascii="Arial" w:hAnsi="Arial" w:hint="default"/>
      </w:rPr>
    </w:lvl>
    <w:lvl w:ilvl="5" w:tplc="BF56C5D6" w:tentative="1">
      <w:start w:val="1"/>
      <w:numFmt w:val="bullet"/>
      <w:lvlText w:val="•"/>
      <w:lvlJc w:val="left"/>
      <w:pPr>
        <w:tabs>
          <w:tab w:val="num" w:pos="4320"/>
        </w:tabs>
        <w:ind w:left="4320" w:hanging="360"/>
      </w:pPr>
      <w:rPr>
        <w:rFonts w:ascii="Arial" w:hAnsi="Arial" w:hint="default"/>
      </w:rPr>
    </w:lvl>
    <w:lvl w:ilvl="6" w:tplc="574697DA" w:tentative="1">
      <w:start w:val="1"/>
      <w:numFmt w:val="bullet"/>
      <w:lvlText w:val="•"/>
      <w:lvlJc w:val="left"/>
      <w:pPr>
        <w:tabs>
          <w:tab w:val="num" w:pos="5040"/>
        </w:tabs>
        <w:ind w:left="5040" w:hanging="360"/>
      </w:pPr>
      <w:rPr>
        <w:rFonts w:ascii="Arial" w:hAnsi="Arial" w:hint="default"/>
      </w:rPr>
    </w:lvl>
    <w:lvl w:ilvl="7" w:tplc="03BCBF92" w:tentative="1">
      <w:start w:val="1"/>
      <w:numFmt w:val="bullet"/>
      <w:lvlText w:val="•"/>
      <w:lvlJc w:val="left"/>
      <w:pPr>
        <w:tabs>
          <w:tab w:val="num" w:pos="5760"/>
        </w:tabs>
        <w:ind w:left="5760" w:hanging="360"/>
      </w:pPr>
      <w:rPr>
        <w:rFonts w:ascii="Arial" w:hAnsi="Arial" w:hint="default"/>
      </w:rPr>
    </w:lvl>
    <w:lvl w:ilvl="8" w:tplc="C9648924" w:tentative="1">
      <w:start w:val="1"/>
      <w:numFmt w:val="bullet"/>
      <w:lvlText w:val="•"/>
      <w:lvlJc w:val="left"/>
      <w:pPr>
        <w:tabs>
          <w:tab w:val="num" w:pos="6480"/>
        </w:tabs>
        <w:ind w:left="6480" w:hanging="360"/>
      </w:pPr>
      <w:rPr>
        <w:rFonts w:ascii="Arial" w:hAnsi="Arial" w:hint="default"/>
      </w:rPr>
    </w:lvl>
  </w:abstractNum>
  <w:abstractNum w:abstractNumId="27">
    <w:nsid w:val="55AA2A11"/>
    <w:multiLevelType w:val="hybridMultilevel"/>
    <w:tmpl w:val="19366E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0F12B0"/>
    <w:multiLevelType w:val="hybridMultilevel"/>
    <w:tmpl w:val="61CC28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C1D1980"/>
    <w:multiLevelType w:val="hybridMultilevel"/>
    <w:tmpl w:val="EE5027AE"/>
    <w:lvl w:ilvl="0" w:tplc="140A000D">
      <w:start w:val="1"/>
      <w:numFmt w:val="bullet"/>
      <w:lvlText w:val=""/>
      <w:lvlJc w:val="left"/>
      <w:pPr>
        <w:tabs>
          <w:tab w:val="num" w:pos="720"/>
        </w:tabs>
        <w:ind w:left="720" w:hanging="360"/>
      </w:pPr>
      <w:rPr>
        <w:rFonts w:ascii="Wingdings" w:hAnsi="Wingdings" w:hint="default"/>
      </w:rPr>
    </w:lvl>
    <w:lvl w:ilvl="1" w:tplc="D6343A64" w:tentative="1">
      <w:start w:val="1"/>
      <w:numFmt w:val="bullet"/>
      <w:lvlText w:val="•"/>
      <w:lvlJc w:val="left"/>
      <w:pPr>
        <w:tabs>
          <w:tab w:val="num" w:pos="1440"/>
        </w:tabs>
        <w:ind w:left="1440" w:hanging="360"/>
      </w:pPr>
      <w:rPr>
        <w:rFonts w:ascii="Arial" w:hAnsi="Arial" w:hint="default"/>
      </w:rPr>
    </w:lvl>
    <w:lvl w:ilvl="2" w:tplc="8C6C995E" w:tentative="1">
      <w:start w:val="1"/>
      <w:numFmt w:val="bullet"/>
      <w:lvlText w:val="•"/>
      <w:lvlJc w:val="left"/>
      <w:pPr>
        <w:tabs>
          <w:tab w:val="num" w:pos="2160"/>
        </w:tabs>
        <w:ind w:left="2160" w:hanging="360"/>
      </w:pPr>
      <w:rPr>
        <w:rFonts w:ascii="Arial" w:hAnsi="Arial" w:hint="default"/>
      </w:rPr>
    </w:lvl>
    <w:lvl w:ilvl="3" w:tplc="47B6A0CC" w:tentative="1">
      <w:start w:val="1"/>
      <w:numFmt w:val="bullet"/>
      <w:lvlText w:val="•"/>
      <w:lvlJc w:val="left"/>
      <w:pPr>
        <w:tabs>
          <w:tab w:val="num" w:pos="2880"/>
        </w:tabs>
        <w:ind w:left="2880" w:hanging="360"/>
      </w:pPr>
      <w:rPr>
        <w:rFonts w:ascii="Arial" w:hAnsi="Arial" w:hint="default"/>
      </w:rPr>
    </w:lvl>
    <w:lvl w:ilvl="4" w:tplc="1B8C1890" w:tentative="1">
      <w:start w:val="1"/>
      <w:numFmt w:val="bullet"/>
      <w:lvlText w:val="•"/>
      <w:lvlJc w:val="left"/>
      <w:pPr>
        <w:tabs>
          <w:tab w:val="num" w:pos="3600"/>
        </w:tabs>
        <w:ind w:left="3600" w:hanging="360"/>
      </w:pPr>
      <w:rPr>
        <w:rFonts w:ascii="Arial" w:hAnsi="Arial" w:hint="default"/>
      </w:rPr>
    </w:lvl>
    <w:lvl w:ilvl="5" w:tplc="BF56C5D6" w:tentative="1">
      <w:start w:val="1"/>
      <w:numFmt w:val="bullet"/>
      <w:lvlText w:val="•"/>
      <w:lvlJc w:val="left"/>
      <w:pPr>
        <w:tabs>
          <w:tab w:val="num" w:pos="4320"/>
        </w:tabs>
        <w:ind w:left="4320" w:hanging="360"/>
      </w:pPr>
      <w:rPr>
        <w:rFonts w:ascii="Arial" w:hAnsi="Arial" w:hint="default"/>
      </w:rPr>
    </w:lvl>
    <w:lvl w:ilvl="6" w:tplc="574697DA" w:tentative="1">
      <w:start w:val="1"/>
      <w:numFmt w:val="bullet"/>
      <w:lvlText w:val="•"/>
      <w:lvlJc w:val="left"/>
      <w:pPr>
        <w:tabs>
          <w:tab w:val="num" w:pos="5040"/>
        </w:tabs>
        <w:ind w:left="5040" w:hanging="360"/>
      </w:pPr>
      <w:rPr>
        <w:rFonts w:ascii="Arial" w:hAnsi="Arial" w:hint="default"/>
      </w:rPr>
    </w:lvl>
    <w:lvl w:ilvl="7" w:tplc="03BCBF92" w:tentative="1">
      <w:start w:val="1"/>
      <w:numFmt w:val="bullet"/>
      <w:lvlText w:val="•"/>
      <w:lvlJc w:val="left"/>
      <w:pPr>
        <w:tabs>
          <w:tab w:val="num" w:pos="5760"/>
        </w:tabs>
        <w:ind w:left="5760" w:hanging="360"/>
      </w:pPr>
      <w:rPr>
        <w:rFonts w:ascii="Arial" w:hAnsi="Arial" w:hint="default"/>
      </w:rPr>
    </w:lvl>
    <w:lvl w:ilvl="8" w:tplc="C9648924" w:tentative="1">
      <w:start w:val="1"/>
      <w:numFmt w:val="bullet"/>
      <w:lvlText w:val="•"/>
      <w:lvlJc w:val="left"/>
      <w:pPr>
        <w:tabs>
          <w:tab w:val="num" w:pos="6480"/>
        </w:tabs>
        <w:ind w:left="6480" w:hanging="360"/>
      </w:pPr>
      <w:rPr>
        <w:rFonts w:ascii="Arial" w:hAnsi="Arial" w:hint="default"/>
      </w:rPr>
    </w:lvl>
  </w:abstractNum>
  <w:abstractNum w:abstractNumId="32">
    <w:nsid w:val="61CD4CC9"/>
    <w:multiLevelType w:val="hybridMultilevel"/>
    <w:tmpl w:val="EC503E50"/>
    <w:lvl w:ilvl="0" w:tplc="0C0A0017">
      <w:start w:val="1"/>
      <w:numFmt w:val="lowerLetter"/>
      <w:lvlText w:val="%1)"/>
      <w:lvlJc w:val="left"/>
      <w:pPr>
        <w:ind w:left="720" w:hanging="360"/>
      </w:pPr>
    </w:lvl>
    <w:lvl w:ilvl="1" w:tplc="140A001B">
      <w:start w:val="1"/>
      <w:numFmt w:val="lowerRoman"/>
      <w:lvlText w:val="%2."/>
      <w:lvlJc w:val="right"/>
      <w:pPr>
        <w:ind w:left="1440" w:hanging="360"/>
      </w:pPr>
    </w:lvl>
    <w:lvl w:ilvl="2" w:tplc="140A001B">
      <w:start w:val="1"/>
      <w:numFmt w:val="lowerRoman"/>
      <w:lvlText w:val="%3."/>
      <w:lvlJc w:val="right"/>
      <w:pPr>
        <w:ind w:left="2160" w:hanging="180"/>
      </w:pPr>
      <w:rPr>
        <w:rFonts w:hint="default"/>
      </w:rPr>
    </w:lvl>
    <w:lvl w:ilvl="3" w:tplc="14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BB264C5"/>
    <w:multiLevelType w:val="hybridMultilevel"/>
    <w:tmpl w:val="93AA6DB6"/>
    <w:lvl w:ilvl="0" w:tplc="3ED83FD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1"/>
  </w:num>
  <w:num w:numId="5">
    <w:abstractNumId w:val="0"/>
  </w:num>
  <w:num w:numId="6">
    <w:abstractNumId w:val="28"/>
  </w:num>
  <w:num w:numId="7">
    <w:abstractNumId w:val="36"/>
  </w:num>
  <w:num w:numId="8">
    <w:abstractNumId w:val="13"/>
  </w:num>
  <w:num w:numId="9">
    <w:abstractNumId w:val="11"/>
  </w:num>
  <w:num w:numId="10">
    <w:abstractNumId w:val="6"/>
  </w:num>
  <w:num w:numId="11">
    <w:abstractNumId w:val="8"/>
  </w:num>
  <w:num w:numId="12">
    <w:abstractNumId w:val="37"/>
  </w:num>
  <w:num w:numId="13">
    <w:abstractNumId w:val="35"/>
  </w:num>
  <w:num w:numId="14">
    <w:abstractNumId w:val="33"/>
  </w:num>
  <w:num w:numId="15">
    <w:abstractNumId w:val="14"/>
  </w:num>
  <w:num w:numId="16">
    <w:abstractNumId w:val="30"/>
  </w:num>
  <w:num w:numId="17">
    <w:abstractNumId w:val="23"/>
  </w:num>
  <w:num w:numId="18">
    <w:abstractNumId w:val="18"/>
  </w:num>
  <w:num w:numId="19">
    <w:abstractNumId w:val="34"/>
  </w:num>
  <w:num w:numId="20">
    <w:abstractNumId w:val="10"/>
  </w:num>
  <w:num w:numId="21">
    <w:abstractNumId w:val="4"/>
  </w:num>
  <w:num w:numId="22">
    <w:abstractNumId w:val="27"/>
  </w:num>
  <w:num w:numId="23">
    <w:abstractNumId w:val="21"/>
  </w:num>
  <w:num w:numId="24">
    <w:abstractNumId w:val="5"/>
  </w:num>
  <w:num w:numId="25">
    <w:abstractNumId w:val="9"/>
  </w:num>
  <w:num w:numId="26">
    <w:abstractNumId w:val="16"/>
  </w:num>
  <w:num w:numId="27">
    <w:abstractNumId w:val="32"/>
  </w:num>
  <w:num w:numId="28">
    <w:abstractNumId w:val="24"/>
  </w:num>
  <w:num w:numId="29">
    <w:abstractNumId w:val="29"/>
  </w:num>
  <w:num w:numId="30">
    <w:abstractNumId w:val="19"/>
  </w:num>
  <w:num w:numId="31">
    <w:abstractNumId w:val="15"/>
  </w:num>
  <w:num w:numId="32">
    <w:abstractNumId w:val="26"/>
  </w:num>
  <w:num w:numId="33">
    <w:abstractNumId w:val="3"/>
  </w:num>
  <w:num w:numId="34">
    <w:abstractNumId w:val="7"/>
  </w:num>
  <w:num w:numId="35">
    <w:abstractNumId w:val="22"/>
  </w:num>
  <w:num w:numId="36">
    <w:abstractNumId w:val="20"/>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73ZIGO6RNMufGDEUov2aNnj0PG8=" w:salt="5xkaQIiTkH3kLjcmCNN5g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0A"/>
    <w:rsid w:val="0000085A"/>
    <w:rsid w:val="00011DC1"/>
    <w:rsid w:val="0001401F"/>
    <w:rsid w:val="000202A8"/>
    <w:rsid w:val="00026011"/>
    <w:rsid w:val="00026DCA"/>
    <w:rsid w:val="00027E78"/>
    <w:rsid w:val="00032E9A"/>
    <w:rsid w:val="0003318B"/>
    <w:rsid w:val="000334C4"/>
    <w:rsid w:val="00036A8B"/>
    <w:rsid w:val="0004356C"/>
    <w:rsid w:val="00053A32"/>
    <w:rsid w:val="000547A2"/>
    <w:rsid w:val="00057B1E"/>
    <w:rsid w:val="000660A7"/>
    <w:rsid w:val="00067B32"/>
    <w:rsid w:val="00073E12"/>
    <w:rsid w:val="00076A47"/>
    <w:rsid w:val="000813C8"/>
    <w:rsid w:val="00081BB0"/>
    <w:rsid w:val="00085DF1"/>
    <w:rsid w:val="0009389D"/>
    <w:rsid w:val="000A6259"/>
    <w:rsid w:val="000B0F7B"/>
    <w:rsid w:val="000B66EE"/>
    <w:rsid w:val="000C4D3A"/>
    <w:rsid w:val="000C4E35"/>
    <w:rsid w:val="000C5661"/>
    <w:rsid w:val="000D1FA0"/>
    <w:rsid w:val="000E3E64"/>
    <w:rsid w:val="000F5F31"/>
    <w:rsid w:val="000F6A90"/>
    <w:rsid w:val="000F79CB"/>
    <w:rsid w:val="00105CCE"/>
    <w:rsid w:val="00111A2A"/>
    <w:rsid w:val="0011401E"/>
    <w:rsid w:val="001147C3"/>
    <w:rsid w:val="00117CA6"/>
    <w:rsid w:val="00117E78"/>
    <w:rsid w:val="001227FE"/>
    <w:rsid w:val="001424F7"/>
    <w:rsid w:val="001447F7"/>
    <w:rsid w:val="00154E36"/>
    <w:rsid w:val="00156E6A"/>
    <w:rsid w:val="00174DAD"/>
    <w:rsid w:val="00183234"/>
    <w:rsid w:val="0018634C"/>
    <w:rsid w:val="001871BB"/>
    <w:rsid w:val="001909BE"/>
    <w:rsid w:val="00193B2D"/>
    <w:rsid w:val="00196DD0"/>
    <w:rsid w:val="001A3908"/>
    <w:rsid w:val="001B6D7C"/>
    <w:rsid w:val="001B703A"/>
    <w:rsid w:val="001C3F1B"/>
    <w:rsid w:val="001D7E23"/>
    <w:rsid w:val="001E5C67"/>
    <w:rsid w:val="001F277B"/>
    <w:rsid w:val="001F3BDD"/>
    <w:rsid w:val="001F7D2C"/>
    <w:rsid w:val="00202441"/>
    <w:rsid w:val="002026DC"/>
    <w:rsid w:val="00204086"/>
    <w:rsid w:val="002106BF"/>
    <w:rsid w:val="00210B7F"/>
    <w:rsid w:val="00211185"/>
    <w:rsid w:val="00213FA6"/>
    <w:rsid w:val="00214849"/>
    <w:rsid w:val="002163C7"/>
    <w:rsid w:val="00216F5A"/>
    <w:rsid w:val="00227825"/>
    <w:rsid w:val="00236CA9"/>
    <w:rsid w:val="00237191"/>
    <w:rsid w:val="00240946"/>
    <w:rsid w:val="00243275"/>
    <w:rsid w:val="00243461"/>
    <w:rsid w:val="00253CA2"/>
    <w:rsid w:val="00253D8D"/>
    <w:rsid w:val="00260325"/>
    <w:rsid w:val="00261C88"/>
    <w:rsid w:val="00263381"/>
    <w:rsid w:val="00270B9C"/>
    <w:rsid w:val="00271A9D"/>
    <w:rsid w:val="00273438"/>
    <w:rsid w:val="002736F3"/>
    <w:rsid w:val="00273AB5"/>
    <w:rsid w:val="00273B68"/>
    <w:rsid w:val="002751C8"/>
    <w:rsid w:val="00277DD3"/>
    <w:rsid w:val="00282C93"/>
    <w:rsid w:val="0028301A"/>
    <w:rsid w:val="002848DF"/>
    <w:rsid w:val="0028757E"/>
    <w:rsid w:val="00295DFB"/>
    <w:rsid w:val="002A3D48"/>
    <w:rsid w:val="002A51F3"/>
    <w:rsid w:val="002A6A4B"/>
    <w:rsid w:val="002B094F"/>
    <w:rsid w:val="002B2EC7"/>
    <w:rsid w:val="002B71CC"/>
    <w:rsid w:val="002D0146"/>
    <w:rsid w:val="002D158A"/>
    <w:rsid w:val="002D5825"/>
    <w:rsid w:val="002D6083"/>
    <w:rsid w:val="002E1BAC"/>
    <w:rsid w:val="002E299D"/>
    <w:rsid w:val="002F1554"/>
    <w:rsid w:val="002F3D41"/>
    <w:rsid w:val="003004E7"/>
    <w:rsid w:val="0030131C"/>
    <w:rsid w:val="00304560"/>
    <w:rsid w:val="00304F5B"/>
    <w:rsid w:val="003154B6"/>
    <w:rsid w:val="003156CD"/>
    <w:rsid w:val="00317B31"/>
    <w:rsid w:val="00320F35"/>
    <w:rsid w:val="00320F9C"/>
    <w:rsid w:val="00335993"/>
    <w:rsid w:val="00337E6E"/>
    <w:rsid w:val="003417BB"/>
    <w:rsid w:val="00343CAA"/>
    <w:rsid w:val="00345E78"/>
    <w:rsid w:val="00346C2F"/>
    <w:rsid w:val="003473D2"/>
    <w:rsid w:val="00352AFB"/>
    <w:rsid w:val="00353979"/>
    <w:rsid w:val="0036340B"/>
    <w:rsid w:val="00366CD4"/>
    <w:rsid w:val="00366D10"/>
    <w:rsid w:val="00367B23"/>
    <w:rsid w:val="00371341"/>
    <w:rsid w:val="00373725"/>
    <w:rsid w:val="00373B50"/>
    <w:rsid w:val="00374710"/>
    <w:rsid w:val="003803AB"/>
    <w:rsid w:val="00380645"/>
    <w:rsid w:val="003853CD"/>
    <w:rsid w:val="00386AA9"/>
    <w:rsid w:val="00393604"/>
    <w:rsid w:val="00394831"/>
    <w:rsid w:val="003A01B1"/>
    <w:rsid w:val="003A4E5A"/>
    <w:rsid w:val="003A5204"/>
    <w:rsid w:val="003A70CE"/>
    <w:rsid w:val="003B0676"/>
    <w:rsid w:val="003B09E7"/>
    <w:rsid w:val="003B0A3C"/>
    <w:rsid w:val="003B1738"/>
    <w:rsid w:val="003B20EA"/>
    <w:rsid w:val="003C2219"/>
    <w:rsid w:val="003C2C65"/>
    <w:rsid w:val="003C6FEB"/>
    <w:rsid w:val="003E3CE4"/>
    <w:rsid w:val="00400EFA"/>
    <w:rsid w:val="004076EF"/>
    <w:rsid w:val="00407CC4"/>
    <w:rsid w:val="00416829"/>
    <w:rsid w:val="00421BEA"/>
    <w:rsid w:val="004228E2"/>
    <w:rsid w:val="00426508"/>
    <w:rsid w:val="00432126"/>
    <w:rsid w:val="00445673"/>
    <w:rsid w:val="004548DD"/>
    <w:rsid w:val="004755F8"/>
    <w:rsid w:val="0047593B"/>
    <w:rsid w:val="0048086A"/>
    <w:rsid w:val="0048251D"/>
    <w:rsid w:val="0048746C"/>
    <w:rsid w:val="004930AA"/>
    <w:rsid w:val="00496B93"/>
    <w:rsid w:val="00497711"/>
    <w:rsid w:val="004A45B3"/>
    <w:rsid w:val="004A4990"/>
    <w:rsid w:val="004A4A60"/>
    <w:rsid w:val="004B373F"/>
    <w:rsid w:val="004B58F8"/>
    <w:rsid w:val="004B7456"/>
    <w:rsid w:val="004C5B22"/>
    <w:rsid w:val="004C68F1"/>
    <w:rsid w:val="004C724E"/>
    <w:rsid w:val="004D53D9"/>
    <w:rsid w:val="004E10F9"/>
    <w:rsid w:val="004E1777"/>
    <w:rsid w:val="004E3389"/>
    <w:rsid w:val="004E4F0F"/>
    <w:rsid w:val="004E5105"/>
    <w:rsid w:val="004E5D21"/>
    <w:rsid w:val="005011AD"/>
    <w:rsid w:val="00513B4F"/>
    <w:rsid w:val="0051427C"/>
    <w:rsid w:val="00527223"/>
    <w:rsid w:val="00531B93"/>
    <w:rsid w:val="0053223A"/>
    <w:rsid w:val="00536D82"/>
    <w:rsid w:val="00540E43"/>
    <w:rsid w:val="005459D0"/>
    <w:rsid w:val="005504E6"/>
    <w:rsid w:val="00551915"/>
    <w:rsid w:val="0055694E"/>
    <w:rsid w:val="00557DB0"/>
    <w:rsid w:val="005703C1"/>
    <w:rsid w:val="00574511"/>
    <w:rsid w:val="0057519A"/>
    <w:rsid w:val="0058176C"/>
    <w:rsid w:val="00585347"/>
    <w:rsid w:val="00592ED5"/>
    <w:rsid w:val="00595395"/>
    <w:rsid w:val="0059625B"/>
    <w:rsid w:val="00596AB4"/>
    <w:rsid w:val="005A32C2"/>
    <w:rsid w:val="005B0D83"/>
    <w:rsid w:val="005B45E6"/>
    <w:rsid w:val="005B67A2"/>
    <w:rsid w:val="005B6ADD"/>
    <w:rsid w:val="005C18D2"/>
    <w:rsid w:val="005C6147"/>
    <w:rsid w:val="005C7937"/>
    <w:rsid w:val="005E179E"/>
    <w:rsid w:val="005E2F32"/>
    <w:rsid w:val="005E47B9"/>
    <w:rsid w:val="005E5F58"/>
    <w:rsid w:val="005E7559"/>
    <w:rsid w:val="005F2F8B"/>
    <w:rsid w:val="00615FBF"/>
    <w:rsid w:val="00616400"/>
    <w:rsid w:val="00623D36"/>
    <w:rsid w:val="006264D4"/>
    <w:rsid w:val="006321F4"/>
    <w:rsid w:val="00646C5C"/>
    <w:rsid w:val="0065199A"/>
    <w:rsid w:val="0066494B"/>
    <w:rsid w:val="00664A50"/>
    <w:rsid w:val="0066756A"/>
    <w:rsid w:val="006763B4"/>
    <w:rsid w:val="00681878"/>
    <w:rsid w:val="0068335F"/>
    <w:rsid w:val="00683504"/>
    <w:rsid w:val="00684581"/>
    <w:rsid w:val="006A474B"/>
    <w:rsid w:val="006A779D"/>
    <w:rsid w:val="006B7846"/>
    <w:rsid w:val="006C0086"/>
    <w:rsid w:val="006C1542"/>
    <w:rsid w:val="006C1D3B"/>
    <w:rsid w:val="006C1F07"/>
    <w:rsid w:val="006C772C"/>
    <w:rsid w:val="006D23B1"/>
    <w:rsid w:val="006D5482"/>
    <w:rsid w:val="006E31FB"/>
    <w:rsid w:val="006E7C0F"/>
    <w:rsid w:val="006F7DB3"/>
    <w:rsid w:val="00701050"/>
    <w:rsid w:val="007062BD"/>
    <w:rsid w:val="00711E6C"/>
    <w:rsid w:val="00720C7B"/>
    <w:rsid w:val="00723211"/>
    <w:rsid w:val="00731599"/>
    <w:rsid w:val="00735384"/>
    <w:rsid w:val="0073697E"/>
    <w:rsid w:val="00736AB7"/>
    <w:rsid w:val="00737234"/>
    <w:rsid w:val="00741A1A"/>
    <w:rsid w:val="007421A0"/>
    <w:rsid w:val="00751002"/>
    <w:rsid w:val="007605D2"/>
    <w:rsid w:val="00765327"/>
    <w:rsid w:val="007666C5"/>
    <w:rsid w:val="00774008"/>
    <w:rsid w:val="00774716"/>
    <w:rsid w:val="007749FC"/>
    <w:rsid w:val="00791F34"/>
    <w:rsid w:val="00797660"/>
    <w:rsid w:val="007A350A"/>
    <w:rsid w:val="007A7E17"/>
    <w:rsid w:val="007B2EB9"/>
    <w:rsid w:val="007B5EDF"/>
    <w:rsid w:val="007B7C3D"/>
    <w:rsid w:val="007C2929"/>
    <w:rsid w:val="007C3229"/>
    <w:rsid w:val="007C4096"/>
    <w:rsid w:val="007D6EF8"/>
    <w:rsid w:val="007E31DD"/>
    <w:rsid w:val="007E57B8"/>
    <w:rsid w:val="007E7290"/>
    <w:rsid w:val="007F614F"/>
    <w:rsid w:val="007F66D6"/>
    <w:rsid w:val="008110AA"/>
    <w:rsid w:val="00811427"/>
    <w:rsid w:val="00825856"/>
    <w:rsid w:val="00830EC7"/>
    <w:rsid w:val="008343A2"/>
    <w:rsid w:val="00834957"/>
    <w:rsid w:val="00834A2F"/>
    <w:rsid w:val="008451C1"/>
    <w:rsid w:val="00846281"/>
    <w:rsid w:val="00846BB3"/>
    <w:rsid w:val="00851373"/>
    <w:rsid w:val="00854DE9"/>
    <w:rsid w:val="00870163"/>
    <w:rsid w:val="00881011"/>
    <w:rsid w:val="00895A5D"/>
    <w:rsid w:val="00896BC6"/>
    <w:rsid w:val="008B169A"/>
    <w:rsid w:val="008B5E4F"/>
    <w:rsid w:val="008C7477"/>
    <w:rsid w:val="008D35D8"/>
    <w:rsid w:val="008D6E0F"/>
    <w:rsid w:val="008E51A1"/>
    <w:rsid w:val="008F38A8"/>
    <w:rsid w:val="008F3E15"/>
    <w:rsid w:val="008F6C96"/>
    <w:rsid w:val="008F7002"/>
    <w:rsid w:val="008F7FF9"/>
    <w:rsid w:val="00911ABE"/>
    <w:rsid w:val="00911F06"/>
    <w:rsid w:val="00926F91"/>
    <w:rsid w:val="00940420"/>
    <w:rsid w:val="00941F9A"/>
    <w:rsid w:val="0095472E"/>
    <w:rsid w:val="009669CF"/>
    <w:rsid w:val="00966A3A"/>
    <w:rsid w:val="0097417E"/>
    <w:rsid w:val="0097435C"/>
    <w:rsid w:val="00976180"/>
    <w:rsid w:val="00986348"/>
    <w:rsid w:val="0098750C"/>
    <w:rsid w:val="00992156"/>
    <w:rsid w:val="00993CF8"/>
    <w:rsid w:val="00996517"/>
    <w:rsid w:val="009A3A89"/>
    <w:rsid w:val="009B741E"/>
    <w:rsid w:val="009C11C0"/>
    <w:rsid w:val="009D03FE"/>
    <w:rsid w:val="009D5B97"/>
    <w:rsid w:val="009D70A8"/>
    <w:rsid w:val="009D78B0"/>
    <w:rsid w:val="009E1B07"/>
    <w:rsid w:val="009F2788"/>
    <w:rsid w:val="009F62A9"/>
    <w:rsid w:val="00A16E90"/>
    <w:rsid w:val="00A20EED"/>
    <w:rsid w:val="00A210E6"/>
    <w:rsid w:val="00A3146D"/>
    <w:rsid w:val="00A330FA"/>
    <w:rsid w:val="00A536DE"/>
    <w:rsid w:val="00A537E7"/>
    <w:rsid w:val="00A53E98"/>
    <w:rsid w:val="00A57ECD"/>
    <w:rsid w:val="00A70655"/>
    <w:rsid w:val="00A70A82"/>
    <w:rsid w:val="00A73DC5"/>
    <w:rsid w:val="00A775DD"/>
    <w:rsid w:val="00A837EB"/>
    <w:rsid w:val="00A91E76"/>
    <w:rsid w:val="00A9789B"/>
    <w:rsid w:val="00AA4E2A"/>
    <w:rsid w:val="00AB15C1"/>
    <w:rsid w:val="00AB1E41"/>
    <w:rsid w:val="00AB2826"/>
    <w:rsid w:val="00AB4B39"/>
    <w:rsid w:val="00AC3581"/>
    <w:rsid w:val="00AC7207"/>
    <w:rsid w:val="00AD4F06"/>
    <w:rsid w:val="00AE7AB3"/>
    <w:rsid w:val="00AF4C49"/>
    <w:rsid w:val="00B00832"/>
    <w:rsid w:val="00B019A0"/>
    <w:rsid w:val="00B05DD4"/>
    <w:rsid w:val="00B13449"/>
    <w:rsid w:val="00B2152C"/>
    <w:rsid w:val="00B34414"/>
    <w:rsid w:val="00B3640B"/>
    <w:rsid w:val="00B36CE6"/>
    <w:rsid w:val="00B501C1"/>
    <w:rsid w:val="00B538EE"/>
    <w:rsid w:val="00B54DC0"/>
    <w:rsid w:val="00B5583C"/>
    <w:rsid w:val="00B56E45"/>
    <w:rsid w:val="00B56F87"/>
    <w:rsid w:val="00B64449"/>
    <w:rsid w:val="00B66D8C"/>
    <w:rsid w:val="00B703C3"/>
    <w:rsid w:val="00B70CBF"/>
    <w:rsid w:val="00B72D4A"/>
    <w:rsid w:val="00B73C83"/>
    <w:rsid w:val="00B82643"/>
    <w:rsid w:val="00B83BCF"/>
    <w:rsid w:val="00B919F4"/>
    <w:rsid w:val="00B9507B"/>
    <w:rsid w:val="00BA173D"/>
    <w:rsid w:val="00BA3517"/>
    <w:rsid w:val="00BA3C35"/>
    <w:rsid w:val="00BA58F6"/>
    <w:rsid w:val="00BA7805"/>
    <w:rsid w:val="00BB034D"/>
    <w:rsid w:val="00BC1E08"/>
    <w:rsid w:val="00BC3F68"/>
    <w:rsid w:val="00BC6ABD"/>
    <w:rsid w:val="00BD072E"/>
    <w:rsid w:val="00BD11AC"/>
    <w:rsid w:val="00BE0F52"/>
    <w:rsid w:val="00BE452A"/>
    <w:rsid w:val="00BF046A"/>
    <w:rsid w:val="00BF0C80"/>
    <w:rsid w:val="00BF124E"/>
    <w:rsid w:val="00C0084E"/>
    <w:rsid w:val="00C01425"/>
    <w:rsid w:val="00C03F89"/>
    <w:rsid w:val="00C12152"/>
    <w:rsid w:val="00C12E24"/>
    <w:rsid w:val="00C308C3"/>
    <w:rsid w:val="00C36F84"/>
    <w:rsid w:val="00C42332"/>
    <w:rsid w:val="00C4730D"/>
    <w:rsid w:val="00C47A8A"/>
    <w:rsid w:val="00C50AAF"/>
    <w:rsid w:val="00C676D8"/>
    <w:rsid w:val="00C80186"/>
    <w:rsid w:val="00C80B39"/>
    <w:rsid w:val="00C95440"/>
    <w:rsid w:val="00CA3661"/>
    <w:rsid w:val="00CA42F6"/>
    <w:rsid w:val="00CC0A79"/>
    <w:rsid w:val="00CC60FC"/>
    <w:rsid w:val="00CC7940"/>
    <w:rsid w:val="00CD7A02"/>
    <w:rsid w:val="00CE6396"/>
    <w:rsid w:val="00CF0E50"/>
    <w:rsid w:val="00CF4BE9"/>
    <w:rsid w:val="00D034AB"/>
    <w:rsid w:val="00D04DE9"/>
    <w:rsid w:val="00D13B6B"/>
    <w:rsid w:val="00D22B80"/>
    <w:rsid w:val="00D27BF6"/>
    <w:rsid w:val="00D330C4"/>
    <w:rsid w:val="00D35784"/>
    <w:rsid w:val="00D35E1B"/>
    <w:rsid w:val="00D37592"/>
    <w:rsid w:val="00D461D1"/>
    <w:rsid w:val="00D50820"/>
    <w:rsid w:val="00D509A7"/>
    <w:rsid w:val="00D54758"/>
    <w:rsid w:val="00D55B96"/>
    <w:rsid w:val="00D60482"/>
    <w:rsid w:val="00D606D2"/>
    <w:rsid w:val="00D61F89"/>
    <w:rsid w:val="00D70452"/>
    <w:rsid w:val="00D72C3B"/>
    <w:rsid w:val="00DA156E"/>
    <w:rsid w:val="00DA4C56"/>
    <w:rsid w:val="00DB0A28"/>
    <w:rsid w:val="00DB38FB"/>
    <w:rsid w:val="00DC32CD"/>
    <w:rsid w:val="00DD3732"/>
    <w:rsid w:val="00DE0BBA"/>
    <w:rsid w:val="00DE4992"/>
    <w:rsid w:val="00DE7715"/>
    <w:rsid w:val="00DE7AC3"/>
    <w:rsid w:val="00E0071B"/>
    <w:rsid w:val="00E106C9"/>
    <w:rsid w:val="00E2143B"/>
    <w:rsid w:val="00E31F79"/>
    <w:rsid w:val="00E32EFB"/>
    <w:rsid w:val="00E406E7"/>
    <w:rsid w:val="00E524D1"/>
    <w:rsid w:val="00E6222D"/>
    <w:rsid w:val="00E63068"/>
    <w:rsid w:val="00E63BC8"/>
    <w:rsid w:val="00E646C7"/>
    <w:rsid w:val="00E65DB5"/>
    <w:rsid w:val="00E76C46"/>
    <w:rsid w:val="00E77C7C"/>
    <w:rsid w:val="00E8788A"/>
    <w:rsid w:val="00E979D2"/>
    <w:rsid w:val="00EA53B9"/>
    <w:rsid w:val="00EB0DC0"/>
    <w:rsid w:val="00EB6796"/>
    <w:rsid w:val="00EC02B6"/>
    <w:rsid w:val="00EC6324"/>
    <w:rsid w:val="00EC74DF"/>
    <w:rsid w:val="00EC7E01"/>
    <w:rsid w:val="00EE139E"/>
    <w:rsid w:val="00EE228C"/>
    <w:rsid w:val="00EE4383"/>
    <w:rsid w:val="00EE491C"/>
    <w:rsid w:val="00EF3D84"/>
    <w:rsid w:val="00F00FF1"/>
    <w:rsid w:val="00F01BFD"/>
    <w:rsid w:val="00F0538D"/>
    <w:rsid w:val="00F155D9"/>
    <w:rsid w:val="00F16E81"/>
    <w:rsid w:val="00F30531"/>
    <w:rsid w:val="00F31891"/>
    <w:rsid w:val="00F32B8D"/>
    <w:rsid w:val="00F343EA"/>
    <w:rsid w:val="00F357CB"/>
    <w:rsid w:val="00F42278"/>
    <w:rsid w:val="00F541D9"/>
    <w:rsid w:val="00F83C00"/>
    <w:rsid w:val="00F9130B"/>
    <w:rsid w:val="00F97718"/>
    <w:rsid w:val="00FA1809"/>
    <w:rsid w:val="00FA1C4A"/>
    <w:rsid w:val="00FA2104"/>
    <w:rsid w:val="00FA4CCB"/>
    <w:rsid w:val="00FB47EE"/>
    <w:rsid w:val="00FC10D8"/>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8E51A1"/>
    <w:pPr>
      <w:spacing w:after="160" w:line="240" w:lineRule="exact"/>
    </w:pPr>
    <w:rPr>
      <w:sz w:val="20"/>
      <w:szCs w:val="20"/>
      <w:lang w:val="en-US" w:eastAsia="en-US"/>
    </w:rPr>
  </w:style>
  <w:style w:type="character" w:customStyle="1" w:styleId="EncabezadoCar">
    <w:name w:val="Encabezado Car"/>
    <w:basedOn w:val="Fuentedeprrafopredeter"/>
    <w:link w:val="Encabezado"/>
    <w:rsid w:val="00911ABE"/>
    <w:rPr>
      <w:rFonts w:ascii="Arial" w:hAnsi="Arial"/>
      <w:sz w:val="22"/>
      <w:lang w:eastAsia="es-ES"/>
    </w:rPr>
  </w:style>
  <w:style w:type="character" w:customStyle="1" w:styleId="PiedepginaCar">
    <w:name w:val="Pie de página Car"/>
    <w:basedOn w:val="Fuentedeprrafopredeter"/>
    <w:link w:val="Piedepgina"/>
    <w:uiPriority w:val="99"/>
    <w:rsid w:val="00911ABE"/>
    <w:rPr>
      <w:rFonts w:ascii="Arial" w:hAnsi="Arial"/>
      <w:sz w:val="24"/>
      <w:szCs w:val="24"/>
      <w:lang w:val="es-ES" w:eastAsia="es-ES"/>
    </w:rPr>
  </w:style>
  <w:style w:type="character" w:styleId="Hipervnculo">
    <w:name w:val="Hyperlink"/>
    <w:uiPriority w:val="99"/>
    <w:unhideWhenUsed/>
    <w:rsid w:val="00911ABE"/>
    <w:rPr>
      <w:color w:val="0000FF"/>
      <w:u w:val="single"/>
    </w:rPr>
  </w:style>
  <w:style w:type="paragraph" w:customStyle="1" w:styleId="TtuloTDC1">
    <w:name w:val="Título TDC1"/>
    <w:aliases w:val="TOC Heading"/>
    <w:basedOn w:val="Ttulo1"/>
    <w:next w:val="Normal"/>
    <w:uiPriority w:val="39"/>
    <w:unhideWhenUsed/>
    <w:qFormat/>
    <w:rsid w:val="00911ABE"/>
    <w:pPr>
      <w:keepLines/>
      <w:spacing w:before="480" w:line="276" w:lineRule="auto"/>
      <w:ind w:right="0"/>
      <w:jc w:val="both"/>
      <w:outlineLvl w:val="9"/>
    </w:pPr>
    <w:rPr>
      <w:rFonts w:ascii="Cambria" w:hAnsi="Cambria"/>
      <w:bCs/>
      <w:color w:val="365F91"/>
      <w:sz w:val="28"/>
      <w:szCs w:val="28"/>
      <w:u w:val="none"/>
      <w:lang w:val="es-CR" w:eastAsia="es-CR"/>
    </w:rPr>
  </w:style>
  <w:style w:type="paragraph" w:styleId="TDC2">
    <w:name w:val="toc 2"/>
    <w:basedOn w:val="Normal"/>
    <w:next w:val="Normal"/>
    <w:autoRedefine/>
    <w:uiPriority w:val="39"/>
    <w:unhideWhenUsed/>
    <w:qFormat/>
    <w:rsid w:val="00911ABE"/>
    <w:pPr>
      <w:tabs>
        <w:tab w:val="left" w:pos="660"/>
        <w:tab w:val="right" w:leader="dot" w:pos="8505"/>
      </w:tabs>
      <w:spacing w:after="100" w:line="480" w:lineRule="auto"/>
      <w:ind w:left="221" w:right="299"/>
      <w:jc w:val="both"/>
    </w:pPr>
    <w:rPr>
      <w:rFonts w:ascii="Calibri" w:hAnsi="Calibri"/>
      <w:sz w:val="22"/>
      <w:szCs w:val="22"/>
      <w:lang w:val="es-CR" w:eastAsia="es-CR"/>
    </w:rPr>
  </w:style>
  <w:style w:type="paragraph" w:styleId="TDC1">
    <w:name w:val="toc 1"/>
    <w:basedOn w:val="Normal"/>
    <w:next w:val="Normal"/>
    <w:autoRedefine/>
    <w:uiPriority w:val="39"/>
    <w:unhideWhenUsed/>
    <w:qFormat/>
    <w:rsid w:val="00911ABE"/>
    <w:pPr>
      <w:tabs>
        <w:tab w:val="left" w:pos="440"/>
        <w:tab w:val="right" w:leader="dot" w:pos="8505"/>
      </w:tabs>
      <w:spacing w:after="100" w:line="480" w:lineRule="auto"/>
      <w:ind w:right="299"/>
      <w:jc w:val="both"/>
    </w:pPr>
    <w:rPr>
      <w:rFonts w:ascii="Calibri" w:hAnsi="Calibri"/>
      <w:sz w:val="22"/>
      <w:szCs w:val="22"/>
      <w:lang w:val="es-CR" w:eastAsia="es-CR"/>
    </w:rPr>
  </w:style>
  <w:style w:type="character" w:customStyle="1" w:styleId="PrrafodelistaCar">
    <w:name w:val="Párrafo de lista Car"/>
    <w:link w:val="Prrafodelista"/>
    <w:uiPriority w:val="34"/>
    <w:locked/>
    <w:rsid w:val="00911ABE"/>
    <w:rPr>
      <w:rFonts w:ascii="Arial" w:hAnsi="Arial"/>
      <w:sz w:val="24"/>
      <w:szCs w:val="24"/>
      <w:lang w:val="es-ES" w:eastAsia="es-ES"/>
    </w:rPr>
  </w:style>
  <w:style w:type="table" w:customStyle="1" w:styleId="Tablaconcuadrcula5oscura-nfasis11">
    <w:name w:val="Tabla con cuadrícula 5 oscura - Énfasis 11"/>
    <w:basedOn w:val="Tablanormal"/>
    <w:uiPriority w:val="50"/>
    <w:rsid w:val="00911ABE"/>
    <w:rPr>
      <w:rFonts w:ascii="Calibri" w:eastAsia="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extodeglobo">
    <w:name w:val="Balloon Text"/>
    <w:basedOn w:val="Normal"/>
    <w:link w:val="TextodegloboCar"/>
    <w:uiPriority w:val="99"/>
    <w:semiHidden/>
    <w:unhideWhenUsed/>
    <w:rsid w:val="003B09E7"/>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9E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8E51A1"/>
    <w:pPr>
      <w:spacing w:after="160" w:line="240" w:lineRule="exact"/>
    </w:pPr>
    <w:rPr>
      <w:sz w:val="20"/>
      <w:szCs w:val="20"/>
      <w:lang w:val="en-US" w:eastAsia="en-US"/>
    </w:rPr>
  </w:style>
  <w:style w:type="character" w:customStyle="1" w:styleId="EncabezadoCar">
    <w:name w:val="Encabezado Car"/>
    <w:basedOn w:val="Fuentedeprrafopredeter"/>
    <w:link w:val="Encabezado"/>
    <w:rsid w:val="00911ABE"/>
    <w:rPr>
      <w:rFonts w:ascii="Arial" w:hAnsi="Arial"/>
      <w:sz w:val="22"/>
      <w:lang w:eastAsia="es-ES"/>
    </w:rPr>
  </w:style>
  <w:style w:type="character" w:customStyle="1" w:styleId="PiedepginaCar">
    <w:name w:val="Pie de página Car"/>
    <w:basedOn w:val="Fuentedeprrafopredeter"/>
    <w:link w:val="Piedepgina"/>
    <w:uiPriority w:val="99"/>
    <w:rsid w:val="00911ABE"/>
    <w:rPr>
      <w:rFonts w:ascii="Arial" w:hAnsi="Arial"/>
      <w:sz w:val="24"/>
      <w:szCs w:val="24"/>
      <w:lang w:val="es-ES" w:eastAsia="es-ES"/>
    </w:rPr>
  </w:style>
  <w:style w:type="character" w:styleId="Hipervnculo">
    <w:name w:val="Hyperlink"/>
    <w:uiPriority w:val="99"/>
    <w:unhideWhenUsed/>
    <w:rsid w:val="00911ABE"/>
    <w:rPr>
      <w:color w:val="0000FF"/>
      <w:u w:val="single"/>
    </w:rPr>
  </w:style>
  <w:style w:type="paragraph" w:customStyle="1" w:styleId="TtuloTDC1">
    <w:name w:val="Título TDC1"/>
    <w:aliases w:val="TOC Heading"/>
    <w:basedOn w:val="Ttulo1"/>
    <w:next w:val="Normal"/>
    <w:uiPriority w:val="39"/>
    <w:unhideWhenUsed/>
    <w:qFormat/>
    <w:rsid w:val="00911ABE"/>
    <w:pPr>
      <w:keepLines/>
      <w:spacing w:before="480" w:line="276" w:lineRule="auto"/>
      <w:ind w:right="0"/>
      <w:jc w:val="both"/>
      <w:outlineLvl w:val="9"/>
    </w:pPr>
    <w:rPr>
      <w:rFonts w:ascii="Cambria" w:hAnsi="Cambria"/>
      <w:bCs/>
      <w:color w:val="365F91"/>
      <w:sz w:val="28"/>
      <w:szCs w:val="28"/>
      <w:u w:val="none"/>
      <w:lang w:val="es-CR" w:eastAsia="es-CR"/>
    </w:rPr>
  </w:style>
  <w:style w:type="paragraph" w:styleId="TDC2">
    <w:name w:val="toc 2"/>
    <w:basedOn w:val="Normal"/>
    <w:next w:val="Normal"/>
    <w:autoRedefine/>
    <w:uiPriority w:val="39"/>
    <w:unhideWhenUsed/>
    <w:qFormat/>
    <w:rsid w:val="00911ABE"/>
    <w:pPr>
      <w:tabs>
        <w:tab w:val="left" w:pos="660"/>
        <w:tab w:val="right" w:leader="dot" w:pos="8505"/>
      </w:tabs>
      <w:spacing w:after="100" w:line="480" w:lineRule="auto"/>
      <w:ind w:left="221" w:right="299"/>
      <w:jc w:val="both"/>
    </w:pPr>
    <w:rPr>
      <w:rFonts w:ascii="Calibri" w:hAnsi="Calibri"/>
      <w:sz w:val="22"/>
      <w:szCs w:val="22"/>
      <w:lang w:val="es-CR" w:eastAsia="es-CR"/>
    </w:rPr>
  </w:style>
  <w:style w:type="paragraph" w:styleId="TDC1">
    <w:name w:val="toc 1"/>
    <w:basedOn w:val="Normal"/>
    <w:next w:val="Normal"/>
    <w:autoRedefine/>
    <w:uiPriority w:val="39"/>
    <w:unhideWhenUsed/>
    <w:qFormat/>
    <w:rsid w:val="00911ABE"/>
    <w:pPr>
      <w:tabs>
        <w:tab w:val="left" w:pos="440"/>
        <w:tab w:val="right" w:leader="dot" w:pos="8505"/>
      </w:tabs>
      <w:spacing w:after="100" w:line="480" w:lineRule="auto"/>
      <w:ind w:right="299"/>
      <w:jc w:val="both"/>
    </w:pPr>
    <w:rPr>
      <w:rFonts w:ascii="Calibri" w:hAnsi="Calibri"/>
      <w:sz w:val="22"/>
      <w:szCs w:val="22"/>
      <w:lang w:val="es-CR" w:eastAsia="es-CR"/>
    </w:rPr>
  </w:style>
  <w:style w:type="character" w:customStyle="1" w:styleId="PrrafodelistaCar">
    <w:name w:val="Párrafo de lista Car"/>
    <w:link w:val="Prrafodelista"/>
    <w:uiPriority w:val="34"/>
    <w:locked/>
    <w:rsid w:val="00911ABE"/>
    <w:rPr>
      <w:rFonts w:ascii="Arial" w:hAnsi="Arial"/>
      <w:sz w:val="24"/>
      <w:szCs w:val="24"/>
      <w:lang w:val="es-ES" w:eastAsia="es-ES"/>
    </w:rPr>
  </w:style>
  <w:style w:type="table" w:customStyle="1" w:styleId="Tablaconcuadrcula5oscura-nfasis11">
    <w:name w:val="Tabla con cuadrícula 5 oscura - Énfasis 11"/>
    <w:basedOn w:val="Tablanormal"/>
    <w:uiPriority w:val="50"/>
    <w:rsid w:val="00911ABE"/>
    <w:rPr>
      <w:rFonts w:ascii="Calibri" w:eastAsia="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extodeglobo">
    <w:name w:val="Balloon Text"/>
    <w:basedOn w:val="Normal"/>
    <w:link w:val="TextodegloboCar"/>
    <w:uiPriority w:val="99"/>
    <w:semiHidden/>
    <w:unhideWhenUsed/>
    <w:rsid w:val="003B09E7"/>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9E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lloaci@aresep.go.cr" TargetMode="External"/><Relationship Id="rId5" Type="http://schemas.openxmlformats.org/officeDocument/2006/relationships/webSettings" Target="webSettings.xml"/><Relationship Id="rId10" Type="http://schemas.openxmlformats.org/officeDocument/2006/relationships/hyperlink" Target="https://xxx"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15</TotalTime>
  <Pages>30</Pages>
  <Words>9834</Words>
  <Characters>53886</Characters>
  <Application>Microsoft Office Word</Application>
  <DocSecurity>8</DocSecurity>
  <Lines>449</Lines>
  <Paragraphs>127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20</cp:revision>
  <cp:lastPrinted>2011-09-07T16:03:00Z</cp:lastPrinted>
  <dcterms:created xsi:type="dcterms:W3CDTF">2019-05-28T15:06:00Z</dcterms:created>
  <dcterms:modified xsi:type="dcterms:W3CDTF">2019-05-28T15:23:00Z</dcterms:modified>
</cp:coreProperties>
</file>