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873F8">
        <w:rPr>
          <w:rFonts w:cs="Arial"/>
          <w:b/>
          <w:sz w:val="22"/>
          <w:u w:val="single"/>
        </w:rPr>
        <w:t>EXTRA</w:t>
      </w:r>
      <w:r w:rsidR="00FA4CCB">
        <w:rPr>
          <w:rFonts w:cs="Arial"/>
          <w:b/>
          <w:sz w:val="22"/>
          <w:u w:val="single"/>
        </w:rPr>
        <w:t xml:space="preserve">ORDINARIA </w:t>
      </w:r>
      <w:r>
        <w:rPr>
          <w:rFonts w:cs="Arial"/>
          <w:b/>
          <w:sz w:val="22"/>
          <w:u w:val="single"/>
        </w:rPr>
        <w:t xml:space="preserve">N° </w:t>
      </w:r>
      <w:r w:rsidR="00A3479B">
        <w:rPr>
          <w:rFonts w:cs="Arial"/>
          <w:b/>
          <w:sz w:val="22"/>
          <w:u w:val="single"/>
        </w:rPr>
        <w:t>02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3479B">
        <w:rPr>
          <w:rFonts w:cs="Arial"/>
          <w:b/>
          <w:sz w:val="22"/>
          <w:u w:val="single"/>
        </w:rPr>
        <w:t>10</w:t>
      </w:r>
      <w:r>
        <w:rPr>
          <w:rFonts w:cs="Arial"/>
          <w:b/>
          <w:sz w:val="22"/>
          <w:u w:val="single"/>
        </w:rPr>
        <w:t xml:space="preserve"> DE </w:t>
      </w:r>
      <w:r w:rsidR="00A3479B">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216B12">
        <w:rPr>
          <w:rFonts w:cs="Arial"/>
          <w:sz w:val="22"/>
        </w:rPr>
        <w:t xml:space="preserve"> y</w:t>
      </w:r>
      <w:r w:rsidR="00A536DE">
        <w:rPr>
          <w:rFonts w:cs="Arial"/>
          <w:sz w:val="22"/>
        </w:rPr>
        <w:t xml:space="preserve"> Eloísa Ulibarri Pernús</w:t>
      </w:r>
      <w:r w:rsidR="00373B50">
        <w:rPr>
          <w:rFonts w:cs="Arial"/>
          <w:sz w:val="22"/>
        </w:rPr>
        <w:t>.</w:t>
      </w:r>
      <w:r w:rsidR="00216B12" w:rsidRPr="00216B12">
        <w:rPr>
          <w:rFonts w:cs="Arial"/>
          <w:sz w:val="22"/>
        </w:rPr>
        <w:t xml:space="preserve"> </w:t>
      </w:r>
      <w:r w:rsidR="00216B12">
        <w:rPr>
          <w:rFonts w:cs="Arial"/>
          <w:sz w:val="22"/>
        </w:rPr>
        <w:t>El Director Jorge Carranza González, se incorpora a la sesión en el minuto 01:00.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Asisten también los siguientes funcionarios:</w:t>
      </w:r>
      <w:r w:rsidR="00DB38FB">
        <w:rPr>
          <w:rFonts w:cs="Arial"/>
          <w:sz w:val="22"/>
        </w:rPr>
        <w:t xml:space="preserve"> </w:t>
      </w:r>
      <w:r w:rsidR="000547A2">
        <w:rPr>
          <w:rFonts w:cs="Arial"/>
          <w:sz w:val="22"/>
        </w:rPr>
        <w:t xml:space="preserve">Alexander Sandoval Loría, Subgerente Financiero; </w:t>
      </w:r>
      <w:r w:rsidR="00BF0C80">
        <w:rPr>
          <w:rFonts w:cs="Arial"/>
          <w:sz w:val="22"/>
        </w:rPr>
        <w:t xml:space="preserve">Larry Alvarado Ajún, Subgerente de Operaciones; </w:t>
      </w:r>
      <w:r w:rsidR="00CF5A56">
        <w:rPr>
          <w:rFonts w:cs="Arial"/>
          <w:sz w:val="22"/>
        </w:rPr>
        <w:t xml:space="preserve">Zaida Agüero Salazar, </w:t>
      </w:r>
      <w:r w:rsidR="001227FE">
        <w:rPr>
          <w:rFonts w:cs="Arial"/>
          <w:sz w:val="22"/>
          <w:szCs w:val="22"/>
        </w:rPr>
        <w:t>Auditor</w:t>
      </w:r>
      <w:r w:rsidR="00CF5A56">
        <w:rPr>
          <w:rFonts w:cs="Arial"/>
          <w:sz w:val="22"/>
          <w:szCs w:val="22"/>
        </w:rPr>
        <w:t>a</w:t>
      </w:r>
      <w:r w:rsidR="001227FE">
        <w:rPr>
          <w:rFonts w:cs="Arial"/>
          <w:sz w:val="22"/>
          <w:szCs w:val="22"/>
        </w:rPr>
        <w:t xml:space="preserve"> Intern</w:t>
      </w:r>
      <w:r w:rsidR="00CF5A56">
        <w:rPr>
          <w:rFonts w:cs="Arial"/>
          <w:sz w:val="22"/>
          <w:szCs w:val="22"/>
        </w:rPr>
        <w:t xml:space="preserve">a </w:t>
      </w:r>
      <w:proofErr w:type="spellStart"/>
      <w:r w:rsidR="00CF5A56">
        <w:rPr>
          <w:rFonts w:cs="Arial"/>
          <w:sz w:val="22"/>
          <w:szCs w:val="22"/>
        </w:rPr>
        <w:t>a.i.</w:t>
      </w:r>
      <w:proofErr w:type="spellEnd"/>
      <w:r>
        <w:rPr>
          <w:rFonts w:cs="Arial"/>
          <w:sz w:val="22"/>
        </w:rPr>
        <w:t>; y David López Pacheco, Secretario de Junta</w:t>
      </w:r>
      <w:bookmarkStart w:id="0" w:name="_GoBack"/>
      <w:bookmarkEnd w:id="0"/>
      <w:r>
        <w:rPr>
          <w:rFonts w:cs="Arial"/>
          <w:sz w:val="22"/>
        </w:rPr>
        <w:t xml:space="preserve"> Directiva.</w:t>
      </w:r>
      <w:r w:rsidR="005662C5" w:rsidRPr="005662C5">
        <w:rPr>
          <w:rFonts w:cs="Arial"/>
          <w:sz w:val="22"/>
        </w:rPr>
        <w:t xml:space="preserve"> </w:t>
      </w:r>
      <w:r w:rsidR="005662C5">
        <w:rPr>
          <w:rFonts w:cs="Arial"/>
          <w:sz w:val="22"/>
        </w:rPr>
        <w:t>Rodolfo Mora Villalobos, Asesor Legal, se incorpora a la sesión en el minuto 02:30.</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A3479B">
        <w:rPr>
          <w:rFonts w:cs="Arial"/>
          <w:sz w:val="22"/>
        </w:rPr>
        <w:t>s</w:t>
      </w:r>
      <w:r>
        <w:rPr>
          <w:rFonts w:cs="Arial"/>
          <w:sz w:val="22"/>
        </w:rPr>
        <w:t xml:space="preserve"> con justificación:</w:t>
      </w:r>
      <w:r w:rsidR="00CF5A56" w:rsidRPr="00090EEB">
        <w:rPr>
          <w:rFonts w:cs="Arial"/>
          <w:sz w:val="22"/>
        </w:rPr>
        <w:t xml:space="preserve"> </w:t>
      </w:r>
      <w:r w:rsidR="00CF5A56">
        <w:rPr>
          <w:rFonts w:cs="Arial"/>
          <w:sz w:val="22"/>
        </w:rPr>
        <w:t xml:space="preserve">Luis Ángel Montoya Mora, Gerente General; y Gustavo Flores Oviedo, </w:t>
      </w:r>
      <w:r w:rsidR="00CF5A56">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7749FC" w:rsidRDefault="00FA4CCB" w:rsidP="0066494B">
      <w:pPr>
        <w:spacing w:line="360" w:lineRule="auto"/>
        <w:jc w:val="both"/>
        <w:rPr>
          <w:rFonts w:cs="Arial"/>
          <w:sz w:val="22"/>
        </w:rPr>
      </w:pPr>
      <w:r>
        <w:rPr>
          <w:rFonts w:cs="Arial"/>
          <w:sz w:val="22"/>
        </w:rPr>
        <w:t>La Junta Directiva conoce los siguientes asuntos en la presente sesión:</w:t>
      </w:r>
    </w:p>
    <w:p w:rsidR="001A14EB" w:rsidRPr="0070568B" w:rsidRDefault="001A14EB" w:rsidP="0070568B">
      <w:pPr>
        <w:pStyle w:val="Prrafodelista"/>
        <w:numPr>
          <w:ilvl w:val="0"/>
          <w:numId w:val="18"/>
        </w:numPr>
        <w:spacing w:line="360" w:lineRule="auto"/>
        <w:ind w:left="426" w:hanging="426"/>
        <w:jc w:val="both"/>
        <w:rPr>
          <w:rFonts w:cs="Arial"/>
          <w:sz w:val="22"/>
          <w:lang w:val="es-ES_tradnl"/>
        </w:rPr>
      </w:pPr>
      <w:r w:rsidRPr="0070568B">
        <w:rPr>
          <w:rFonts w:cs="Arial"/>
          <w:sz w:val="22"/>
          <w:lang w:val="es-ES_tradnl"/>
        </w:rPr>
        <w:t>Propuesta de guía para el estudio legal de las solicitudes de financiamiento con recursos del Fondo de Subsidios para la Vivienda</w:t>
      </w:r>
      <w:r w:rsidRPr="0070568B">
        <w:rPr>
          <w:rFonts w:cs="Arial"/>
          <w:bCs/>
          <w:sz w:val="22"/>
          <w:lang w:val="es-ES_tradnl"/>
        </w:rPr>
        <w:t>.</w:t>
      </w:r>
      <w:r w:rsidRPr="0070568B">
        <w:rPr>
          <w:rFonts w:cs="Arial"/>
          <w:sz w:val="22"/>
          <w:lang w:val="es-ES_tradnl"/>
        </w:rPr>
        <w:t xml:space="preserve"> </w:t>
      </w:r>
    </w:p>
    <w:p w:rsidR="001A14EB" w:rsidRPr="0070568B" w:rsidRDefault="001A14EB" w:rsidP="0070568B">
      <w:pPr>
        <w:pStyle w:val="Prrafodelista"/>
        <w:numPr>
          <w:ilvl w:val="0"/>
          <w:numId w:val="18"/>
        </w:numPr>
        <w:spacing w:line="360" w:lineRule="auto"/>
        <w:ind w:left="426" w:hanging="426"/>
        <w:jc w:val="both"/>
        <w:rPr>
          <w:rFonts w:cs="Arial"/>
          <w:sz w:val="22"/>
          <w:lang w:val="es-ES_tradnl"/>
        </w:rPr>
      </w:pPr>
      <w:r w:rsidRPr="0070568B">
        <w:rPr>
          <w:rFonts w:cs="Arial"/>
          <w:sz w:val="22"/>
          <w:lang w:val="es-ES_tradnl"/>
        </w:rPr>
        <w:t>Propuesta de actualización del Código de Gobierno Corporativo.</w:t>
      </w:r>
    </w:p>
    <w:p w:rsidR="001A14EB" w:rsidRPr="0070568B" w:rsidRDefault="001A14EB" w:rsidP="0070568B">
      <w:pPr>
        <w:pStyle w:val="Prrafodelista"/>
        <w:numPr>
          <w:ilvl w:val="0"/>
          <w:numId w:val="18"/>
        </w:numPr>
        <w:spacing w:line="360" w:lineRule="auto"/>
        <w:ind w:left="426" w:hanging="426"/>
        <w:jc w:val="both"/>
        <w:rPr>
          <w:rFonts w:cs="Arial"/>
          <w:sz w:val="22"/>
          <w:lang w:val="es-ES_tradnl"/>
        </w:rPr>
      </w:pPr>
      <w:r w:rsidRPr="0070568B">
        <w:rPr>
          <w:rFonts w:cs="Arial"/>
          <w:sz w:val="22"/>
          <w:lang w:val="es-ES_tradnl"/>
        </w:rPr>
        <w:t xml:space="preserve">Propuesta de programa de Colocación de Crédito y Plan Anual de Captaciones del FONAVI para el año 2019. </w:t>
      </w:r>
    </w:p>
    <w:p w:rsidR="001A14EB" w:rsidRPr="0070568B" w:rsidRDefault="001A14EB" w:rsidP="0070568B">
      <w:pPr>
        <w:pStyle w:val="Prrafodelista"/>
        <w:numPr>
          <w:ilvl w:val="0"/>
          <w:numId w:val="18"/>
        </w:numPr>
        <w:spacing w:line="360" w:lineRule="auto"/>
        <w:ind w:left="426" w:hanging="426"/>
        <w:jc w:val="both"/>
        <w:rPr>
          <w:rFonts w:cs="Arial"/>
          <w:sz w:val="22"/>
          <w:lang w:val="es-ES_tradnl"/>
        </w:rPr>
      </w:pPr>
      <w:r w:rsidRPr="0070568B">
        <w:rPr>
          <w:rFonts w:cs="Arial"/>
          <w:sz w:val="22"/>
        </w:rPr>
        <w:t>Informe sobre la situación de la finca Cobasur</w:t>
      </w:r>
      <w:r w:rsidRPr="0070568B">
        <w:rPr>
          <w:rFonts w:cs="Arial"/>
          <w:sz w:val="22"/>
          <w:lang w:val="es-ES_tradnl"/>
        </w:rPr>
        <w:t>.</w:t>
      </w:r>
    </w:p>
    <w:p w:rsidR="007749FC" w:rsidRPr="0070568B" w:rsidRDefault="001A14EB" w:rsidP="0070568B">
      <w:pPr>
        <w:pStyle w:val="Prrafodelista"/>
        <w:numPr>
          <w:ilvl w:val="0"/>
          <w:numId w:val="18"/>
        </w:numPr>
        <w:spacing w:line="360" w:lineRule="auto"/>
        <w:ind w:left="426" w:hanging="426"/>
        <w:jc w:val="both"/>
        <w:rPr>
          <w:rFonts w:cs="Arial"/>
          <w:sz w:val="22"/>
        </w:rPr>
      </w:pPr>
      <w:r w:rsidRPr="0070568B">
        <w:rPr>
          <w:rFonts w:cs="Arial"/>
          <w:sz w:val="22"/>
          <w:lang w:val="es-ES_tradnl"/>
        </w:rPr>
        <w:t>Propuestas para el mejoramiento operacional.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70568B" w:rsidP="0070568B">
      <w:pPr>
        <w:spacing w:line="360" w:lineRule="auto"/>
        <w:jc w:val="both"/>
        <w:outlineLvl w:val="0"/>
        <w:rPr>
          <w:rFonts w:cs="Arial"/>
          <w:sz w:val="22"/>
          <w:szCs w:val="22"/>
          <w:lang w:val="es-ES_tradnl"/>
        </w:rPr>
      </w:pPr>
      <w:r w:rsidRPr="0070568B">
        <w:rPr>
          <w:rFonts w:cs="Arial"/>
          <w:b/>
          <w:sz w:val="22"/>
          <w:szCs w:val="22"/>
          <w:lang w:val="es-ES_tradnl"/>
        </w:rPr>
        <w:lastRenderedPageBreak/>
        <w:t xml:space="preserve">1º. </w:t>
      </w:r>
      <w:r w:rsidRPr="00D27987">
        <w:rPr>
          <w:rFonts w:cs="Arial"/>
          <w:b/>
          <w:sz w:val="22"/>
          <w:szCs w:val="22"/>
          <w:u w:val="single"/>
          <w:lang w:val="es-ES_tradnl"/>
        </w:rPr>
        <w:t>Propuesta de guía para el estudio legal de las solicitudes de financiamiento con recursos del Fondo de Subsidios para la Vivienda</w:t>
      </w:r>
    </w:p>
    <w:p w:rsidR="00FA4CCB" w:rsidRDefault="00FA4CCB" w:rsidP="002D0146">
      <w:pPr>
        <w:spacing w:line="360" w:lineRule="auto"/>
        <w:jc w:val="both"/>
        <w:rPr>
          <w:rFonts w:cs="Arial"/>
          <w:sz w:val="22"/>
          <w:szCs w:val="22"/>
        </w:rPr>
      </w:pPr>
    </w:p>
    <w:p w:rsidR="005662C5" w:rsidRDefault="009D03FE" w:rsidP="005662C5">
      <w:pPr>
        <w:spacing w:line="360" w:lineRule="auto"/>
        <w:jc w:val="both"/>
        <w:rPr>
          <w:rFonts w:cs="Arial"/>
          <w:bCs/>
          <w:sz w:val="22"/>
          <w:szCs w:val="22"/>
        </w:rPr>
      </w:pPr>
      <w:r w:rsidRPr="0039311E">
        <w:rPr>
          <w:rFonts w:cs="Arial"/>
          <w:sz w:val="22"/>
          <w:u w:val="single"/>
          <w:lang w:val="es-ES_tradnl"/>
        </w:rPr>
        <w:t>Minuto 0</w:t>
      </w:r>
      <w:r w:rsidR="00216B12">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w:t>
      </w:r>
      <w:r w:rsidR="00216B12">
        <w:rPr>
          <w:rFonts w:cs="Arial"/>
          <w:sz w:val="22"/>
          <w:szCs w:val="22"/>
          <w:lang w:val="es-ES_tradnl"/>
        </w:rPr>
        <w:t>oficio GG-ME-1257-2018 del 21 de diciembre de 2018, por medio del cual, atendiendo lo dispuesto en el acuerdo N° 23 de la sesión 40-2018 del 06 de agosto de 2018, la Gerencia General somete a la consideración de este Órgano Colegiado, una propuesta de guía para el estudio legal de las solicitudes de financiamiento con recursos del FOSUVI, elaborada por la Asesoría Legal y la cual se adjunta al oficio AL-OF-0099-2018.</w:t>
      </w:r>
      <w:r w:rsidR="006B1195">
        <w:rPr>
          <w:rFonts w:cs="Arial"/>
          <w:sz w:val="22"/>
          <w:szCs w:val="22"/>
          <w:lang w:val="es-ES_tradnl"/>
        </w:rPr>
        <w:t xml:space="preserve"> </w:t>
      </w:r>
      <w:r w:rsidR="005662C5">
        <w:rPr>
          <w:rFonts w:cs="Arial"/>
          <w:sz w:val="22"/>
          <w:lang w:val="es-ES_tradnl"/>
        </w:rPr>
        <w:t xml:space="preserve"> </w:t>
      </w:r>
      <w:r w:rsidR="005662C5" w:rsidRPr="00DB3443">
        <w:rPr>
          <w:rFonts w:cs="Arial"/>
          <w:bCs/>
          <w:sz w:val="22"/>
          <w:szCs w:val="22"/>
        </w:rPr>
        <w:t>Dichos documentos se adjuntan al</w:t>
      </w:r>
      <w:r w:rsidR="005662C5">
        <w:rPr>
          <w:rFonts w:cs="Arial"/>
          <w:bCs/>
          <w:sz w:val="22"/>
          <w:szCs w:val="22"/>
        </w:rPr>
        <w:t xml:space="preserve"> expediente del </w:t>
      </w:r>
      <w:r w:rsidR="005662C5" w:rsidRPr="00DB3443">
        <w:rPr>
          <w:rFonts w:cs="Arial"/>
          <w:bCs/>
          <w:sz w:val="22"/>
          <w:szCs w:val="22"/>
        </w:rPr>
        <w:t>acta.</w:t>
      </w:r>
    </w:p>
    <w:p w:rsidR="009D03FE" w:rsidRDefault="009D03FE" w:rsidP="009D03FE">
      <w:pPr>
        <w:spacing w:line="360" w:lineRule="auto"/>
        <w:jc w:val="both"/>
        <w:rPr>
          <w:rFonts w:cs="Arial"/>
          <w:sz w:val="22"/>
          <w:lang w:val="es-ES_tradnl"/>
        </w:rPr>
      </w:pPr>
    </w:p>
    <w:p w:rsidR="005662C5"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662C5">
        <w:rPr>
          <w:rFonts w:cs="Arial"/>
          <w:sz w:val="22"/>
          <w:u w:val="single"/>
          <w:lang w:val="es-ES_tradnl"/>
        </w:rPr>
        <w:t>02</w:t>
      </w:r>
      <w:r w:rsidRPr="00A25DB7">
        <w:rPr>
          <w:rFonts w:cs="Arial"/>
          <w:sz w:val="22"/>
          <w:u w:val="single"/>
          <w:lang w:val="es-ES_tradnl"/>
        </w:rPr>
        <w:t>:</w:t>
      </w:r>
      <w:r w:rsidR="005662C5">
        <w:rPr>
          <w:rFonts w:cs="Arial"/>
          <w:sz w:val="22"/>
          <w:u w:val="single"/>
          <w:lang w:val="es-ES_tradnl"/>
        </w:rPr>
        <w:t>30</w:t>
      </w:r>
      <w:r>
        <w:rPr>
          <w:rFonts w:cs="Arial"/>
          <w:sz w:val="22"/>
          <w:lang w:val="es-ES_tradnl"/>
        </w:rPr>
        <w:t xml:space="preserve"> </w:t>
      </w:r>
      <w:r w:rsidR="005662C5">
        <w:rPr>
          <w:rFonts w:cs="Arial"/>
          <w:sz w:val="22"/>
          <w:lang w:val="es-ES_tradnl"/>
        </w:rPr>
        <w:t>Se incorpora a la sesión el licenciado Mora Villalobos, quien presenta el contenido de la referida propuesta, al tiempo que atiende las consultas y observaciones que plantean los señores Directores sobre el tema.</w:t>
      </w:r>
    </w:p>
    <w:p w:rsidR="00BD78DC" w:rsidRDefault="00BD78DC" w:rsidP="009D03FE">
      <w:pPr>
        <w:spacing w:line="360" w:lineRule="auto"/>
        <w:jc w:val="both"/>
        <w:rPr>
          <w:rFonts w:cs="Arial"/>
          <w:sz w:val="22"/>
          <w:lang w:val="es-ES_tradnl"/>
        </w:rPr>
      </w:pPr>
    </w:p>
    <w:p w:rsidR="00BD78DC" w:rsidRDefault="00BD78D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w:t>
      </w:r>
      <w:r w:rsidRPr="00A25DB7">
        <w:rPr>
          <w:rFonts w:cs="Arial"/>
          <w:sz w:val="22"/>
          <w:u w:val="single"/>
          <w:lang w:val="es-ES_tradnl"/>
        </w:rPr>
        <w:t>:</w:t>
      </w:r>
      <w:r w:rsidR="008E328B">
        <w:rPr>
          <w:rFonts w:cs="Arial"/>
          <w:sz w:val="22"/>
          <w:u w:val="single"/>
          <w:lang w:val="es-ES_tradnl"/>
        </w:rPr>
        <w:t>40</w:t>
      </w:r>
      <w:r>
        <w:rPr>
          <w:rFonts w:cs="Arial"/>
          <w:sz w:val="22"/>
          <w:lang w:val="es-ES_tradnl"/>
        </w:rPr>
        <w:t xml:space="preserve"> </w:t>
      </w:r>
      <w:r w:rsidR="008E328B">
        <w:rPr>
          <w:rFonts w:cs="Arial"/>
          <w:sz w:val="22"/>
          <w:lang w:val="es-ES_tradnl"/>
        </w:rPr>
        <w:t xml:space="preserve">El </w:t>
      </w:r>
      <w:r w:rsidR="00D25D8E">
        <w:rPr>
          <w:rFonts w:cs="Arial"/>
          <w:sz w:val="22"/>
          <w:lang w:val="es-ES_tradnl"/>
        </w:rPr>
        <w:t xml:space="preserve">licenciado Mora Villalobos aclara que el uso de esta guía no debilita los controles internos del Banco ni los mecanismos de los estudios internos a las solicitudes de financiamiento, en el tanto se aplique el procedimiento que plantea la </w:t>
      </w:r>
      <w:r w:rsidR="00D25D8E" w:rsidRPr="00D25D8E">
        <w:rPr>
          <w:rFonts w:cs="Arial"/>
          <w:sz w:val="22"/>
          <w:szCs w:val="22"/>
          <w:lang w:val="es-ES_tradnl"/>
        </w:rPr>
        <w:t>Gerencia General</w:t>
      </w:r>
      <w:r w:rsidR="00D25D8E">
        <w:rPr>
          <w:rFonts w:cs="Arial"/>
          <w:sz w:val="22"/>
          <w:szCs w:val="22"/>
          <w:lang w:val="es-ES_tradnl"/>
        </w:rPr>
        <w:t xml:space="preserve"> en el oficio GG-ME-1257-2018 y en cual avala la </w:t>
      </w:r>
      <w:r w:rsidR="00D25D8E" w:rsidRPr="00D25D8E">
        <w:rPr>
          <w:rFonts w:cs="Arial"/>
          <w:sz w:val="22"/>
          <w:szCs w:val="22"/>
          <w:lang w:val="es-ES_tradnl"/>
        </w:rPr>
        <w:t>Asesoría Legal</w:t>
      </w:r>
      <w:r w:rsidR="00D25D8E">
        <w:rPr>
          <w:rFonts w:cs="Arial"/>
          <w:sz w:val="22"/>
          <w:szCs w:val="22"/>
          <w:lang w:val="es-ES_tradnl"/>
        </w:rPr>
        <w:t xml:space="preserve">. </w:t>
      </w:r>
    </w:p>
    <w:p w:rsidR="005662C5" w:rsidRDefault="005662C5" w:rsidP="009D03FE">
      <w:pPr>
        <w:spacing w:line="360" w:lineRule="auto"/>
        <w:jc w:val="both"/>
        <w:rPr>
          <w:rFonts w:cs="Arial"/>
          <w:sz w:val="22"/>
          <w:lang w:val="es-ES_tradnl"/>
        </w:rPr>
      </w:pPr>
    </w:p>
    <w:p w:rsidR="00D25D8E" w:rsidRDefault="005662C5" w:rsidP="005662C5">
      <w:pPr>
        <w:spacing w:line="360" w:lineRule="auto"/>
        <w:jc w:val="both"/>
        <w:rPr>
          <w:rFonts w:cs="Arial"/>
          <w:bCs/>
          <w:sz w:val="22"/>
          <w:szCs w:val="22"/>
        </w:rPr>
      </w:pPr>
      <w:r w:rsidRPr="00E934E3">
        <w:rPr>
          <w:rFonts w:cs="Arial"/>
          <w:color w:val="000000"/>
          <w:sz w:val="22"/>
          <w:szCs w:val="22"/>
          <w:u w:val="single"/>
        </w:rPr>
        <w:t xml:space="preserve">Minuto </w:t>
      </w:r>
      <w:r w:rsidR="006B1195">
        <w:rPr>
          <w:rFonts w:cs="Arial"/>
          <w:color w:val="000000"/>
          <w:sz w:val="22"/>
          <w:szCs w:val="22"/>
          <w:u w:val="single"/>
        </w:rPr>
        <w:t>3</w:t>
      </w:r>
      <w:r w:rsidR="00793DF8">
        <w:rPr>
          <w:rFonts w:cs="Arial"/>
          <w:color w:val="000000"/>
          <w:sz w:val="22"/>
          <w:szCs w:val="22"/>
          <w:u w:val="single"/>
        </w:rPr>
        <w:t>7</w:t>
      </w:r>
      <w:r w:rsidRPr="0003719E">
        <w:rPr>
          <w:rFonts w:cs="Arial"/>
          <w:color w:val="000000"/>
          <w:sz w:val="22"/>
          <w:szCs w:val="22"/>
          <w:u w:val="single"/>
        </w:rPr>
        <w:t>:</w:t>
      </w:r>
      <w:r w:rsidR="00793DF8">
        <w:rPr>
          <w:rFonts w:cs="Arial"/>
          <w:color w:val="000000"/>
          <w:sz w:val="22"/>
          <w:szCs w:val="22"/>
          <w:u w:val="single"/>
        </w:rPr>
        <w:t>45</w:t>
      </w:r>
      <w:r>
        <w:rPr>
          <w:rFonts w:cs="Arial"/>
          <w:color w:val="000000"/>
          <w:sz w:val="22"/>
          <w:szCs w:val="22"/>
        </w:rPr>
        <w:t xml:space="preserve"> Conocida la propuesta de la </w:t>
      </w:r>
      <w:r w:rsidRPr="00E05D01">
        <w:rPr>
          <w:rFonts w:cs="Arial"/>
          <w:color w:val="000000"/>
          <w:sz w:val="22"/>
          <w:szCs w:val="22"/>
        </w:rPr>
        <w:t>Administración</w:t>
      </w:r>
      <w:r>
        <w:rPr>
          <w:rFonts w:cs="Arial"/>
          <w:color w:val="000000"/>
          <w:sz w:val="22"/>
          <w:szCs w:val="22"/>
        </w:rPr>
        <w:t xml:space="preserve"> y de conformidad con el análisis realizado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guía, </w:t>
      </w:r>
      <w:r w:rsidR="006B1195">
        <w:rPr>
          <w:rFonts w:cs="Arial"/>
          <w:sz w:val="22"/>
          <w:szCs w:val="22"/>
        </w:rPr>
        <w:t xml:space="preserve">en los términos que se indican en el </w:t>
      </w:r>
      <w:r w:rsidR="006B1195">
        <w:rPr>
          <w:rFonts w:cs="Arial"/>
          <w:b/>
          <w:sz w:val="22"/>
          <w:szCs w:val="22"/>
        </w:rPr>
        <w:t>A</w:t>
      </w:r>
      <w:r w:rsidR="006B1195" w:rsidRPr="00ED0EF0">
        <w:rPr>
          <w:rFonts w:cs="Arial"/>
          <w:b/>
          <w:sz w:val="22"/>
          <w:szCs w:val="22"/>
        </w:rPr>
        <w:t xml:space="preserve">cuerdo N° </w:t>
      </w:r>
      <w:r w:rsidR="006B1195">
        <w:rPr>
          <w:rFonts w:cs="Arial"/>
          <w:b/>
          <w:sz w:val="22"/>
          <w:szCs w:val="22"/>
        </w:rPr>
        <w:t>1</w:t>
      </w:r>
      <w:r w:rsidR="006B1195">
        <w:rPr>
          <w:rFonts w:cs="Arial"/>
          <w:sz w:val="22"/>
          <w:szCs w:val="22"/>
        </w:rPr>
        <w:t xml:space="preserve"> que se anexa a esta minuta.  Acto seguido, se retira de la sesión el licenciado Mora Villalobos.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70568B" w:rsidP="009D03FE">
      <w:pPr>
        <w:spacing w:line="360" w:lineRule="auto"/>
        <w:jc w:val="both"/>
        <w:outlineLvl w:val="0"/>
        <w:rPr>
          <w:rFonts w:cs="Arial"/>
          <w:sz w:val="22"/>
          <w:szCs w:val="22"/>
          <w:lang w:val="es-ES_tradnl"/>
        </w:rPr>
      </w:pPr>
      <w:r w:rsidRPr="0070568B">
        <w:rPr>
          <w:rFonts w:cs="Arial"/>
          <w:b/>
          <w:sz w:val="22"/>
          <w:szCs w:val="22"/>
          <w:lang w:val="es-ES_tradnl"/>
        </w:rPr>
        <w:t>2º.</w:t>
      </w:r>
      <w:r>
        <w:rPr>
          <w:rFonts w:cs="Arial"/>
          <w:b/>
          <w:sz w:val="22"/>
          <w:szCs w:val="22"/>
          <w:lang w:val="es-ES_tradnl"/>
        </w:rPr>
        <w:t xml:space="preserve"> </w:t>
      </w:r>
      <w:r w:rsidRPr="00D27987">
        <w:rPr>
          <w:rFonts w:cs="Arial"/>
          <w:b/>
          <w:sz w:val="22"/>
          <w:szCs w:val="22"/>
          <w:u w:val="single"/>
          <w:lang w:val="es-ES_tradnl"/>
        </w:rPr>
        <w:t>Propuesta de actualización del Código de Gobierno Corporativo</w:t>
      </w:r>
    </w:p>
    <w:p w:rsidR="009D03FE" w:rsidRDefault="009D03FE" w:rsidP="009D03FE">
      <w:pPr>
        <w:spacing w:line="360" w:lineRule="auto"/>
        <w:jc w:val="both"/>
        <w:rPr>
          <w:rFonts w:cs="Arial"/>
          <w:sz w:val="22"/>
          <w:szCs w:val="22"/>
        </w:rPr>
      </w:pPr>
    </w:p>
    <w:p w:rsidR="00793DF8"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793DF8">
        <w:rPr>
          <w:rFonts w:cs="Arial"/>
          <w:sz w:val="22"/>
          <w:u w:val="single"/>
          <w:lang w:val="es-ES_tradnl"/>
        </w:rPr>
        <w:t>38</w:t>
      </w:r>
      <w:r w:rsidRPr="0039311E">
        <w:rPr>
          <w:rFonts w:cs="Arial"/>
          <w:sz w:val="22"/>
          <w:u w:val="single"/>
          <w:lang w:val="es-ES_tradnl"/>
        </w:rPr>
        <w:t>:</w:t>
      </w:r>
      <w:r w:rsidR="00793DF8">
        <w:rPr>
          <w:rFonts w:cs="Arial"/>
          <w:sz w:val="22"/>
          <w:u w:val="single"/>
          <w:lang w:val="es-ES_tradnl"/>
        </w:rPr>
        <w:t>25</w:t>
      </w:r>
      <w:r>
        <w:rPr>
          <w:rFonts w:cs="Arial"/>
          <w:sz w:val="22"/>
          <w:lang w:val="es-ES_tradnl"/>
        </w:rPr>
        <w:t xml:space="preserve"> Se </w:t>
      </w:r>
      <w:r w:rsidR="00793DF8">
        <w:rPr>
          <w:rFonts w:cs="Arial"/>
          <w:sz w:val="22"/>
          <w:lang w:val="es-ES_tradnl"/>
        </w:rPr>
        <w:t xml:space="preserve">incorpora a la sesión la licenciada Magaly </w:t>
      </w:r>
      <w:proofErr w:type="spellStart"/>
      <w:r w:rsidR="00793DF8">
        <w:rPr>
          <w:rFonts w:cs="Arial"/>
          <w:sz w:val="22"/>
          <w:lang w:val="es-ES_tradnl"/>
        </w:rPr>
        <w:t>Longan</w:t>
      </w:r>
      <w:proofErr w:type="spellEnd"/>
      <w:r w:rsidR="00793DF8">
        <w:rPr>
          <w:rFonts w:cs="Arial"/>
          <w:sz w:val="22"/>
          <w:lang w:val="es-ES_tradnl"/>
        </w:rPr>
        <w:t xml:space="preserve"> Moya, jefa de la Unidad de Planificación Institucional, quien procede a exponer </w:t>
      </w:r>
      <w:r w:rsidR="00793DF8">
        <w:rPr>
          <w:rFonts w:cs="Arial"/>
          <w:bCs/>
          <w:sz w:val="22"/>
          <w:lang w:val="es-ES_tradnl"/>
        </w:rPr>
        <w:t xml:space="preserve">la propuesta de actualización del Código de Gobierno Corporativo del BANHVI, correspondiente al período 2018 y </w:t>
      </w:r>
      <w:r w:rsidR="00A93576">
        <w:rPr>
          <w:rFonts w:cs="Arial"/>
          <w:bCs/>
          <w:sz w:val="22"/>
          <w:lang w:val="es-ES_tradnl"/>
        </w:rPr>
        <w:t xml:space="preserve">el cual </w:t>
      </w:r>
      <w:r w:rsidR="00793DF8">
        <w:rPr>
          <w:rFonts w:cs="Arial"/>
          <w:bCs/>
          <w:sz w:val="22"/>
          <w:lang w:val="es-ES_tradnl"/>
        </w:rPr>
        <w:t xml:space="preserve">se anexa a las notas UPI-IN19-0155-2018 y GG-IN15-1243-2018 de la Unidad de Planificación Institucional y de la </w:t>
      </w:r>
      <w:r w:rsidR="00793DF8" w:rsidRPr="00793DF8">
        <w:rPr>
          <w:rFonts w:cs="Arial"/>
          <w:bCs/>
          <w:sz w:val="22"/>
          <w:szCs w:val="22"/>
          <w:lang w:val="es-ES_tradnl"/>
        </w:rPr>
        <w:t>Gerencia General</w:t>
      </w:r>
      <w:r w:rsidR="00793DF8">
        <w:rPr>
          <w:rFonts w:cs="Arial"/>
          <w:bCs/>
          <w:sz w:val="22"/>
          <w:szCs w:val="22"/>
          <w:lang w:val="es-ES_tradnl"/>
        </w:rPr>
        <w:t xml:space="preserve">, respectivamente.  </w:t>
      </w:r>
      <w:r w:rsidR="00793DF8" w:rsidRPr="00DB3443">
        <w:rPr>
          <w:rFonts w:cs="Arial"/>
          <w:bCs/>
          <w:sz w:val="22"/>
          <w:szCs w:val="22"/>
        </w:rPr>
        <w:t>Dichos documentos se adjuntan al</w:t>
      </w:r>
      <w:r w:rsidR="00793DF8">
        <w:rPr>
          <w:rFonts w:cs="Arial"/>
          <w:bCs/>
          <w:sz w:val="22"/>
          <w:szCs w:val="22"/>
        </w:rPr>
        <w:t xml:space="preserve"> expediente del </w:t>
      </w:r>
      <w:r w:rsidR="00793DF8" w:rsidRPr="00DB3443">
        <w:rPr>
          <w:rFonts w:cs="Arial"/>
          <w:bCs/>
          <w:sz w:val="22"/>
          <w:szCs w:val="22"/>
        </w:rPr>
        <w:t>acta.</w:t>
      </w:r>
    </w:p>
    <w:p w:rsidR="00793DF8" w:rsidRDefault="00793DF8" w:rsidP="009D03FE">
      <w:pPr>
        <w:spacing w:line="360" w:lineRule="auto"/>
        <w:jc w:val="both"/>
        <w:rPr>
          <w:rFonts w:cs="Arial"/>
          <w:bCs/>
          <w:sz w:val="22"/>
          <w:lang w:val="es-ES_tradnl"/>
        </w:rPr>
      </w:pPr>
    </w:p>
    <w:p w:rsidR="008772A6" w:rsidRDefault="00A93576" w:rsidP="008772A6">
      <w:pPr>
        <w:spacing w:line="360" w:lineRule="auto"/>
        <w:jc w:val="both"/>
        <w:rPr>
          <w:rFonts w:cs="Arial"/>
          <w:sz w:val="22"/>
          <w:szCs w:val="22"/>
        </w:rPr>
      </w:pPr>
      <w:r w:rsidRPr="00E934E3">
        <w:rPr>
          <w:rFonts w:cs="Arial"/>
          <w:color w:val="000000"/>
          <w:sz w:val="22"/>
          <w:szCs w:val="22"/>
          <w:u w:val="single"/>
        </w:rPr>
        <w:t xml:space="preserve">Minuto </w:t>
      </w:r>
      <w:r w:rsidR="00CE4B30">
        <w:rPr>
          <w:rFonts w:cs="Arial"/>
          <w:color w:val="000000"/>
          <w:sz w:val="22"/>
          <w:szCs w:val="22"/>
          <w:u w:val="single"/>
        </w:rPr>
        <w:t>81</w:t>
      </w:r>
      <w:r w:rsidRPr="0003719E">
        <w:rPr>
          <w:rFonts w:cs="Arial"/>
          <w:color w:val="000000"/>
          <w:sz w:val="22"/>
          <w:szCs w:val="22"/>
          <w:u w:val="single"/>
        </w:rPr>
        <w:t>:</w:t>
      </w:r>
      <w:r w:rsidR="00CE4B30">
        <w:rPr>
          <w:rFonts w:cs="Arial"/>
          <w:color w:val="000000"/>
          <w:sz w:val="22"/>
          <w:szCs w:val="22"/>
          <w:u w:val="single"/>
        </w:rPr>
        <w:t>0</w:t>
      </w:r>
      <w:r w:rsidRPr="0003719E">
        <w:rPr>
          <w:rFonts w:cs="Arial"/>
          <w:color w:val="000000"/>
          <w:sz w:val="22"/>
          <w:szCs w:val="22"/>
          <w:u w:val="single"/>
        </w:rPr>
        <w:t>0</w:t>
      </w:r>
      <w:r>
        <w:rPr>
          <w:rFonts w:cs="Arial"/>
          <w:color w:val="000000"/>
          <w:sz w:val="22"/>
          <w:szCs w:val="22"/>
        </w:rPr>
        <w:t xml:space="preserve"> Conocido el informe de la </w:t>
      </w:r>
      <w:r w:rsidRPr="00E05D01">
        <w:rPr>
          <w:rFonts w:cs="Arial"/>
          <w:color w:val="000000"/>
          <w:sz w:val="22"/>
          <w:szCs w:val="22"/>
        </w:rPr>
        <w:t>Administración</w:t>
      </w:r>
      <w:r>
        <w:rPr>
          <w:rFonts w:cs="Arial"/>
          <w:color w:val="000000"/>
          <w:sz w:val="22"/>
          <w:szCs w:val="22"/>
        </w:rPr>
        <w:t xml:space="preserve"> y de conformidad con el análisis que se realiza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actualización del Código de Gobierno Corporativo, </w:t>
      </w:r>
      <w:r w:rsidR="008772A6">
        <w:rPr>
          <w:rFonts w:cs="Arial"/>
          <w:bCs/>
          <w:sz w:val="22"/>
          <w:szCs w:val="22"/>
        </w:rPr>
        <w:t xml:space="preserve">pero solicitando que se ajuste dicho </w:t>
      </w:r>
      <w:r>
        <w:rPr>
          <w:rFonts w:cs="Arial"/>
          <w:sz w:val="22"/>
        </w:rPr>
        <w:t xml:space="preserve">documento, en lo que corresponda, a las disposiciones de la </w:t>
      </w:r>
      <w:r w:rsidRPr="000249ED">
        <w:rPr>
          <w:rFonts w:cs="Arial"/>
          <w:bCs/>
          <w:sz w:val="22"/>
          <w:szCs w:val="22"/>
        </w:rPr>
        <w:t>Ley No. 9635</w:t>
      </w:r>
      <w:r w:rsidRPr="000249ED">
        <w:rPr>
          <w:rFonts w:cs="Arial"/>
          <w:sz w:val="22"/>
          <w:szCs w:val="22"/>
        </w:rPr>
        <w:t xml:space="preserve"> “</w:t>
      </w:r>
      <w:r w:rsidRPr="000249ED">
        <w:rPr>
          <w:rFonts w:cs="Arial"/>
          <w:bCs/>
          <w:i/>
          <w:iCs/>
          <w:sz w:val="22"/>
          <w:szCs w:val="22"/>
        </w:rPr>
        <w:t>Fortalecimiento de las finanzas públicas</w:t>
      </w:r>
      <w:r w:rsidR="008772A6">
        <w:rPr>
          <w:rFonts w:cs="Arial"/>
          <w:sz w:val="22"/>
          <w:szCs w:val="22"/>
        </w:rPr>
        <w:t xml:space="preserve">”; y requiriendo a la </w:t>
      </w:r>
      <w:r w:rsidR="008772A6" w:rsidRPr="00845C96">
        <w:rPr>
          <w:rFonts w:cs="Arial"/>
          <w:sz w:val="22"/>
          <w:szCs w:val="22"/>
        </w:rPr>
        <w:t>Administración</w:t>
      </w:r>
      <w:r w:rsidR="008772A6">
        <w:rPr>
          <w:rFonts w:cs="Arial"/>
          <w:sz w:val="22"/>
          <w:szCs w:val="22"/>
        </w:rPr>
        <w:t xml:space="preserve"> que revise</w:t>
      </w:r>
      <w:r w:rsidR="008772A6">
        <w:rPr>
          <w:rFonts w:cs="Arial"/>
          <w:sz w:val="22"/>
        </w:rPr>
        <w:t xml:space="preserve"> lo actuado con respecto a los lineamientos que</w:t>
      </w:r>
      <w:r w:rsidR="008772A6">
        <w:rPr>
          <w:rFonts w:cs="Arial"/>
          <w:bCs/>
          <w:sz w:val="22"/>
          <w:lang w:val="es-ES_tradnl"/>
        </w:rPr>
        <w:t xml:space="preserve"> </w:t>
      </w:r>
      <w:r w:rsidR="008772A6">
        <w:rPr>
          <w:rFonts w:cs="Arial"/>
          <w:sz w:val="22"/>
        </w:rPr>
        <w:t xml:space="preserve">se consignan como pendientes de definir para la estructura de Gobierno Corporativo, debiendo presentar a esta </w:t>
      </w:r>
      <w:r w:rsidR="008772A6" w:rsidRPr="004C4473">
        <w:rPr>
          <w:rFonts w:cs="Arial"/>
          <w:sz w:val="22"/>
          <w:szCs w:val="22"/>
        </w:rPr>
        <w:t>Junta Directiva</w:t>
      </w:r>
      <w:r w:rsidR="008772A6">
        <w:rPr>
          <w:rFonts w:cs="Arial"/>
          <w:sz w:val="22"/>
          <w:szCs w:val="22"/>
        </w:rPr>
        <w:t>,</w:t>
      </w:r>
      <w:r w:rsidR="008772A6" w:rsidRPr="004C4473">
        <w:rPr>
          <w:rFonts w:cs="Arial"/>
          <w:sz w:val="22"/>
          <w:szCs w:val="22"/>
        </w:rPr>
        <w:t xml:space="preserve"> </w:t>
      </w:r>
      <w:r w:rsidR="008772A6">
        <w:rPr>
          <w:rFonts w:cs="Arial"/>
          <w:sz w:val="22"/>
          <w:szCs w:val="22"/>
        </w:rPr>
        <w:t xml:space="preserve">un informe sobre lo actuado, así como </w:t>
      </w:r>
      <w:r w:rsidR="008772A6">
        <w:rPr>
          <w:rFonts w:cs="Arial"/>
          <w:sz w:val="22"/>
        </w:rPr>
        <w:t>la estrategia para el abordaje de aquellos que continúen pendientes de atender.</w:t>
      </w:r>
      <w:r w:rsidR="008772A6" w:rsidRPr="008772A6">
        <w:rPr>
          <w:rFonts w:cs="Arial"/>
          <w:sz w:val="22"/>
          <w:szCs w:val="22"/>
        </w:rPr>
        <w:t xml:space="preserve"> </w:t>
      </w:r>
      <w:r w:rsidR="008772A6">
        <w:rPr>
          <w:rFonts w:cs="Arial"/>
          <w:sz w:val="22"/>
          <w:szCs w:val="22"/>
        </w:rPr>
        <w:t xml:space="preserve">Esto, en los términos que se indican en el </w:t>
      </w:r>
      <w:r w:rsidR="008772A6">
        <w:rPr>
          <w:rFonts w:cs="Arial"/>
          <w:b/>
          <w:sz w:val="22"/>
          <w:szCs w:val="22"/>
        </w:rPr>
        <w:t>A</w:t>
      </w:r>
      <w:r w:rsidR="008772A6" w:rsidRPr="00ED0EF0">
        <w:rPr>
          <w:rFonts w:cs="Arial"/>
          <w:b/>
          <w:sz w:val="22"/>
          <w:szCs w:val="22"/>
        </w:rPr>
        <w:t xml:space="preserve">cuerdo N° </w:t>
      </w:r>
      <w:r w:rsidR="008772A6">
        <w:rPr>
          <w:rFonts w:cs="Arial"/>
          <w:b/>
          <w:sz w:val="22"/>
          <w:szCs w:val="22"/>
        </w:rPr>
        <w:t>2</w:t>
      </w:r>
      <w:r w:rsidR="008772A6">
        <w:rPr>
          <w:rFonts w:cs="Arial"/>
          <w:sz w:val="22"/>
          <w:szCs w:val="22"/>
        </w:rPr>
        <w:t xml:space="preserve"> que se anexa a esta minuta.  Acto seguido, se retira de la sesión la licenciada Longan Moya.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70568B" w:rsidP="009D03FE">
      <w:pPr>
        <w:spacing w:line="360" w:lineRule="auto"/>
        <w:jc w:val="both"/>
        <w:outlineLvl w:val="0"/>
        <w:rPr>
          <w:rFonts w:cs="Arial"/>
          <w:sz w:val="22"/>
          <w:szCs w:val="22"/>
          <w:lang w:val="es-ES_tradnl"/>
        </w:rPr>
      </w:pPr>
      <w:r>
        <w:rPr>
          <w:rFonts w:cs="Arial"/>
          <w:b/>
          <w:sz w:val="22"/>
          <w:szCs w:val="22"/>
          <w:lang w:val="es-ES_tradnl"/>
        </w:rPr>
        <w:t xml:space="preserve">3°. </w:t>
      </w:r>
      <w:r w:rsidR="001A14EB" w:rsidRPr="00D27987">
        <w:rPr>
          <w:rFonts w:cs="Arial"/>
          <w:b/>
          <w:sz w:val="22"/>
          <w:szCs w:val="22"/>
          <w:u w:val="single"/>
          <w:lang w:val="es-ES_tradnl"/>
        </w:rPr>
        <w:t>Propuesta de programa de Colocación de Crédito y Plan Anual de Captaciones del FONAVI para el año 2019</w:t>
      </w:r>
    </w:p>
    <w:p w:rsidR="009D03FE" w:rsidRDefault="009D03FE" w:rsidP="009D03FE">
      <w:pPr>
        <w:spacing w:line="360" w:lineRule="auto"/>
        <w:jc w:val="both"/>
        <w:rPr>
          <w:rFonts w:cs="Arial"/>
          <w:sz w:val="22"/>
          <w:szCs w:val="22"/>
        </w:rPr>
      </w:pPr>
    </w:p>
    <w:p w:rsidR="00B61AD9" w:rsidRDefault="009D03FE" w:rsidP="00B61AD9">
      <w:pPr>
        <w:spacing w:line="360" w:lineRule="auto"/>
        <w:jc w:val="both"/>
        <w:rPr>
          <w:rFonts w:cs="Arial"/>
          <w:bCs/>
          <w:sz w:val="22"/>
          <w:lang w:val="es-ES_tradnl"/>
        </w:rPr>
      </w:pPr>
      <w:r w:rsidRPr="0039311E">
        <w:rPr>
          <w:rFonts w:cs="Arial"/>
          <w:sz w:val="22"/>
          <w:u w:val="single"/>
          <w:lang w:val="es-ES_tradnl"/>
        </w:rPr>
        <w:t xml:space="preserve">Minuto </w:t>
      </w:r>
      <w:r w:rsidR="006B6CD1">
        <w:rPr>
          <w:rFonts w:cs="Arial"/>
          <w:sz w:val="22"/>
          <w:u w:val="single"/>
          <w:lang w:val="es-ES_tradnl"/>
        </w:rPr>
        <w:t>84</w:t>
      </w:r>
      <w:r w:rsidRPr="0039311E">
        <w:rPr>
          <w:rFonts w:cs="Arial"/>
          <w:sz w:val="22"/>
          <w:u w:val="single"/>
          <w:lang w:val="es-ES_tradnl"/>
        </w:rPr>
        <w:t>:</w:t>
      </w:r>
      <w:r w:rsidR="006B6CD1">
        <w:rPr>
          <w:rFonts w:cs="Arial"/>
          <w:sz w:val="22"/>
          <w:u w:val="single"/>
          <w:lang w:val="es-ES_tradnl"/>
        </w:rPr>
        <w:t>10</w:t>
      </w:r>
      <w:r>
        <w:rPr>
          <w:rFonts w:cs="Arial"/>
          <w:sz w:val="22"/>
          <w:lang w:val="es-ES_tradnl"/>
        </w:rPr>
        <w:t xml:space="preserve"> Se</w:t>
      </w:r>
      <w:r w:rsidR="00AD5651">
        <w:rPr>
          <w:rFonts w:cs="Arial"/>
          <w:sz w:val="22"/>
          <w:lang w:val="es-ES_tradnl"/>
        </w:rPr>
        <w:t xml:space="preserve"> incorporan a la sesión las licenciadas Tricia Hernández Brenes y Marcela Pérez Valerín, Directora del FONAVI y jefa del Departamento de Fideicomisos respectivamente; y la licenciada Hernández Brenes procede a exponer </w:t>
      </w:r>
      <w:r w:rsidR="00AD5651" w:rsidRPr="00BB303F">
        <w:rPr>
          <w:rFonts w:cs="Arial"/>
          <w:color w:val="000000"/>
          <w:sz w:val="22"/>
          <w:szCs w:val="22"/>
        </w:rPr>
        <w:t>el informe DFNV-ME-04</w:t>
      </w:r>
      <w:r w:rsidR="00AD5651">
        <w:rPr>
          <w:rFonts w:cs="Arial"/>
          <w:color w:val="000000"/>
          <w:sz w:val="22"/>
          <w:szCs w:val="22"/>
        </w:rPr>
        <w:t>53</w:t>
      </w:r>
      <w:r w:rsidR="00AD5651" w:rsidRPr="00BB303F">
        <w:rPr>
          <w:rFonts w:cs="Arial"/>
          <w:color w:val="000000"/>
          <w:sz w:val="22"/>
          <w:szCs w:val="22"/>
        </w:rPr>
        <w:t>-201</w:t>
      </w:r>
      <w:r w:rsidR="00AD5651">
        <w:rPr>
          <w:rFonts w:cs="Arial"/>
          <w:color w:val="000000"/>
          <w:sz w:val="22"/>
          <w:szCs w:val="22"/>
        </w:rPr>
        <w:t xml:space="preserve">8 de la Dirección FONAVI, adjunto al oficio SGF-ME-0003-2019 del 09 de enero de 2019, de </w:t>
      </w:r>
      <w:r w:rsidR="00AD5651" w:rsidRPr="00BB303F">
        <w:rPr>
          <w:rFonts w:cs="Arial"/>
          <w:color w:val="000000"/>
          <w:sz w:val="22"/>
          <w:szCs w:val="22"/>
        </w:rPr>
        <w:t xml:space="preserve">la Subgerencia Financiera, que contiene la propuesta de los Programas de </w:t>
      </w:r>
      <w:r w:rsidR="00AD5651">
        <w:rPr>
          <w:rFonts w:cs="Arial"/>
          <w:color w:val="000000"/>
          <w:sz w:val="22"/>
          <w:szCs w:val="22"/>
        </w:rPr>
        <w:t xml:space="preserve">Colocación de </w:t>
      </w:r>
      <w:r w:rsidR="00AD5651" w:rsidRPr="00BB303F">
        <w:rPr>
          <w:rFonts w:cs="Arial"/>
          <w:color w:val="000000"/>
          <w:sz w:val="22"/>
          <w:szCs w:val="22"/>
        </w:rPr>
        <w:t>Crédito y el Plan Anual de Captaciones a ejecutar por el BANHVI en el año 201</w:t>
      </w:r>
      <w:r w:rsidR="00AD5651">
        <w:rPr>
          <w:rFonts w:cs="Arial"/>
          <w:color w:val="000000"/>
          <w:sz w:val="22"/>
          <w:szCs w:val="22"/>
        </w:rPr>
        <w:t>9</w:t>
      </w:r>
      <w:r w:rsidR="00AD5651" w:rsidRPr="00BB303F">
        <w:rPr>
          <w:rFonts w:cs="Arial"/>
          <w:color w:val="000000"/>
          <w:sz w:val="22"/>
          <w:szCs w:val="22"/>
        </w:rPr>
        <w:t>, así como los principales resultados generados por la estrategia de colocación de crédito y captación de recursos propuesta.</w:t>
      </w:r>
      <w:r w:rsidR="00B61AD9">
        <w:rPr>
          <w:rFonts w:cs="Arial"/>
          <w:color w:val="000000"/>
          <w:sz w:val="22"/>
          <w:szCs w:val="22"/>
        </w:rPr>
        <w:t xml:space="preserve"> </w:t>
      </w:r>
      <w:r w:rsidR="00B61AD9" w:rsidRPr="00DB3443">
        <w:rPr>
          <w:rFonts w:cs="Arial"/>
          <w:bCs/>
          <w:sz w:val="22"/>
          <w:szCs w:val="22"/>
        </w:rPr>
        <w:t>Dichos documentos se adjuntan al</w:t>
      </w:r>
      <w:r w:rsidR="00B61AD9">
        <w:rPr>
          <w:rFonts w:cs="Arial"/>
          <w:bCs/>
          <w:sz w:val="22"/>
          <w:szCs w:val="22"/>
        </w:rPr>
        <w:t xml:space="preserve"> expediente del </w:t>
      </w:r>
      <w:r w:rsidR="00B61AD9" w:rsidRPr="00DB3443">
        <w:rPr>
          <w:rFonts w:cs="Arial"/>
          <w:bCs/>
          <w:sz w:val="22"/>
          <w:szCs w:val="22"/>
        </w:rPr>
        <w:t>acta.</w:t>
      </w:r>
    </w:p>
    <w:p w:rsidR="00AD5651" w:rsidRDefault="00AD5651" w:rsidP="009D03FE">
      <w:pPr>
        <w:spacing w:line="360" w:lineRule="auto"/>
        <w:jc w:val="both"/>
        <w:rPr>
          <w:rFonts w:cs="Arial"/>
          <w:sz w:val="22"/>
          <w:lang w:val="es-ES_tradnl"/>
        </w:rPr>
      </w:pPr>
    </w:p>
    <w:p w:rsidR="007B2711" w:rsidRPr="00AD5651"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B61AD9">
        <w:rPr>
          <w:rFonts w:cs="Arial"/>
          <w:sz w:val="22"/>
          <w:u w:val="single"/>
          <w:lang w:val="es-ES_tradnl"/>
        </w:rPr>
        <w:t>112</w:t>
      </w:r>
      <w:r w:rsidRPr="00A25DB7">
        <w:rPr>
          <w:rFonts w:cs="Arial"/>
          <w:sz w:val="22"/>
          <w:u w:val="single"/>
          <w:lang w:val="es-ES_tradnl"/>
        </w:rPr>
        <w:t>:</w:t>
      </w:r>
      <w:r w:rsidR="00B61AD9">
        <w:rPr>
          <w:rFonts w:cs="Arial"/>
          <w:sz w:val="22"/>
          <w:u w:val="single"/>
          <w:lang w:val="es-ES_tradnl"/>
        </w:rPr>
        <w:t>50</w:t>
      </w:r>
      <w:r w:rsidR="00AD5651">
        <w:rPr>
          <w:rFonts w:cs="Arial"/>
          <w:color w:val="000000"/>
          <w:sz w:val="22"/>
          <w:szCs w:val="22"/>
        </w:rPr>
        <w:t xml:space="preserve"> Conocido el informe de la </w:t>
      </w:r>
      <w:r w:rsidR="00AD5651" w:rsidRPr="00E05D01">
        <w:rPr>
          <w:rFonts w:cs="Arial"/>
          <w:color w:val="000000"/>
          <w:sz w:val="22"/>
          <w:szCs w:val="22"/>
        </w:rPr>
        <w:t>Administración</w:t>
      </w:r>
      <w:r w:rsidR="00AD5651">
        <w:rPr>
          <w:rFonts w:cs="Arial"/>
          <w:color w:val="000000"/>
          <w:sz w:val="22"/>
          <w:szCs w:val="22"/>
        </w:rPr>
        <w:t xml:space="preserve"> y de conformidad con el análisis que se realiza al respecto, </w:t>
      </w:r>
      <w:r w:rsidR="00AD5651">
        <w:rPr>
          <w:rFonts w:cs="Arial"/>
          <w:bCs/>
          <w:sz w:val="22"/>
          <w:szCs w:val="22"/>
        </w:rPr>
        <w:t xml:space="preserve">la </w:t>
      </w:r>
      <w:r w:rsidR="00AD5651" w:rsidRPr="00691A59">
        <w:rPr>
          <w:rFonts w:cs="Arial"/>
          <w:bCs/>
          <w:sz w:val="22"/>
          <w:szCs w:val="22"/>
        </w:rPr>
        <w:t>Junta Directiva</w:t>
      </w:r>
      <w:r w:rsidR="00AD5651">
        <w:rPr>
          <w:rFonts w:cs="Arial"/>
          <w:bCs/>
          <w:sz w:val="22"/>
          <w:szCs w:val="22"/>
        </w:rPr>
        <w:t xml:space="preserve"> resuelve aprobar </w:t>
      </w:r>
      <w:r w:rsidR="00AD5651" w:rsidRPr="00BB303F">
        <w:rPr>
          <w:rFonts w:cs="Arial"/>
          <w:color w:val="000000"/>
          <w:sz w:val="22"/>
          <w:szCs w:val="22"/>
        </w:rPr>
        <w:t xml:space="preserve">los </w:t>
      </w:r>
      <w:r w:rsidR="00AD5651">
        <w:rPr>
          <w:rFonts w:cs="Arial"/>
          <w:color w:val="000000"/>
          <w:sz w:val="22"/>
          <w:szCs w:val="22"/>
        </w:rPr>
        <w:t>referidos p</w:t>
      </w:r>
      <w:r w:rsidR="00AD5651" w:rsidRPr="00BB303F">
        <w:rPr>
          <w:rFonts w:cs="Arial"/>
          <w:color w:val="000000"/>
          <w:sz w:val="22"/>
          <w:szCs w:val="22"/>
        </w:rPr>
        <w:t xml:space="preserve">rogramas de </w:t>
      </w:r>
      <w:r w:rsidR="00AD5651">
        <w:rPr>
          <w:rFonts w:cs="Arial"/>
          <w:color w:val="000000"/>
          <w:sz w:val="22"/>
          <w:szCs w:val="22"/>
        </w:rPr>
        <w:t>colocación de c</w:t>
      </w:r>
      <w:r w:rsidR="00AD5651" w:rsidRPr="00BB303F">
        <w:rPr>
          <w:rFonts w:cs="Arial"/>
          <w:color w:val="000000"/>
          <w:sz w:val="22"/>
          <w:szCs w:val="22"/>
        </w:rPr>
        <w:t>rédito y el Plan Anual de Captaciones</w:t>
      </w:r>
      <w:r w:rsidR="00AD5651">
        <w:rPr>
          <w:rFonts w:cs="Arial"/>
          <w:bCs/>
          <w:sz w:val="22"/>
          <w:szCs w:val="22"/>
        </w:rPr>
        <w:t>,</w:t>
      </w:r>
      <w:r w:rsidR="00AD5651" w:rsidRPr="00AD5651">
        <w:rPr>
          <w:rFonts w:cs="Arial"/>
          <w:color w:val="000000"/>
          <w:sz w:val="22"/>
          <w:szCs w:val="22"/>
        </w:rPr>
        <w:t xml:space="preserve"> </w:t>
      </w:r>
      <w:r w:rsidR="00AD5651">
        <w:rPr>
          <w:rFonts w:cs="Arial"/>
          <w:color w:val="000000"/>
          <w:sz w:val="22"/>
          <w:szCs w:val="22"/>
        </w:rPr>
        <w:t xml:space="preserve">conforme lo recomendado en el </w:t>
      </w:r>
      <w:r w:rsidR="00AD5651" w:rsidRPr="00BB303F">
        <w:rPr>
          <w:rFonts w:cs="Arial"/>
          <w:color w:val="000000"/>
          <w:sz w:val="22"/>
          <w:szCs w:val="22"/>
        </w:rPr>
        <w:t>documento adjunto al oficio DFNV-ME-04</w:t>
      </w:r>
      <w:r w:rsidR="00AD5651">
        <w:rPr>
          <w:rFonts w:cs="Arial"/>
          <w:color w:val="000000"/>
          <w:sz w:val="22"/>
          <w:szCs w:val="22"/>
        </w:rPr>
        <w:t>53</w:t>
      </w:r>
      <w:r w:rsidR="00AD5651" w:rsidRPr="00BB303F">
        <w:rPr>
          <w:rFonts w:cs="Arial"/>
          <w:color w:val="000000"/>
          <w:sz w:val="22"/>
          <w:szCs w:val="22"/>
        </w:rPr>
        <w:t>-201</w:t>
      </w:r>
      <w:r w:rsidR="00AD5651">
        <w:rPr>
          <w:rFonts w:cs="Arial"/>
          <w:color w:val="000000"/>
          <w:sz w:val="22"/>
          <w:szCs w:val="22"/>
        </w:rPr>
        <w:t xml:space="preserve">8 de la Dirección FONAVI.  Esto, </w:t>
      </w:r>
      <w:r w:rsidR="00AD5651">
        <w:rPr>
          <w:rFonts w:cs="Arial"/>
          <w:sz w:val="22"/>
          <w:szCs w:val="22"/>
        </w:rPr>
        <w:t xml:space="preserve">en los términos que se indican en el </w:t>
      </w:r>
      <w:r w:rsidR="00AD5651">
        <w:rPr>
          <w:rFonts w:cs="Arial"/>
          <w:b/>
          <w:sz w:val="22"/>
          <w:szCs w:val="22"/>
        </w:rPr>
        <w:t>A</w:t>
      </w:r>
      <w:r w:rsidR="00AD5651" w:rsidRPr="00ED0EF0">
        <w:rPr>
          <w:rFonts w:cs="Arial"/>
          <w:b/>
          <w:sz w:val="22"/>
          <w:szCs w:val="22"/>
        </w:rPr>
        <w:t xml:space="preserve">cuerdo N° </w:t>
      </w:r>
      <w:r w:rsidR="00AD5651">
        <w:rPr>
          <w:rFonts w:cs="Arial"/>
          <w:b/>
          <w:sz w:val="22"/>
          <w:szCs w:val="22"/>
        </w:rPr>
        <w:t>3</w:t>
      </w:r>
      <w:r w:rsidR="00AD5651">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800739" w:rsidRDefault="00800739" w:rsidP="009D03FE">
      <w:pPr>
        <w:spacing w:line="360" w:lineRule="auto"/>
        <w:jc w:val="both"/>
        <w:rPr>
          <w:rFonts w:cs="Arial"/>
          <w:b/>
          <w:bCs/>
          <w:sz w:val="22"/>
          <w:szCs w:val="22"/>
          <w:u w:val="single"/>
          <w:lang w:val="es-ES_tradnl"/>
        </w:rPr>
      </w:pPr>
    </w:p>
    <w:p w:rsidR="009D03FE" w:rsidRPr="00AD4F06" w:rsidRDefault="0070568B" w:rsidP="009D03FE">
      <w:pPr>
        <w:spacing w:line="360" w:lineRule="auto"/>
        <w:jc w:val="both"/>
        <w:outlineLvl w:val="0"/>
        <w:rPr>
          <w:rFonts w:cs="Arial"/>
          <w:sz w:val="22"/>
          <w:szCs w:val="22"/>
          <w:lang w:val="es-ES_tradnl"/>
        </w:rPr>
      </w:pPr>
      <w:r>
        <w:rPr>
          <w:rFonts w:cs="Arial"/>
          <w:b/>
          <w:sz w:val="22"/>
          <w:szCs w:val="22"/>
        </w:rPr>
        <w:lastRenderedPageBreak/>
        <w:t xml:space="preserve">4°. </w:t>
      </w:r>
      <w:r w:rsidR="001A14EB" w:rsidRPr="00D27987">
        <w:rPr>
          <w:rFonts w:cs="Arial"/>
          <w:b/>
          <w:sz w:val="22"/>
          <w:szCs w:val="22"/>
          <w:u w:val="single"/>
        </w:rPr>
        <w:t>Informe sobre la situación de la finca Cobasur</w:t>
      </w:r>
    </w:p>
    <w:p w:rsidR="009D03FE" w:rsidRDefault="009D03FE" w:rsidP="009D03FE">
      <w:pPr>
        <w:spacing w:line="360" w:lineRule="auto"/>
        <w:jc w:val="both"/>
        <w:rPr>
          <w:rFonts w:cs="Arial"/>
          <w:sz w:val="22"/>
          <w:szCs w:val="22"/>
        </w:rPr>
      </w:pPr>
    </w:p>
    <w:p w:rsidR="00B61AD9" w:rsidRDefault="009D03FE" w:rsidP="00B61AD9">
      <w:pPr>
        <w:spacing w:line="360" w:lineRule="auto"/>
        <w:jc w:val="both"/>
        <w:rPr>
          <w:rFonts w:cs="Arial"/>
          <w:bCs/>
          <w:sz w:val="22"/>
          <w:lang w:val="es-ES_tradnl"/>
        </w:rPr>
      </w:pPr>
      <w:r w:rsidRPr="0039311E">
        <w:rPr>
          <w:rFonts w:cs="Arial"/>
          <w:sz w:val="22"/>
          <w:u w:val="single"/>
          <w:lang w:val="es-ES_tradnl"/>
        </w:rPr>
        <w:t xml:space="preserve">Minuto </w:t>
      </w:r>
      <w:r w:rsidR="00B61AD9">
        <w:rPr>
          <w:rFonts w:cs="Arial"/>
          <w:sz w:val="22"/>
          <w:u w:val="single"/>
          <w:lang w:val="es-ES_tradnl"/>
        </w:rPr>
        <w:t>113</w:t>
      </w:r>
      <w:r w:rsidRPr="0039311E">
        <w:rPr>
          <w:rFonts w:cs="Arial"/>
          <w:sz w:val="22"/>
          <w:u w:val="single"/>
          <w:lang w:val="es-ES_tradnl"/>
        </w:rPr>
        <w:t>:</w:t>
      </w:r>
      <w:r w:rsidR="00B61AD9">
        <w:rPr>
          <w:rFonts w:cs="Arial"/>
          <w:sz w:val="22"/>
          <w:u w:val="single"/>
          <w:lang w:val="es-ES_tradnl"/>
        </w:rPr>
        <w:t>15</w:t>
      </w:r>
      <w:r>
        <w:rPr>
          <w:rFonts w:cs="Arial"/>
          <w:sz w:val="22"/>
          <w:lang w:val="es-ES_tradnl"/>
        </w:rPr>
        <w:t xml:space="preserve"> </w:t>
      </w:r>
      <w:r w:rsidR="00B61AD9">
        <w:rPr>
          <w:rFonts w:cs="Arial"/>
          <w:sz w:val="22"/>
          <w:lang w:val="es-ES_tradnl"/>
        </w:rPr>
        <w:t xml:space="preserve">En cumplimiento de lo dispuesto por esta </w:t>
      </w:r>
      <w:r w:rsidR="00B61AD9" w:rsidRPr="00B61AD9">
        <w:rPr>
          <w:rFonts w:cs="Arial"/>
          <w:sz w:val="22"/>
          <w:szCs w:val="22"/>
          <w:lang w:val="es-ES_tradnl"/>
        </w:rPr>
        <w:t xml:space="preserve">Junta Directiva </w:t>
      </w:r>
      <w:r w:rsidR="00B61AD9">
        <w:rPr>
          <w:rFonts w:cs="Arial"/>
          <w:sz w:val="22"/>
          <w:szCs w:val="22"/>
          <w:lang w:val="es-ES_tradnl"/>
        </w:rPr>
        <w:t xml:space="preserve">en el acuerdo N° 5 de la sesión 64-2018 del 01 de noviembre de 2018, la </w:t>
      </w:r>
      <w:r w:rsidR="00B61AD9">
        <w:rPr>
          <w:rFonts w:cs="Arial"/>
          <w:sz w:val="22"/>
          <w:lang w:val="es-ES_tradnl"/>
        </w:rPr>
        <w:t xml:space="preserve">licenciada Pérez Valerín procede a exponer un informe sobre la situación actual de la finca </w:t>
      </w:r>
      <w:proofErr w:type="spellStart"/>
      <w:r w:rsidR="00B61AD9">
        <w:rPr>
          <w:rFonts w:cs="Arial"/>
          <w:sz w:val="22"/>
          <w:lang w:val="es-ES_tradnl"/>
        </w:rPr>
        <w:t>Cobasur</w:t>
      </w:r>
      <w:proofErr w:type="spellEnd"/>
      <w:r w:rsidR="00B61AD9">
        <w:rPr>
          <w:rFonts w:cs="Arial"/>
          <w:sz w:val="22"/>
          <w:lang w:val="es-ES_tradnl"/>
        </w:rPr>
        <w:t xml:space="preserve">, ubicada en Palmar Sur de Osa, el cual se adjunta a los oficios GG-ME-1228-2018 de la </w:t>
      </w:r>
      <w:r w:rsidR="00B61AD9" w:rsidRPr="00B61AD9">
        <w:rPr>
          <w:rFonts w:cs="Arial"/>
          <w:sz w:val="22"/>
          <w:szCs w:val="22"/>
          <w:lang w:val="es-ES_tradnl"/>
        </w:rPr>
        <w:t>Gerencia General</w:t>
      </w:r>
      <w:r w:rsidR="00B61AD9">
        <w:rPr>
          <w:rFonts w:cs="Arial"/>
          <w:sz w:val="22"/>
          <w:szCs w:val="22"/>
          <w:lang w:val="es-ES_tradnl"/>
        </w:rPr>
        <w:t xml:space="preserve"> y SGF-ME-0247-2018/DFNV-ME-0445-2018 de la Subgerencia Financiera y la Dirección FONAVI, de fechas 17 y 14 de diciembre de 2018, respectivamente.  </w:t>
      </w:r>
      <w:r w:rsidR="00B61AD9" w:rsidRPr="00DB3443">
        <w:rPr>
          <w:rFonts w:cs="Arial"/>
          <w:bCs/>
          <w:sz w:val="22"/>
          <w:szCs w:val="22"/>
        </w:rPr>
        <w:t>Dichos documentos se adjuntan al</w:t>
      </w:r>
      <w:r w:rsidR="00B61AD9">
        <w:rPr>
          <w:rFonts w:cs="Arial"/>
          <w:bCs/>
          <w:sz w:val="22"/>
          <w:szCs w:val="22"/>
        </w:rPr>
        <w:t xml:space="preserve"> expediente del </w:t>
      </w:r>
      <w:r w:rsidR="00B61AD9" w:rsidRPr="00DB3443">
        <w:rPr>
          <w:rFonts w:cs="Arial"/>
          <w:bCs/>
          <w:sz w:val="22"/>
          <w:szCs w:val="22"/>
        </w:rPr>
        <w:t>acta.</w:t>
      </w:r>
    </w:p>
    <w:p w:rsidR="009D03FE" w:rsidRDefault="009D03FE" w:rsidP="009D03FE">
      <w:pPr>
        <w:spacing w:line="360" w:lineRule="auto"/>
        <w:jc w:val="both"/>
        <w:rPr>
          <w:rFonts w:cs="Arial"/>
          <w:sz w:val="22"/>
          <w:lang w:val="es-ES_tradnl"/>
        </w:rPr>
      </w:pPr>
    </w:p>
    <w:p w:rsidR="00921D0A" w:rsidRPr="007B2711" w:rsidRDefault="006D18E4" w:rsidP="00921D0A">
      <w:pPr>
        <w:spacing w:line="360" w:lineRule="auto"/>
        <w:jc w:val="both"/>
        <w:rPr>
          <w:rFonts w:cs="Arial"/>
          <w:bCs/>
          <w:sz w:val="22"/>
          <w:szCs w:val="22"/>
        </w:rPr>
      </w:pPr>
      <w:r w:rsidRPr="00A25DB7">
        <w:rPr>
          <w:rFonts w:cs="Arial"/>
          <w:sz w:val="22"/>
          <w:u w:val="single"/>
          <w:lang w:val="es-ES_tradnl"/>
        </w:rPr>
        <w:t xml:space="preserve">Minuto </w:t>
      </w:r>
      <w:r w:rsidR="00F305F4">
        <w:rPr>
          <w:rFonts w:cs="Arial"/>
          <w:sz w:val="22"/>
          <w:u w:val="single"/>
          <w:lang w:val="es-ES_tradnl"/>
        </w:rPr>
        <w:t>163</w:t>
      </w:r>
      <w:r w:rsidRPr="00A25DB7">
        <w:rPr>
          <w:rFonts w:cs="Arial"/>
          <w:sz w:val="22"/>
          <w:u w:val="single"/>
          <w:lang w:val="es-ES_tradnl"/>
        </w:rPr>
        <w:t>:</w:t>
      </w:r>
      <w:r w:rsidR="00F305F4">
        <w:rPr>
          <w:rFonts w:cs="Arial"/>
          <w:sz w:val="22"/>
          <w:u w:val="single"/>
          <w:lang w:val="es-ES_tradnl"/>
        </w:rPr>
        <w:t>15</w:t>
      </w:r>
      <w:r>
        <w:rPr>
          <w:rFonts w:cs="Arial"/>
          <w:color w:val="000000"/>
          <w:sz w:val="22"/>
          <w:szCs w:val="22"/>
        </w:rPr>
        <w:t xml:space="preserve"> Conocido el informe de la </w:t>
      </w:r>
      <w:r w:rsidRPr="00E05D01">
        <w:rPr>
          <w:rFonts w:cs="Arial"/>
          <w:color w:val="000000"/>
          <w:sz w:val="22"/>
          <w:szCs w:val="22"/>
        </w:rPr>
        <w:t>Administración</w:t>
      </w:r>
      <w:r>
        <w:rPr>
          <w:rFonts w:cs="Arial"/>
          <w:color w:val="000000"/>
          <w:sz w:val="22"/>
          <w:szCs w:val="22"/>
        </w:rPr>
        <w:t xml:space="preserve"> y de conformidad con el análisis que se realiza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c</w:t>
      </w:r>
      <w:r w:rsidR="00921D0A" w:rsidRPr="007B2711">
        <w:rPr>
          <w:rFonts w:cs="Arial"/>
          <w:bCs/>
          <w:sz w:val="22"/>
          <w:szCs w:val="22"/>
        </w:rPr>
        <w:t xml:space="preserve">onformar una comisión de trabajo, para precisar la estrategia que debe implementarse para generar el desarrollo del proyecto habitacional </w:t>
      </w:r>
      <w:proofErr w:type="spellStart"/>
      <w:r w:rsidR="00921D0A" w:rsidRPr="007B2711">
        <w:rPr>
          <w:rFonts w:cs="Arial"/>
          <w:bCs/>
          <w:sz w:val="22"/>
          <w:szCs w:val="22"/>
        </w:rPr>
        <w:t>Cobasur</w:t>
      </w:r>
      <w:proofErr w:type="spellEnd"/>
      <w:r w:rsidR="00921D0A" w:rsidRPr="007B2711">
        <w:rPr>
          <w:rFonts w:cs="Arial"/>
          <w:bCs/>
          <w:sz w:val="22"/>
          <w:szCs w:val="22"/>
        </w:rPr>
        <w:t>, teniendo como meta que para el año 2019, se cuente, al menos, con el diseño del proyecto.</w:t>
      </w:r>
      <w:r>
        <w:rPr>
          <w:rFonts w:cs="Arial"/>
          <w:bCs/>
          <w:sz w:val="22"/>
          <w:szCs w:val="22"/>
        </w:rPr>
        <w:t xml:space="preserve"> </w:t>
      </w:r>
      <w:r>
        <w:rPr>
          <w:rFonts w:cs="Arial"/>
          <w:color w:val="000000"/>
          <w:sz w:val="22"/>
          <w:szCs w:val="22"/>
        </w:rPr>
        <w:t xml:space="preserve">Esto,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 y considerando el atraso que se ha dado en las gestiones referidas a este proyecto.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70568B"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A14EB" w:rsidRPr="00921D0A">
        <w:rPr>
          <w:rFonts w:cs="Arial"/>
          <w:b/>
          <w:sz w:val="22"/>
          <w:szCs w:val="22"/>
          <w:u w:val="single"/>
          <w:lang w:val="es-ES_tradnl"/>
        </w:rPr>
        <w:t>Propuestas para el mejoramiento operacional</w:t>
      </w:r>
    </w:p>
    <w:p w:rsidR="009D03FE" w:rsidRDefault="009D03FE" w:rsidP="009D03FE">
      <w:pPr>
        <w:spacing w:line="360" w:lineRule="auto"/>
        <w:jc w:val="both"/>
        <w:rPr>
          <w:rFonts w:cs="Arial"/>
          <w:sz w:val="22"/>
          <w:szCs w:val="22"/>
        </w:rPr>
      </w:pPr>
    </w:p>
    <w:p w:rsidR="00D31010" w:rsidRDefault="00D31010" w:rsidP="00D31010">
      <w:pPr>
        <w:spacing w:line="360" w:lineRule="auto"/>
        <w:jc w:val="both"/>
        <w:rPr>
          <w:sz w:val="22"/>
          <w:szCs w:val="22"/>
        </w:rPr>
      </w:pPr>
      <w:r w:rsidRPr="00ED0EF0">
        <w:rPr>
          <w:rFonts w:cs="Arial"/>
          <w:bCs/>
          <w:sz w:val="22"/>
          <w:szCs w:val="22"/>
          <w:u w:val="single"/>
        </w:rPr>
        <w:t xml:space="preserve">Minuto </w:t>
      </w:r>
      <w:r w:rsidR="00F305F4">
        <w:rPr>
          <w:rFonts w:cs="Arial"/>
          <w:bCs/>
          <w:sz w:val="22"/>
          <w:szCs w:val="22"/>
          <w:u w:val="single"/>
        </w:rPr>
        <w:t>166</w:t>
      </w:r>
      <w:r w:rsidRPr="00ED0EF0">
        <w:rPr>
          <w:rFonts w:cs="Arial"/>
          <w:bCs/>
          <w:sz w:val="22"/>
          <w:szCs w:val="22"/>
          <w:u w:val="single"/>
        </w:rPr>
        <w:t>:</w:t>
      </w:r>
      <w:r w:rsidR="003C2AFE">
        <w:rPr>
          <w:rFonts w:cs="Arial"/>
          <w:bCs/>
          <w:sz w:val="22"/>
          <w:szCs w:val="22"/>
          <w:u w:val="single"/>
        </w:rPr>
        <w:t>1</w:t>
      </w:r>
      <w:r w:rsidRPr="00ED0EF0">
        <w:rPr>
          <w:rFonts w:cs="Arial"/>
          <w:bCs/>
          <w:sz w:val="22"/>
          <w:szCs w:val="22"/>
          <w:u w:val="single"/>
        </w:rPr>
        <w:t>0</w:t>
      </w:r>
      <w:r>
        <w:rPr>
          <w:rFonts w:cs="Arial"/>
          <w:bCs/>
          <w:sz w:val="22"/>
          <w:szCs w:val="22"/>
        </w:rPr>
        <w:t xml:space="preserve"> Por</w:t>
      </w:r>
      <w:r>
        <w:rPr>
          <w:rFonts w:cs="Arial"/>
          <w:sz w:val="22"/>
          <w:szCs w:val="22"/>
        </w:rPr>
        <w:t xml:space="preserve"> razón de la materia </w:t>
      </w:r>
      <w:r>
        <w:rPr>
          <w:rFonts w:cs="Arial"/>
          <w:bCs/>
          <w:sz w:val="22"/>
          <w:szCs w:val="22"/>
          <w:lang w:val="es-ES_tradnl"/>
        </w:rPr>
        <w:t>y al amparo de lo</w:t>
      </w:r>
      <w:r>
        <w:rPr>
          <w:sz w:val="22"/>
          <w:szCs w:val="22"/>
        </w:rPr>
        <w:t xml:space="preserve"> dispuesto en el artículo 25 de la Ley del </w:t>
      </w:r>
      <w:r w:rsidRPr="00566BC1">
        <w:rPr>
          <w:rFonts w:cs="Arial"/>
          <w:sz w:val="22"/>
          <w:szCs w:val="22"/>
        </w:rPr>
        <w:t>Sistema Financiero Nacional para la Vivienda</w:t>
      </w:r>
      <w:r>
        <w:rPr>
          <w:sz w:val="22"/>
          <w:szCs w:val="22"/>
        </w:rPr>
        <w:t xml:space="preserve">, se retiran de la sesión los funcionarios </w:t>
      </w:r>
      <w:r>
        <w:rPr>
          <w:rFonts w:cs="Arial"/>
          <w:sz w:val="22"/>
        </w:rPr>
        <w:t>Sandoval Loría, Agüero Salazar</w:t>
      </w:r>
      <w:r w:rsidR="003C2AFE">
        <w:rPr>
          <w:rFonts w:cs="Arial"/>
          <w:sz w:val="22"/>
        </w:rPr>
        <w:t>, Hernández Brenes, Pérez Valerín</w:t>
      </w:r>
      <w:r>
        <w:rPr>
          <w:rFonts w:cs="Arial"/>
          <w:sz w:val="22"/>
        </w:rPr>
        <w:t xml:space="preserve"> y López Pacheco</w:t>
      </w:r>
      <w:r>
        <w:rPr>
          <w:sz w:val="22"/>
          <w:szCs w:val="22"/>
        </w:rPr>
        <w:t>; suspendiéndose por consiguiente la grabación de la sesión.</w:t>
      </w:r>
    </w:p>
    <w:p w:rsidR="00D31010" w:rsidRPr="00AB2826" w:rsidRDefault="00D31010" w:rsidP="00D31010">
      <w:pPr>
        <w:spacing w:line="360" w:lineRule="auto"/>
        <w:jc w:val="both"/>
        <w:rPr>
          <w:rFonts w:cs="Arial"/>
          <w:bCs/>
          <w:sz w:val="22"/>
          <w:szCs w:val="22"/>
        </w:rPr>
      </w:pPr>
    </w:p>
    <w:p w:rsidR="00921D0A" w:rsidRDefault="00CE4B30" w:rsidP="00D31010">
      <w:pPr>
        <w:spacing w:line="360" w:lineRule="auto"/>
        <w:jc w:val="both"/>
        <w:rPr>
          <w:rFonts w:cs="Arial"/>
          <w:bCs/>
          <w:sz w:val="22"/>
          <w:szCs w:val="22"/>
        </w:rPr>
      </w:pPr>
      <w:r>
        <w:rPr>
          <w:rFonts w:cs="Arial"/>
          <w:bCs/>
          <w:sz w:val="22"/>
          <w:szCs w:val="22"/>
        </w:rPr>
        <w:t xml:space="preserve">El señor Subgerente de Operaciones expone </w:t>
      </w:r>
      <w:r w:rsidR="00921D0A">
        <w:rPr>
          <w:rFonts w:cs="Arial"/>
          <w:bCs/>
          <w:sz w:val="22"/>
          <w:szCs w:val="22"/>
        </w:rPr>
        <w:t xml:space="preserve">y analiza ampliamente con los señores Directores, </w:t>
      </w:r>
      <w:r>
        <w:rPr>
          <w:rFonts w:cs="Arial"/>
          <w:bCs/>
          <w:sz w:val="22"/>
          <w:szCs w:val="22"/>
        </w:rPr>
        <w:t xml:space="preserve">el contenido </w:t>
      </w:r>
      <w:r w:rsidR="00921D0A">
        <w:rPr>
          <w:rFonts w:cs="Arial"/>
          <w:bCs/>
          <w:sz w:val="22"/>
          <w:szCs w:val="22"/>
        </w:rPr>
        <w:t>del oficio confidencial SO-OF-0544-2018, de fecha 19 de diciembre de 2018, el cual se presente de conformidad con lo dispuesto en el acuerdo N° 4 de la sesión 68-2018 del 15 de noviembre de 2018.</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0568B">
        <w:rPr>
          <w:rFonts w:cs="Arial"/>
          <w:b/>
          <w:sz w:val="22"/>
          <w:u w:val="single"/>
        </w:rPr>
        <w:t>EXTRA</w:t>
      </w:r>
      <w:r>
        <w:rPr>
          <w:rFonts w:cs="Arial"/>
          <w:b/>
          <w:sz w:val="22"/>
          <w:u w:val="single"/>
        </w:rPr>
        <w:t xml:space="preserve">ORDINARIA N° </w:t>
      </w:r>
      <w:r w:rsidR="0070568B">
        <w:rPr>
          <w:rFonts w:cs="Arial"/>
          <w:b/>
          <w:sz w:val="22"/>
          <w:u w:val="single"/>
        </w:rPr>
        <w:t>02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0568B">
        <w:rPr>
          <w:rFonts w:cs="Arial"/>
          <w:b/>
          <w:sz w:val="22"/>
          <w:u w:val="single"/>
        </w:rPr>
        <w:t>10</w:t>
      </w:r>
      <w:r>
        <w:rPr>
          <w:rFonts w:cs="Arial"/>
          <w:b/>
          <w:sz w:val="22"/>
          <w:u w:val="single"/>
        </w:rPr>
        <w:t xml:space="preserve"> DE </w:t>
      </w:r>
      <w:r w:rsidR="0070568B">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5662C5" w:rsidRPr="005662C5" w:rsidRDefault="00F279AE" w:rsidP="005662C5">
      <w:pPr>
        <w:spacing w:line="360" w:lineRule="auto"/>
        <w:jc w:val="both"/>
        <w:rPr>
          <w:rFonts w:cs="Arial"/>
          <w:b/>
          <w:bCs/>
          <w:sz w:val="22"/>
          <w:szCs w:val="22"/>
        </w:rPr>
      </w:pPr>
      <w:r w:rsidRPr="005662C5">
        <w:rPr>
          <w:rFonts w:cs="Arial"/>
          <w:b/>
          <w:bCs/>
          <w:sz w:val="22"/>
          <w:szCs w:val="22"/>
        </w:rPr>
        <w:t>CONSIDERANDO:</w:t>
      </w:r>
    </w:p>
    <w:p w:rsidR="005662C5" w:rsidRPr="005662C5" w:rsidRDefault="005662C5" w:rsidP="005662C5">
      <w:pPr>
        <w:spacing w:line="360" w:lineRule="auto"/>
        <w:jc w:val="both"/>
        <w:rPr>
          <w:rFonts w:cs="Arial"/>
          <w:sz w:val="22"/>
          <w:szCs w:val="22"/>
        </w:rPr>
      </w:pPr>
      <w:r w:rsidRPr="005662C5">
        <w:rPr>
          <w:rFonts w:cs="Arial"/>
          <w:b/>
          <w:sz w:val="22"/>
          <w:szCs w:val="22"/>
        </w:rPr>
        <w:t>1.-)</w:t>
      </w:r>
      <w:r w:rsidRPr="005662C5">
        <w:rPr>
          <w:rFonts w:cs="Arial"/>
          <w:sz w:val="22"/>
          <w:szCs w:val="22"/>
        </w:rPr>
        <w:t xml:space="preserve">  Que mediante </w:t>
      </w:r>
      <w:r w:rsidR="00F279AE">
        <w:rPr>
          <w:rFonts w:cs="Arial"/>
          <w:sz w:val="22"/>
          <w:szCs w:val="22"/>
        </w:rPr>
        <w:t>m</w:t>
      </w:r>
      <w:r w:rsidRPr="005662C5">
        <w:rPr>
          <w:rFonts w:cs="Arial"/>
          <w:sz w:val="22"/>
          <w:szCs w:val="22"/>
        </w:rPr>
        <w:t xml:space="preserve">emorando GG-ME-0689-2018 del 3 de agosto del 2018,  la Gerencia General, remite </w:t>
      </w:r>
      <w:r w:rsidR="00F279AE">
        <w:rPr>
          <w:rFonts w:cs="Arial"/>
          <w:sz w:val="22"/>
          <w:szCs w:val="22"/>
        </w:rPr>
        <w:t>y avala</w:t>
      </w:r>
      <w:r w:rsidRPr="005662C5">
        <w:rPr>
          <w:rFonts w:cs="Arial"/>
          <w:sz w:val="22"/>
          <w:szCs w:val="22"/>
        </w:rPr>
        <w:t xml:space="preserve"> el oficio DF-OF-0750-2018/SO-OF-0309-2018 </w:t>
      </w:r>
      <w:r w:rsidR="00F279AE">
        <w:rPr>
          <w:rFonts w:cs="Arial"/>
          <w:sz w:val="22"/>
          <w:szCs w:val="22"/>
        </w:rPr>
        <w:t xml:space="preserve">de la Dirección FOSUVI y la Subgerencia de Operaciones, </w:t>
      </w:r>
      <w:r w:rsidRPr="005662C5">
        <w:rPr>
          <w:rFonts w:cs="Arial"/>
          <w:sz w:val="22"/>
          <w:szCs w:val="22"/>
        </w:rPr>
        <w:t xml:space="preserve">en el que presentan una propuesta para la derogatoria del requerimiento de criterio de la Asesoría Legal del BANHVI para las solicitudes de financiamiento de proyectos y la emisión de </w:t>
      </w:r>
      <w:r w:rsidRPr="005662C5">
        <w:rPr>
          <w:rFonts w:cs="Arial"/>
          <w:sz w:val="22"/>
          <w:szCs w:val="22"/>
          <w:lang w:val="es-CR"/>
        </w:rPr>
        <w:t>otras disposiciones colaterales.</w:t>
      </w:r>
    </w:p>
    <w:p w:rsidR="005662C5" w:rsidRPr="005662C5" w:rsidRDefault="005662C5" w:rsidP="005662C5">
      <w:pPr>
        <w:spacing w:line="360" w:lineRule="auto"/>
        <w:jc w:val="both"/>
        <w:rPr>
          <w:rFonts w:cs="Arial"/>
          <w:sz w:val="22"/>
          <w:szCs w:val="22"/>
          <w:lang w:val="es-CR"/>
        </w:rPr>
      </w:pPr>
    </w:p>
    <w:p w:rsidR="005662C5" w:rsidRPr="005662C5" w:rsidRDefault="005662C5" w:rsidP="005662C5">
      <w:pPr>
        <w:spacing w:line="360" w:lineRule="auto"/>
        <w:jc w:val="both"/>
        <w:rPr>
          <w:rFonts w:cs="Arial"/>
          <w:sz w:val="22"/>
          <w:szCs w:val="22"/>
        </w:rPr>
      </w:pPr>
      <w:r w:rsidRPr="005662C5">
        <w:rPr>
          <w:rFonts w:cs="Arial"/>
          <w:b/>
          <w:sz w:val="22"/>
          <w:szCs w:val="22"/>
          <w:lang w:val="es-CR"/>
        </w:rPr>
        <w:t>2.-)</w:t>
      </w:r>
      <w:r w:rsidRPr="005662C5">
        <w:rPr>
          <w:rFonts w:cs="Arial"/>
          <w:sz w:val="22"/>
          <w:szCs w:val="22"/>
          <w:lang w:val="es-CR"/>
        </w:rPr>
        <w:t xml:space="preserve">  Que </w:t>
      </w:r>
      <w:r w:rsidR="00F279AE">
        <w:rPr>
          <w:rFonts w:cs="Arial"/>
          <w:sz w:val="22"/>
          <w:szCs w:val="22"/>
          <w:lang w:val="es-CR"/>
        </w:rPr>
        <w:t xml:space="preserve">en </w:t>
      </w:r>
      <w:r w:rsidRPr="005662C5">
        <w:rPr>
          <w:rFonts w:cs="Arial"/>
          <w:sz w:val="22"/>
          <w:szCs w:val="22"/>
          <w:lang w:val="es-CR"/>
        </w:rPr>
        <w:t xml:space="preserve">el </w:t>
      </w:r>
      <w:r w:rsidR="00E83B1F">
        <w:rPr>
          <w:rFonts w:cs="Arial"/>
          <w:sz w:val="22"/>
          <w:szCs w:val="22"/>
        </w:rPr>
        <w:t>a</w:t>
      </w:r>
      <w:r w:rsidR="00E83B1F" w:rsidRPr="005662C5">
        <w:rPr>
          <w:rFonts w:cs="Arial"/>
          <w:sz w:val="22"/>
          <w:szCs w:val="22"/>
        </w:rPr>
        <w:t>cuerdo N</w:t>
      </w:r>
      <w:r w:rsidR="00E83B1F">
        <w:rPr>
          <w:rFonts w:cs="Arial"/>
          <w:sz w:val="22"/>
          <w:szCs w:val="22"/>
        </w:rPr>
        <w:t>°</w:t>
      </w:r>
      <w:r w:rsidR="00E83B1F" w:rsidRPr="005662C5">
        <w:rPr>
          <w:rFonts w:cs="Arial"/>
          <w:sz w:val="22"/>
          <w:szCs w:val="22"/>
        </w:rPr>
        <w:t xml:space="preserve"> 23</w:t>
      </w:r>
      <w:r w:rsidR="00E83B1F">
        <w:rPr>
          <w:rFonts w:cs="Arial"/>
          <w:sz w:val="22"/>
          <w:szCs w:val="22"/>
        </w:rPr>
        <w:t>,</w:t>
      </w:r>
      <w:r w:rsidR="00E83B1F" w:rsidRPr="005662C5">
        <w:rPr>
          <w:rFonts w:cs="Arial"/>
          <w:sz w:val="22"/>
          <w:szCs w:val="22"/>
        </w:rPr>
        <w:t xml:space="preserve"> </w:t>
      </w:r>
      <w:r w:rsidRPr="005662C5">
        <w:rPr>
          <w:rFonts w:cs="Arial"/>
          <w:sz w:val="22"/>
          <w:szCs w:val="22"/>
        </w:rPr>
        <w:t>inciso a) del Punto 1)</w:t>
      </w:r>
      <w:r w:rsidR="00E83B1F">
        <w:rPr>
          <w:rFonts w:cs="Arial"/>
          <w:sz w:val="22"/>
          <w:szCs w:val="22"/>
        </w:rPr>
        <w:t>,</w:t>
      </w:r>
      <w:r w:rsidRPr="005662C5">
        <w:rPr>
          <w:rFonts w:cs="Arial"/>
          <w:sz w:val="22"/>
          <w:szCs w:val="22"/>
        </w:rPr>
        <w:t xml:space="preserve"> de la </w:t>
      </w:r>
      <w:r w:rsidR="00F279AE">
        <w:rPr>
          <w:rFonts w:cs="Arial"/>
          <w:sz w:val="22"/>
          <w:szCs w:val="22"/>
        </w:rPr>
        <w:t>s</w:t>
      </w:r>
      <w:r w:rsidRPr="005662C5">
        <w:rPr>
          <w:rFonts w:cs="Arial"/>
          <w:sz w:val="22"/>
          <w:szCs w:val="22"/>
        </w:rPr>
        <w:t xml:space="preserve">esión 40-2018 del </w:t>
      </w:r>
      <w:r w:rsidR="00F279AE">
        <w:rPr>
          <w:rFonts w:cs="Arial"/>
          <w:sz w:val="22"/>
          <w:szCs w:val="22"/>
        </w:rPr>
        <w:t>0</w:t>
      </w:r>
      <w:r w:rsidRPr="005662C5">
        <w:rPr>
          <w:rFonts w:cs="Arial"/>
          <w:sz w:val="22"/>
          <w:szCs w:val="22"/>
        </w:rPr>
        <w:t>6 de agosto de 2018, esta Junta Directiva solicitó a la Administración una propuesta de guía para el estudio legal de las solicitudes de financiamiento con recursos del Fondo de Subsidios para la Vivienda.</w:t>
      </w:r>
    </w:p>
    <w:p w:rsidR="005662C5" w:rsidRPr="005662C5" w:rsidRDefault="005662C5"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t>3.-)</w:t>
      </w:r>
      <w:r w:rsidRPr="005662C5">
        <w:rPr>
          <w:rFonts w:cs="Arial"/>
          <w:sz w:val="22"/>
          <w:szCs w:val="22"/>
        </w:rPr>
        <w:t xml:space="preserve">  Que mediante </w:t>
      </w:r>
      <w:r w:rsidR="00E83B1F">
        <w:rPr>
          <w:rFonts w:cs="Arial"/>
          <w:sz w:val="22"/>
          <w:szCs w:val="22"/>
        </w:rPr>
        <w:t>m</w:t>
      </w:r>
      <w:r w:rsidRPr="005662C5">
        <w:rPr>
          <w:rFonts w:cs="Arial"/>
          <w:sz w:val="22"/>
          <w:szCs w:val="22"/>
        </w:rPr>
        <w:t>emorando GG-ME- 1257-2018 del 21 de diciembre del 2018, y conforme a lo dispuesto  en el Acuerdo N</w:t>
      </w:r>
      <w:r w:rsidR="00E83B1F">
        <w:rPr>
          <w:rFonts w:cs="Arial"/>
          <w:sz w:val="22"/>
          <w:szCs w:val="22"/>
        </w:rPr>
        <w:t>°</w:t>
      </w:r>
      <w:r w:rsidRPr="005662C5">
        <w:rPr>
          <w:rFonts w:cs="Arial"/>
          <w:sz w:val="22"/>
          <w:szCs w:val="22"/>
        </w:rPr>
        <w:t xml:space="preserve"> 4 de la </w:t>
      </w:r>
      <w:r w:rsidR="00E83B1F">
        <w:rPr>
          <w:rFonts w:cs="Arial"/>
          <w:sz w:val="22"/>
          <w:szCs w:val="22"/>
        </w:rPr>
        <w:t>s</w:t>
      </w:r>
      <w:r w:rsidRPr="005662C5">
        <w:rPr>
          <w:rFonts w:cs="Arial"/>
          <w:sz w:val="22"/>
          <w:szCs w:val="22"/>
        </w:rPr>
        <w:t xml:space="preserve">esión 47-2018 del 30 de agosto del 2018, la Gerencia General remite a esta Junta Directiva la propuesta de guía antes indicada.  </w:t>
      </w:r>
    </w:p>
    <w:p w:rsidR="005662C5" w:rsidRPr="005662C5" w:rsidRDefault="005662C5"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t>4.-)</w:t>
      </w:r>
      <w:r w:rsidRPr="005662C5">
        <w:rPr>
          <w:rFonts w:cs="Arial"/>
          <w:sz w:val="22"/>
          <w:szCs w:val="22"/>
        </w:rPr>
        <w:t xml:space="preserve">  Que el objetivo que se persigue es centralizar ciertos estudios (como el legal) en la entidad autorizada, por lo que el estudio legal debe ser similar al actualmente realizado en el BANHVI, debiendo definirse claramente los alcances mediante la guía de estudio legal y el respectivo procedimiento.</w:t>
      </w:r>
    </w:p>
    <w:p w:rsidR="005662C5" w:rsidRPr="005662C5" w:rsidRDefault="005662C5"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lastRenderedPageBreak/>
        <w:t>5.-)</w:t>
      </w:r>
      <w:r w:rsidRPr="005662C5">
        <w:rPr>
          <w:rFonts w:cs="Arial"/>
          <w:sz w:val="22"/>
          <w:szCs w:val="22"/>
        </w:rPr>
        <w:t xml:space="preserve"> Que analizado y discutido lo propuesto por la Administración, esta Junta Directiva no encuentra inconvenien</w:t>
      </w:r>
      <w:r w:rsidR="00E83B1F">
        <w:rPr>
          <w:rFonts w:cs="Arial"/>
          <w:sz w:val="22"/>
          <w:szCs w:val="22"/>
        </w:rPr>
        <w:t xml:space="preserve">te en proceder a su aprobación, con las disposiciones complementarias que se han estimado pertinentes. </w:t>
      </w:r>
    </w:p>
    <w:p w:rsidR="005662C5" w:rsidRPr="005662C5" w:rsidRDefault="005662C5"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F279AE">
        <w:rPr>
          <w:rFonts w:cs="Arial"/>
          <w:b/>
          <w:sz w:val="22"/>
          <w:szCs w:val="22"/>
        </w:rPr>
        <w:t>POR TANTO</w:t>
      </w:r>
      <w:r w:rsidRPr="005662C5">
        <w:rPr>
          <w:rFonts w:cs="Arial"/>
          <w:sz w:val="22"/>
          <w:szCs w:val="22"/>
        </w:rPr>
        <w:t xml:space="preserve">,  se acuerda y ordena lo siguiente: </w:t>
      </w:r>
    </w:p>
    <w:p w:rsidR="00E83B1F" w:rsidRDefault="00E83B1F" w:rsidP="005662C5">
      <w:pPr>
        <w:spacing w:line="360" w:lineRule="auto"/>
        <w:jc w:val="both"/>
        <w:rPr>
          <w:rFonts w:cs="Arial"/>
          <w:b/>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t>Primero:</w:t>
      </w:r>
      <w:r w:rsidRPr="005662C5">
        <w:rPr>
          <w:rFonts w:cs="Arial"/>
          <w:sz w:val="22"/>
          <w:szCs w:val="22"/>
        </w:rPr>
        <w:t xml:space="preserve"> Se aprueba la propuesta de guía para el estudio legal de las solicitudes de financiamiento con recursos del Fondo de Subsidios para la Vivienda</w:t>
      </w:r>
      <w:r w:rsidR="00E83B1F">
        <w:rPr>
          <w:rFonts w:cs="Arial"/>
          <w:sz w:val="22"/>
          <w:szCs w:val="22"/>
        </w:rPr>
        <w:t>,</w:t>
      </w:r>
      <w:r w:rsidRPr="005662C5">
        <w:rPr>
          <w:rFonts w:cs="Arial"/>
          <w:sz w:val="22"/>
          <w:szCs w:val="22"/>
        </w:rPr>
        <w:t xml:space="preserve"> que se adjunta al presente acuerdo y </w:t>
      </w:r>
      <w:r w:rsidR="00E83B1F">
        <w:rPr>
          <w:rFonts w:cs="Arial"/>
          <w:sz w:val="22"/>
          <w:szCs w:val="22"/>
        </w:rPr>
        <w:t xml:space="preserve">que </w:t>
      </w:r>
      <w:r w:rsidRPr="005662C5">
        <w:rPr>
          <w:rFonts w:cs="Arial"/>
          <w:sz w:val="22"/>
          <w:szCs w:val="22"/>
        </w:rPr>
        <w:t xml:space="preserve">forma parte del mismo para todos los efectos legales.  </w:t>
      </w:r>
    </w:p>
    <w:p w:rsidR="005662C5" w:rsidRPr="005662C5" w:rsidRDefault="005662C5"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t>Segundo:</w:t>
      </w:r>
      <w:r w:rsidRPr="005662C5">
        <w:rPr>
          <w:rFonts w:cs="Arial"/>
          <w:sz w:val="22"/>
          <w:szCs w:val="22"/>
        </w:rPr>
        <w:t xml:space="preserve"> Para aplicar dicha guía y realizar los estudios legales de cada solicitud de financiamiento, se observará el siguiente procedimiento: </w:t>
      </w:r>
    </w:p>
    <w:p w:rsidR="005662C5" w:rsidRPr="005662C5" w:rsidRDefault="005662C5" w:rsidP="005662C5">
      <w:pPr>
        <w:numPr>
          <w:ilvl w:val="0"/>
          <w:numId w:val="24"/>
        </w:numPr>
        <w:spacing w:line="360" w:lineRule="auto"/>
        <w:ind w:left="284" w:hanging="284"/>
        <w:jc w:val="both"/>
        <w:rPr>
          <w:rFonts w:cs="Arial"/>
          <w:sz w:val="22"/>
          <w:szCs w:val="22"/>
        </w:rPr>
      </w:pPr>
      <w:r w:rsidRPr="005662C5">
        <w:rPr>
          <w:rFonts w:cs="Arial"/>
          <w:sz w:val="22"/>
          <w:szCs w:val="22"/>
        </w:rPr>
        <w:t xml:space="preserve">Cada entidad debe asignar un asesor legal (de planta o externo) para que lleve a cabo el análisis de la solicitud de financiamiento y conforme a los lineamientos de la guía de estudio legal, en el entendido de que dicho análisis no se refiere solo a un estudio notarial del o de los inmuebles que involucra la solicitud.  </w:t>
      </w:r>
    </w:p>
    <w:p w:rsidR="005662C5" w:rsidRPr="005662C5" w:rsidRDefault="005662C5" w:rsidP="005662C5">
      <w:pPr>
        <w:numPr>
          <w:ilvl w:val="0"/>
          <w:numId w:val="24"/>
        </w:numPr>
        <w:spacing w:line="360" w:lineRule="auto"/>
        <w:ind w:left="284" w:hanging="284"/>
        <w:jc w:val="both"/>
        <w:rPr>
          <w:rFonts w:cs="Arial"/>
          <w:sz w:val="22"/>
          <w:szCs w:val="22"/>
        </w:rPr>
      </w:pPr>
      <w:r w:rsidRPr="005662C5">
        <w:rPr>
          <w:rFonts w:cs="Arial"/>
          <w:sz w:val="22"/>
          <w:szCs w:val="22"/>
        </w:rPr>
        <w:t>Si se detectan errores o inconsistencias, el profesional y la entidad autorizada deben ponerlos en conocimiento del desarrollador, con el propósito de que sean depuradas o corregidas. En caso de que el profesional detecte algunas inconsistencias que, por cualquier razón, ya no sean susceptibles de corrección, debe hacerlo ver e indicar su criterio y recomendaciones.</w:t>
      </w:r>
    </w:p>
    <w:p w:rsidR="005662C5" w:rsidRPr="005662C5" w:rsidRDefault="005662C5" w:rsidP="005662C5">
      <w:pPr>
        <w:numPr>
          <w:ilvl w:val="0"/>
          <w:numId w:val="24"/>
        </w:numPr>
        <w:spacing w:line="360" w:lineRule="auto"/>
        <w:ind w:left="284" w:hanging="284"/>
        <w:jc w:val="both"/>
        <w:rPr>
          <w:rFonts w:cs="Arial"/>
          <w:sz w:val="22"/>
          <w:szCs w:val="22"/>
        </w:rPr>
      </w:pPr>
      <w:r w:rsidRPr="005662C5">
        <w:rPr>
          <w:rFonts w:cs="Arial"/>
          <w:sz w:val="22"/>
          <w:szCs w:val="22"/>
        </w:rPr>
        <w:t>Completado lo anterior, el profesional debe remitir su dictamen al jerarca de la entidad autorizada, para que decida si lo acoge o no, ya que el dictamen no es vinculante y el jerarca debe indicar su posición. En caso de no acogerlo, en igual forma el jerarca debe exponer sus motivos. Al emitir su dictamen, el profesional debe indicar que ha seguido los lineamientos de la guía de estudio legal y las instrucciones conexas del presente acuerdo.</w:t>
      </w:r>
    </w:p>
    <w:p w:rsidR="005662C5" w:rsidRPr="005662C5" w:rsidRDefault="005662C5" w:rsidP="005662C5">
      <w:pPr>
        <w:numPr>
          <w:ilvl w:val="0"/>
          <w:numId w:val="24"/>
        </w:numPr>
        <w:spacing w:line="360" w:lineRule="auto"/>
        <w:ind w:left="284" w:hanging="284"/>
        <w:jc w:val="both"/>
        <w:rPr>
          <w:rFonts w:cs="Arial"/>
          <w:sz w:val="22"/>
          <w:szCs w:val="22"/>
        </w:rPr>
      </w:pPr>
      <w:r w:rsidRPr="005662C5">
        <w:rPr>
          <w:rFonts w:cs="Arial"/>
          <w:sz w:val="22"/>
          <w:szCs w:val="22"/>
        </w:rPr>
        <w:t>Posteriormente, la documentación debe remitirse al BANHVI, integrando y formando parte de la solicitud de financiamiento.</w:t>
      </w:r>
    </w:p>
    <w:p w:rsidR="005662C5" w:rsidRPr="005662C5" w:rsidRDefault="005662C5" w:rsidP="005662C5">
      <w:pPr>
        <w:numPr>
          <w:ilvl w:val="0"/>
          <w:numId w:val="24"/>
        </w:numPr>
        <w:spacing w:line="360" w:lineRule="auto"/>
        <w:ind w:left="284" w:hanging="284"/>
        <w:jc w:val="both"/>
        <w:rPr>
          <w:rFonts w:cs="Arial"/>
          <w:sz w:val="22"/>
          <w:szCs w:val="22"/>
        </w:rPr>
      </w:pPr>
      <w:r w:rsidRPr="005662C5">
        <w:rPr>
          <w:rFonts w:cs="Arial"/>
          <w:sz w:val="22"/>
          <w:szCs w:val="22"/>
        </w:rPr>
        <w:t>Las solicitudes de financiamiento</w:t>
      </w:r>
      <w:r w:rsidR="00486436">
        <w:rPr>
          <w:rFonts w:cs="Arial"/>
          <w:sz w:val="22"/>
          <w:szCs w:val="22"/>
        </w:rPr>
        <w:t>,</w:t>
      </w:r>
      <w:r w:rsidRPr="005662C5">
        <w:rPr>
          <w:rFonts w:cs="Arial"/>
          <w:sz w:val="22"/>
          <w:szCs w:val="22"/>
        </w:rPr>
        <w:t xml:space="preserve"> estarán siendo conocidas por la Junta Directiva, la Gerencia</w:t>
      </w:r>
      <w:r w:rsidR="00A66FBE">
        <w:rPr>
          <w:rFonts w:cs="Arial"/>
          <w:sz w:val="22"/>
          <w:szCs w:val="22"/>
        </w:rPr>
        <w:t xml:space="preserve"> General</w:t>
      </w:r>
      <w:r w:rsidRPr="005662C5">
        <w:rPr>
          <w:rFonts w:cs="Arial"/>
          <w:sz w:val="22"/>
          <w:szCs w:val="22"/>
        </w:rPr>
        <w:t>, la Subgerencia de Operaciones y la Dirección FOSUVI, todos órganos del BANHVI, para su aprobación o rechazo, con base en el estudio legal de la entidad autorizada, por lo que la Asesoría Legal del Banco se estará pronunciando al respecto,</w:t>
      </w:r>
      <w:r w:rsidR="00E6426B">
        <w:rPr>
          <w:rFonts w:cs="Arial"/>
          <w:sz w:val="22"/>
          <w:szCs w:val="22"/>
        </w:rPr>
        <w:t xml:space="preserve"> cuando la </w:t>
      </w:r>
      <w:r w:rsidR="00E6426B" w:rsidRPr="00E6426B">
        <w:rPr>
          <w:rFonts w:cs="Arial"/>
          <w:sz w:val="22"/>
          <w:szCs w:val="22"/>
        </w:rPr>
        <w:t>Administración</w:t>
      </w:r>
      <w:r w:rsidR="00E6426B">
        <w:rPr>
          <w:rFonts w:cs="Arial"/>
          <w:sz w:val="22"/>
          <w:szCs w:val="22"/>
        </w:rPr>
        <w:t xml:space="preserve"> o la </w:t>
      </w:r>
      <w:r w:rsidR="00E6426B" w:rsidRPr="00E6426B">
        <w:rPr>
          <w:rFonts w:cs="Arial"/>
          <w:sz w:val="22"/>
          <w:szCs w:val="22"/>
        </w:rPr>
        <w:t xml:space="preserve">Junta Directiva </w:t>
      </w:r>
      <w:r w:rsidR="00E6426B">
        <w:rPr>
          <w:rFonts w:cs="Arial"/>
          <w:sz w:val="22"/>
          <w:szCs w:val="22"/>
        </w:rPr>
        <w:t xml:space="preserve">se lo </w:t>
      </w:r>
      <w:r w:rsidRPr="005662C5">
        <w:rPr>
          <w:rFonts w:cs="Arial"/>
          <w:sz w:val="22"/>
          <w:szCs w:val="22"/>
        </w:rPr>
        <w:t>solicit</w:t>
      </w:r>
      <w:r w:rsidR="00E6426B">
        <w:rPr>
          <w:rFonts w:cs="Arial"/>
          <w:sz w:val="22"/>
          <w:szCs w:val="22"/>
        </w:rPr>
        <w:t>e</w:t>
      </w:r>
      <w:r w:rsidRPr="005662C5">
        <w:rPr>
          <w:rFonts w:cs="Arial"/>
          <w:sz w:val="22"/>
          <w:szCs w:val="22"/>
        </w:rPr>
        <w:t>.</w:t>
      </w:r>
    </w:p>
    <w:p w:rsidR="00E83B1F" w:rsidRPr="005662C5" w:rsidRDefault="00E83B1F" w:rsidP="005662C5">
      <w:pPr>
        <w:spacing w:line="360" w:lineRule="auto"/>
        <w:jc w:val="both"/>
        <w:rPr>
          <w:rFonts w:cs="Arial"/>
          <w:sz w:val="22"/>
          <w:szCs w:val="22"/>
        </w:rPr>
      </w:pPr>
    </w:p>
    <w:p w:rsidR="005662C5" w:rsidRPr="005662C5" w:rsidRDefault="005662C5" w:rsidP="005662C5">
      <w:pPr>
        <w:spacing w:line="360" w:lineRule="auto"/>
        <w:jc w:val="both"/>
        <w:rPr>
          <w:rFonts w:cs="Arial"/>
          <w:sz w:val="22"/>
          <w:szCs w:val="22"/>
        </w:rPr>
      </w:pPr>
      <w:r w:rsidRPr="005662C5">
        <w:rPr>
          <w:rFonts w:cs="Arial"/>
          <w:b/>
          <w:sz w:val="22"/>
          <w:szCs w:val="22"/>
        </w:rPr>
        <w:t>Tercero:</w:t>
      </w:r>
      <w:r w:rsidRPr="005662C5">
        <w:rPr>
          <w:rFonts w:cs="Arial"/>
          <w:sz w:val="22"/>
          <w:szCs w:val="22"/>
        </w:rPr>
        <w:t xml:space="preserve"> Rige a partir de</w:t>
      </w:r>
      <w:r w:rsidR="00D25A9A">
        <w:rPr>
          <w:rFonts w:cs="Arial"/>
          <w:sz w:val="22"/>
          <w:szCs w:val="22"/>
        </w:rPr>
        <w:t>l 1° de abril de 2019</w:t>
      </w:r>
      <w:r w:rsidRPr="005662C5">
        <w:rPr>
          <w:rFonts w:cs="Arial"/>
          <w:sz w:val="22"/>
          <w:szCs w:val="22"/>
        </w:rPr>
        <w:t xml:space="preserve">.  Comuníquese a las entidades autorizadas. </w:t>
      </w:r>
    </w:p>
    <w:p w:rsidR="005662C5" w:rsidRPr="005662C5" w:rsidRDefault="005662C5" w:rsidP="005662C5">
      <w:pPr>
        <w:spacing w:line="360" w:lineRule="auto"/>
        <w:jc w:val="both"/>
        <w:rPr>
          <w:rFonts w:cs="Arial"/>
          <w:sz w:val="22"/>
          <w:szCs w:val="22"/>
        </w:rPr>
      </w:pPr>
    </w:p>
    <w:p w:rsidR="006B1195" w:rsidRDefault="006B1195" w:rsidP="006B1195">
      <w:pPr>
        <w:spacing w:line="360" w:lineRule="auto"/>
        <w:jc w:val="both"/>
        <w:rPr>
          <w:rFonts w:cs="Arial"/>
          <w:bCs/>
          <w:sz w:val="22"/>
          <w:szCs w:val="22"/>
        </w:rPr>
      </w:pPr>
      <w:r w:rsidRPr="006B1195">
        <w:rPr>
          <w:rFonts w:cs="Arial"/>
          <w:b/>
          <w:bCs/>
          <w:sz w:val="22"/>
          <w:szCs w:val="22"/>
        </w:rPr>
        <w:t>Cuarto:</w:t>
      </w:r>
      <w:r>
        <w:rPr>
          <w:rFonts w:cs="Arial"/>
          <w:bCs/>
          <w:sz w:val="22"/>
          <w:szCs w:val="22"/>
        </w:rPr>
        <w:t xml:space="preserve"> Instruir a la </w:t>
      </w:r>
      <w:r w:rsidRPr="00D25D8E">
        <w:rPr>
          <w:rFonts w:cs="Arial"/>
          <w:bCs/>
          <w:sz w:val="22"/>
          <w:szCs w:val="22"/>
        </w:rPr>
        <w:t>Asesoría Legal</w:t>
      </w:r>
      <w:r>
        <w:rPr>
          <w:rFonts w:cs="Arial"/>
          <w:bCs/>
          <w:sz w:val="22"/>
          <w:szCs w:val="22"/>
        </w:rPr>
        <w:t>, para que le brinde una inducción de dicha guía, formalmente documentada, a las instancias que correspondan en cada entidad autorizada y eventualmente a las empresas desarrolladoras</w:t>
      </w:r>
      <w:r w:rsidR="00D25A9A">
        <w:rPr>
          <w:rFonts w:cs="Arial"/>
          <w:bCs/>
          <w:sz w:val="22"/>
          <w:szCs w:val="22"/>
        </w:rPr>
        <w:t>.</w:t>
      </w:r>
      <w:r w:rsidR="00AA647E">
        <w:rPr>
          <w:rFonts w:cs="Arial"/>
          <w:bCs/>
          <w:sz w:val="22"/>
          <w:szCs w:val="22"/>
        </w:rPr>
        <w:t xml:space="preserve">  Para atender esta disposición, se otorga a la </w:t>
      </w:r>
      <w:r w:rsidR="00AA647E" w:rsidRPr="00AA647E">
        <w:rPr>
          <w:rFonts w:cs="Arial"/>
          <w:bCs/>
          <w:sz w:val="22"/>
          <w:szCs w:val="22"/>
        </w:rPr>
        <w:t>Asesoría Legal</w:t>
      </w:r>
      <w:r w:rsidR="00AA647E">
        <w:rPr>
          <w:rFonts w:cs="Arial"/>
          <w:bCs/>
          <w:sz w:val="22"/>
          <w:szCs w:val="22"/>
        </w:rPr>
        <w:t xml:space="preserve"> un plazo de hasta el 28 de febrero de 2019.</w:t>
      </w:r>
    </w:p>
    <w:p w:rsidR="006B1195" w:rsidRDefault="006B1195" w:rsidP="006B1195">
      <w:pPr>
        <w:spacing w:line="360" w:lineRule="auto"/>
        <w:jc w:val="both"/>
        <w:rPr>
          <w:rFonts w:cs="Arial"/>
          <w:bCs/>
          <w:sz w:val="22"/>
          <w:szCs w:val="22"/>
        </w:rPr>
      </w:pPr>
    </w:p>
    <w:p w:rsidR="006B1195" w:rsidRDefault="006B1195" w:rsidP="006B1195">
      <w:pPr>
        <w:spacing w:line="360" w:lineRule="auto"/>
        <w:jc w:val="both"/>
        <w:rPr>
          <w:rFonts w:cs="Arial"/>
          <w:bCs/>
          <w:sz w:val="22"/>
          <w:szCs w:val="22"/>
        </w:rPr>
      </w:pPr>
      <w:r w:rsidRPr="006B1195">
        <w:rPr>
          <w:rFonts w:cs="Arial"/>
          <w:b/>
          <w:bCs/>
          <w:sz w:val="22"/>
          <w:szCs w:val="22"/>
        </w:rPr>
        <w:t>Quinto:</w:t>
      </w:r>
      <w:r>
        <w:rPr>
          <w:rFonts w:cs="Arial"/>
          <w:bCs/>
          <w:sz w:val="22"/>
          <w:szCs w:val="22"/>
        </w:rPr>
        <w:t xml:space="preserve"> Deberá revisar y verificar la Dirección FOSUVI, los mecanismos adecuados para realizar la labor de control y fiscalización sobre la gestión de las entidades autorizadas</w:t>
      </w:r>
      <w:r w:rsidR="00793DF8">
        <w:rPr>
          <w:rFonts w:cs="Arial"/>
          <w:bCs/>
          <w:sz w:val="22"/>
          <w:szCs w:val="22"/>
        </w:rPr>
        <w:t>,</w:t>
      </w:r>
      <w:r>
        <w:rPr>
          <w:rFonts w:cs="Arial"/>
          <w:bCs/>
          <w:sz w:val="22"/>
          <w:szCs w:val="22"/>
        </w:rPr>
        <w:t xml:space="preserve"> en cuanto a</w:t>
      </w:r>
      <w:r w:rsidR="00793DF8">
        <w:rPr>
          <w:rFonts w:cs="Arial"/>
          <w:bCs/>
          <w:sz w:val="22"/>
          <w:szCs w:val="22"/>
        </w:rPr>
        <w:t xml:space="preserve"> la realización de</w:t>
      </w:r>
      <w:r>
        <w:rPr>
          <w:rFonts w:cs="Arial"/>
          <w:bCs/>
          <w:sz w:val="22"/>
          <w:szCs w:val="22"/>
        </w:rPr>
        <w:t xml:space="preserve"> los estudios </w:t>
      </w:r>
      <w:r>
        <w:rPr>
          <w:rFonts w:cs="Arial"/>
          <w:sz w:val="22"/>
          <w:szCs w:val="22"/>
          <w:lang w:val="es-ES_tradnl"/>
        </w:rPr>
        <w:t>legales</w:t>
      </w:r>
      <w:r w:rsidR="00A66FBE">
        <w:rPr>
          <w:rFonts w:cs="Arial"/>
          <w:sz w:val="22"/>
          <w:szCs w:val="22"/>
          <w:lang w:val="es-ES_tradnl"/>
        </w:rPr>
        <w:t>,</w:t>
      </w:r>
      <w:r>
        <w:rPr>
          <w:rFonts w:cs="Arial"/>
          <w:sz w:val="22"/>
          <w:szCs w:val="22"/>
          <w:lang w:val="es-ES_tradnl"/>
        </w:rPr>
        <w:t xml:space="preserve"> </w:t>
      </w:r>
      <w:r w:rsidR="00793DF8">
        <w:rPr>
          <w:rFonts w:cs="Arial"/>
          <w:sz w:val="22"/>
          <w:szCs w:val="22"/>
          <w:lang w:val="es-ES_tradnl"/>
        </w:rPr>
        <w:t>sobre</w:t>
      </w:r>
      <w:r>
        <w:rPr>
          <w:rFonts w:cs="Arial"/>
          <w:sz w:val="22"/>
          <w:szCs w:val="22"/>
          <w:lang w:val="es-ES_tradnl"/>
        </w:rPr>
        <w:t xml:space="preserve"> las solicitudes de financiamiento con recursos del FOSUVI.</w:t>
      </w:r>
    </w:p>
    <w:p w:rsidR="006B1195" w:rsidRDefault="006B1195" w:rsidP="006B1195">
      <w:pPr>
        <w:spacing w:line="360" w:lineRule="auto"/>
        <w:jc w:val="both"/>
        <w:rPr>
          <w:rFonts w:cs="Arial"/>
          <w:bCs/>
          <w:sz w:val="22"/>
          <w:szCs w:val="22"/>
        </w:rPr>
      </w:pPr>
    </w:p>
    <w:p w:rsidR="002B71CC" w:rsidRDefault="006B1195" w:rsidP="002B71CC">
      <w:pPr>
        <w:spacing w:line="360" w:lineRule="auto"/>
        <w:jc w:val="both"/>
        <w:rPr>
          <w:rFonts w:cs="Arial"/>
          <w:sz w:val="22"/>
          <w:szCs w:val="22"/>
        </w:rPr>
      </w:pPr>
      <w:r w:rsidRPr="00793DF8">
        <w:rPr>
          <w:rFonts w:cs="Arial"/>
          <w:b/>
          <w:bCs/>
          <w:sz w:val="22"/>
          <w:szCs w:val="22"/>
        </w:rPr>
        <w:t>Sexto:</w:t>
      </w:r>
      <w:r>
        <w:rPr>
          <w:rFonts w:cs="Arial"/>
          <w:bCs/>
          <w:sz w:val="22"/>
          <w:szCs w:val="22"/>
        </w:rPr>
        <w:t xml:space="preserve"> La Dirección de Supervisión de Entidades Autorizadas y la </w:t>
      </w:r>
      <w:r w:rsidRPr="006B1195">
        <w:rPr>
          <w:rFonts w:cs="Arial"/>
          <w:bCs/>
          <w:sz w:val="22"/>
          <w:szCs w:val="22"/>
        </w:rPr>
        <w:t>Auditoría Interna</w:t>
      </w:r>
      <w:r>
        <w:rPr>
          <w:rFonts w:cs="Arial"/>
          <w:bCs/>
          <w:sz w:val="22"/>
          <w:szCs w:val="22"/>
        </w:rPr>
        <w:t xml:space="preserve">, cada una dentro de sus competencias, deberán ejercer una fiscalización posterior permanente, sobre la aplicación de </w:t>
      </w:r>
      <w:r w:rsidR="00E6426B">
        <w:rPr>
          <w:rFonts w:cs="Arial"/>
          <w:bCs/>
          <w:sz w:val="22"/>
          <w:szCs w:val="22"/>
        </w:rPr>
        <w:t xml:space="preserve">la normativa establecida en </w:t>
      </w:r>
      <w:r>
        <w:rPr>
          <w:rFonts w:cs="Arial"/>
          <w:bCs/>
          <w:sz w:val="22"/>
          <w:szCs w:val="22"/>
        </w:rPr>
        <w:t>esta guía</w:t>
      </w:r>
      <w:r w:rsidR="00E6426B">
        <w:rPr>
          <w:rFonts w:cs="Arial"/>
          <w:bCs/>
          <w:sz w:val="22"/>
          <w:szCs w:val="22"/>
        </w:rPr>
        <w:t>,</w:t>
      </w:r>
      <w:r>
        <w:rPr>
          <w:rFonts w:cs="Arial"/>
          <w:bCs/>
          <w:sz w:val="22"/>
          <w:szCs w:val="22"/>
        </w:rPr>
        <w:t xml:space="preserve"> por parte de las entidades autorizadas.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7B2711" w:rsidRPr="00465CB6" w:rsidRDefault="007B2711" w:rsidP="007B2711">
      <w:pPr>
        <w:spacing w:line="360" w:lineRule="auto"/>
        <w:jc w:val="both"/>
        <w:rPr>
          <w:rFonts w:cs="Arial"/>
          <w:b/>
          <w:sz w:val="22"/>
        </w:rPr>
      </w:pPr>
      <w:r w:rsidRPr="00465CB6">
        <w:rPr>
          <w:rFonts w:cs="Arial"/>
          <w:b/>
          <w:sz w:val="22"/>
        </w:rPr>
        <w:t>Considerando:</w:t>
      </w:r>
    </w:p>
    <w:p w:rsidR="007B2711" w:rsidRDefault="007B2711" w:rsidP="007B2711">
      <w:pPr>
        <w:spacing w:line="360" w:lineRule="auto"/>
        <w:jc w:val="both"/>
        <w:rPr>
          <w:rFonts w:cs="Arial"/>
          <w:bCs/>
          <w:sz w:val="22"/>
          <w:lang w:val="es-ES_tradnl"/>
        </w:rPr>
      </w:pPr>
      <w:r w:rsidRPr="00465CB6">
        <w:rPr>
          <w:rFonts w:cs="Arial"/>
          <w:b/>
          <w:sz w:val="22"/>
        </w:rPr>
        <w:t>Primero:</w:t>
      </w:r>
      <w:r>
        <w:rPr>
          <w:rFonts w:cs="Arial"/>
          <w:sz w:val="22"/>
        </w:rPr>
        <w:t xml:space="preserve"> Que mediante el oficio GG-IN15-1243-2018 del 19 de diciembre de 2018</w:t>
      </w:r>
      <w:r>
        <w:rPr>
          <w:rFonts w:cs="Arial"/>
          <w:bCs/>
          <w:sz w:val="22"/>
          <w:lang w:val="es-ES_tradnl"/>
        </w:rPr>
        <w:t>,</w:t>
      </w:r>
      <w:r w:rsidRPr="00472F9C">
        <w:rPr>
          <w:rFonts w:cs="Arial"/>
          <w:bCs/>
          <w:sz w:val="22"/>
          <w:lang w:val="es-ES_tradnl"/>
        </w:rPr>
        <w:t xml:space="preserve"> </w:t>
      </w:r>
      <w:r>
        <w:rPr>
          <w:rFonts w:cs="Arial"/>
          <w:bCs/>
          <w:sz w:val="22"/>
          <w:lang w:val="es-ES_tradnl"/>
        </w:rPr>
        <w:t xml:space="preserve">la </w:t>
      </w:r>
      <w:r w:rsidRPr="00472F9C">
        <w:rPr>
          <w:rFonts w:cs="Arial"/>
          <w:bCs/>
          <w:sz w:val="22"/>
          <w:lang w:val="es-ES_tradnl"/>
        </w:rPr>
        <w:t>Gerencia General</w:t>
      </w:r>
      <w:r>
        <w:rPr>
          <w:rFonts w:cs="Arial"/>
          <w:bCs/>
          <w:sz w:val="22"/>
          <w:lang w:val="es-ES_tradnl"/>
        </w:rPr>
        <w:t xml:space="preserve"> somete a la consideración de esta </w:t>
      </w:r>
      <w:r w:rsidRPr="00472F9C">
        <w:rPr>
          <w:rFonts w:cs="Arial"/>
          <w:bCs/>
          <w:sz w:val="22"/>
          <w:lang w:val="es-ES_tradnl"/>
        </w:rPr>
        <w:t>Junta Directiva</w:t>
      </w:r>
      <w:r>
        <w:rPr>
          <w:rFonts w:cs="Arial"/>
          <w:bCs/>
          <w:sz w:val="22"/>
          <w:lang w:val="es-ES_tradnl"/>
        </w:rPr>
        <w:t>, la propuesta de actualización del Código de Gobierno Corporativo del BANHVI, correspondiente al período 2018, elaborado por la Unidad de Planificación Institucional en coordinación con las distintas áreas del Banco y que se adjunta a la nota UPI-IN19-155-2018 de dicha dependencia.</w:t>
      </w:r>
    </w:p>
    <w:p w:rsidR="007B2711" w:rsidRPr="000B31CD" w:rsidRDefault="007B2711" w:rsidP="007B2711">
      <w:pPr>
        <w:spacing w:line="360" w:lineRule="auto"/>
        <w:jc w:val="both"/>
        <w:rPr>
          <w:rFonts w:cs="Arial"/>
          <w:sz w:val="22"/>
          <w:szCs w:val="22"/>
          <w:lang w:val="es-ES_tradnl"/>
        </w:rPr>
      </w:pPr>
    </w:p>
    <w:p w:rsidR="007B2711" w:rsidRDefault="007B2711" w:rsidP="007B2711">
      <w:pPr>
        <w:spacing w:line="360" w:lineRule="auto"/>
        <w:jc w:val="both"/>
        <w:rPr>
          <w:rFonts w:cs="Arial"/>
          <w:sz w:val="22"/>
        </w:rPr>
      </w:pPr>
      <w:r w:rsidRPr="00465CB6">
        <w:rPr>
          <w:rFonts w:cs="Arial"/>
          <w:b/>
          <w:sz w:val="22"/>
        </w:rPr>
        <w:t>Segundo:</w:t>
      </w:r>
      <w:r>
        <w:rPr>
          <w:rFonts w:cs="Arial"/>
          <w:sz w:val="22"/>
        </w:rPr>
        <w:t xml:space="preserve"> Que conocida la propuesta de la </w:t>
      </w:r>
      <w:r w:rsidRPr="0007040F">
        <w:rPr>
          <w:rFonts w:cs="Arial"/>
          <w:sz w:val="22"/>
        </w:rPr>
        <w:t>Administración</w:t>
      </w:r>
      <w:r>
        <w:rPr>
          <w:rFonts w:cs="Arial"/>
          <w:sz w:val="22"/>
        </w:rPr>
        <w:t xml:space="preserve"> y no habiendo objeciones al respecto, lo procedente es aprobarla en los mismos términos que se indican en el documento adjunto a las citadas notas de la </w:t>
      </w:r>
      <w:r w:rsidRPr="00E61BDF">
        <w:rPr>
          <w:rFonts w:cs="Arial"/>
          <w:sz w:val="22"/>
        </w:rPr>
        <w:t>Gerencia General</w:t>
      </w:r>
      <w:r>
        <w:rPr>
          <w:rFonts w:cs="Arial"/>
          <w:sz w:val="22"/>
        </w:rPr>
        <w:t xml:space="preserve"> y de la Unidad de Planificación Institucional, ajustando dicho documento, en lo que corresponda, a las disposiciones de la </w:t>
      </w:r>
      <w:r w:rsidRPr="000249ED">
        <w:rPr>
          <w:rFonts w:cs="Arial"/>
          <w:bCs/>
          <w:sz w:val="22"/>
          <w:szCs w:val="22"/>
        </w:rPr>
        <w:t>Ley No. 9635</w:t>
      </w:r>
      <w:r w:rsidRPr="000249ED">
        <w:rPr>
          <w:rFonts w:cs="Arial"/>
          <w:sz w:val="22"/>
          <w:szCs w:val="22"/>
        </w:rPr>
        <w:t xml:space="preserve"> “</w:t>
      </w:r>
      <w:r w:rsidRPr="000249ED">
        <w:rPr>
          <w:rFonts w:cs="Arial"/>
          <w:bCs/>
          <w:i/>
          <w:iCs/>
          <w:sz w:val="22"/>
          <w:szCs w:val="22"/>
        </w:rPr>
        <w:t>Fortalecimiento de las finanzas públicas</w:t>
      </w:r>
      <w:r>
        <w:rPr>
          <w:rFonts w:cs="Arial"/>
          <w:sz w:val="22"/>
          <w:szCs w:val="22"/>
        </w:rPr>
        <w:t>”.</w:t>
      </w:r>
    </w:p>
    <w:p w:rsidR="007B2711" w:rsidRDefault="007B2711" w:rsidP="007B2711">
      <w:pPr>
        <w:spacing w:line="360" w:lineRule="auto"/>
        <w:jc w:val="both"/>
        <w:rPr>
          <w:rFonts w:cs="Arial"/>
          <w:sz w:val="22"/>
        </w:rPr>
      </w:pPr>
    </w:p>
    <w:p w:rsidR="007B2711" w:rsidRDefault="007B2711" w:rsidP="007B2711">
      <w:pPr>
        <w:spacing w:line="360" w:lineRule="auto"/>
        <w:jc w:val="both"/>
        <w:rPr>
          <w:rFonts w:cs="Arial"/>
          <w:sz w:val="22"/>
        </w:rPr>
      </w:pPr>
      <w:r w:rsidRPr="0009503C">
        <w:rPr>
          <w:rFonts w:cs="Arial"/>
          <w:b/>
          <w:sz w:val="22"/>
          <w:szCs w:val="22"/>
        </w:rPr>
        <w:t>Tercero:</w:t>
      </w:r>
      <w:r>
        <w:rPr>
          <w:rFonts w:cs="Arial"/>
          <w:sz w:val="22"/>
          <w:szCs w:val="22"/>
        </w:rPr>
        <w:t xml:space="preserve"> Que adicionalmente, se estima pertinente girar instrucciones a la </w:t>
      </w:r>
      <w:r w:rsidRPr="00845C96">
        <w:rPr>
          <w:rFonts w:cs="Arial"/>
          <w:sz w:val="22"/>
          <w:szCs w:val="22"/>
        </w:rPr>
        <w:t>Administración</w:t>
      </w:r>
      <w:r>
        <w:rPr>
          <w:rFonts w:cs="Arial"/>
          <w:sz w:val="22"/>
          <w:szCs w:val="22"/>
        </w:rPr>
        <w:t>, para que revise</w:t>
      </w:r>
      <w:r>
        <w:rPr>
          <w:rFonts w:cs="Arial"/>
          <w:sz w:val="22"/>
        </w:rPr>
        <w:t xml:space="preserve"> lo actuado con respecto a los lineamientos que, según el oficio </w:t>
      </w:r>
      <w:r>
        <w:rPr>
          <w:rFonts w:cs="Arial"/>
          <w:bCs/>
          <w:sz w:val="22"/>
          <w:lang w:val="es-ES_tradnl"/>
        </w:rPr>
        <w:t xml:space="preserve">UPI-IN19-155-2018, </w:t>
      </w:r>
      <w:r>
        <w:rPr>
          <w:rFonts w:cs="Arial"/>
          <w:sz w:val="22"/>
        </w:rPr>
        <w:t xml:space="preserve">se consignan como pendientes de definir o fortalecer para la estructura de Gobierno Corporativo, y presente a esta </w:t>
      </w:r>
      <w:r w:rsidRPr="004C4473">
        <w:rPr>
          <w:rFonts w:cs="Arial"/>
          <w:sz w:val="22"/>
          <w:szCs w:val="22"/>
        </w:rPr>
        <w:t xml:space="preserve">Junta Directiva </w:t>
      </w:r>
      <w:r>
        <w:rPr>
          <w:rFonts w:cs="Arial"/>
          <w:sz w:val="22"/>
          <w:szCs w:val="22"/>
        </w:rPr>
        <w:t xml:space="preserve">un informe sobre lo actuado respecto a dichos lineamientos, así como </w:t>
      </w:r>
      <w:r>
        <w:rPr>
          <w:rFonts w:cs="Arial"/>
          <w:sz w:val="22"/>
        </w:rPr>
        <w:t>la estrategia para el abordaje de aquellos que continúen pendientes de atender.</w:t>
      </w:r>
    </w:p>
    <w:p w:rsidR="007B2711" w:rsidRDefault="007B2711" w:rsidP="007B2711">
      <w:pPr>
        <w:spacing w:line="360" w:lineRule="auto"/>
        <w:jc w:val="both"/>
        <w:rPr>
          <w:rFonts w:cs="Arial"/>
          <w:sz w:val="22"/>
        </w:rPr>
      </w:pPr>
    </w:p>
    <w:p w:rsidR="007B2711" w:rsidRPr="00465CB6" w:rsidRDefault="007B2711" w:rsidP="007B2711">
      <w:pPr>
        <w:spacing w:line="360" w:lineRule="auto"/>
        <w:jc w:val="both"/>
        <w:rPr>
          <w:rFonts w:cs="Arial"/>
          <w:b/>
          <w:sz w:val="22"/>
        </w:rPr>
      </w:pPr>
      <w:r w:rsidRPr="00465CB6">
        <w:rPr>
          <w:rFonts w:cs="Arial"/>
          <w:b/>
          <w:sz w:val="22"/>
        </w:rPr>
        <w:t>Por tanto, se acuerda:</w:t>
      </w:r>
    </w:p>
    <w:p w:rsidR="007B2711" w:rsidRDefault="007B2711" w:rsidP="007B2711">
      <w:pPr>
        <w:spacing w:line="360" w:lineRule="auto"/>
        <w:jc w:val="both"/>
        <w:rPr>
          <w:rFonts w:cs="Arial"/>
          <w:sz w:val="22"/>
          <w:szCs w:val="22"/>
        </w:rPr>
      </w:pPr>
      <w:r w:rsidRPr="00034EFC">
        <w:rPr>
          <w:rFonts w:cs="Arial"/>
          <w:b/>
          <w:sz w:val="22"/>
        </w:rPr>
        <w:t>1)</w:t>
      </w:r>
      <w:r>
        <w:rPr>
          <w:rFonts w:cs="Arial"/>
          <w:sz w:val="22"/>
        </w:rPr>
        <w:t xml:space="preserve"> Aprobar la actualización del Código de Gobierno Corporativo del </w:t>
      </w:r>
      <w:r w:rsidRPr="00973DBF">
        <w:rPr>
          <w:rFonts w:cs="Arial"/>
          <w:sz w:val="22"/>
        </w:rPr>
        <w:t>Banco Hipotecario de la Vivienda</w:t>
      </w:r>
      <w:r>
        <w:rPr>
          <w:rFonts w:cs="Arial"/>
          <w:sz w:val="22"/>
        </w:rPr>
        <w:t xml:space="preserve">, correspondiente al período 2018, en los mismos términos que se indican en el documento adjunto a los oficios GG-IN15-1243-2018 </w:t>
      </w:r>
      <w:r>
        <w:rPr>
          <w:rFonts w:cs="Arial"/>
          <w:sz w:val="22"/>
          <w:szCs w:val="22"/>
        </w:rPr>
        <w:t xml:space="preserve">y </w:t>
      </w:r>
      <w:r>
        <w:rPr>
          <w:rFonts w:cs="Arial"/>
          <w:bCs/>
          <w:sz w:val="22"/>
          <w:lang w:val="es-ES_tradnl"/>
        </w:rPr>
        <w:t xml:space="preserve">UPI-IN19-155-2018 </w:t>
      </w:r>
      <w:r>
        <w:rPr>
          <w:rFonts w:cs="Arial"/>
          <w:sz w:val="22"/>
          <w:szCs w:val="22"/>
        </w:rPr>
        <w:t xml:space="preserve">de la </w:t>
      </w:r>
      <w:r w:rsidRPr="00973DBF">
        <w:rPr>
          <w:rFonts w:cs="Arial"/>
          <w:sz w:val="22"/>
          <w:szCs w:val="22"/>
        </w:rPr>
        <w:t>Gerencia General</w:t>
      </w:r>
      <w:r>
        <w:rPr>
          <w:rFonts w:cs="Arial"/>
          <w:sz w:val="22"/>
          <w:szCs w:val="22"/>
        </w:rPr>
        <w:t xml:space="preserve"> y la Unidad de Planificación Institucional, debiendo ajustarse </w:t>
      </w:r>
      <w:r>
        <w:rPr>
          <w:rFonts w:cs="Arial"/>
          <w:sz w:val="22"/>
        </w:rPr>
        <w:t xml:space="preserve">dicho documento, en lo que corresponda, a las disposiciones de la </w:t>
      </w:r>
      <w:r w:rsidRPr="000249ED">
        <w:rPr>
          <w:rFonts w:cs="Arial"/>
          <w:bCs/>
          <w:sz w:val="22"/>
          <w:szCs w:val="22"/>
        </w:rPr>
        <w:t>Ley No. 9635</w:t>
      </w:r>
      <w:r w:rsidRPr="000249ED">
        <w:rPr>
          <w:rFonts w:cs="Arial"/>
          <w:sz w:val="22"/>
          <w:szCs w:val="22"/>
        </w:rPr>
        <w:t xml:space="preserve"> “</w:t>
      </w:r>
      <w:r w:rsidRPr="000249ED">
        <w:rPr>
          <w:rFonts w:cs="Arial"/>
          <w:bCs/>
          <w:i/>
          <w:iCs/>
          <w:sz w:val="22"/>
          <w:szCs w:val="22"/>
        </w:rPr>
        <w:t>Fortalecimiento de las finanzas públicas</w:t>
      </w:r>
      <w:r>
        <w:rPr>
          <w:rFonts w:cs="Arial"/>
          <w:sz w:val="22"/>
          <w:szCs w:val="22"/>
        </w:rPr>
        <w:t>”.</w:t>
      </w:r>
    </w:p>
    <w:p w:rsidR="007B2711" w:rsidRDefault="007B2711" w:rsidP="007B2711">
      <w:pPr>
        <w:spacing w:line="360" w:lineRule="auto"/>
        <w:jc w:val="both"/>
        <w:rPr>
          <w:rFonts w:cs="Arial"/>
          <w:sz w:val="22"/>
          <w:szCs w:val="22"/>
        </w:rPr>
      </w:pPr>
    </w:p>
    <w:p w:rsidR="002B71CC" w:rsidRDefault="007B2711" w:rsidP="002B71CC">
      <w:pPr>
        <w:spacing w:line="360" w:lineRule="auto"/>
        <w:jc w:val="both"/>
        <w:rPr>
          <w:rFonts w:cs="Arial"/>
          <w:sz w:val="22"/>
          <w:szCs w:val="22"/>
        </w:rPr>
      </w:pPr>
      <w:r w:rsidRPr="00034EFC">
        <w:rPr>
          <w:rFonts w:cs="Arial"/>
          <w:b/>
          <w:sz w:val="22"/>
        </w:rPr>
        <w:t>2)</w:t>
      </w:r>
      <w:r>
        <w:rPr>
          <w:rFonts w:cs="Arial"/>
          <w:sz w:val="22"/>
        </w:rPr>
        <w:t xml:space="preserve"> Se instruye a la </w:t>
      </w:r>
      <w:r w:rsidRPr="0009503C">
        <w:rPr>
          <w:rFonts w:cs="Arial"/>
          <w:sz w:val="22"/>
          <w:szCs w:val="22"/>
        </w:rPr>
        <w:t>Administración</w:t>
      </w:r>
      <w:r>
        <w:rPr>
          <w:rFonts w:cs="Arial"/>
          <w:sz w:val="22"/>
          <w:szCs w:val="22"/>
        </w:rPr>
        <w:t>, para que revise</w:t>
      </w:r>
      <w:r>
        <w:rPr>
          <w:rFonts w:cs="Arial"/>
          <w:sz w:val="22"/>
        </w:rPr>
        <w:t xml:space="preserve"> los lineamientos que en dicho informe se consignan como pendientes de definir o fortalecer para la estructura de Gobierno Corporativo, y presente a esta </w:t>
      </w:r>
      <w:r w:rsidRPr="004C4473">
        <w:rPr>
          <w:rFonts w:cs="Arial"/>
          <w:sz w:val="22"/>
          <w:szCs w:val="22"/>
        </w:rPr>
        <w:t>Junta Directiva</w:t>
      </w:r>
      <w:r>
        <w:rPr>
          <w:rFonts w:cs="Arial"/>
          <w:sz w:val="22"/>
          <w:szCs w:val="22"/>
        </w:rPr>
        <w:t xml:space="preserve">, el próximo lunes 21 de enero, un informe sobre lo actuado al respecto, así como </w:t>
      </w:r>
      <w:r>
        <w:rPr>
          <w:rFonts w:cs="Arial"/>
          <w:sz w:val="22"/>
        </w:rPr>
        <w:t xml:space="preserve">la estrategia para el abordaje de aquellos </w:t>
      </w:r>
      <w:r w:rsidR="00837391">
        <w:rPr>
          <w:rFonts w:cs="Arial"/>
          <w:sz w:val="22"/>
        </w:rPr>
        <w:t xml:space="preserve">lineamientos </w:t>
      </w:r>
      <w:r>
        <w:rPr>
          <w:rFonts w:cs="Arial"/>
          <w:sz w:val="22"/>
        </w:rPr>
        <w:t>que continúen pendientes de atender.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7B2711" w:rsidRPr="00BB303F" w:rsidRDefault="007B2711" w:rsidP="007B2711">
      <w:pPr>
        <w:spacing w:line="360" w:lineRule="auto"/>
        <w:jc w:val="both"/>
        <w:rPr>
          <w:rFonts w:cs="Arial"/>
          <w:b/>
          <w:sz w:val="22"/>
          <w:szCs w:val="22"/>
        </w:rPr>
      </w:pPr>
      <w:r w:rsidRPr="00BB303F">
        <w:rPr>
          <w:rFonts w:cs="Arial"/>
          <w:b/>
          <w:sz w:val="22"/>
          <w:szCs w:val="22"/>
        </w:rPr>
        <w:t>Considerando:</w:t>
      </w:r>
    </w:p>
    <w:p w:rsidR="007B2711" w:rsidRPr="00BB303F" w:rsidRDefault="007B2711" w:rsidP="007B2711">
      <w:pPr>
        <w:spacing w:line="360" w:lineRule="auto"/>
        <w:jc w:val="both"/>
        <w:rPr>
          <w:rFonts w:cs="Arial"/>
          <w:color w:val="000000"/>
          <w:sz w:val="22"/>
          <w:szCs w:val="22"/>
        </w:rPr>
      </w:pPr>
      <w:r w:rsidRPr="00BB303F">
        <w:rPr>
          <w:rFonts w:cs="Arial"/>
          <w:b/>
          <w:bCs/>
          <w:color w:val="000000"/>
          <w:sz w:val="22"/>
          <w:szCs w:val="22"/>
        </w:rPr>
        <w:t>A)</w:t>
      </w:r>
      <w:r w:rsidRPr="00BB303F">
        <w:rPr>
          <w:rFonts w:cs="Arial"/>
          <w:color w:val="000000"/>
          <w:sz w:val="22"/>
          <w:szCs w:val="22"/>
        </w:rPr>
        <w:t xml:space="preserve"> Que mediante el oficio </w:t>
      </w:r>
      <w:r>
        <w:rPr>
          <w:rFonts w:cs="Arial"/>
          <w:color w:val="000000"/>
          <w:sz w:val="22"/>
          <w:szCs w:val="22"/>
        </w:rPr>
        <w:t xml:space="preserve">SGF-ME-0003-2019 del 09 de enero de 2019, </w:t>
      </w:r>
      <w:r w:rsidRPr="00BB303F">
        <w:rPr>
          <w:rFonts w:cs="Arial"/>
          <w:color w:val="000000"/>
          <w:sz w:val="22"/>
          <w:szCs w:val="22"/>
        </w:rPr>
        <w:t>la Subgerencia Financiera remite a esta Junta Directiva, con su respectivo aval, el informe DFNV-ME-04</w:t>
      </w:r>
      <w:r>
        <w:rPr>
          <w:rFonts w:cs="Arial"/>
          <w:color w:val="000000"/>
          <w:sz w:val="22"/>
          <w:szCs w:val="22"/>
        </w:rPr>
        <w:t>53</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 la Dirección FONAVI, que contiene la propuesta de los Programas de </w:t>
      </w:r>
      <w:r>
        <w:rPr>
          <w:rFonts w:cs="Arial"/>
          <w:color w:val="000000"/>
          <w:sz w:val="22"/>
          <w:szCs w:val="22"/>
        </w:rPr>
        <w:t xml:space="preserve">Colocación de </w:t>
      </w:r>
      <w:r w:rsidRPr="00BB303F">
        <w:rPr>
          <w:rFonts w:cs="Arial"/>
          <w:color w:val="000000"/>
          <w:sz w:val="22"/>
          <w:szCs w:val="22"/>
        </w:rPr>
        <w:t>Crédito y el Plan Anual de Captaciones a ejecutar por el BANHVI en el año 201</w:t>
      </w:r>
      <w:r>
        <w:rPr>
          <w:rFonts w:cs="Arial"/>
          <w:color w:val="000000"/>
          <w:sz w:val="22"/>
          <w:szCs w:val="22"/>
        </w:rPr>
        <w:t>9</w:t>
      </w:r>
      <w:r w:rsidRPr="00BB303F">
        <w:rPr>
          <w:rFonts w:cs="Arial"/>
          <w:color w:val="000000"/>
          <w:sz w:val="22"/>
          <w:szCs w:val="22"/>
        </w:rPr>
        <w:t>, así como los principales resultados generados por la estrategia de colocación de crédito y captación de recursos propuesta.</w:t>
      </w:r>
    </w:p>
    <w:p w:rsidR="007B2711" w:rsidRPr="00BB303F" w:rsidRDefault="007B2711" w:rsidP="007B2711">
      <w:pPr>
        <w:spacing w:line="360" w:lineRule="auto"/>
        <w:jc w:val="both"/>
        <w:rPr>
          <w:rFonts w:cs="Arial"/>
          <w:color w:val="000000"/>
          <w:sz w:val="22"/>
          <w:szCs w:val="22"/>
        </w:rPr>
      </w:pPr>
    </w:p>
    <w:p w:rsidR="007B2711" w:rsidRPr="00BB303F" w:rsidRDefault="007B2711" w:rsidP="007B2711">
      <w:pPr>
        <w:spacing w:line="360" w:lineRule="auto"/>
        <w:jc w:val="both"/>
        <w:rPr>
          <w:rFonts w:cs="Arial"/>
          <w:color w:val="000000"/>
          <w:sz w:val="22"/>
          <w:szCs w:val="22"/>
        </w:rPr>
      </w:pPr>
      <w:r w:rsidRPr="00BB303F">
        <w:rPr>
          <w:rFonts w:cs="Arial"/>
          <w:b/>
          <w:bCs/>
          <w:color w:val="000000"/>
          <w:sz w:val="22"/>
          <w:szCs w:val="22"/>
        </w:rPr>
        <w:lastRenderedPageBreak/>
        <w:t>B)</w:t>
      </w:r>
      <w:r w:rsidRPr="00BB303F">
        <w:rPr>
          <w:rFonts w:cs="Arial"/>
          <w:color w:val="000000"/>
          <w:sz w:val="22"/>
          <w:szCs w:val="22"/>
        </w:rPr>
        <w:t xml:space="preserve"> Que con vista de la información suministrada por la Administración y del análisis realizado al respecto, esta Junta Directiva no encuentra objeción en aprobar los referidos programas, en los mismos términos propuestos en el documento adjunto al oficio DFNV-ME-04</w:t>
      </w:r>
      <w:r>
        <w:rPr>
          <w:rFonts w:cs="Arial"/>
          <w:color w:val="000000"/>
          <w:sz w:val="22"/>
          <w:szCs w:val="22"/>
        </w:rPr>
        <w:t>53</w:t>
      </w:r>
      <w:r w:rsidRPr="00BB303F">
        <w:rPr>
          <w:rFonts w:cs="Arial"/>
          <w:color w:val="000000"/>
          <w:sz w:val="22"/>
          <w:szCs w:val="22"/>
        </w:rPr>
        <w:t>-201</w:t>
      </w:r>
      <w:r>
        <w:rPr>
          <w:rFonts w:cs="Arial"/>
          <w:color w:val="000000"/>
          <w:sz w:val="22"/>
          <w:szCs w:val="22"/>
        </w:rPr>
        <w:t>8 de la Dirección FONAVI.</w:t>
      </w:r>
    </w:p>
    <w:p w:rsidR="007B2711" w:rsidRPr="00BB303F" w:rsidRDefault="007B2711" w:rsidP="007B2711">
      <w:pPr>
        <w:spacing w:line="360" w:lineRule="auto"/>
        <w:jc w:val="both"/>
        <w:rPr>
          <w:rFonts w:cs="Arial"/>
          <w:color w:val="000000"/>
          <w:sz w:val="22"/>
          <w:szCs w:val="22"/>
        </w:rPr>
      </w:pPr>
    </w:p>
    <w:p w:rsidR="007B2711" w:rsidRPr="00BB303F" w:rsidRDefault="007B2711" w:rsidP="007B2711">
      <w:pPr>
        <w:spacing w:line="360" w:lineRule="auto"/>
        <w:jc w:val="both"/>
        <w:rPr>
          <w:rFonts w:cs="Arial"/>
          <w:b/>
          <w:sz w:val="22"/>
          <w:szCs w:val="22"/>
        </w:rPr>
      </w:pPr>
      <w:r w:rsidRPr="00BB303F">
        <w:rPr>
          <w:rFonts w:cs="Arial"/>
          <w:b/>
          <w:sz w:val="22"/>
          <w:szCs w:val="22"/>
        </w:rPr>
        <w:t>Por tanto, se acuerda:</w:t>
      </w:r>
    </w:p>
    <w:p w:rsidR="007B2711" w:rsidRPr="00BB303F" w:rsidRDefault="007B2711" w:rsidP="007B2711">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Aprobar los siguientes:</w:t>
      </w:r>
    </w:p>
    <w:p w:rsidR="007B2711" w:rsidRPr="00BB303F" w:rsidRDefault="007B2711" w:rsidP="007B2711">
      <w:pPr>
        <w:spacing w:line="360" w:lineRule="auto"/>
        <w:jc w:val="both"/>
        <w:rPr>
          <w:rFonts w:cs="Arial"/>
          <w:sz w:val="22"/>
          <w:szCs w:val="22"/>
        </w:rPr>
      </w:pPr>
    </w:p>
    <w:p w:rsidR="007B2711" w:rsidRPr="00BB303F" w:rsidRDefault="007B2711" w:rsidP="007B2711">
      <w:pPr>
        <w:spacing w:line="360" w:lineRule="auto"/>
        <w:jc w:val="center"/>
        <w:rPr>
          <w:rFonts w:cs="Arial"/>
          <w:b/>
          <w:sz w:val="22"/>
          <w:szCs w:val="22"/>
          <w:u w:val="single"/>
        </w:rPr>
      </w:pPr>
      <w:r w:rsidRPr="00BB303F">
        <w:rPr>
          <w:rFonts w:cs="Arial"/>
          <w:b/>
          <w:sz w:val="22"/>
          <w:szCs w:val="22"/>
          <w:u w:val="single"/>
        </w:rPr>
        <w:t>PROGRAMAS DE COLOCACIÓN DE CRÉDITO DEL FONAVI</w:t>
      </w:r>
    </w:p>
    <w:p w:rsidR="007B2711" w:rsidRPr="00BB303F" w:rsidRDefault="007B2711" w:rsidP="007B2711">
      <w:pPr>
        <w:spacing w:line="360" w:lineRule="auto"/>
        <w:jc w:val="center"/>
        <w:rPr>
          <w:rFonts w:cs="Arial"/>
          <w:sz w:val="22"/>
          <w:szCs w:val="22"/>
        </w:rPr>
      </w:pPr>
      <w:r w:rsidRPr="00BB303F">
        <w:rPr>
          <w:rFonts w:cs="Arial"/>
          <w:b/>
          <w:sz w:val="22"/>
          <w:szCs w:val="22"/>
          <w:u w:val="single"/>
        </w:rPr>
        <w:t>PARA EL AÑO 201</w:t>
      </w:r>
      <w:r>
        <w:rPr>
          <w:rFonts w:cs="Arial"/>
          <w:b/>
          <w:sz w:val="22"/>
          <w:szCs w:val="22"/>
          <w:u w:val="single"/>
        </w:rPr>
        <w:t>9</w:t>
      </w:r>
    </w:p>
    <w:p w:rsidR="007B2711" w:rsidRPr="00BB303F" w:rsidRDefault="007B2711" w:rsidP="007B2711">
      <w:pPr>
        <w:pStyle w:val="Textoindependiente"/>
        <w:ind w:right="0"/>
        <w:rPr>
          <w:rFonts w:cs="Arial"/>
          <w:szCs w:val="22"/>
        </w:rPr>
      </w:pPr>
    </w:p>
    <w:p w:rsidR="007B2711" w:rsidRPr="00BB303F" w:rsidRDefault="007B2711" w:rsidP="007B2711">
      <w:pPr>
        <w:pStyle w:val="Textoindependiente"/>
        <w:spacing w:line="240" w:lineRule="auto"/>
        <w:ind w:right="0"/>
        <w:rPr>
          <w:rFonts w:cs="Arial"/>
          <w:b/>
          <w:bCs/>
          <w:szCs w:val="22"/>
        </w:rPr>
      </w:pPr>
      <w:r w:rsidRPr="00BB303F">
        <w:rPr>
          <w:rFonts w:cs="Arial"/>
          <w:b/>
          <w:bCs/>
          <w:szCs w:val="22"/>
        </w:rPr>
        <w:t>I.   PROGRAMA DE CRÉDITO DE LARGO PLAZO EN COLONES</w:t>
      </w:r>
    </w:p>
    <w:p w:rsidR="007B2711" w:rsidRPr="00BB303F" w:rsidRDefault="007B2711" w:rsidP="007B2711">
      <w:pPr>
        <w:jc w:val="both"/>
        <w:rPr>
          <w:rFonts w:cs="Arial"/>
          <w:sz w:val="22"/>
          <w:szCs w:val="22"/>
          <w:lang w:val="es-ES_tradnl"/>
        </w:rPr>
      </w:pPr>
    </w:p>
    <w:p w:rsidR="007B2711" w:rsidRPr="00BB303F" w:rsidRDefault="007B2711" w:rsidP="007B2711">
      <w:pPr>
        <w:jc w:val="both"/>
        <w:rPr>
          <w:rFonts w:cs="Arial"/>
          <w:sz w:val="22"/>
          <w:szCs w:val="22"/>
          <w:lang w:val="es-ES_tradnl"/>
        </w:rPr>
      </w:pPr>
      <w:r w:rsidRPr="00BB303F">
        <w:rPr>
          <w:rFonts w:cs="Arial"/>
          <w:sz w:val="22"/>
          <w:szCs w:val="22"/>
          <w:lang w:val="es-ES_tradnl"/>
        </w:rPr>
        <w:t xml:space="preserve">Las condiciones para el </w:t>
      </w:r>
      <w:r w:rsidRPr="00BB303F">
        <w:rPr>
          <w:rFonts w:cs="Arial"/>
          <w:b/>
          <w:sz w:val="22"/>
          <w:szCs w:val="22"/>
          <w:u w:val="single"/>
          <w:lang w:val="es-ES_tradnl"/>
        </w:rPr>
        <w:t>Programa de Crédito de Largo Plazo en Colones</w:t>
      </w:r>
      <w:r w:rsidRPr="00BB303F">
        <w:rPr>
          <w:rFonts w:cs="Arial"/>
          <w:sz w:val="22"/>
          <w:szCs w:val="22"/>
          <w:lang w:val="es-ES_tradnl"/>
        </w:rPr>
        <w:t>, sea ejecutado mediante crédito convencional o mediante de línea de crédito, son las que se detallan a continuación:</w:t>
      </w:r>
    </w:p>
    <w:p w:rsidR="007B2711" w:rsidRPr="00BB303F" w:rsidRDefault="007B2711" w:rsidP="007B2711">
      <w:pPr>
        <w:jc w:val="both"/>
        <w:rPr>
          <w:rFonts w:cs="Arial"/>
          <w:sz w:val="22"/>
          <w:szCs w:val="22"/>
          <w:lang w:val="es-ES_tradnl"/>
        </w:rPr>
      </w:pPr>
    </w:p>
    <w:p w:rsidR="007B2711"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Financiamiento de soluciones individuales de vivienda</w:t>
      </w:r>
      <w:r>
        <w:rPr>
          <w:rFonts w:cs="Arial"/>
          <w:sz w:val="22"/>
          <w:szCs w:val="22"/>
          <w:lang w:val="es-ES_tradnl"/>
        </w:rPr>
        <w:t>,</w:t>
      </w:r>
      <w:r w:rsidRPr="00BB303F">
        <w:rPr>
          <w:rFonts w:cs="Arial"/>
          <w:sz w:val="22"/>
          <w:szCs w:val="22"/>
          <w:lang w:val="es-ES_tradnl"/>
        </w:rPr>
        <w:t xml:space="preserve">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 En caso de que el crédito sea para compra de lote, el valor del inmueble financiado podrá ser</w:t>
      </w:r>
      <w:r>
        <w:rPr>
          <w:rFonts w:cs="Arial"/>
          <w:sz w:val="22"/>
          <w:szCs w:val="22"/>
          <w:lang w:val="es-ES_tradnl"/>
        </w:rPr>
        <w:t>,</w:t>
      </w:r>
      <w:r w:rsidRPr="00BB303F">
        <w:rPr>
          <w:rFonts w:cs="Arial"/>
          <w:sz w:val="22"/>
          <w:szCs w:val="22"/>
          <w:lang w:val="es-ES_tradnl"/>
        </w:rPr>
        <w:t xml:space="preserve"> como máximo</w:t>
      </w:r>
      <w:r>
        <w:rPr>
          <w:rFonts w:cs="Arial"/>
          <w:sz w:val="22"/>
          <w:szCs w:val="22"/>
          <w:lang w:val="es-ES_tradnl"/>
        </w:rPr>
        <w:t>,</w:t>
      </w:r>
      <w:r w:rsidRPr="00BB303F">
        <w:rPr>
          <w:rFonts w:cs="Arial"/>
          <w:sz w:val="22"/>
          <w:szCs w:val="22"/>
          <w:lang w:val="es-ES_tradnl"/>
        </w:rPr>
        <w:t xml:space="preserve"> el 40% del monto indicado.</w:t>
      </w:r>
    </w:p>
    <w:p w:rsidR="007B2711" w:rsidRDefault="007B2711" w:rsidP="007B2711">
      <w:pPr>
        <w:ind w:left="426"/>
        <w:jc w:val="both"/>
        <w:rPr>
          <w:rFonts w:cs="Arial"/>
          <w:b/>
          <w:sz w:val="22"/>
          <w:szCs w:val="22"/>
          <w:lang w:val="es-ES_tradnl"/>
        </w:rPr>
      </w:pPr>
    </w:p>
    <w:p w:rsidR="007B2711" w:rsidRPr="00DF7A17" w:rsidRDefault="007B2711" w:rsidP="007B2711">
      <w:pPr>
        <w:ind w:left="426"/>
        <w:jc w:val="both"/>
        <w:rPr>
          <w:rFonts w:cs="Arial"/>
          <w:sz w:val="22"/>
          <w:szCs w:val="22"/>
          <w:lang w:val="es-ES_tradnl"/>
        </w:rPr>
      </w:pPr>
      <w:r w:rsidRPr="00DF7A17">
        <w:rPr>
          <w:rFonts w:cs="Arial"/>
          <w:sz w:val="22"/>
          <w:szCs w:val="22"/>
          <w:lang w:val="es-ES_tradnl"/>
        </w:rPr>
        <w:t xml:space="preserve">Al menos </w:t>
      </w:r>
      <w:r>
        <w:rPr>
          <w:rFonts w:cs="Arial"/>
          <w:sz w:val="22"/>
          <w:szCs w:val="22"/>
          <w:lang w:val="es-ES_tradnl"/>
        </w:rPr>
        <w:t>el 10% de los recursos colocados en créditos para vivienda, deberá ser dirigido a personas jóvenes entre los dieciocho y treinta y cinco años de edad.</w:t>
      </w:r>
    </w:p>
    <w:p w:rsidR="007B2711" w:rsidRPr="00BB303F" w:rsidRDefault="007B2711" w:rsidP="007B2711">
      <w:pPr>
        <w:ind w:left="426"/>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Colones.</w:t>
      </w:r>
    </w:p>
    <w:p w:rsidR="007B2711" w:rsidRPr="00BB303F" w:rsidRDefault="007B2711" w:rsidP="007B2711">
      <w:pPr>
        <w:ind w:left="708"/>
        <w:rPr>
          <w:rFonts w:cs="Arial"/>
          <w:sz w:val="22"/>
          <w:szCs w:val="22"/>
          <w:vertAlign w:val="superscript"/>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Tasa de interés </w:t>
      </w:r>
      <w:r>
        <w:rPr>
          <w:rFonts w:cs="Arial"/>
          <w:b/>
          <w:sz w:val="22"/>
          <w:szCs w:val="22"/>
          <w:lang w:val="es-ES_tradnl"/>
        </w:rPr>
        <w:t>corriente</w:t>
      </w:r>
      <w:r w:rsidRPr="00BB303F">
        <w:rPr>
          <w:rFonts w:cs="Arial"/>
          <w:sz w:val="22"/>
          <w:szCs w:val="22"/>
          <w:lang w:val="es-ES_tradnl"/>
        </w:rPr>
        <w:t xml:space="preserve">: </w:t>
      </w:r>
      <w:r w:rsidRPr="00BB303F">
        <w:rPr>
          <w:rFonts w:cs="Arial"/>
          <w:color w:val="000000"/>
          <w:sz w:val="22"/>
          <w:szCs w:val="22"/>
          <w:lang w:val="es-ES_tradnl"/>
        </w:rPr>
        <w:t>Tasa Básica</w:t>
      </w:r>
      <w:r>
        <w:rPr>
          <w:rFonts w:cs="Arial"/>
          <w:color w:val="000000"/>
          <w:sz w:val="22"/>
          <w:szCs w:val="22"/>
          <w:lang w:val="es-ES_tradnl"/>
        </w:rPr>
        <w:t xml:space="preserve"> </w:t>
      </w:r>
      <w:r w:rsidRPr="00BB303F">
        <w:rPr>
          <w:rFonts w:cs="Arial"/>
          <w:color w:val="000000"/>
          <w:sz w:val="22"/>
          <w:szCs w:val="22"/>
          <w:lang w:val="es-ES_tradnl"/>
        </w:rPr>
        <w:t xml:space="preserve">(TB) calculada por el Banco Central de Costa Rica más </w:t>
      </w:r>
      <w:r>
        <w:rPr>
          <w:rFonts w:cs="Arial"/>
          <w:color w:val="000000"/>
          <w:sz w:val="22"/>
          <w:szCs w:val="22"/>
          <w:lang w:val="es-ES_tradnl"/>
        </w:rPr>
        <w:t>3</w:t>
      </w:r>
      <w:r w:rsidRPr="00BB303F">
        <w:rPr>
          <w:rFonts w:cs="Arial"/>
          <w:color w:val="000000"/>
          <w:sz w:val="22"/>
          <w:szCs w:val="22"/>
          <w:lang w:val="es-ES_tradnl"/>
        </w:rPr>
        <w:t>.</w:t>
      </w:r>
      <w:r>
        <w:rPr>
          <w:rFonts w:cs="Arial"/>
          <w:color w:val="000000"/>
          <w:sz w:val="22"/>
          <w:szCs w:val="22"/>
          <w:lang w:val="es-ES_tradnl"/>
        </w:rPr>
        <w:t>0</w:t>
      </w:r>
      <w:r w:rsidRPr="00BB303F">
        <w:rPr>
          <w:rFonts w:cs="Arial"/>
          <w:color w:val="000000"/>
          <w:sz w:val="22"/>
          <w:szCs w:val="22"/>
          <w:lang w:val="es-ES_tradnl"/>
        </w:rPr>
        <w:t xml:space="preserve">0 puntos porcentuales en caso de Entidades sujetas al requerimiento de Encaje Mínimo Legal y TB más </w:t>
      </w:r>
      <w:r>
        <w:rPr>
          <w:rFonts w:cs="Arial"/>
          <w:color w:val="000000"/>
          <w:sz w:val="22"/>
          <w:szCs w:val="22"/>
          <w:lang w:val="es-ES_tradnl"/>
        </w:rPr>
        <w:t>3</w:t>
      </w:r>
      <w:r w:rsidRPr="00BB303F">
        <w:rPr>
          <w:rFonts w:cs="Arial"/>
          <w:color w:val="000000"/>
          <w:sz w:val="22"/>
          <w:szCs w:val="22"/>
          <w:lang w:val="es-ES_tradnl"/>
        </w:rPr>
        <w:t>.</w:t>
      </w:r>
      <w:r>
        <w:rPr>
          <w:rFonts w:cs="Arial"/>
          <w:color w:val="000000"/>
          <w:sz w:val="22"/>
          <w:szCs w:val="22"/>
          <w:lang w:val="es-ES_tradnl"/>
        </w:rPr>
        <w:t>25</w:t>
      </w:r>
      <w:r w:rsidRPr="00BB303F">
        <w:rPr>
          <w:rFonts w:cs="Arial"/>
          <w:color w:val="000000"/>
          <w:sz w:val="22"/>
          <w:szCs w:val="22"/>
          <w:lang w:val="es-ES_tradnl"/>
        </w:rPr>
        <w:t xml:space="preserve"> puntos porcentuales para el resto de las Entidades, ajustable mensualmente.</w:t>
      </w:r>
    </w:p>
    <w:p w:rsidR="007B2711" w:rsidRPr="00BB303F" w:rsidRDefault="007B2711" w:rsidP="007B2711">
      <w:pPr>
        <w:tabs>
          <w:tab w:val="num" w:pos="426"/>
        </w:tabs>
        <w:ind w:left="426"/>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Tasa de interés moratoria:</w:t>
      </w:r>
      <w:r w:rsidRPr="00BB303F">
        <w:rPr>
          <w:rFonts w:cs="Arial"/>
          <w:sz w:val="22"/>
          <w:szCs w:val="22"/>
          <w:lang w:val="es-ES_tradnl"/>
        </w:rPr>
        <w:t xml:space="preserve"> Equivalente a la tasa de interés corriente más dos puntos porcentuales.  En caso de que ese valor exceda al límite del 30% que establece el artículo 498 del Código de Comercio, se ajustará al nivel máximo factible</w:t>
      </w:r>
      <w:r>
        <w:rPr>
          <w:rFonts w:cs="Arial"/>
          <w:sz w:val="22"/>
          <w:szCs w:val="22"/>
          <w:lang w:val="es-ES_tradnl"/>
        </w:rPr>
        <w:t>,</w:t>
      </w:r>
      <w:r w:rsidRPr="00BB303F">
        <w:rPr>
          <w:rFonts w:cs="Arial"/>
          <w:sz w:val="22"/>
          <w:szCs w:val="22"/>
          <w:lang w:val="es-ES_tradnl"/>
        </w:rPr>
        <w:t xml:space="preserve"> sin que llegue a exceder el límite de referencia.</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Comisión de formalización</w:t>
      </w:r>
      <w:r w:rsidRPr="00BB303F">
        <w:rPr>
          <w:rFonts w:cs="Arial"/>
          <w:sz w:val="22"/>
          <w:szCs w:val="22"/>
          <w:lang w:val="es-ES_tradnl"/>
        </w:rPr>
        <w:t>: Uno por ciento (</w:t>
      </w:r>
      <w:r w:rsidRPr="00BB303F">
        <w:rPr>
          <w:rFonts w:cs="Arial"/>
          <w:color w:val="000000"/>
          <w:sz w:val="22"/>
          <w:szCs w:val="22"/>
          <w:lang w:val="es-ES_tradnl"/>
        </w:rPr>
        <w:t>1%) sobre el monto desembolsado.</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lastRenderedPageBreak/>
        <w:t>Comisión por pago anticipado:</w:t>
      </w:r>
      <w:r w:rsidRPr="00BB303F">
        <w:rPr>
          <w:rFonts w:cs="Arial"/>
          <w:sz w:val="22"/>
          <w:szCs w:val="22"/>
          <w:lang w:val="es-ES_tradnl"/>
        </w:rPr>
        <w:t xml:space="preserve"> Tres por ciento (</w:t>
      </w:r>
      <w:r w:rsidRPr="00BB303F">
        <w:rPr>
          <w:rFonts w:cs="Arial"/>
          <w:color w:val="000000"/>
          <w:sz w:val="22"/>
          <w:szCs w:val="22"/>
          <w:lang w:val="es-ES_tradnl"/>
        </w:rPr>
        <w:t>3%) sobre el monto del pago extraordinario durante los primeros cinco años del plazo del financiamiento.  Esta condición no será aplicada en aquellos casos en que la entidad autorizada se comprometa contractualmente a no incorporar el cobro de comisión por pago anticipado en las operaciones de crédito formalizadas con los recursos del BANHVI.</w:t>
      </w:r>
      <w:r w:rsidRPr="00BB303F">
        <w:rPr>
          <w:rFonts w:cs="Arial"/>
          <w:sz w:val="22"/>
          <w:szCs w:val="22"/>
          <w:lang w:val="es-ES_tradnl"/>
        </w:rPr>
        <w:t xml:space="preserve"> </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15 años.</w:t>
      </w:r>
    </w:p>
    <w:p w:rsidR="007B2711" w:rsidRPr="00BB303F" w:rsidRDefault="007B2711" w:rsidP="007B2711">
      <w:pPr>
        <w:ind w:left="708"/>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Forma de pago</w:t>
      </w:r>
      <w:r w:rsidRPr="00BB303F">
        <w:rPr>
          <w:rFonts w:cs="Arial"/>
          <w:sz w:val="22"/>
          <w:szCs w:val="22"/>
          <w:lang w:val="es-ES_tradnl"/>
        </w:rPr>
        <w:t>: Cuotas mensuales niveladas por mes vencido.</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 establecido de conformidad con la Ley Nº 7558 y el oficio SUGEF-2046-20080443 de la Superintendencia General de Entidades Financieras.</w:t>
      </w:r>
    </w:p>
    <w:p w:rsidR="007B2711" w:rsidRPr="00BB303F" w:rsidRDefault="007B2711" w:rsidP="007B2711">
      <w:pPr>
        <w:ind w:left="708"/>
        <w:rPr>
          <w:rFonts w:cs="Arial"/>
          <w:b/>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 del Banco Hipotecario de la Vivienda” vigente.</w:t>
      </w:r>
    </w:p>
    <w:p w:rsidR="007B2711" w:rsidRPr="00BB303F" w:rsidRDefault="007B2711" w:rsidP="007B2711">
      <w:pPr>
        <w:tabs>
          <w:tab w:val="num" w:pos="720"/>
        </w:tabs>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Monto global del programa</w:t>
      </w:r>
      <w:r w:rsidRPr="00BB303F">
        <w:rPr>
          <w:rFonts w:cs="Arial"/>
          <w:sz w:val="22"/>
          <w:szCs w:val="22"/>
          <w:lang w:val="es-ES_tradnl"/>
        </w:rPr>
        <w:t>: ¢</w:t>
      </w:r>
      <w:r>
        <w:rPr>
          <w:rFonts w:cs="Arial"/>
          <w:sz w:val="22"/>
          <w:szCs w:val="22"/>
          <w:lang w:val="es-ES_tradnl"/>
        </w:rPr>
        <w:t>30</w:t>
      </w:r>
      <w:r w:rsidRPr="00BB303F">
        <w:rPr>
          <w:rFonts w:cs="Arial"/>
          <w:sz w:val="22"/>
          <w:szCs w:val="22"/>
          <w:lang w:val="es-ES_tradnl"/>
        </w:rPr>
        <w:t>.000 millones.</w:t>
      </w:r>
    </w:p>
    <w:p w:rsidR="007B2711" w:rsidRPr="00BB303F" w:rsidRDefault="007B2711" w:rsidP="007B2711">
      <w:pPr>
        <w:ind w:left="708"/>
        <w:rPr>
          <w:rFonts w:cs="Arial"/>
          <w:sz w:val="22"/>
          <w:szCs w:val="22"/>
          <w:lang w:val="es-ES_tradnl"/>
        </w:rPr>
      </w:pPr>
    </w:p>
    <w:p w:rsidR="007B2711" w:rsidRPr="00BB303F" w:rsidRDefault="007B2711" w:rsidP="007B2711">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rsidR="007B2711" w:rsidRPr="00BB303F" w:rsidRDefault="007B2711" w:rsidP="007B2711">
      <w:pPr>
        <w:tabs>
          <w:tab w:val="num" w:pos="426"/>
        </w:tabs>
        <w:ind w:left="426"/>
        <w:jc w:val="both"/>
        <w:rPr>
          <w:rFonts w:cs="Arial"/>
          <w:sz w:val="22"/>
          <w:szCs w:val="22"/>
          <w:lang w:val="es-ES_tradnl"/>
        </w:rPr>
      </w:pPr>
      <w:r w:rsidRPr="00BB303F">
        <w:rPr>
          <w:rFonts w:cs="Arial"/>
          <w:sz w:val="22"/>
          <w:szCs w:val="22"/>
          <w:lang w:val="es-ES_tradnl"/>
        </w:rPr>
        <w:t xml:space="preserve"> </w:t>
      </w: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xml:space="preserve">, sin compromiso de desembolso y sujeta al límite de operaciones activas vigente. </w:t>
      </w:r>
    </w:p>
    <w:p w:rsidR="007B2711" w:rsidRPr="00BB303F" w:rsidRDefault="007B2711" w:rsidP="007B2711">
      <w:pPr>
        <w:tabs>
          <w:tab w:val="num" w:pos="426"/>
        </w:tabs>
        <w:ind w:left="426"/>
        <w:jc w:val="both"/>
        <w:rPr>
          <w:rFonts w:cs="Arial"/>
          <w:sz w:val="22"/>
          <w:szCs w:val="22"/>
          <w:lang w:val="es-ES_tradnl"/>
        </w:rPr>
      </w:pPr>
    </w:p>
    <w:p w:rsidR="007B2711" w:rsidRPr="00BB303F" w:rsidRDefault="007B2711" w:rsidP="007B2711">
      <w:pPr>
        <w:numPr>
          <w:ilvl w:val="0"/>
          <w:numId w:val="19"/>
        </w:numPr>
        <w:tabs>
          <w:tab w:val="num" w:pos="426"/>
        </w:tabs>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20 años; el plazo de los </w:t>
      </w:r>
      <w:proofErr w:type="spellStart"/>
      <w:r w:rsidRPr="00BB303F">
        <w:rPr>
          <w:rFonts w:cs="Arial"/>
          <w:sz w:val="22"/>
          <w:szCs w:val="22"/>
          <w:lang w:val="es-ES_tradnl"/>
        </w:rPr>
        <w:t>subpréstamos</w:t>
      </w:r>
      <w:proofErr w:type="spellEnd"/>
      <w:r w:rsidRPr="00BB303F">
        <w:rPr>
          <w:rFonts w:cs="Arial"/>
          <w:sz w:val="22"/>
          <w:szCs w:val="22"/>
          <w:lang w:val="es-ES_tradnl"/>
        </w:rPr>
        <w:t xml:space="preserve"> que se formalicen al amparo de la línea de crédito será como máximo de 15 años y no podrá superar el plazo máximo de la línea de crédito.</w:t>
      </w:r>
    </w:p>
    <w:p w:rsidR="007B2711" w:rsidRPr="00BB303F" w:rsidRDefault="007B2711" w:rsidP="007B2711">
      <w:pPr>
        <w:tabs>
          <w:tab w:val="num" w:pos="426"/>
        </w:tabs>
        <w:ind w:left="426"/>
        <w:jc w:val="both"/>
        <w:rPr>
          <w:rFonts w:cs="Arial"/>
          <w:sz w:val="22"/>
          <w:szCs w:val="22"/>
          <w:lang w:val="es-ES_tradnl"/>
        </w:rPr>
      </w:pPr>
    </w:p>
    <w:p w:rsidR="007B2711" w:rsidRPr="00BB303F" w:rsidRDefault="007B2711" w:rsidP="007B2711">
      <w:pPr>
        <w:rPr>
          <w:rFonts w:cs="Arial"/>
          <w:sz w:val="22"/>
          <w:szCs w:val="22"/>
          <w:lang w:val="es-ES_tradnl"/>
        </w:rPr>
      </w:pPr>
    </w:p>
    <w:p w:rsidR="007B2711" w:rsidRPr="00BB303F" w:rsidRDefault="007B2711" w:rsidP="007B2711">
      <w:pPr>
        <w:jc w:val="both"/>
        <w:rPr>
          <w:rFonts w:cs="Arial"/>
          <w:b/>
          <w:caps/>
          <w:sz w:val="22"/>
          <w:szCs w:val="22"/>
          <w:lang w:val="es-ES_tradnl"/>
        </w:rPr>
      </w:pPr>
      <w:r w:rsidRPr="00BB303F">
        <w:rPr>
          <w:rFonts w:cs="Arial"/>
          <w:b/>
          <w:caps/>
          <w:sz w:val="22"/>
          <w:szCs w:val="22"/>
          <w:lang w:val="es-ES_tradnl"/>
        </w:rPr>
        <w:t>II.   Programa de Crédito de Corto Plazo en Colones</w:t>
      </w:r>
    </w:p>
    <w:p w:rsidR="007B2711" w:rsidRPr="00BB303F" w:rsidRDefault="007B2711" w:rsidP="007B2711">
      <w:pPr>
        <w:tabs>
          <w:tab w:val="num" w:pos="720"/>
        </w:tabs>
        <w:jc w:val="both"/>
        <w:rPr>
          <w:rFonts w:cs="Arial"/>
          <w:sz w:val="22"/>
          <w:szCs w:val="22"/>
          <w:lang w:val="es-ES_tradnl"/>
        </w:rPr>
      </w:pPr>
    </w:p>
    <w:p w:rsidR="007B2711" w:rsidRPr="00BB303F" w:rsidRDefault="007B2711" w:rsidP="007B2711">
      <w:pPr>
        <w:jc w:val="both"/>
        <w:rPr>
          <w:rFonts w:cs="Arial"/>
          <w:sz w:val="22"/>
          <w:szCs w:val="22"/>
          <w:lang w:val="es-ES_tradnl"/>
        </w:rPr>
      </w:pPr>
      <w:r w:rsidRPr="00BB303F">
        <w:rPr>
          <w:rFonts w:cs="Arial"/>
          <w:sz w:val="22"/>
          <w:szCs w:val="22"/>
          <w:lang w:val="es-ES_tradnl"/>
        </w:rPr>
        <w:t xml:space="preserve">Para el </w:t>
      </w:r>
      <w:r w:rsidRPr="00BB303F">
        <w:rPr>
          <w:rFonts w:cs="Arial"/>
          <w:b/>
          <w:sz w:val="22"/>
          <w:szCs w:val="22"/>
          <w:u w:val="single"/>
          <w:lang w:val="es-ES_tradnl"/>
        </w:rPr>
        <w:t xml:space="preserve">Programa de Crédito de Corto Plazo en Colones </w:t>
      </w:r>
      <w:r w:rsidRPr="00BB303F">
        <w:rPr>
          <w:rFonts w:cs="Arial"/>
          <w:sz w:val="22"/>
          <w:szCs w:val="22"/>
          <w:lang w:val="es-ES_tradnl"/>
        </w:rPr>
        <w:t>se establecen las siguientes condiciones:</w:t>
      </w:r>
    </w:p>
    <w:p w:rsidR="007B2711" w:rsidRPr="00BB303F" w:rsidRDefault="007B2711" w:rsidP="007B2711">
      <w:pPr>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xml:space="preserve">: Formalización de operaciones de crédito para el desarrollo de proyectos de vivienda.  </w:t>
      </w:r>
    </w:p>
    <w:p w:rsidR="007B2711" w:rsidRPr="00BB303F" w:rsidRDefault="007B2711" w:rsidP="007B2711">
      <w:pPr>
        <w:tabs>
          <w:tab w:val="num" w:pos="426"/>
        </w:tabs>
        <w:ind w:left="426"/>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Colones.</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Tasa de interés corriente</w:t>
      </w:r>
      <w:r w:rsidRPr="00BB303F">
        <w:rPr>
          <w:rFonts w:cs="Arial"/>
          <w:sz w:val="22"/>
          <w:szCs w:val="22"/>
          <w:lang w:val="es-ES_tradnl"/>
        </w:rPr>
        <w:t xml:space="preserve">:  </w:t>
      </w:r>
      <w:r w:rsidRPr="00BB303F">
        <w:rPr>
          <w:rFonts w:cs="Arial"/>
          <w:color w:val="000000"/>
          <w:sz w:val="22"/>
          <w:szCs w:val="22"/>
          <w:lang w:val="es-ES_tradnl"/>
        </w:rPr>
        <w:t xml:space="preserve">Tasa Básica (TB) calculada por el Banco Central de Costa Rica más </w:t>
      </w:r>
      <w:r>
        <w:rPr>
          <w:rFonts w:cs="Arial"/>
          <w:color w:val="000000"/>
          <w:sz w:val="22"/>
          <w:szCs w:val="22"/>
          <w:lang w:val="es-ES_tradnl"/>
        </w:rPr>
        <w:t>4</w:t>
      </w:r>
      <w:r w:rsidRPr="00BB303F">
        <w:rPr>
          <w:rFonts w:cs="Arial"/>
          <w:color w:val="000000"/>
          <w:sz w:val="22"/>
          <w:szCs w:val="22"/>
          <w:lang w:val="es-ES_tradnl"/>
        </w:rPr>
        <w:t>.</w:t>
      </w:r>
      <w:r>
        <w:rPr>
          <w:rFonts w:cs="Arial"/>
          <w:color w:val="000000"/>
          <w:sz w:val="22"/>
          <w:szCs w:val="22"/>
          <w:lang w:val="es-ES_tradnl"/>
        </w:rPr>
        <w:t>5</w:t>
      </w:r>
      <w:r w:rsidRPr="00BB303F">
        <w:rPr>
          <w:rFonts w:cs="Arial"/>
          <w:color w:val="000000"/>
          <w:sz w:val="22"/>
          <w:szCs w:val="22"/>
          <w:lang w:val="es-ES_tradnl"/>
        </w:rPr>
        <w:t xml:space="preserve">0 puntos porcentuales en caso de Entidades sujetas al requerimiento de Encaje Mínimo Legal y TB más </w:t>
      </w:r>
      <w:r>
        <w:rPr>
          <w:rFonts w:cs="Arial"/>
          <w:color w:val="000000"/>
          <w:sz w:val="22"/>
          <w:szCs w:val="22"/>
          <w:lang w:val="es-ES_tradnl"/>
        </w:rPr>
        <w:t>4</w:t>
      </w:r>
      <w:r w:rsidRPr="00BB303F">
        <w:rPr>
          <w:rFonts w:cs="Arial"/>
          <w:color w:val="000000"/>
          <w:sz w:val="22"/>
          <w:szCs w:val="22"/>
          <w:lang w:val="es-ES_tradnl"/>
        </w:rPr>
        <w:t>.</w:t>
      </w:r>
      <w:r>
        <w:rPr>
          <w:rFonts w:cs="Arial"/>
          <w:color w:val="000000"/>
          <w:sz w:val="22"/>
          <w:szCs w:val="22"/>
          <w:lang w:val="es-ES_tradnl"/>
        </w:rPr>
        <w:t>7</w:t>
      </w:r>
      <w:r w:rsidRPr="00BB303F">
        <w:rPr>
          <w:rFonts w:cs="Arial"/>
          <w:color w:val="000000"/>
          <w:sz w:val="22"/>
          <w:szCs w:val="22"/>
          <w:lang w:val="es-ES_tradnl"/>
        </w:rPr>
        <w:t>5 puntos porcentuales para el resto de las Entidades, ajustable mensualmente.</w:t>
      </w:r>
    </w:p>
    <w:p w:rsidR="007B2711" w:rsidRPr="00BB303F" w:rsidRDefault="007B2711" w:rsidP="007B2711">
      <w:pPr>
        <w:tabs>
          <w:tab w:val="num" w:pos="426"/>
        </w:tabs>
        <w:ind w:left="426"/>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Tasa de interés moratoria:</w:t>
      </w:r>
      <w:r w:rsidRPr="00BB303F">
        <w:rPr>
          <w:rFonts w:cs="Arial"/>
          <w:sz w:val="22"/>
          <w:szCs w:val="22"/>
          <w:lang w:val="es-ES_tradnl"/>
        </w:rPr>
        <w:t xml:space="preserve"> Equivalente a la tasa de interés corriente más dos puntos porcentuales.  En caso de que ese valor exceda al límite del 30% que establece el </w:t>
      </w:r>
      <w:r w:rsidRPr="00BB303F">
        <w:rPr>
          <w:rFonts w:cs="Arial"/>
          <w:sz w:val="22"/>
          <w:szCs w:val="22"/>
          <w:lang w:val="es-ES_tradnl"/>
        </w:rPr>
        <w:lastRenderedPageBreak/>
        <w:t>artículo 498 del Código de Comercio, se ajustará al nivel máximo factible sin que llegue a exceder el límite de referencia.</w:t>
      </w:r>
    </w:p>
    <w:p w:rsidR="007B2711" w:rsidRPr="00BB303F" w:rsidRDefault="007B2711" w:rsidP="007B2711">
      <w:pPr>
        <w:jc w:val="both"/>
        <w:rPr>
          <w:rFonts w:cs="Arial"/>
          <w:b/>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Comisión de formalización</w:t>
      </w:r>
      <w:r w:rsidRPr="00BB303F">
        <w:rPr>
          <w:rFonts w:cs="Arial"/>
          <w:sz w:val="22"/>
          <w:szCs w:val="22"/>
          <w:lang w:val="es-ES_tradnl"/>
        </w:rPr>
        <w:t>: Uno por ciento (1</w:t>
      </w:r>
      <w:r w:rsidRPr="00BB303F">
        <w:rPr>
          <w:rFonts w:cs="Arial"/>
          <w:color w:val="000000"/>
          <w:sz w:val="22"/>
          <w:szCs w:val="22"/>
          <w:lang w:val="es-ES_tradnl"/>
        </w:rPr>
        <w:t>%) sobre el monto desembolsado.</w:t>
      </w:r>
    </w:p>
    <w:p w:rsidR="007B2711" w:rsidRPr="00BB303F" w:rsidRDefault="007B2711" w:rsidP="007B2711">
      <w:pPr>
        <w:tabs>
          <w:tab w:val="num" w:pos="426"/>
        </w:tabs>
        <w:jc w:val="both"/>
        <w:rPr>
          <w:rFonts w:cs="Arial"/>
          <w:b/>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Comisión por pago anticipado: </w:t>
      </w:r>
      <w:r w:rsidRPr="00BB303F">
        <w:rPr>
          <w:rFonts w:cs="Arial"/>
          <w:sz w:val="22"/>
          <w:szCs w:val="22"/>
          <w:lang w:val="es-ES_tradnl"/>
        </w:rPr>
        <w:t xml:space="preserve">Tres por ciento (3%) sobre el monto del pago extraordinario durante el primer año del plazo del financiamiento. </w:t>
      </w:r>
      <w:r w:rsidRPr="00BB303F">
        <w:rPr>
          <w:rFonts w:cs="Arial"/>
          <w:color w:val="000000"/>
          <w:sz w:val="22"/>
          <w:szCs w:val="22"/>
          <w:lang w:val="es-ES_tradnl"/>
        </w:rPr>
        <w:t>Esta condición no será aplicada en aquellos casos en que la entidad autorizada se comprometa contractualmente</w:t>
      </w:r>
      <w:r>
        <w:rPr>
          <w:rFonts w:cs="Arial"/>
          <w:color w:val="000000"/>
          <w:sz w:val="22"/>
          <w:szCs w:val="22"/>
          <w:lang w:val="es-ES_tradnl"/>
        </w:rPr>
        <w:t>,</w:t>
      </w:r>
      <w:r w:rsidRPr="00BB303F">
        <w:rPr>
          <w:rFonts w:cs="Arial"/>
          <w:color w:val="000000"/>
          <w:sz w:val="22"/>
          <w:szCs w:val="22"/>
          <w:lang w:val="es-ES_tradnl"/>
        </w:rPr>
        <w:t xml:space="preserve"> a no incorporar el cobro de comisión por pago anticipado en las operaciones de crédito formalizadas con los recursos del BANHVI.</w:t>
      </w:r>
    </w:p>
    <w:p w:rsidR="007B2711" w:rsidRPr="00BB303F" w:rsidRDefault="007B2711" w:rsidP="007B2711">
      <w:pPr>
        <w:ind w:left="708"/>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3 años.</w:t>
      </w:r>
    </w:p>
    <w:p w:rsidR="007B2711" w:rsidRPr="00BB303F" w:rsidRDefault="007B2711" w:rsidP="007B2711">
      <w:pPr>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Forma de pago</w:t>
      </w:r>
      <w:r w:rsidRPr="00BB303F">
        <w:rPr>
          <w:rFonts w:cs="Arial"/>
          <w:sz w:val="22"/>
          <w:szCs w:val="22"/>
          <w:lang w:val="es-ES_tradnl"/>
        </w:rPr>
        <w:t>: Cuotas mensuales niveladas por mes vencido, con la posibilidad de otorgar un periodo de gracia de hasta seis meses en el pago de principal.</w:t>
      </w:r>
    </w:p>
    <w:p w:rsidR="007B2711" w:rsidRPr="00BB303F" w:rsidRDefault="007B2711" w:rsidP="007B2711">
      <w:pPr>
        <w:ind w:left="708"/>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w:t>
      </w:r>
      <w:r>
        <w:rPr>
          <w:rFonts w:cs="Arial"/>
          <w:sz w:val="22"/>
          <w:szCs w:val="22"/>
          <w:lang w:val="es-ES_tradnl"/>
        </w:rPr>
        <w:t>,</w:t>
      </w:r>
      <w:r w:rsidRPr="00BB303F">
        <w:rPr>
          <w:rFonts w:cs="Arial"/>
          <w:sz w:val="22"/>
          <w:szCs w:val="22"/>
          <w:lang w:val="es-ES_tradnl"/>
        </w:rPr>
        <w:t xml:space="preserve"> establecido de conformidad con la Ley Nº 7558 y el oficio SUGEF-2046-20080443 de la Superintendencia General de Entidades Financieras.</w:t>
      </w:r>
    </w:p>
    <w:p w:rsidR="007B2711" w:rsidRPr="00BB303F" w:rsidRDefault="007B2711" w:rsidP="007B2711">
      <w:pPr>
        <w:tabs>
          <w:tab w:val="num" w:pos="426"/>
        </w:tabs>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w:t>
      </w:r>
      <w:r>
        <w:rPr>
          <w:rFonts w:cs="Arial"/>
          <w:sz w:val="22"/>
          <w:szCs w:val="22"/>
          <w:lang w:val="es-ES_tradnl"/>
        </w:rPr>
        <w:t xml:space="preserve"> del Banco Hipotecario de la Vivienda</w:t>
      </w:r>
      <w:r w:rsidRPr="00BB303F">
        <w:rPr>
          <w:rFonts w:cs="Arial"/>
          <w:sz w:val="22"/>
          <w:szCs w:val="22"/>
          <w:lang w:val="es-ES_tradnl"/>
        </w:rPr>
        <w:t>” vigente.</w:t>
      </w:r>
    </w:p>
    <w:p w:rsidR="007B2711" w:rsidRPr="00BB303F" w:rsidRDefault="007B2711" w:rsidP="007B2711">
      <w:pPr>
        <w:tabs>
          <w:tab w:val="num" w:pos="720"/>
        </w:tabs>
        <w:ind w:left="426"/>
        <w:jc w:val="both"/>
        <w:rPr>
          <w:rFonts w:cs="Arial"/>
          <w:sz w:val="22"/>
          <w:szCs w:val="22"/>
          <w:lang w:val="es-ES_tradnl"/>
        </w:rPr>
      </w:pPr>
    </w:p>
    <w:p w:rsidR="007B2711" w:rsidRPr="00BB303F" w:rsidRDefault="007B2711" w:rsidP="007B2711">
      <w:pPr>
        <w:numPr>
          <w:ilvl w:val="0"/>
          <w:numId w:val="20"/>
        </w:numPr>
        <w:tabs>
          <w:tab w:val="num" w:pos="426"/>
          <w:tab w:val="num" w:pos="567"/>
          <w:tab w:val="num" w:pos="720"/>
        </w:tabs>
        <w:ind w:left="426" w:hanging="426"/>
        <w:jc w:val="both"/>
        <w:rPr>
          <w:rFonts w:cs="Arial"/>
          <w:sz w:val="22"/>
          <w:szCs w:val="22"/>
          <w:lang w:val="es-ES_tradnl"/>
        </w:rPr>
      </w:pPr>
      <w:r w:rsidRPr="00BB303F">
        <w:rPr>
          <w:rFonts w:cs="Arial"/>
          <w:b/>
          <w:sz w:val="22"/>
          <w:szCs w:val="22"/>
          <w:lang w:val="es-ES_tradnl"/>
        </w:rPr>
        <w:t>Monto global del programa</w:t>
      </w:r>
      <w:r w:rsidRPr="00BB303F">
        <w:rPr>
          <w:rFonts w:cs="Arial"/>
          <w:sz w:val="22"/>
          <w:szCs w:val="22"/>
          <w:lang w:val="es-ES_tradnl"/>
        </w:rPr>
        <w:t>: ¢</w:t>
      </w:r>
      <w:r>
        <w:rPr>
          <w:rFonts w:cs="Arial"/>
          <w:sz w:val="22"/>
          <w:szCs w:val="22"/>
          <w:lang w:val="es-ES_tradnl"/>
        </w:rPr>
        <w:t>5.0</w:t>
      </w:r>
      <w:r w:rsidRPr="00BB303F">
        <w:rPr>
          <w:rFonts w:cs="Arial"/>
          <w:sz w:val="22"/>
          <w:szCs w:val="22"/>
          <w:lang w:val="es-ES_tradnl"/>
        </w:rPr>
        <w:t>00 millones.</w:t>
      </w:r>
    </w:p>
    <w:p w:rsidR="007B2711" w:rsidRPr="00BB303F" w:rsidRDefault="007B2711" w:rsidP="007B2711">
      <w:pPr>
        <w:tabs>
          <w:tab w:val="num" w:pos="567"/>
        </w:tabs>
        <w:jc w:val="both"/>
        <w:rPr>
          <w:rFonts w:cs="Arial"/>
          <w:sz w:val="22"/>
          <w:szCs w:val="22"/>
          <w:lang w:val="es-ES_tradnl"/>
        </w:rPr>
      </w:pPr>
    </w:p>
    <w:p w:rsidR="007B2711" w:rsidRPr="00BB303F" w:rsidRDefault="007B2711" w:rsidP="007B2711">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rsidR="007B2711" w:rsidRPr="00BB303F" w:rsidRDefault="007B2711" w:rsidP="007B2711">
      <w:pPr>
        <w:tabs>
          <w:tab w:val="num" w:pos="426"/>
        </w:tabs>
        <w:ind w:left="426"/>
        <w:jc w:val="both"/>
        <w:rPr>
          <w:rFonts w:cs="Arial"/>
          <w:sz w:val="22"/>
          <w:szCs w:val="22"/>
          <w:lang w:val="es-ES_tradnl"/>
        </w:rPr>
      </w:pPr>
      <w:r w:rsidRPr="00BB303F">
        <w:rPr>
          <w:rFonts w:cs="Arial"/>
          <w:sz w:val="22"/>
          <w:szCs w:val="22"/>
          <w:lang w:val="es-ES_tradnl"/>
        </w:rPr>
        <w:t xml:space="preserve"> </w:t>
      </w: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xml:space="preserve">, sin compromiso de desembolso y sujeta al límite de operaciones activas vigente. </w:t>
      </w:r>
    </w:p>
    <w:p w:rsidR="007B2711" w:rsidRPr="00BB303F" w:rsidRDefault="007B2711" w:rsidP="007B2711">
      <w:pPr>
        <w:tabs>
          <w:tab w:val="num" w:pos="426"/>
        </w:tabs>
        <w:ind w:left="426" w:hanging="426"/>
        <w:jc w:val="both"/>
        <w:rPr>
          <w:rFonts w:cs="Arial"/>
          <w:sz w:val="22"/>
          <w:szCs w:val="22"/>
          <w:lang w:val="es-ES_tradnl"/>
        </w:rPr>
      </w:pPr>
    </w:p>
    <w:p w:rsidR="007B2711" w:rsidRPr="00BB303F" w:rsidRDefault="007B2711" w:rsidP="007B2711">
      <w:pPr>
        <w:numPr>
          <w:ilvl w:val="0"/>
          <w:numId w:val="20"/>
        </w:numPr>
        <w:tabs>
          <w:tab w:val="num" w:pos="426"/>
        </w:tabs>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5 años; el plazo de los </w:t>
      </w:r>
      <w:proofErr w:type="spellStart"/>
      <w:r w:rsidRPr="00BB303F">
        <w:rPr>
          <w:rFonts w:cs="Arial"/>
          <w:sz w:val="22"/>
          <w:szCs w:val="22"/>
          <w:lang w:val="es-ES_tradnl"/>
        </w:rPr>
        <w:t>subpréstamos</w:t>
      </w:r>
      <w:proofErr w:type="spellEnd"/>
      <w:r w:rsidRPr="00BB303F">
        <w:rPr>
          <w:rFonts w:cs="Arial"/>
          <w:sz w:val="22"/>
          <w:szCs w:val="22"/>
          <w:lang w:val="es-ES_tradnl"/>
        </w:rPr>
        <w:t xml:space="preserve"> que se formalicen al amparo de la línea de crédito</w:t>
      </w:r>
      <w:r>
        <w:rPr>
          <w:rFonts w:cs="Arial"/>
          <w:sz w:val="22"/>
          <w:szCs w:val="22"/>
          <w:lang w:val="es-ES_tradnl"/>
        </w:rPr>
        <w:t>,</w:t>
      </w:r>
      <w:r w:rsidRPr="00BB303F">
        <w:rPr>
          <w:rFonts w:cs="Arial"/>
          <w:sz w:val="22"/>
          <w:szCs w:val="22"/>
          <w:lang w:val="es-ES_tradnl"/>
        </w:rPr>
        <w:t xml:space="preserve"> será como máximo de 3 años y no podrá superar el plazo máximo de la línea de crédito.</w:t>
      </w:r>
    </w:p>
    <w:p w:rsidR="007B2711" w:rsidRPr="00BB303F" w:rsidRDefault="007B2711" w:rsidP="007B2711">
      <w:pPr>
        <w:rPr>
          <w:rFonts w:cs="Arial"/>
          <w:sz w:val="22"/>
          <w:szCs w:val="22"/>
          <w:lang w:val="es-ES_tradnl"/>
        </w:rPr>
      </w:pPr>
    </w:p>
    <w:p w:rsidR="007B2711" w:rsidRPr="00BB303F" w:rsidRDefault="007B2711" w:rsidP="007B2711">
      <w:pPr>
        <w:jc w:val="both"/>
        <w:rPr>
          <w:rFonts w:cs="Arial"/>
          <w:b/>
          <w:caps/>
          <w:sz w:val="22"/>
          <w:szCs w:val="22"/>
          <w:lang w:val="es-ES_tradnl"/>
        </w:rPr>
      </w:pPr>
      <w:r w:rsidRPr="00BB303F">
        <w:rPr>
          <w:rFonts w:cs="Arial"/>
          <w:b/>
          <w:caps/>
          <w:sz w:val="22"/>
          <w:szCs w:val="22"/>
          <w:lang w:val="es-ES_tradnl"/>
        </w:rPr>
        <w:t>III.   Programa de Crédito de Largo Plazo en Dólares</w:t>
      </w:r>
    </w:p>
    <w:p w:rsidR="007B2711" w:rsidRPr="00BB303F" w:rsidRDefault="007B2711" w:rsidP="007B2711">
      <w:pPr>
        <w:jc w:val="both"/>
        <w:rPr>
          <w:rFonts w:cs="Arial"/>
          <w:sz w:val="22"/>
          <w:szCs w:val="22"/>
          <w:lang w:val="es-ES_tradnl"/>
        </w:rPr>
      </w:pPr>
    </w:p>
    <w:p w:rsidR="007B2711" w:rsidRPr="00BB303F" w:rsidRDefault="007B2711" w:rsidP="007B2711">
      <w:pPr>
        <w:jc w:val="both"/>
        <w:rPr>
          <w:rFonts w:cs="Arial"/>
          <w:sz w:val="22"/>
          <w:szCs w:val="22"/>
          <w:lang w:val="es-ES_tradnl"/>
        </w:rPr>
      </w:pPr>
      <w:r w:rsidRPr="00BB303F">
        <w:rPr>
          <w:rFonts w:cs="Arial"/>
          <w:sz w:val="22"/>
          <w:szCs w:val="22"/>
          <w:lang w:val="es-ES_tradnl"/>
        </w:rPr>
        <w:t xml:space="preserve">Las condiciones para el </w:t>
      </w:r>
      <w:r w:rsidRPr="00BB303F">
        <w:rPr>
          <w:rFonts w:cs="Arial"/>
          <w:b/>
          <w:sz w:val="22"/>
          <w:szCs w:val="22"/>
          <w:u w:val="single"/>
          <w:lang w:val="es-ES_tradnl"/>
        </w:rPr>
        <w:t>Programa de Crédito de Largo Plazo en Dólares</w:t>
      </w:r>
      <w:r w:rsidRPr="00BB303F">
        <w:rPr>
          <w:rFonts w:cs="Arial"/>
          <w:sz w:val="22"/>
          <w:szCs w:val="22"/>
          <w:lang w:val="es-ES_tradnl"/>
        </w:rPr>
        <w:t>, son las que se detallan a continuación:</w:t>
      </w:r>
    </w:p>
    <w:p w:rsidR="007B2711" w:rsidRPr="00BB303F" w:rsidRDefault="007B2711" w:rsidP="007B2711">
      <w:pPr>
        <w:jc w:val="both"/>
        <w:rPr>
          <w:rFonts w:cs="Arial"/>
          <w:sz w:val="22"/>
          <w:szCs w:val="22"/>
          <w:lang w:val="es-ES_tradnl"/>
        </w:rPr>
      </w:pPr>
    </w:p>
    <w:p w:rsidR="007B2711"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Plan de inversión</w:t>
      </w:r>
      <w:r w:rsidRPr="00BB303F">
        <w:rPr>
          <w:rFonts w:cs="Arial"/>
          <w:sz w:val="22"/>
          <w:szCs w:val="22"/>
          <w:lang w:val="es-ES_tradnl"/>
        </w:rPr>
        <w:t xml:space="preserve">: Formalización de operaciones de crédito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 En caso de que el crédito sea para compra </w:t>
      </w:r>
      <w:r w:rsidRPr="00BB303F">
        <w:rPr>
          <w:rFonts w:cs="Arial"/>
          <w:sz w:val="22"/>
          <w:szCs w:val="22"/>
          <w:lang w:val="es-ES_tradnl"/>
        </w:rPr>
        <w:lastRenderedPageBreak/>
        <w:t>de lote, el valor del inmueble financiado podrá ser como máximo el 40% del monto indicado.</w:t>
      </w:r>
    </w:p>
    <w:p w:rsidR="007B2711" w:rsidRDefault="007B2711" w:rsidP="007B2711">
      <w:pPr>
        <w:pStyle w:val="Prrafodelista"/>
        <w:ind w:left="426"/>
        <w:jc w:val="both"/>
        <w:rPr>
          <w:rFonts w:cs="Arial"/>
          <w:b/>
          <w:sz w:val="22"/>
          <w:szCs w:val="22"/>
          <w:lang w:val="es-ES_tradnl"/>
        </w:rPr>
      </w:pPr>
    </w:p>
    <w:p w:rsidR="007B2711" w:rsidRPr="00726902" w:rsidRDefault="007B2711" w:rsidP="007B2711">
      <w:pPr>
        <w:pStyle w:val="Prrafodelista"/>
        <w:ind w:left="426"/>
        <w:jc w:val="both"/>
        <w:rPr>
          <w:rFonts w:cs="Arial"/>
          <w:sz w:val="22"/>
          <w:szCs w:val="22"/>
          <w:lang w:val="es-ES_tradnl"/>
        </w:rPr>
      </w:pPr>
      <w:r w:rsidRPr="00726902">
        <w:rPr>
          <w:rFonts w:cs="Arial"/>
          <w:sz w:val="22"/>
          <w:szCs w:val="22"/>
          <w:lang w:val="es-ES_tradnl"/>
        </w:rPr>
        <w:t>Al menos el 10% de los recursos colocados en créditos para vivienda, deberá ser dirigido a personas jóvenes entre los dieciocho y treinta y cinco años de edad.</w:t>
      </w:r>
    </w:p>
    <w:p w:rsidR="007B2711" w:rsidRPr="00BB303F" w:rsidRDefault="007B2711" w:rsidP="007B2711">
      <w:pPr>
        <w:ind w:left="426" w:hanging="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Moneda:  </w:t>
      </w:r>
      <w:r w:rsidRPr="00BB303F">
        <w:rPr>
          <w:rFonts w:cs="Arial"/>
          <w:sz w:val="22"/>
          <w:szCs w:val="22"/>
          <w:lang w:val="es-ES_tradnl"/>
        </w:rPr>
        <w:t>Dólares</w:t>
      </w:r>
    </w:p>
    <w:p w:rsidR="007B2711" w:rsidRPr="00BB303F" w:rsidRDefault="007B2711" w:rsidP="007B2711">
      <w:pPr>
        <w:ind w:left="426" w:hanging="426"/>
        <w:jc w:val="both"/>
        <w:rPr>
          <w:rFonts w:cs="Arial"/>
          <w:b/>
          <w:bCs/>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Tasa de interés </w:t>
      </w:r>
      <w:r>
        <w:rPr>
          <w:rFonts w:cs="Arial"/>
          <w:b/>
          <w:bCs/>
          <w:sz w:val="22"/>
          <w:szCs w:val="22"/>
          <w:lang w:val="es-ES_tradnl"/>
        </w:rPr>
        <w:t>corriente</w:t>
      </w:r>
      <w:r w:rsidRPr="00BB303F">
        <w:rPr>
          <w:rFonts w:cs="Arial"/>
          <w:b/>
          <w:bCs/>
          <w:sz w:val="22"/>
          <w:szCs w:val="22"/>
          <w:lang w:val="es-ES_tradnl"/>
        </w:rPr>
        <w:t xml:space="preserve">:  </w:t>
      </w:r>
      <w:r w:rsidRPr="00BB303F">
        <w:rPr>
          <w:rFonts w:cs="Arial"/>
          <w:color w:val="000000"/>
          <w:sz w:val="22"/>
          <w:szCs w:val="22"/>
          <w:lang w:val="es-ES_tradnl"/>
        </w:rPr>
        <w:t>Tasa LIBOR a 6 meses más 5.0 puntos porcentuales en caso de Entidades sujetas al requerimiento de Encaje Mínimo Legal, y LIBOR más 5.50 puntos porcentuales para el resto de las Entidades, ajustable mensualmente.</w:t>
      </w:r>
    </w:p>
    <w:p w:rsidR="007B2711" w:rsidRPr="00BB303F" w:rsidRDefault="007B2711" w:rsidP="007B2711">
      <w:pPr>
        <w:pStyle w:val="Prrafodelista"/>
        <w:ind w:left="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bCs/>
          <w:sz w:val="22"/>
          <w:szCs w:val="22"/>
          <w:lang w:val="es-ES_tradnl"/>
        </w:rPr>
        <w:t xml:space="preserve">Tasa de </w:t>
      </w:r>
      <w:r w:rsidRPr="00BB303F">
        <w:rPr>
          <w:rFonts w:cs="Arial"/>
          <w:b/>
          <w:sz w:val="22"/>
          <w:szCs w:val="22"/>
          <w:lang w:val="es-ES_tradnl"/>
        </w:rPr>
        <w:t>interés moratoria:</w:t>
      </w:r>
      <w:r w:rsidRPr="00BB303F">
        <w:rPr>
          <w:rFonts w:cs="Arial"/>
          <w:sz w:val="22"/>
          <w:szCs w:val="22"/>
          <w:lang w:val="es-ES_tradnl"/>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w:t>
      </w:r>
    </w:p>
    <w:p w:rsidR="007B2711" w:rsidRPr="00BB303F" w:rsidRDefault="007B2711" w:rsidP="007B2711">
      <w:pPr>
        <w:ind w:left="426" w:hanging="426"/>
        <w:jc w:val="both"/>
        <w:rPr>
          <w:rFonts w:cs="Arial"/>
          <w:b/>
          <w:sz w:val="22"/>
          <w:szCs w:val="22"/>
          <w:lang w:val="es-ES_tradnl"/>
        </w:rPr>
      </w:pPr>
    </w:p>
    <w:p w:rsidR="007B2711" w:rsidRPr="00EC6331" w:rsidRDefault="007B2711" w:rsidP="007B2711">
      <w:pPr>
        <w:pStyle w:val="Prrafodelista"/>
        <w:numPr>
          <w:ilvl w:val="0"/>
          <w:numId w:val="23"/>
        </w:numPr>
        <w:ind w:left="426" w:hanging="426"/>
        <w:jc w:val="both"/>
        <w:rPr>
          <w:rFonts w:cs="Arial"/>
          <w:sz w:val="22"/>
          <w:szCs w:val="22"/>
          <w:lang w:val="es-ES_tradnl"/>
        </w:rPr>
      </w:pPr>
      <w:r w:rsidRPr="00EC6331">
        <w:rPr>
          <w:rFonts w:cs="Arial"/>
          <w:b/>
          <w:sz w:val="22"/>
          <w:szCs w:val="22"/>
          <w:lang w:val="es-ES_tradnl"/>
        </w:rPr>
        <w:t>Comisión de formalización</w:t>
      </w:r>
      <w:r w:rsidRPr="00EC6331">
        <w:rPr>
          <w:rFonts w:cs="Arial"/>
          <w:sz w:val="22"/>
          <w:szCs w:val="22"/>
          <w:lang w:val="es-ES_tradnl"/>
        </w:rPr>
        <w:t>: Uno por ciento (</w:t>
      </w:r>
      <w:r w:rsidRPr="00EC6331">
        <w:rPr>
          <w:rFonts w:cs="Arial"/>
          <w:color w:val="000000"/>
          <w:sz w:val="22"/>
          <w:szCs w:val="22"/>
          <w:lang w:val="es-ES_tradnl"/>
        </w:rPr>
        <w:t>1%) sobre el monto desembolsado.</w:t>
      </w:r>
    </w:p>
    <w:p w:rsidR="007B2711" w:rsidRPr="00BB303F" w:rsidRDefault="007B2711" w:rsidP="007B2711">
      <w:pPr>
        <w:pStyle w:val="Prrafodelista"/>
        <w:ind w:left="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Comisión por pago anticipado: </w:t>
      </w:r>
      <w:r w:rsidRPr="00BB303F">
        <w:rPr>
          <w:rFonts w:cs="Arial"/>
          <w:sz w:val="22"/>
          <w:szCs w:val="22"/>
          <w:lang w:val="es-ES_tradnl"/>
        </w:rPr>
        <w:t>Tres por ciento (3%) sobre el monto del pago extraordinario durante los primeros cinco años del plazo del financiamiento.</w:t>
      </w:r>
      <w:r w:rsidRPr="00BB303F">
        <w:rPr>
          <w:rFonts w:cs="Arial"/>
          <w:color w:val="000000"/>
          <w:sz w:val="22"/>
          <w:szCs w:val="22"/>
          <w:lang w:val="es-ES_tradnl"/>
        </w:rPr>
        <w:t xml:space="preserve"> Esta condición no será aplicada en aquellos casos en que la entidad autorizada se comprometa contractualmente a no incorporar el cobro de comisión por pago anticipado en las operaciones de crédito formalizadas con los recursos del BANHVI.</w:t>
      </w:r>
    </w:p>
    <w:p w:rsidR="007B2711" w:rsidRPr="00BB303F" w:rsidRDefault="007B2711" w:rsidP="007B2711">
      <w:pPr>
        <w:ind w:left="426" w:hanging="426"/>
        <w:jc w:val="both"/>
        <w:rPr>
          <w:rFonts w:cs="Arial"/>
          <w:b/>
          <w:bCs/>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Plazo del financiamiento</w:t>
      </w:r>
      <w:r w:rsidRPr="00BB303F">
        <w:rPr>
          <w:rFonts w:cs="Arial"/>
          <w:sz w:val="22"/>
          <w:szCs w:val="22"/>
          <w:lang w:val="es-ES_tradnl"/>
        </w:rPr>
        <w:t>: Máximo de 8 años.</w:t>
      </w:r>
    </w:p>
    <w:p w:rsidR="007B2711" w:rsidRPr="00BB303F" w:rsidRDefault="007B2711" w:rsidP="007B2711">
      <w:pPr>
        <w:ind w:left="426" w:hanging="426"/>
        <w:jc w:val="both"/>
        <w:rPr>
          <w:rFonts w:cs="Arial"/>
          <w:bCs/>
          <w:sz w:val="22"/>
          <w:szCs w:val="22"/>
          <w:lang w:val="es-ES_tradnl"/>
        </w:rPr>
      </w:pPr>
    </w:p>
    <w:p w:rsidR="007B2711" w:rsidRPr="00BB303F" w:rsidRDefault="007B2711" w:rsidP="007B2711">
      <w:pPr>
        <w:pStyle w:val="Prrafodelista"/>
        <w:numPr>
          <w:ilvl w:val="0"/>
          <w:numId w:val="23"/>
        </w:numPr>
        <w:ind w:left="426" w:hanging="426"/>
        <w:jc w:val="both"/>
        <w:rPr>
          <w:rFonts w:cs="Arial"/>
          <w:bCs/>
          <w:sz w:val="22"/>
          <w:szCs w:val="22"/>
          <w:lang w:val="es-ES_tradnl"/>
        </w:rPr>
      </w:pPr>
      <w:r w:rsidRPr="00BB303F">
        <w:rPr>
          <w:rFonts w:cs="Arial"/>
          <w:b/>
          <w:bCs/>
          <w:sz w:val="22"/>
          <w:szCs w:val="22"/>
          <w:lang w:val="es-ES_tradnl"/>
        </w:rPr>
        <w:t xml:space="preserve">Forma de pago: </w:t>
      </w:r>
      <w:r w:rsidRPr="00BB303F">
        <w:rPr>
          <w:rFonts w:cs="Arial"/>
          <w:bCs/>
          <w:sz w:val="22"/>
          <w:szCs w:val="22"/>
          <w:lang w:val="es-ES_tradnl"/>
        </w:rPr>
        <w:t>Cuotas mensuales niveladas por mes vencido.</w:t>
      </w:r>
    </w:p>
    <w:p w:rsidR="007B2711" w:rsidRPr="00BB303F" w:rsidRDefault="007B2711" w:rsidP="007B2711">
      <w:pPr>
        <w:ind w:left="426" w:hanging="426"/>
        <w:jc w:val="both"/>
        <w:rPr>
          <w:rFonts w:cs="Arial"/>
          <w:b/>
          <w:sz w:val="22"/>
          <w:szCs w:val="22"/>
          <w:lang w:val="es-ES_tradnl"/>
        </w:rPr>
      </w:pPr>
    </w:p>
    <w:p w:rsidR="007B2711" w:rsidRPr="00BB303F" w:rsidRDefault="007B2711" w:rsidP="007B2711">
      <w:pPr>
        <w:pStyle w:val="Prrafodelista"/>
        <w:numPr>
          <w:ilvl w:val="0"/>
          <w:numId w:val="23"/>
        </w:numPr>
        <w:ind w:left="426" w:hanging="426"/>
        <w:jc w:val="both"/>
        <w:rPr>
          <w:rFonts w:cs="Arial"/>
          <w:bCs/>
          <w:sz w:val="22"/>
          <w:szCs w:val="22"/>
          <w:lang w:val="es-ES_tradnl"/>
        </w:rPr>
      </w:pPr>
      <w:r w:rsidRPr="00BB303F">
        <w:rPr>
          <w:rFonts w:cs="Arial"/>
          <w:b/>
          <w:sz w:val="22"/>
          <w:szCs w:val="22"/>
          <w:lang w:val="es-ES_tradnl"/>
        </w:rPr>
        <w:t>Monto máximo del crédito</w:t>
      </w:r>
      <w:r w:rsidRPr="00BB303F">
        <w:rPr>
          <w:rFonts w:cs="Arial"/>
          <w:sz w:val="22"/>
          <w:szCs w:val="22"/>
          <w:lang w:val="es-ES_tradnl"/>
        </w:rPr>
        <w:t>: El monto máximo de los créditos otorgados</w:t>
      </w:r>
      <w:r>
        <w:rPr>
          <w:rFonts w:cs="Arial"/>
          <w:sz w:val="22"/>
          <w:szCs w:val="22"/>
          <w:lang w:val="es-ES_tradnl"/>
        </w:rPr>
        <w:t>,</w:t>
      </w:r>
      <w:r w:rsidRPr="00BB303F">
        <w:rPr>
          <w:rFonts w:cs="Arial"/>
          <w:sz w:val="22"/>
          <w:szCs w:val="22"/>
          <w:lang w:val="es-ES_tradnl"/>
        </w:rPr>
        <w:t xml:space="preserve"> se establece en función de la capacidad de pago de las Entidades solicitantes y contemplando el límite de operaciones activas</w:t>
      </w:r>
      <w:r>
        <w:rPr>
          <w:rFonts w:cs="Arial"/>
          <w:sz w:val="22"/>
          <w:szCs w:val="22"/>
          <w:lang w:val="es-ES_tradnl"/>
        </w:rPr>
        <w:t>,</w:t>
      </w:r>
      <w:r w:rsidRPr="00BB303F">
        <w:rPr>
          <w:rFonts w:cs="Arial"/>
          <w:sz w:val="22"/>
          <w:szCs w:val="22"/>
          <w:lang w:val="es-ES_tradnl"/>
        </w:rPr>
        <w:t xml:space="preserve"> establecido de conformidad con la Ley Nº 7558 y el oficio SUGEF-2046-20080443 de la Superintendencia General de Entidades Financieras.</w:t>
      </w:r>
    </w:p>
    <w:p w:rsidR="007B2711" w:rsidRPr="00BB303F" w:rsidRDefault="007B2711" w:rsidP="007B2711">
      <w:pPr>
        <w:ind w:left="426" w:hanging="426"/>
        <w:jc w:val="both"/>
        <w:rPr>
          <w:rFonts w:cs="Arial"/>
          <w:b/>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Tipo de Garantías: </w:t>
      </w:r>
      <w:r w:rsidRPr="00BB303F">
        <w:rPr>
          <w:rFonts w:cs="Arial"/>
          <w:sz w:val="22"/>
          <w:szCs w:val="22"/>
          <w:lang w:val="es-ES_tradnl"/>
        </w:rPr>
        <w:t>Alternativas incorporadas en el “Reglamento de los Programas de Crédito y Avales del Fondo Nacional para la Vivienda</w:t>
      </w:r>
      <w:r>
        <w:rPr>
          <w:rFonts w:cs="Arial"/>
          <w:sz w:val="22"/>
          <w:szCs w:val="22"/>
          <w:lang w:val="es-ES_tradnl"/>
        </w:rPr>
        <w:t xml:space="preserve"> del Banco Hipotecario de la Vivienda</w:t>
      </w:r>
      <w:r w:rsidRPr="00BB303F">
        <w:rPr>
          <w:rFonts w:cs="Arial"/>
          <w:sz w:val="22"/>
          <w:szCs w:val="22"/>
          <w:lang w:val="es-ES_tradnl"/>
        </w:rPr>
        <w:t>” vigente.</w:t>
      </w:r>
    </w:p>
    <w:p w:rsidR="007B2711" w:rsidRPr="00BB303F" w:rsidRDefault="007B2711" w:rsidP="007B2711">
      <w:pPr>
        <w:ind w:left="426" w:hanging="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bCs/>
          <w:sz w:val="22"/>
          <w:szCs w:val="22"/>
          <w:lang w:val="es-ES_tradnl"/>
        </w:rPr>
      </w:pPr>
      <w:r w:rsidRPr="00BB303F">
        <w:rPr>
          <w:rFonts w:cs="Arial"/>
          <w:b/>
          <w:sz w:val="22"/>
          <w:szCs w:val="22"/>
          <w:lang w:val="es-ES_tradnl"/>
        </w:rPr>
        <w:t>Monto global del programa</w:t>
      </w:r>
      <w:r w:rsidRPr="00BB303F">
        <w:rPr>
          <w:rFonts w:cs="Arial"/>
          <w:sz w:val="22"/>
          <w:szCs w:val="22"/>
          <w:lang w:val="es-ES_tradnl"/>
        </w:rPr>
        <w:t>: $10 millones.</w:t>
      </w:r>
    </w:p>
    <w:p w:rsidR="007B2711" w:rsidRPr="00BB303F" w:rsidRDefault="007B2711" w:rsidP="007B2711">
      <w:pPr>
        <w:ind w:left="426" w:hanging="426"/>
        <w:jc w:val="both"/>
        <w:rPr>
          <w:rFonts w:cs="Arial"/>
          <w:sz w:val="22"/>
          <w:szCs w:val="22"/>
          <w:lang w:val="es-ES_tradnl"/>
        </w:rPr>
      </w:pPr>
    </w:p>
    <w:p w:rsidR="007B2711" w:rsidRPr="00BB303F" w:rsidRDefault="007B2711" w:rsidP="007B2711">
      <w:pPr>
        <w:tabs>
          <w:tab w:val="num" w:pos="426"/>
        </w:tabs>
        <w:jc w:val="both"/>
        <w:rPr>
          <w:rFonts w:cs="Arial"/>
          <w:sz w:val="22"/>
          <w:szCs w:val="22"/>
          <w:lang w:val="es-ES_tradnl"/>
        </w:rPr>
      </w:pPr>
      <w:r w:rsidRPr="00BB303F">
        <w:rPr>
          <w:rFonts w:cs="Arial"/>
          <w:sz w:val="22"/>
          <w:szCs w:val="22"/>
          <w:lang w:val="es-ES_tradnl"/>
        </w:rPr>
        <w:t>Adicionalmente, en el caso de financiamiento mediante línea de crédito, se aplicarán las siguientes condiciones:</w:t>
      </w:r>
    </w:p>
    <w:p w:rsidR="007B2711" w:rsidRPr="00BB303F" w:rsidRDefault="007B2711" w:rsidP="007B2711">
      <w:pPr>
        <w:ind w:left="426" w:hanging="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 xml:space="preserve">Tipo de línea de crédito: </w:t>
      </w:r>
      <w:proofErr w:type="spellStart"/>
      <w:r w:rsidRPr="00BB303F">
        <w:rPr>
          <w:rFonts w:cs="Arial"/>
          <w:sz w:val="22"/>
          <w:szCs w:val="22"/>
          <w:lang w:val="es-ES_tradnl"/>
        </w:rPr>
        <w:t>Revolutiva</w:t>
      </w:r>
      <w:proofErr w:type="spellEnd"/>
      <w:r w:rsidRPr="00BB303F">
        <w:rPr>
          <w:rFonts w:cs="Arial"/>
          <w:sz w:val="22"/>
          <w:szCs w:val="22"/>
          <w:lang w:val="es-ES_tradnl"/>
        </w:rPr>
        <w:t>, sin compromiso de desembolso y sujeta al límite de operaciones activas vigente.</w:t>
      </w:r>
    </w:p>
    <w:p w:rsidR="007B2711" w:rsidRPr="00BB303F" w:rsidRDefault="007B2711" w:rsidP="007B2711">
      <w:pPr>
        <w:ind w:left="426" w:hanging="426"/>
        <w:jc w:val="both"/>
        <w:rPr>
          <w:rFonts w:cs="Arial"/>
          <w:sz w:val="22"/>
          <w:szCs w:val="22"/>
          <w:lang w:val="es-ES_tradnl"/>
        </w:rPr>
      </w:pPr>
    </w:p>
    <w:p w:rsidR="007B2711" w:rsidRPr="00BB303F" w:rsidRDefault="007B2711" w:rsidP="007B2711">
      <w:pPr>
        <w:pStyle w:val="Prrafodelista"/>
        <w:numPr>
          <w:ilvl w:val="0"/>
          <w:numId w:val="23"/>
        </w:numPr>
        <w:ind w:left="426" w:hanging="426"/>
        <w:jc w:val="both"/>
        <w:rPr>
          <w:rFonts w:cs="Arial"/>
          <w:sz w:val="22"/>
          <w:szCs w:val="22"/>
          <w:lang w:val="es-ES_tradnl"/>
        </w:rPr>
      </w:pPr>
      <w:r w:rsidRPr="00BB303F">
        <w:rPr>
          <w:rFonts w:cs="Arial"/>
          <w:b/>
          <w:sz w:val="22"/>
          <w:szCs w:val="22"/>
          <w:lang w:val="es-ES_tradnl"/>
        </w:rPr>
        <w:t>Plazo de la línea de crédito:</w:t>
      </w:r>
      <w:r w:rsidRPr="00BB303F">
        <w:rPr>
          <w:rFonts w:cs="Arial"/>
          <w:sz w:val="22"/>
          <w:szCs w:val="22"/>
          <w:lang w:val="es-ES_tradnl"/>
        </w:rPr>
        <w:t xml:space="preserve"> 10 años; el plazo de los </w:t>
      </w:r>
      <w:proofErr w:type="spellStart"/>
      <w:r w:rsidRPr="00BB303F">
        <w:rPr>
          <w:rFonts w:cs="Arial"/>
          <w:sz w:val="22"/>
          <w:szCs w:val="22"/>
          <w:lang w:val="es-ES_tradnl"/>
        </w:rPr>
        <w:t>subpréstamos</w:t>
      </w:r>
      <w:proofErr w:type="spellEnd"/>
      <w:r w:rsidRPr="00BB303F">
        <w:rPr>
          <w:rFonts w:cs="Arial"/>
          <w:sz w:val="22"/>
          <w:szCs w:val="22"/>
          <w:lang w:val="es-ES_tradnl"/>
        </w:rPr>
        <w:t xml:space="preserve"> que se formalicen al amparo de la línea de crédito</w:t>
      </w:r>
      <w:r>
        <w:rPr>
          <w:rFonts w:cs="Arial"/>
          <w:sz w:val="22"/>
          <w:szCs w:val="22"/>
          <w:lang w:val="es-ES_tradnl"/>
        </w:rPr>
        <w:t>,</w:t>
      </w:r>
      <w:r w:rsidRPr="00BB303F">
        <w:rPr>
          <w:rFonts w:cs="Arial"/>
          <w:sz w:val="22"/>
          <w:szCs w:val="22"/>
          <w:lang w:val="es-ES_tradnl"/>
        </w:rPr>
        <w:t xml:space="preserve"> será como máximo de 8 años y no podrá superar el plazo máximo de la línea de crédito.</w:t>
      </w:r>
    </w:p>
    <w:p w:rsidR="007B2711" w:rsidRPr="00BB303F" w:rsidRDefault="007B2711" w:rsidP="007B2711">
      <w:pPr>
        <w:spacing w:line="360" w:lineRule="auto"/>
        <w:rPr>
          <w:rFonts w:ascii="Calibri" w:hAnsi="Calibri" w:cs="Calibri"/>
          <w:lang w:val="es-ES_tradnl"/>
        </w:rPr>
      </w:pPr>
    </w:p>
    <w:p w:rsidR="007B2711" w:rsidRPr="00BB303F" w:rsidRDefault="007B2711" w:rsidP="007B2711">
      <w:pPr>
        <w:tabs>
          <w:tab w:val="num" w:pos="426"/>
        </w:tabs>
        <w:spacing w:line="360" w:lineRule="auto"/>
        <w:jc w:val="both"/>
        <w:rPr>
          <w:rFonts w:cs="Arial"/>
          <w:position w:val="6"/>
          <w:sz w:val="22"/>
          <w:szCs w:val="22"/>
        </w:rPr>
      </w:pPr>
      <w:r w:rsidRPr="00BB303F">
        <w:rPr>
          <w:rFonts w:cs="Arial"/>
          <w:b/>
          <w:position w:val="6"/>
          <w:sz w:val="22"/>
          <w:szCs w:val="22"/>
        </w:rPr>
        <w:lastRenderedPageBreak/>
        <w:t>SEGUNDO:</w:t>
      </w:r>
      <w:r w:rsidRPr="00BB303F">
        <w:rPr>
          <w:rFonts w:cs="Arial"/>
          <w:position w:val="6"/>
          <w:sz w:val="22"/>
          <w:szCs w:val="22"/>
        </w:rPr>
        <w:t xml:space="preserve"> Aprobar el siguiente:</w:t>
      </w:r>
    </w:p>
    <w:p w:rsidR="007B2711" w:rsidRPr="00BB303F" w:rsidRDefault="007B2711" w:rsidP="007B2711">
      <w:pPr>
        <w:jc w:val="center"/>
        <w:rPr>
          <w:rFonts w:cs="Arial"/>
          <w:b/>
          <w:position w:val="6"/>
          <w:sz w:val="22"/>
          <w:szCs w:val="22"/>
        </w:rPr>
      </w:pPr>
    </w:p>
    <w:p w:rsidR="007B2711" w:rsidRPr="00BB303F" w:rsidRDefault="007B2711" w:rsidP="007B2711">
      <w:pPr>
        <w:jc w:val="center"/>
        <w:rPr>
          <w:rFonts w:cs="Arial"/>
          <w:b/>
          <w:position w:val="6"/>
          <w:sz w:val="22"/>
          <w:szCs w:val="22"/>
        </w:rPr>
      </w:pPr>
      <w:r w:rsidRPr="00BB303F">
        <w:rPr>
          <w:rFonts w:cs="Arial"/>
          <w:b/>
          <w:position w:val="6"/>
          <w:sz w:val="22"/>
          <w:szCs w:val="22"/>
        </w:rPr>
        <w:t>PLAN ANUAL DE CAPTACIONES PARA EL AÑO 201</w:t>
      </w:r>
      <w:r>
        <w:rPr>
          <w:rFonts w:cs="Arial"/>
          <w:b/>
          <w:position w:val="6"/>
          <w:sz w:val="22"/>
          <w:szCs w:val="22"/>
        </w:rPr>
        <w:t>9</w:t>
      </w:r>
    </w:p>
    <w:p w:rsidR="007B2711" w:rsidRPr="00BB303F" w:rsidRDefault="007B2711" w:rsidP="007B2711">
      <w:pPr>
        <w:jc w:val="both"/>
        <w:rPr>
          <w:rFonts w:cs="Arial"/>
          <w:position w:val="6"/>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Propósito de la captación</w:t>
      </w:r>
      <w:r w:rsidRPr="00BB303F">
        <w:rPr>
          <w:rFonts w:cs="Arial"/>
          <w:sz w:val="22"/>
          <w:szCs w:val="22"/>
        </w:rPr>
        <w:t>: Fondeo de recursos con el objeto de atender las solicitudes de crédito asociadas a los programas de crédito vigentes</w:t>
      </w:r>
      <w:r w:rsidRPr="00BB303F">
        <w:rPr>
          <w:rFonts w:cs="Arial"/>
          <w:bCs/>
          <w:sz w:val="22"/>
          <w:szCs w:val="22"/>
        </w:rPr>
        <w:t xml:space="preserve">, </w:t>
      </w:r>
      <w:r w:rsidRPr="00BB303F">
        <w:rPr>
          <w:rFonts w:cs="Arial"/>
          <w:sz w:val="22"/>
          <w:szCs w:val="22"/>
        </w:rPr>
        <w:t>la cancelación de obligaciones con el público y con otras entidades financieras</w:t>
      </w:r>
      <w:r>
        <w:rPr>
          <w:rFonts w:cs="Arial"/>
          <w:sz w:val="22"/>
          <w:szCs w:val="22"/>
        </w:rPr>
        <w:t xml:space="preserve">, asociadas al vencimiento de captaciones y </w:t>
      </w:r>
      <w:r w:rsidRPr="00BB303F">
        <w:rPr>
          <w:rFonts w:cs="Arial"/>
          <w:sz w:val="22"/>
          <w:szCs w:val="22"/>
        </w:rPr>
        <w:t>los requerimientos de recursos</w:t>
      </w:r>
      <w:r>
        <w:rPr>
          <w:rFonts w:cs="Arial"/>
          <w:sz w:val="22"/>
          <w:szCs w:val="22"/>
        </w:rPr>
        <w:t>,</w:t>
      </w:r>
      <w:r w:rsidRPr="00BB303F">
        <w:rPr>
          <w:rFonts w:cs="Arial"/>
          <w:sz w:val="22"/>
          <w:szCs w:val="22"/>
        </w:rPr>
        <w:t xml:space="preserve"> para mantener en condición de normalidad los indicadores de </w:t>
      </w:r>
      <w:r>
        <w:rPr>
          <w:rFonts w:cs="Arial"/>
          <w:sz w:val="22"/>
          <w:szCs w:val="22"/>
        </w:rPr>
        <w:t>calce de plazos desglosados por moneda</w:t>
      </w:r>
      <w:r w:rsidRPr="00BB303F">
        <w:rPr>
          <w:rFonts w:cs="Arial"/>
          <w:sz w:val="22"/>
          <w:szCs w:val="22"/>
        </w:rPr>
        <w:t xml:space="preserve">. </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Moneda en que se capta</w:t>
      </w:r>
      <w:r w:rsidRPr="00BB303F">
        <w:rPr>
          <w:rFonts w:cs="Arial"/>
          <w:sz w:val="22"/>
          <w:szCs w:val="22"/>
        </w:rPr>
        <w:t>: Moneda nacional y dólares de los EEUU</w:t>
      </w:r>
      <w:r>
        <w:rPr>
          <w:rFonts w:cs="Arial"/>
          <w:sz w:val="22"/>
          <w:szCs w:val="22"/>
        </w:rPr>
        <w:t>,</w:t>
      </w:r>
      <w:r w:rsidRPr="00BB303F">
        <w:rPr>
          <w:rFonts w:cs="Arial"/>
          <w:sz w:val="22"/>
          <w:szCs w:val="22"/>
        </w:rPr>
        <w:t xml:space="preserve"> en caso de que las condiciones de mercado y la valoración de riesgos asociados señalen su conveniencia.</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Monto máximo de la captación:</w:t>
      </w:r>
      <w:r w:rsidRPr="00BB303F">
        <w:rPr>
          <w:rFonts w:cs="Arial"/>
          <w:sz w:val="22"/>
          <w:szCs w:val="22"/>
        </w:rPr>
        <w:t xml:space="preserve"> El equivalente a ¢</w:t>
      </w:r>
      <w:r>
        <w:rPr>
          <w:rFonts w:cs="Arial"/>
          <w:sz w:val="22"/>
          <w:szCs w:val="22"/>
        </w:rPr>
        <w:t>5</w:t>
      </w:r>
      <w:r w:rsidRPr="00BB303F">
        <w:rPr>
          <w:rFonts w:cs="Arial"/>
          <w:sz w:val="22"/>
          <w:szCs w:val="22"/>
        </w:rPr>
        <w:t>5.000 millones.</w:t>
      </w:r>
    </w:p>
    <w:p w:rsidR="007B2711" w:rsidRPr="00BB303F" w:rsidRDefault="007B2711" w:rsidP="007B2711">
      <w:pPr>
        <w:ind w:left="360" w:hanging="426"/>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Instrumentos de captación:  </w:t>
      </w:r>
    </w:p>
    <w:p w:rsidR="007B2711" w:rsidRPr="00BB303F" w:rsidRDefault="007B2711" w:rsidP="007B2711">
      <w:pPr>
        <w:jc w:val="both"/>
        <w:rPr>
          <w:rFonts w:cs="Arial"/>
          <w:sz w:val="22"/>
          <w:szCs w:val="22"/>
        </w:rPr>
      </w:pPr>
    </w:p>
    <w:p w:rsidR="007B2711" w:rsidRPr="00BB303F" w:rsidRDefault="007B2711" w:rsidP="007B2711">
      <w:pPr>
        <w:numPr>
          <w:ilvl w:val="1"/>
          <w:numId w:val="21"/>
        </w:numPr>
        <w:tabs>
          <w:tab w:val="clear" w:pos="1440"/>
          <w:tab w:val="num" w:pos="851"/>
        </w:tabs>
        <w:ind w:left="851" w:hanging="425"/>
        <w:jc w:val="both"/>
        <w:rPr>
          <w:rFonts w:cs="Arial"/>
          <w:sz w:val="22"/>
          <w:szCs w:val="22"/>
        </w:rPr>
      </w:pPr>
      <w:r w:rsidRPr="00BB303F">
        <w:rPr>
          <w:rFonts w:cs="Arial"/>
          <w:sz w:val="22"/>
          <w:szCs w:val="22"/>
        </w:rPr>
        <w:t>Individuales:</w:t>
      </w:r>
    </w:p>
    <w:p w:rsidR="007B2711" w:rsidRPr="00BB303F" w:rsidRDefault="007B2711" w:rsidP="007B2711">
      <w:pPr>
        <w:numPr>
          <w:ilvl w:val="2"/>
          <w:numId w:val="21"/>
        </w:numPr>
        <w:tabs>
          <w:tab w:val="clear" w:pos="2160"/>
          <w:tab w:val="num" w:pos="1134"/>
        </w:tabs>
        <w:ind w:left="1134" w:hanging="141"/>
        <w:jc w:val="both"/>
        <w:rPr>
          <w:rFonts w:cs="Arial"/>
          <w:sz w:val="22"/>
          <w:szCs w:val="22"/>
        </w:rPr>
      </w:pPr>
      <w:r w:rsidRPr="00BB303F">
        <w:rPr>
          <w:rFonts w:cs="Arial"/>
          <w:sz w:val="22"/>
          <w:szCs w:val="22"/>
        </w:rPr>
        <w:t>Papel Comercial emitido mediante ventanilla del BANHVI y a través de la ventanilla electrónica de la Bolsa.</w:t>
      </w:r>
    </w:p>
    <w:p w:rsidR="007B2711" w:rsidRPr="00BB303F" w:rsidRDefault="007B2711" w:rsidP="007B2711">
      <w:pPr>
        <w:numPr>
          <w:ilvl w:val="2"/>
          <w:numId w:val="21"/>
        </w:numPr>
        <w:tabs>
          <w:tab w:val="clear" w:pos="2160"/>
          <w:tab w:val="num" w:pos="1134"/>
        </w:tabs>
        <w:ind w:left="1134" w:hanging="141"/>
        <w:jc w:val="both"/>
        <w:rPr>
          <w:rFonts w:cs="Arial"/>
          <w:sz w:val="22"/>
          <w:szCs w:val="22"/>
        </w:rPr>
      </w:pPr>
      <w:r w:rsidRPr="00BB303F">
        <w:rPr>
          <w:rFonts w:cs="Arial"/>
          <w:sz w:val="22"/>
          <w:szCs w:val="22"/>
        </w:rPr>
        <w:t xml:space="preserve">Títulos valores de mediano plazo y largo, emitidos por medio de la ventanilla del BANHVI. </w:t>
      </w:r>
    </w:p>
    <w:p w:rsidR="007B2711" w:rsidRPr="00BB303F" w:rsidRDefault="007B2711" w:rsidP="007B2711">
      <w:pPr>
        <w:numPr>
          <w:ilvl w:val="1"/>
          <w:numId w:val="21"/>
        </w:numPr>
        <w:tabs>
          <w:tab w:val="clear" w:pos="1440"/>
          <w:tab w:val="num" w:pos="851"/>
        </w:tabs>
        <w:ind w:left="851" w:hanging="425"/>
        <w:jc w:val="both"/>
        <w:rPr>
          <w:rFonts w:cs="Arial"/>
          <w:sz w:val="22"/>
          <w:szCs w:val="22"/>
        </w:rPr>
      </w:pPr>
      <w:r w:rsidRPr="00BB303F">
        <w:rPr>
          <w:rFonts w:cs="Arial"/>
          <w:sz w:val="22"/>
          <w:szCs w:val="22"/>
        </w:rPr>
        <w:t xml:space="preserve">Estandarizados:  </w:t>
      </w:r>
    </w:p>
    <w:p w:rsidR="007B2711" w:rsidRPr="00BB303F" w:rsidRDefault="007B2711" w:rsidP="007B2711">
      <w:pPr>
        <w:numPr>
          <w:ilvl w:val="2"/>
          <w:numId w:val="21"/>
        </w:numPr>
        <w:tabs>
          <w:tab w:val="clear" w:pos="2160"/>
          <w:tab w:val="num" w:pos="1134"/>
        </w:tabs>
        <w:ind w:left="1701" w:hanging="708"/>
        <w:jc w:val="both"/>
        <w:rPr>
          <w:rFonts w:cs="Arial"/>
          <w:sz w:val="22"/>
          <w:szCs w:val="22"/>
        </w:rPr>
      </w:pPr>
      <w:r w:rsidRPr="00BB303F">
        <w:rPr>
          <w:rFonts w:cs="Arial"/>
          <w:sz w:val="22"/>
          <w:szCs w:val="22"/>
        </w:rPr>
        <w:t>Programas de papel comercial en colones y dólares.</w:t>
      </w:r>
    </w:p>
    <w:p w:rsidR="007B2711" w:rsidRPr="00BB303F" w:rsidRDefault="007B2711" w:rsidP="007B2711">
      <w:pPr>
        <w:numPr>
          <w:ilvl w:val="2"/>
          <w:numId w:val="21"/>
        </w:numPr>
        <w:tabs>
          <w:tab w:val="clear" w:pos="2160"/>
          <w:tab w:val="num" w:pos="1134"/>
        </w:tabs>
        <w:ind w:left="1701" w:hanging="708"/>
        <w:jc w:val="both"/>
        <w:rPr>
          <w:rFonts w:cs="Arial"/>
          <w:sz w:val="22"/>
          <w:szCs w:val="22"/>
        </w:rPr>
      </w:pPr>
      <w:r w:rsidRPr="00BB303F">
        <w:rPr>
          <w:rFonts w:cs="Arial"/>
          <w:sz w:val="22"/>
          <w:szCs w:val="22"/>
        </w:rPr>
        <w:t>Programa de emisiones de bonos estandarizados en colones.</w:t>
      </w:r>
    </w:p>
    <w:p w:rsidR="007B2711" w:rsidRPr="00BB303F" w:rsidRDefault="007B2711" w:rsidP="007B2711">
      <w:pPr>
        <w:ind w:left="426" w:hanging="426"/>
        <w:jc w:val="both"/>
        <w:rPr>
          <w:rFonts w:cs="Arial"/>
          <w:sz w:val="22"/>
          <w:szCs w:val="22"/>
        </w:rPr>
      </w:pPr>
    </w:p>
    <w:p w:rsidR="007B2711" w:rsidRPr="00BB303F" w:rsidRDefault="007B2711" w:rsidP="007B2711">
      <w:pPr>
        <w:ind w:left="426"/>
        <w:jc w:val="both"/>
        <w:rPr>
          <w:rFonts w:cs="Arial"/>
          <w:sz w:val="22"/>
          <w:szCs w:val="22"/>
        </w:rPr>
      </w:pPr>
      <w:r w:rsidRPr="00BB303F">
        <w:rPr>
          <w:rFonts w:cs="Arial"/>
          <w:sz w:val="22"/>
          <w:szCs w:val="22"/>
        </w:rPr>
        <w:t>En los casos en los que sea necesaria la utilización del mecanismo de bolsa para ejecutar la captación, deberán atenderse los límites establecidos en los “Lineamientos para la Captación de Recursos Financieros Mediante Emisión de Títulos Valores,” respecto del pago de comisiones bursátiles.</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Rango de los plazos de la captación: </w:t>
      </w:r>
      <w:r w:rsidRPr="00BB303F">
        <w:rPr>
          <w:rFonts w:cs="Arial"/>
          <w:sz w:val="22"/>
          <w:szCs w:val="22"/>
        </w:rPr>
        <w:t xml:space="preserve">Desde 180 días </w:t>
      </w:r>
      <w:r>
        <w:rPr>
          <w:rFonts w:cs="Arial"/>
          <w:sz w:val="22"/>
          <w:szCs w:val="22"/>
        </w:rPr>
        <w:t>hasta</w:t>
      </w:r>
      <w:r w:rsidRPr="00BB303F">
        <w:rPr>
          <w:rFonts w:cs="Arial"/>
          <w:sz w:val="22"/>
          <w:szCs w:val="22"/>
        </w:rPr>
        <w:t xml:space="preserve"> 10 años, en función de las condiciones de mercado, así como de la conveniencia que señalen los indicadores de rentabilidad y </w:t>
      </w:r>
      <w:r>
        <w:rPr>
          <w:rFonts w:cs="Arial"/>
          <w:sz w:val="22"/>
          <w:szCs w:val="22"/>
        </w:rPr>
        <w:t>liquidez</w:t>
      </w:r>
      <w:r w:rsidRPr="00BB303F">
        <w:rPr>
          <w:rFonts w:cs="Arial"/>
          <w:sz w:val="22"/>
          <w:szCs w:val="22"/>
        </w:rPr>
        <w:t xml:space="preserve"> del BANHVI. </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Fecha en la que se requieren los recursos:</w:t>
      </w:r>
      <w:r w:rsidRPr="00BB303F">
        <w:rPr>
          <w:rFonts w:cs="Arial"/>
          <w:sz w:val="22"/>
          <w:szCs w:val="22"/>
        </w:rPr>
        <w:t xml:space="preserve"> Período de enero a diciembre de 201</w:t>
      </w:r>
      <w:r>
        <w:rPr>
          <w:rFonts w:cs="Arial"/>
          <w:sz w:val="22"/>
          <w:szCs w:val="22"/>
        </w:rPr>
        <w:t>9</w:t>
      </w:r>
      <w:r w:rsidRPr="00BB303F">
        <w:rPr>
          <w:rFonts w:cs="Arial"/>
          <w:sz w:val="22"/>
          <w:szCs w:val="22"/>
        </w:rPr>
        <w:t>.</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b/>
          <w:sz w:val="22"/>
          <w:szCs w:val="22"/>
        </w:rPr>
      </w:pPr>
      <w:r w:rsidRPr="00BB303F">
        <w:rPr>
          <w:rFonts w:cs="Arial"/>
          <w:b/>
          <w:sz w:val="22"/>
          <w:szCs w:val="22"/>
        </w:rPr>
        <w:t>Tasa de interés:</w:t>
      </w:r>
      <w:r w:rsidRPr="00BB303F">
        <w:rPr>
          <w:rFonts w:cs="Arial"/>
          <w:sz w:val="22"/>
          <w:szCs w:val="22"/>
        </w:rPr>
        <w:t xml:space="preserve"> La tasa de interés de cada emisión de títulos valores</w:t>
      </w:r>
      <w:r>
        <w:rPr>
          <w:rFonts w:cs="Arial"/>
          <w:sz w:val="22"/>
          <w:szCs w:val="22"/>
        </w:rPr>
        <w:t>,</w:t>
      </w:r>
      <w:r w:rsidRPr="00BB303F">
        <w:rPr>
          <w:rFonts w:cs="Arial"/>
          <w:sz w:val="22"/>
          <w:szCs w:val="22"/>
        </w:rPr>
        <w:t xml:space="preserve"> será autorizada por la Subgerencia Financiera o la Dirección FONAVI, atendiendo los límites establecidos en los Lineamientos para la Captación de Recursos Financieros Mediante Emisión de Títulos Valores y según los procedimientos internos vigentes.</w:t>
      </w:r>
    </w:p>
    <w:p w:rsidR="007B2711" w:rsidRDefault="007B2711" w:rsidP="007B2711">
      <w:pPr>
        <w:ind w:left="426"/>
        <w:jc w:val="both"/>
        <w:rPr>
          <w:rFonts w:cs="Arial"/>
          <w:sz w:val="22"/>
          <w:szCs w:val="22"/>
        </w:rPr>
      </w:pPr>
    </w:p>
    <w:p w:rsidR="007B2711" w:rsidRPr="00BB303F" w:rsidRDefault="007B2711" w:rsidP="007B2711">
      <w:pPr>
        <w:ind w:left="426"/>
        <w:jc w:val="both"/>
        <w:rPr>
          <w:rFonts w:cs="Arial"/>
          <w:sz w:val="22"/>
          <w:szCs w:val="22"/>
        </w:rPr>
      </w:pPr>
      <w:r w:rsidRPr="00BB303F">
        <w:rPr>
          <w:rFonts w:cs="Arial"/>
          <w:sz w:val="22"/>
          <w:szCs w:val="22"/>
        </w:rPr>
        <w:t>En todo caso, el establecimiento de la tasa de interés de la captación</w:t>
      </w:r>
      <w:r>
        <w:rPr>
          <w:rFonts w:cs="Arial"/>
          <w:sz w:val="22"/>
          <w:szCs w:val="22"/>
        </w:rPr>
        <w:t>,</w:t>
      </w:r>
      <w:r w:rsidRPr="00BB303F">
        <w:rPr>
          <w:rFonts w:cs="Arial"/>
          <w:sz w:val="22"/>
          <w:szCs w:val="22"/>
        </w:rPr>
        <w:t xml:space="preserve"> deberá garantizar la existencia de un margen de intermediación positivo una vez incorporados los costos por concepto de encaje mínimo legal y comisiones bursátiles, si corresponde.</w:t>
      </w:r>
    </w:p>
    <w:p w:rsidR="007B2711" w:rsidRPr="00BB303F" w:rsidRDefault="007B2711" w:rsidP="007B2711">
      <w:pPr>
        <w:jc w:val="both"/>
        <w:rPr>
          <w:rFonts w:cs="Arial"/>
          <w:sz w:val="22"/>
          <w:szCs w:val="22"/>
        </w:rPr>
      </w:pPr>
    </w:p>
    <w:p w:rsidR="007B2711" w:rsidRPr="00BB303F" w:rsidRDefault="007B2711" w:rsidP="007B2711">
      <w:pPr>
        <w:numPr>
          <w:ilvl w:val="0"/>
          <w:numId w:val="22"/>
        </w:numPr>
        <w:tabs>
          <w:tab w:val="clear" w:pos="720"/>
          <w:tab w:val="num" w:pos="426"/>
        </w:tabs>
        <w:ind w:left="426" w:hanging="426"/>
        <w:jc w:val="both"/>
        <w:rPr>
          <w:rFonts w:cs="Arial"/>
          <w:sz w:val="22"/>
          <w:szCs w:val="22"/>
        </w:rPr>
      </w:pPr>
      <w:r w:rsidRPr="00BB303F">
        <w:rPr>
          <w:rFonts w:cs="Arial"/>
          <w:b/>
          <w:sz w:val="22"/>
          <w:szCs w:val="22"/>
        </w:rPr>
        <w:t xml:space="preserve">Comisiones: </w:t>
      </w:r>
      <w:r w:rsidRPr="00BB303F">
        <w:rPr>
          <w:rFonts w:cs="Arial"/>
          <w:sz w:val="22"/>
          <w:szCs w:val="22"/>
        </w:rPr>
        <w:t>En el caso de que la captación se tramite por medio de</w:t>
      </w:r>
      <w:r>
        <w:rPr>
          <w:rFonts w:cs="Arial"/>
          <w:sz w:val="22"/>
          <w:szCs w:val="22"/>
        </w:rPr>
        <w:t xml:space="preserve">l mecanismo de bolsa, el pago de las comisiones asociadas se realizará de conformidad con lo </w:t>
      </w:r>
      <w:r>
        <w:rPr>
          <w:rFonts w:cs="Arial"/>
          <w:sz w:val="22"/>
          <w:szCs w:val="22"/>
        </w:rPr>
        <w:lastRenderedPageBreak/>
        <w:t xml:space="preserve">autorizado por la Gerencia General o la Subgerencia Financiera, para lo cual deberá respetarse el límite </w:t>
      </w:r>
      <w:r w:rsidRPr="00BB303F">
        <w:rPr>
          <w:rFonts w:cs="Arial"/>
          <w:sz w:val="22"/>
          <w:szCs w:val="22"/>
        </w:rPr>
        <w:t>establecido en los Lineamientos para la Captación de Recursos Financieros Mediante Emisión de Títulos Valores</w:t>
      </w:r>
      <w:r>
        <w:rPr>
          <w:rFonts w:cs="Arial"/>
          <w:sz w:val="22"/>
          <w:szCs w:val="22"/>
        </w:rPr>
        <w:t>.</w:t>
      </w:r>
    </w:p>
    <w:p w:rsidR="007B2711" w:rsidRDefault="007B2711" w:rsidP="007B2711">
      <w:pPr>
        <w:ind w:left="426"/>
        <w:jc w:val="both"/>
        <w:rPr>
          <w:rFonts w:cs="Arial"/>
          <w:sz w:val="22"/>
          <w:szCs w:val="22"/>
        </w:rPr>
      </w:pPr>
    </w:p>
    <w:p w:rsidR="007B2711" w:rsidRDefault="007B2711" w:rsidP="007B2711">
      <w:pPr>
        <w:ind w:left="426"/>
        <w:jc w:val="both"/>
        <w:rPr>
          <w:rFonts w:cs="Arial"/>
          <w:sz w:val="22"/>
          <w:szCs w:val="22"/>
        </w:rPr>
      </w:pPr>
      <w:r w:rsidRPr="00BB303F">
        <w:rPr>
          <w:rFonts w:cs="Arial"/>
          <w:sz w:val="22"/>
          <w:szCs w:val="22"/>
        </w:rPr>
        <w:t>En caso de que deba incurrirse en el pago de comisiones, los valores pertinentes deberán estar contemplados en el cálculo del costo total de los recursos captados, a partir del cual deberá garantizarse un margen de intermediación positivo derivado de la utilización de tales recursos en los fines previstos.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7B2711" w:rsidRPr="007B2711" w:rsidRDefault="007B2711" w:rsidP="007B2711">
      <w:pPr>
        <w:spacing w:line="360" w:lineRule="auto"/>
        <w:jc w:val="both"/>
        <w:rPr>
          <w:rFonts w:cs="Arial"/>
          <w:bCs/>
          <w:sz w:val="22"/>
          <w:szCs w:val="22"/>
        </w:rPr>
      </w:pPr>
      <w:r w:rsidRPr="007B2711">
        <w:rPr>
          <w:rFonts w:cs="Arial"/>
          <w:bCs/>
          <w:sz w:val="22"/>
          <w:szCs w:val="22"/>
        </w:rPr>
        <w:t>Conformar una comisión de trabajo, para precisar la estrategia que debe implementarse para generar el desarrollo del proyecto habitacional Cobasur, teniendo como meta que para el año 2019, se cuente, al menos, con el diseño del proyecto.</w:t>
      </w:r>
    </w:p>
    <w:p w:rsidR="007B2711" w:rsidRPr="007B2711" w:rsidRDefault="007B2711" w:rsidP="007B2711">
      <w:pPr>
        <w:spacing w:line="360" w:lineRule="auto"/>
        <w:jc w:val="both"/>
        <w:rPr>
          <w:rFonts w:cs="Arial"/>
          <w:sz w:val="22"/>
          <w:szCs w:val="22"/>
        </w:rPr>
      </w:pPr>
    </w:p>
    <w:p w:rsidR="002B71CC" w:rsidRDefault="007B2711" w:rsidP="002B71CC">
      <w:pPr>
        <w:spacing w:line="360" w:lineRule="auto"/>
        <w:jc w:val="both"/>
        <w:rPr>
          <w:rFonts w:cs="Arial"/>
          <w:sz w:val="22"/>
          <w:szCs w:val="22"/>
        </w:rPr>
      </w:pPr>
      <w:r w:rsidRPr="007B2711">
        <w:rPr>
          <w:rFonts w:cs="Arial"/>
          <w:sz w:val="22"/>
          <w:szCs w:val="22"/>
        </w:rPr>
        <w:t xml:space="preserve">Dicha comisión estará integrada por </w:t>
      </w:r>
      <w:r w:rsidRPr="007B2711">
        <w:rPr>
          <w:rFonts w:cs="Arial"/>
          <w:sz w:val="22"/>
          <w:szCs w:val="22"/>
          <w:lang w:val="es-CR"/>
        </w:rPr>
        <w:t xml:space="preserve">representantes de la Mutual Cartago </w:t>
      </w:r>
      <w:r w:rsidRPr="007B2711">
        <w:rPr>
          <w:rFonts w:cs="Arial"/>
          <w:sz w:val="22"/>
          <w:szCs w:val="22"/>
          <w:lang w:val="es-ES_tradnl"/>
        </w:rPr>
        <w:t xml:space="preserve">de Ahorro y Préstamo, </w:t>
      </w:r>
      <w:r w:rsidRPr="007B2711">
        <w:rPr>
          <w:rFonts w:cs="Arial"/>
          <w:sz w:val="22"/>
          <w:szCs w:val="22"/>
          <w:lang w:val="es-CR"/>
        </w:rPr>
        <w:t xml:space="preserve">el Subgerente Financiero (quien actuará como facilitador), la titular del Departamento de Fideicomisos, así como por las </w:t>
      </w:r>
      <w:r w:rsidRPr="007B2711">
        <w:rPr>
          <w:rFonts w:cs="Arial"/>
          <w:sz w:val="22"/>
          <w:szCs w:val="22"/>
        </w:rPr>
        <w:t xml:space="preserve">Directoras </w:t>
      </w:r>
      <w:r w:rsidRPr="007B2711">
        <w:rPr>
          <w:rFonts w:cs="Arial"/>
          <w:bCs/>
          <w:sz w:val="22"/>
          <w:szCs w:val="22"/>
        </w:rPr>
        <w:t>Ulibarri Pernús y Pérez Gutiérrez</w:t>
      </w:r>
      <w:r w:rsidRPr="007B2711">
        <w:rPr>
          <w:rFonts w:cs="Arial"/>
          <w:sz w:val="22"/>
          <w:szCs w:val="22"/>
          <w:lang w:val="es-CR"/>
        </w:rPr>
        <w:t>, en representación de esta Junta Directiva.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45358" w:rsidRDefault="00245358" w:rsidP="00245358">
      <w:pPr>
        <w:spacing w:line="360" w:lineRule="auto"/>
        <w:jc w:val="both"/>
        <w:rPr>
          <w:rFonts w:cs="Arial"/>
          <w:sz w:val="22"/>
          <w:szCs w:val="22"/>
        </w:rPr>
      </w:pPr>
    </w:p>
    <w:p w:rsidR="00245358" w:rsidRDefault="00245358" w:rsidP="00245358">
      <w:pPr>
        <w:spacing w:line="360" w:lineRule="auto"/>
        <w:jc w:val="both"/>
        <w:rPr>
          <w:rFonts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621"/>
        <w:gridCol w:w="2830"/>
      </w:tblGrid>
      <w:tr w:rsidR="00245358" w:rsidTr="00593AEC">
        <w:trPr>
          <w:jc w:val="center"/>
        </w:trPr>
        <w:tc>
          <w:tcPr>
            <w:tcW w:w="2993" w:type="dxa"/>
          </w:tcPr>
          <w:p w:rsidR="00245358" w:rsidRDefault="00245358" w:rsidP="00593AEC">
            <w:pPr>
              <w:jc w:val="center"/>
              <w:rPr>
                <w:rFonts w:cs="Arial"/>
                <w:sz w:val="22"/>
                <w:szCs w:val="22"/>
              </w:rPr>
            </w:pPr>
            <w:r>
              <w:rPr>
                <w:rFonts w:cs="Arial"/>
                <w:sz w:val="22"/>
                <w:szCs w:val="22"/>
              </w:rPr>
              <w:t>Irene Campos Gómez</w:t>
            </w:r>
          </w:p>
          <w:p w:rsidR="00245358" w:rsidRDefault="00245358" w:rsidP="00593AEC">
            <w:pPr>
              <w:jc w:val="center"/>
              <w:rPr>
                <w:rFonts w:cs="Arial"/>
                <w:sz w:val="22"/>
                <w:szCs w:val="22"/>
              </w:rPr>
            </w:pPr>
            <w:r w:rsidRPr="00C44D19">
              <w:rPr>
                <w:rFonts w:cs="Arial"/>
                <w:sz w:val="22"/>
                <w:szCs w:val="22"/>
              </w:rPr>
              <w:t>President</w:t>
            </w:r>
            <w:r>
              <w:rPr>
                <w:rFonts w:cs="Arial"/>
                <w:sz w:val="22"/>
                <w:szCs w:val="22"/>
              </w:rPr>
              <w:t>a</w:t>
            </w:r>
          </w:p>
        </w:tc>
        <w:tc>
          <w:tcPr>
            <w:tcW w:w="2621" w:type="dxa"/>
          </w:tcPr>
          <w:p w:rsidR="00245358" w:rsidRDefault="00245358" w:rsidP="00593AEC">
            <w:pPr>
              <w:jc w:val="both"/>
              <w:rPr>
                <w:rFonts w:cs="Arial"/>
                <w:sz w:val="22"/>
                <w:szCs w:val="22"/>
              </w:rPr>
            </w:pPr>
          </w:p>
        </w:tc>
        <w:tc>
          <w:tcPr>
            <w:tcW w:w="2830" w:type="dxa"/>
          </w:tcPr>
          <w:p w:rsidR="00245358" w:rsidRDefault="00245358" w:rsidP="00593AEC">
            <w:pPr>
              <w:jc w:val="center"/>
              <w:rPr>
                <w:rFonts w:cs="Arial"/>
                <w:sz w:val="22"/>
                <w:szCs w:val="22"/>
              </w:rPr>
            </w:pPr>
            <w:r w:rsidRPr="00C44D19">
              <w:rPr>
                <w:rFonts w:cs="Arial"/>
                <w:sz w:val="22"/>
                <w:szCs w:val="22"/>
              </w:rPr>
              <w:t>Gustavo Flores Oviedo</w:t>
            </w:r>
          </w:p>
          <w:p w:rsidR="00245358" w:rsidRDefault="00245358" w:rsidP="00593AEC">
            <w:pPr>
              <w:jc w:val="center"/>
              <w:rPr>
                <w:rFonts w:cs="Arial"/>
                <w:sz w:val="22"/>
                <w:szCs w:val="22"/>
              </w:rPr>
            </w:pPr>
            <w:r w:rsidRPr="00C44D19">
              <w:rPr>
                <w:rFonts w:cs="Arial"/>
                <w:sz w:val="22"/>
                <w:szCs w:val="22"/>
              </w:rPr>
              <w:t>Auditor Interno</w:t>
            </w:r>
          </w:p>
        </w:tc>
      </w:tr>
    </w:tbl>
    <w:p w:rsidR="00245358" w:rsidRPr="00AB2826" w:rsidRDefault="00245358" w:rsidP="00245358">
      <w:pPr>
        <w:spacing w:line="360" w:lineRule="auto"/>
        <w:jc w:val="both"/>
        <w:rPr>
          <w:rFonts w:cs="Arial"/>
          <w:sz w:val="22"/>
          <w:szCs w:val="22"/>
        </w:rPr>
      </w:pPr>
    </w:p>
    <w:p w:rsidR="00245358" w:rsidRDefault="00245358" w:rsidP="002B71CC">
      <w:pPr>
        <w:spacing w:line="360" w:lineRule="auto"/>
        <w:jc w:val="both"/>
        <w:rPr>
          <w:rFonts w:cs="Arial"/>
          <w:sz w:val="22"/>
          <w:szCs w:val="22"/>
        </w:rPr>
      </w:pPr>
    </w:p>
    <w:sectPr w:rsidR="00245358">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F8" w:rsidRDefault="003873F8">
      <w:r>
        <w:separator/>
      </w:r>
    </w:p>
  </w:endnote>
  <w:endnote w:type="continuationSeparator" w:id="0">
    <w:p w:rsidR="003873F8" w:rsidRDefault="0038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F8" w:rsidRDefault="003873F8">
      <w:r>
        <w:separator/>
      </w:r>
    </w:p>
  </w:footnote>
  <w:footnote w:type="continuationSeparator" w:id="0">
    <w:p w:rsidR="003873F8" w:rsidRDefault="00387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A3479B">
      <w:rPr>
        <w:sz w:val="18"/>
        <w:lang w:val="es-ES"/>
      </w:rPr>
      <w:t>Minuta de la sesión N</w:t>
    </w:r>
    <w:r>
      <w:rPr>
        <w:sz w:val="18"/>
        <w:lang w:val="es-ES"/>
      </w:rPr>
      <w:t xml:space="preserve">º </w:t>
    </w:r>
    <w:r w:rsidR="00A3479B">
      <w:rPr>
        <w:sz w:val="18"/>
        <w:lang w:val="es-ES"/>
      </w:rPr>
      <w:t>02</w:t>
    </w:r>
    <w:r>
      <w:rPr>
        <w:sz w:val="18"/>
        <w:lang w:val="es-ES"/>
      </w:rPr>
      <w:t>-201</w:t>
    </w:r>
    <w:r w:rsidR="00A3479B">
      <w:rPr>
        <w:sz w:val="18"/>
        <w:lang w:val="es-ES"/>
      </w:rPr>
      <w:t>9</w:t>
    </w:r>
    <w:r>
      <w:rPr>
        <w:sz w:val="18"/>
        <w:lang w:val="es-ES"/>
      </w:rPr>
      <w:t xml:space="preserve">          </w:t>
    </w:r>
    <w:r w:rsidR="00A3479B">
      <w:rPr>
        <w:sz w:val="18"/>
        <w:lang w:val="es-ES"/>
      </w:rPr>
      <w:t xml:space="preserve">         10</w:t>
    </w:r>
    <w:r>
      <w:rPr>
        <w:sz w:val="18"/>
        <w:lang w:val="es-ES"/>
      </w:rPr>
      <w:t xml:space="preserve"> de </w:t>
    </w:r>
    <w:r w:rsidR="00A3479B">
      <w:rPr>
        <w:sz w:val="18"/>
        <w:lang w:val="es-ES"/>
      </w:rPr>
      <w:t>enero</w:t>
    </w:r>
    <w:r>
      <w:rPr>
        <w:sz w:val="18"/>
        <w:lang w:val="es-ES"/>
      </w:rPr>
      <w:t xml:space="preserve"> de 201</w:t>
    </w:r>
    <w:r w:rsidR="00A3479B">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1E76FC">
      <w:rPr>
        <w:rStyle w:val="Nmerodepgina"/>
        <w:noProof/>
        <w:sz w:val="18"/>
      </w:rPr>
      <w:t>14</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B7F3CCD"/>
    <w:multiLevelType w:val="hybridMultilevel"/>
    <w:tmpl w:val="AEE88D7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B617E2"/>
    <w:multiLevelType w:val="hybridMultilevel"/>
    <w:tmpl w:val="50BEEE0A"/>
    <w:lvl w:ilvl="0" w:tplc="A67EA38A">
      <w:start w:val="1"/>
      <w:numFmt w:val="decimal"/>
      <w:lvlText w:val="%1."/>
      <w:lvlJc w:val="left"/>
      <w:pPr>
        <w:tabs>
          <w:tab w:val="num" w:pos="720"/>
        </w:tabs>
        <w:ind w:left="720" w:hanging="360"/>
      </w:pPr>
      <w:rPr>
        <w:b/>
      </w:rPr>
    </w:lvl>
    <w:lvl w:ilvl="1" w:tplc="4F8404BA">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9886BB0E">
      <w:start w:val="1"/>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16">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BB264C5"/>
    <w:multiLevelType w:val="hybridMultilevel"/>
    <w:tmpl w:val="93AA6DB6"/>
    <w:lvl w:ilvl="0" w:tplc="3ED83FD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E94034A"/>
    <w:multiLevelType w:val="hybridMultilevel"/>
    <w:tmpl w:val="401CDD76"/>
    <w:lvl w:ilvl="0" w:tplc="44DC0788">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6044A10"/>
    <w:multiLevelType w:val="hybridMultilevel"/>
    <w:tmpl w:val="4852D8DE"/>
    <w:lvl w:ilvl="0" w:tplc="778827C0">
      <w:start w:val="1"/>
      <w:numFmt w:val="decimal"/>
      <w:lvlText w:val="%1."/>
      <w:lvlJc w:val="left"/>
      <w:pPr>
        <w:tabs>
          <w:tab w:val="num" w:pos="-720"/>
        </w:tabs>
        <w:ind w:left="-720" w:hanging="360"/>
      </w:pPr>
      <w:rPr>
        <w:rFonts w:ascii="Arial" w:hAnsi="Arial" w:cs="Arial"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3"/>
  </w:num>
  <w:num w:numId="7">
    <w:abstractNumId w:val="22"/>
  </w:num>
  <w:num w:numId="8">
    <w:abstractNumId w:val="8"/>
  </w:num>
  <w:num w:numId="9">
    <w:abstractNumId w:val="5"/>
  </w:num>
  <w:num w:numId="10">
    <w:abstractNumId w:val="3"/>
  </w:num>
  <w:num w:numId="11">
    <w:abstractNumId w:val="4"/>
  </w:num>
  <w:num w:numId="12">
    <w:abstractNumId w:val="23"/>
  </w:num>
  <w:num w:numId="13">
    <w:abstractNumId w:val="20"/>
  </w:num>
  <w:num w:numId="14">
    <w:abstractNumId w:val="17"/>
  </w:num>
  <w:num w:numId="15">
    <w:abstractNumId w:val="9"/>
  </w:num>
  <w:num w:numId="16">
    <w:abstractNumId w:val="14"/>
  </w:num>
  <w:num w:numId="17">
    <w:abstractNumId w:val="12"/>
  </w:num>
  <w:num w:numId="18">
    <w:abstractNumId w:val="7"/>
  </w:num>
  <w:num w:numId="19">
    <w:abstractNumId w:val="15"/>
  </w:num>
  <w:num w:numId="20">
    <w:abstractNumId w:val="21"/>
  </w:num>
  <w:num w:numId="21">
    <w:abstractNumId w:val="11"/>
  </w:num>
  <w:num w:numId="22">
    <w:abstractNumId w:val="16"/>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FSneVHcSlxL40ykjrJIESU5EMM=" w:salt="tV7tInA8wf3Ht8U8LB9kc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F8"/>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95234"/>
    <w:rsid w:val="000A6259"/>
    <w:rsid w:val="000B0F7B"/>
    <w:rsid w:val="000C4E35"/>
    <w:rsid w:val="000C5661"/>
    <w:rsid w:val="000F5F31"/>
    <w:rsid w:val="00105CCE"/>
    <w:rsid w:val="0011401E"/>
    <w:rsid w:val="001147C3"/>
    <w:rsid w:val="00117E78"/>
    <w:rsid w:val="001227FE"/>
    <w:rsid w:val="00154E36"/>
    <w:rsid w:val="00183234"/>
    <w:rsid w:val="0018634C"/>
    <w:rsid w:val="001909BE"/>
    <w:rsid w:val="00193B2D"/>
    <w:rsid w:val="00196DD0"/>
    <w:rsid w:val="001A14EB"/>
    <w:rsid w:val="001B6D7C"/>
    <w:rsid w:val="001B703A"/>
    <w:rsid w:val="001C0A79"/>
    <w:rsid w:val="001C3F1B"/>
    <w:rsid w:val="001D7E23"/>
    <w:rsid w:val="001E76FC"/>
    <w:rsid w:val="001F277B"/>
    <w:rsid w:val="001F7D2C"/>
    <w:rsid w:val="002026DC"/>
    <w:rsid w:val="00204086"/>
    <w:rsid w:val="00210B7F"/>
    <w:rsid w:val="00213FA6"/>
    <w:rsid w:val="00214849"/>
    <w:rsid w:val="002163C7"/>
    <w:rsid w:val="00216B12"/>
    <w:rsid w:val="00236CA9"/>
    <w:rsid w:val="00237191"/>
    <w:rsid w:val="00240946"/>
    <w:rsid w:val="00243275"/>
    <w:rsid w:val="00243461"/>
    <w:rsid w:val="00245358"/>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73F8"/>
    <w:rsid w:val="003A4E5A"/>
    <w:rsid w:val="003A5204"/>
    <w:rsid w:val="003A70CE"/>
    <w:rsid w:val="003B0676"/>
    <w:rsid w:val="003B1738"/>
    <w:rsid w:val="003B20EA"/>
    <w:rsid w:val="003C2AFE"/>
    <w:rsid w:val="003C6FEB"/>
    <w:rsid w:val="003C7C0F"/>
    <w:rsid w:val="00407CC4"/>
    <w:rsid w:val="00421BEA"/>
    <w:rsid w:val="00432126"/>
    <w:rsid w:val="00445673"/>
    <w:rsid w:val="004755F8"/>
    <w:rsid w:val="0047593B"/>
    <w:rsid w:val="0048086A"/>
    <w:rsid w:val="00486436"/>
    <w:rsid w:val="0048746C"/>
    <w:rsid w:val="004930AA"/>
    <w:rsid w:val="00496B93"/>
    <w:rsid w:val="00497711"/>
    <w:rsid w:val="004B373F"/>
    <w:rsid w:val="004B7456"/>
    <w:rsid w:val="004C5B22"/>
    <w:rsid w:val="004C724E"/>
    <w:rsid w:val="004E10F9"/>
    <w:rsid w:val="004E1777"/>
    <w:rsid w:val="004E5D21"/>
    <w:rsid w:val="005011AD"/>
    <w:rsid w:val="00513B4F"/>
    <w:rsid w:val="00530ADD"/>
    <w:rsid w:val="00531B93"/>
    <w:rsid w:val="005459D0"/>
    <w:rsid w:val="005504E6"/>
    <w:rsid w:val="005662C5"/>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A474B"/>
    <w:rsid w:val="006A779D"/>
    <w:rsid w:val="006B1195"/>
    <w:rsid w:val="006B6CD1"/>
    <w:rsid w:val="006B7846"/>
    <w:rsid w:val="006C0086"/>
    <w:rsid w:val="006C1542"/>
    <w:rsid w:val="006C1D3B"/>
    <w:rsid w:val="006C1F07"/>
    <w:rsid w:val="006C772C"/>
    <w:rsid w:val="006D18E4"/>
    <w:rsid w:val="006D5482"/>
    <w:rsid w:val="006E31FB"/>
    <w:rsid w:val="006E7C0F"/>
    <w:rsid w:val="006F7DB3"/>
    <w:rsid w:val="0070568B"/>
    <w:rsid w:val="007062BD"/>
    <w:rsid w:val="00711E6C"/>
    <w:rsid w:val="00723211"/>
    <w:rsid w:val="00735384"/>
    <w:rsid w:val="00737234"/>
    <w:rsid w:val="00751002"/>
    <w:rsid w:val="007605D2"/>
    <w:rsid w:val="00765327"/>
    <w:rsid w:val="007749FC"/>
    <w:rsid w:val="00793DF8"/>
    <w:rsid w:val="00797660"/>
    <w:rsid w:val="007B2711"/>
    <w:rsid w:val="007B2EB9"/>
    <w:rsid w:val="007B5EDF"/>
    <w:rsid w:val="007C2929"/>
    <w:rsid w:val="007C3229"/>
    <w:rsid w:val="007D6EF8"/>
    <w:rsid w:val="007E31DD"/>
    <w:rsid w:val="007F614F"/>
    <w:rsid w:val="007F66D6"/>
    <w:rsid w:val="00800739"/>
    <w:rsid w:val="008110AA"/>
    <w:rsid w:val="00811427"/>
    <w:rsid w:val="00825856"/>
    <w:rsid w:val="008343A2"/>
    <w:rsid w:val="00834957"/>
    <w:rsid w:val="00834A2F"/>
    <w:rsid w:val="00837391"/>
    <w:rsid w:val="00846281"/>
    <w:rsid w:val="00851373"/>
    <w:rsid w:val="00854DE9"/>
    <w:rsid w:val="00870163"/>
    <w:rsid w:val="008772A6"/>
    <w:rsid w:val="00895A5D"/>
    <w:rsid w:val="00896BC6"/>
    <w:rsid w:val="008D35D8"/>
    <w:rsid w:val="008D6E0F"/>
    <w:rsid w:val="008E2E3D"/>
    <w:rsid w:val="008E328B"/>
    <w:rsid w:val="008F38A8"/>
    <w:rsid w:val="008F6C96"/>
    <w:rsid w:val="00911F06"/>
    <w:rsid w:val="009165BE"/>
    <w:rsid w:val="00921D0A"/>
    <w:rsid w:val="00940420"/>
    <w:rsid w:val="00951FFA"/>
    <w:rsid w:val="009669CF"/>
    <w:rsid w:val="00986348"/>
    <w:rsid w:val="009C11C0"/>
    <w:rsid w:val="009D03FE"/>
    <w:rsid w:val="009D70A8"/>
    <w:rsid w:val="009D78B0"/>
    <w:rsid w:val="009E1B07"/>
    <w:rsid w:val="009F2788"/>
    <w:rsid w:val="009F62A9"/>
    <w:rsid w:val="00A3146D"/>
    <w:rsid w:val="00A330FA"/>
    <w:rsid w:val="00A3479B"/>
    <w:rsid w:val="00A536DE"/>
    <w:rsid w:val="00A57ECD"/>
    <w:rsid w:val="00A66FBE"/>
    <w:rsid w:val="00A70A82"/>
    <w:rsid w:val="00A73DC5"/>
    <w:rsid w:val="00A775DD"/>
    <w:rsid w:val="00A837EB"/>
    <w:rsid w:val="00A840BC"/>
    <w:rsid w:val="00A93576"/>
    <w:rsid w:val="00AA4E2A"/>
    <w:rsid w:val="00AA647E"/>
    <w:rsid w:val="00AB15C1"/>
    <w:rsid w:val="00AB18D6"/>
    <w:rsid w:val="00AB1E41"/>
    <w:rsid w:val="00AB2826"/>
    <w:rsid w:val="00AB4B39"/>
    <w:rsid w:val="00AD4F06"/>
    <w:rsid w:val="00AD5651"/>
    <w:rsid w:val="00AE7AB3"/>
    <w:rsid w:val="00AF4C49"/>
    <w:rsid w:val="00B00832"/>
    <w:rsid w:val="00B019A0"/>
    <w:rsid w:val="00B2152C"/>
    <w:rsid w:val="00B34414"/>
    <w:rsid w:val="00B3640B"/>
    <w:rsid w:val="00B36CE6"/>
    <w:rsid w:val="00B5583C"/>
    <w:rsid w:val="00B56F87"/>
    <w:rsid w:val="00B61AD9"/>
    <w:rsid w:val="00B64449"/>
    <w:rsid w:val="00B66D8C"/>
    <w:rsid w:val="00BA3517"/>
    <w:rsid w:val="00BA3C35"/>
    <w:rsid w:val="00BA58F6"/>
    <w:rsid w:val="00BA7805"/>
    <w:rsid w:val="00BB034D"/>
    <w:rsid w:val="00BC1E08"/>
    <w:rsid w:val="00BD11AC"/>
    <w:rsid w:val="00BD78DC"/>
    <w:rsid w:val="00BE0F52"/>
    <w:rsid w:val="00BE452A"/>
    <w:rsid w:val="00BF0C80"/>
    <w:rsid w:val="00BF124E"/>
    <w:rsid w:val="00C0084E"/>
    <w:rsid w:val="00C01425"/>
    <w:rsid w:val="00C12152"/>
    <w:rsid w:val="00C308C3"/>
    <w:rsid w:val="00C36F84"/>
    <w:rsid w:val="00C42332"/>
    <w:rsid w:val="00C4730D"/>
    <w:rsid w:val="00C50AAF"/>
    <w:rsid w:val="00C5356D"/>
    <w:rsid w:val="00C676D8"/>
    <w:rsid w:val="00C80B39"/>
    <w:rsid w:val="00CA3661"/>
    <w:rsid w:val="00CA42F6"/>
    <w:rsid w:val="00CC0A79"/>
    <w:rsid w:val="00CC60FC"/>
    <w:rsid w:val="00CC7940"/>
    <w:rsid w:val="00CD2A48"/>
    <w:rsid w:val="00CD7A02"/>
    <w:rsid w:val="00CE4B30"/>
    <w:rsid w:val="00CF0E50"/>
    <w:rsid w:val="00CF4BE9"/>
    <w:rsid w:val="00CF5A56"/>
    <w:rsid w:val="00D034AB"/>
    <w:rsid w:val="00D13B6B"/>
    <w:rsid w:val="00D22B80"/>
    <w:rsid w:val="00D25A9A"/>
    <w:rsid w:val="00D25D8E"/>
    <w:rsid w:val="00D27987"/>
    <w:rsid w:val="00D3101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268D5"/>
    <w:rsid w:val="00E31F79"/>
    <w:rsid w:val="00E6222D"/>
    <w:rsid w:val="00E63068"/>
    <w:rsid w:val="00E63BC8"/>
    <w:rsid w:val="00E6426B"/>
    <w:rsid w:val="00E646C7"/>
    <w:rsid w:val="00E76C46"/>
    <w:rsid w:val="00E836A7"/>
    <w:rsid w:val="00E83B1F"/>
    <w:rsid w:val="00E8788A"/>
    <w:rsid w:val="00E979D2"/>
    <w:rsid w:val="00EA53B9"/>
    <w:rsid w:val="00EC02B6"/>
    <w:rsid w:val="00EC6324"/>
    <w:rsid w:val="00EC7E01"/>
    <w:rsid w:val="00EE139E"/>
    <w:rsid w:val="00EE228C"/>
    <w:rsid w:val="00EE4383"/>
    <w:rsid w:val="00EE491C"/>
    <w:rsid w:val="00F00FF1"/>
    <w:rsid w:val="00F16E81"/>
    <w:rsid w:val="00F279AE"/>
    <w:rsid w:val="00F30531"/>
    <w:rsid w:val="00F305F4"/>
    <w:rsid w:val="00F31891"/>
    <w:rsid w:val="00F343EA"/>
    <w:rsid w:val="00F357CB"/>
    <w:rsid w:val="00F42278"/>
    <w:rsid w:val="00F4304F"/>
    <w:rsid w:val="00F541D9"/>
    <w:rsid w:val="00F83C00"/>
    <w:rsid w:val="00F9130B"/>
    <w:rsid w:val="00F97718"/>
    <w:rsid w:val="00FA08A8"/>
    <w:rsid w:val="00FA1809"/>
    <w:rsid w:val="00FA2104"/>
    <w:rsid w:val="00FA4CCB"/>
    <w:rsid w:val="00FC257F"/>
    <w:rsid w:val="00FE310F"/>
    <w:rsid w:val="00FE4822"/>
    <w:rsid w:val="00FE57D3"/>
    <w:rsid w:val="00FF2D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212</TotalTime>
  <Pages>14</Pages>
  <Words>4462</Words>
  <Characters>23694</Characters>
  <Application>Microsoft Office Word</Application>
  <DocSecurity>8</DocSecurity>
  <Lines>197</Lines>
  <Paragraphs>56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67</cp:revision>
  <cp:lastPrinted>2011-09-07T16:03:00Z</cp:lastPrinted>
  <dcterms:created xsi:type="dcterms:W3CDTF">2019-01-25T16:23:00Z</dcterms:created>
  <dcterms:modified xsi:type="dcterms:W3CDTF">2019-01-29T20:18:00Z</dcterms:modified>
</cp:coreProperties>
</file>