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CB46A" w14:textId="77777777" w:rsidR="00CF6E97" w:rsidRDefault="00A21636" w:rsidP="00A21636">
      <w:pPr>
        <w:jc w:val="center"/>
        <w:rPr>
          <w:rFonts w:asciiTheme="minorHAnsi" w:hAnsiTheme="minorHAnsi" w:cs="Arial"/>
          <w:b/>
          <w:bCs/>
          <w:sz w:val="26"/>
          <w:szCs w:val="26"/>
        </w:rPr>
      </w:pPr>
      <w:r w:rsidRPr="00D55FBA">
        <w:rPr>
          <w:rFonts w:asciiTheme="minorHAnsi" w:hAnsiTheme="minorHAnsi" w:cs="Arial"/>
          <w:b/>
          <w:bCs/>
          <w:sz w:val="26"/>
          <w:szCs w:val="26"/>
        </w:rPr>
        <w:t xml:space="preserve">PROCEDIMIENTO DE MANEJO DE FACTURA </w:t>
      </w:r>
      <w:r w:rsidR="00CF6E97">
        <w:rPr>
          <w:rFonts w:asciiTheme="minorHAnsi" w:hAnsiTheme="minorHAnsi" w:cs="Arial"/>
          <w:b/>
          <w:bCs/>
          <w:sz w:val="26"/>
          <w:szCs w:val="26"/>
        </w:rPr>
        <w:t>ELECTRÓNICA</w:t>
      </w:r>
    </w:p>
    <w:p w14:paraId="05E10C65" w14:textId="26723E3F" w:rsidR="00A21636" w:rsidRPr="00D55FBA" w:rsidRDefault="00A21636" w:rsidP="00A21636">
      <w:pPr>
        <w:jc w:val="center"/>
        <w:rPr>
          <w:rFonts w:asciiTheme="minorHAnsi" w:hAnsiTheme="minorHAnsi" w:cs="Arial"/>
          <w:b/>
          <w:bCs/>
          <w:sz w:val="26"/>
          <w:szCs w:val="26"/>
        </w:rPr>
      </w:pPr>
      <w:r w:rsidRPr="00D55FBA">
        <w:rPr>
          <w:rFonts w:asciiTheme="minorHAnsi" w:hAnsiTheme="minorHAnsi" w:cs="Arial"/>
          <w:b/>
          <w:bCs/>
          <w:sz w:val="26"/>
          <w:szCs w:val="26"/>
        </w:rPr>
        <w:t>EN OPERACIONES DEL SFNV</w:t>
      </w:r>
    </w:p>
    <w:p w14:paraId="67136579" w14:textId="78400258" w:rsidR="006F25B1" w:rsidRPr="00D55FBA" w:rsidRDefault="006F25B1" w:rsidP="00CB238A">
      <w:pPr>
        <w:ind w:left="708" w:hanging="708"/>
        <w:jc w:val="center"/>
        <w:rPr>
          <w:rFonts w:asciiTheme="minorHAnsi" w:hAnsiTheme="minorHAnsi" w:cs="Arial"/>
          <w:b/>
          <w:bCs/>
          <w:sz w:val="26"/>
          <w:szCs w:val="26"/>
        </w:rPr>
      </w:pPr>
      <w:r w:rsidRPr="00D55FBA">
        <w:rPr>
          <w:rFonts w:asciiTheme="minorHAnsi" w:hAnsiTheme="minorHAnsi" w:cs="Arial"/>
          <w:b/>
          <w:bCs/>
          <w:sz w:val="26"/>
          <w:szCs w:val="26"/>
        </w:rPr>
        <w:t>P-</w:t>
      </w:r>
      <w:r w:rsidR="006A5402" w:rsidRPr="00D55FBA">
        <w:rPr>
          <w:rFonts w:asciiTheme="minorHAnsi" w:hAnsiTheme="minorHAnsi" w:cs="Arial"/>
          <w:b/>
          <w:bCs/>
          <w:sz w:val="26"/>
          <w:szCs w:val="26"/>
        </w:rPr>
        <w:t>IVA</w:t>
      </w:r>
      <w:r w:rsidRPr="00D55FBA">
        <w:rPr>
          <w:rFonts w:asciiTheme="minorHAnsi" w:hAnsiTheme="minorHAnsi" w:cs="Arial"/>
          <w:b/>
          <w:bCs/>
          <w:sz w:val="26"/>
          <w:szCs w:val="26"/>
        </w:rPr>
        <w:t>-001-2019 v1</w:t>
      </w:r>
    </w:p>
    <w:p w14:paraId="25A530AC" w14:textId="77777777" w:rsidR="00A21636" w:rsidRPr="00D55FBA" w:rsidRDefault="00A21636" w:rsidP="00A21636">
      <w:pPr>
        <w:spacing w:line="360" w:lineRule="auto"/>
        <w:jc w:val="both"/>
        <w:rPr>
          <w:rFonts w:asciiTheme="minorHAnsi" w:hAnsiTheme="minorHAnsi" w:cs="Arial"/>
        </w:rPr>
      </w:pPr>
    </w:p>
    <w:p w14:paraId="4D48EFE1" w14:textId="61DB6A71" w:rsidR="00A21636" w:rsidRPr="00D55FBA" w:rsidRDefault="00A21636" w:rsidP="00A21636">
      <w:pPr>
        <w:jc w:val="both"/>
        <w:rPr>
          <w:rFonts w:asciiTheme="minorHAnsi" w:hAnsiTheme="minorHAnsi" w:cs="Arial"/>
        </w:rPr>
      </w:pPr>
      <w:r w:rsidRPr="00D55FBA">
        <w:rPr>
          <w:rFonts w:asciiTheme="minorHAnsi" w:hAnsiTheme="minorHAnsi" w:cs="Arial"/>
        </w:rPr>
        <w:t>En este documento se describe el procedimiento que deberán seguir las Entidades Autorizadas y empresas constructoras/desarrolladoras, relacionado con la emisión de facturas electrónicas en los distintos tipos de operaciones que se realizan en el SFNV, considerando casos individuales y proyectos con código de exoneración, y con tarifas regulares de IVA.</w:t>
      </w:r>
    </w:p>
    <w:p w14:paraId="398F67E3" w14:textId="4D914C73" w:rsidR="008838CA" w:rsidRPr="00D55FBA" w:rsidRDefault="008838CA" w:rsidP="00A21636">
      <w:pPr>
        <w:jc w:val="both"/>
        <w:rPr>
          <w:rFonts w:asciiTheme="minorHAnsi" w:hAnsiTheme="minorHAnsi" w:cs="Arial"/>
        </w:rPr>
      </w:pPr>
    </w:p>
    <w:p w14:paraId="5A2EC193" w14:textId="67DE7115" w:rsidR="008838CA" w:rsidRPr="00D55FBA" w:rsidRDefault="00EB391F" w:rsidP="00A21636">
      <w:pPr>
        <w:jc w:val="both"/>
        <w:rPr>
          <w:rFonts w:asciiTheme="minorHAnsi" w:hAnsiTheme="minorHAnsi" w:cs="Arial"/>
        </w:rPr>
      </w:pPr>
      <w:r w:rsidRPr="00D55FBA">
        <w:rPr>
          <w:rFonts w:asciiTheme="minorHAnsi" w:hAnsiTheme="minorHAnsi" w:cs="Arial"/>
        </w:rPr>
        <w:t xml:space="preserve">En el siguiente cuadro se muestra el resumen de parámetros </w:t>
      </w:r>
      <w:r w:rsidR="00D81C30" w:rsidRPr="00D55FBA">
        <w:rPr>
          <w:rFonts w:asciiTheme="minorHAnsi" w:hAnsiTheme="minorHAnsi" w:cs="Arial"/>
        </w:rPr>
        <w:t>del IVA y factura electrónica, según el propósito de la operación del BFV.</w:t>
      </w:r>
    </w:p>
    <w:p w14:paraId="33B837A4" w14:textId="77777777" w:rsidR="00F02053" w:rsidRPr="00D55FBA" w:rsidRDefault="00F02053" w:rsidP="00C91744">
      <w:pPr>
        <w:spacing w:line="360" w:lineRule="auto"/>
        <w:jc w:val="both"/>
        <w:rPr>
          <w:rFonts w:asciiTheme="minorHAnsi" w:hAnsiTheme="minorHAnsi" w:cs="Arial"/>
        </w:rPr>
      </w:pPr>
    </w:p>
    <w:tbl>
      <w:tblPr>
        <w:tblW w:w="5000" w:type="pct"/>
        <w:tblLayout w:type="fixed"/>
        <w:tblCellMar>
          <w:left w:w="70" w:type="dxa"/>
          <w:right w:w="70" w:type="dxa"/>
        </w:tblCellMar>
        <w:tblLook w:val="04A0" w:firstRow="1" w:lastRow="0" w:firstColumn="1" w:lastColumn="0" w:noHBand="0" w:noVBand="1"/>
      </w:tblPr>
      <w:tblGrid>
        <w:gridCol w:w="2836"/>
        <w:gridCol w:w="1700"/>
        <w:gridCol w:w="1278"/>
        <w:gridCol w:w="1702"/>
        <w:gridCol w:w="1312"/>
      </w:tblGrid>
      <w:tr w:rsidR="00B740EB" w:rsidRPr="00D55FBA" w14:paraId="6BB0B8D5" w14:textId="77777777" w:rsidTr="00B740EB">
        <w:trPr>
          <w:trHeight w:val="315"/>
        </w:trPr>
        <w:tc>
          <w:tcPr>
            <w:tcW w:w="1606" w:type="pct"/>
            <w:tcBorders>
              <w:top w:val="nil"/>
              <w:left w:val="nil"/>
              <w:bottom w:val="nil"/>
              <w:right w:val="nil"/>
            </w:tcBorders>
            <w:shd w:val="clear" w:color="auto" w:fill="auto"/>
            <w:noWrap/>
            <w:vAlign w:val="center"/>
            <w:hideMark/>
          </w:tcPr>
          <w:p w14:paraId="43114B62" w14:textId="77777777" w:rsidR="00B740EB" w:rsidRPr="00B740EB" w:rsidRDefault="00B740EB" w:rsidP="00B740EB">
            <w:pPr>
              <w:rPr>
                <w:rFonts w:asciiTheme="minorHAnsi" w:hAnsiTheme="minorHAnsi"/>
                <w:sz w:val="20"/>
                <w:szCs w:val="20"/>
                <w:lang w:val="es-CR" w:eastAsia="es-CR"/>
              </w:rPr>
            </w:pPr>
          </w:p>
        </w:tc>
        <w:tc>
          <w:tcPr>
            <w:tcW w:w="1687"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985CDC4" w14:textId="77777777" w:rsidR="00B740EB" w:rsidRPr="00B740EB" w:rsidRDefault="00B740EB" w:rsidP="00B740EB">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Ordinario e individuales de artículo 59</w:t>
            </w:r>
          </w:p>
        </w:tc>
        <w:tc>
          <w:tcPr>
            <w:tcW w:w="1707"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6D337F8A" w14:textId="77777777" w:rsidR="00B740EB" w:rsidRPr="00B740EB" w:rsidRDefault="00B740EB" w:rsidP="00B740EB">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Proyectos de artículo 59</w:t>
            </w:r>
          </w:p>
        </w:tc>
      </w:tr>
      <w:tr w:rsidR="00B740EB" w:rsidRPr="00D55FBA" w14:paraId="64905878" w14:textId="77777777" w:rsidTr="00B740EB">
        <w:trPr>
          <w:trHeight w:val="315"/>
        </w:trPr>
        <w:tc>
          <w:tcPr>
            <w:tcW w:w="1606" w:type="pct"/>
            <w:tcBorders>
              <w:top w:val="single" w:sz="8" w:space="0" w:color="auto"/>
              <w:left w:val="single" w:sz="8" w:space="0" w:color="auto"/>
              <w:bottom w:val="nil"/>
              <w:right w:val="single" w:sz="8" w:space="0" w:color="auto"/>
            </w:tcBorders>
            <w:shd w:val="clear" w:color="auto" w:fill="auto"/>
            <w:noWrap/>
            <w:vAlign w:val="center"/>
            <w:hideMark/>
          </w:tcPr>
          <w:p w14:paraId="75AFAC33" w14:textId="77777777" w:rsidR="00B740EB" w:rsidRPr="00B740EB" w:rsidRDefault="00B740EB" w:rsidP="00B740EB">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Propósito</w:t>
            </w:r>
          </w:p>
        </w:tc>
        <w:tc>
          <w:tcPr>
            <w:tcW w:w="963" w:type="pct"/>
            <w:tcBorders>
              <w:top w:val="nil"/>
              <w:left w:val="nil"/>
              <w:bottom w:val="nil"/>
              <w:right w:val="single" w:sz="4" w:space="0" w:color="auto"/>
            </w:tcBorders>
            <w:shd w:val="clear" w:color="auto" w:fill="auto"/>
            <w:noWrap/>
            <w:vAlign w:val="center"/>
            <w:hideMark/>
          </w:tcPr>
          <w:p w14:paraId="6F6E2539" w14:textId="77777777" w:rsidR="00B740EB" w:rsidRPr="00B740EB" w:rsidRDefault="00B740EB" w:rsidP="00B740EB">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Reconocimiento del IVA</w:t>
            </w:r>
          </w:p>
        </w:tc>
        <w:tc>
          <w:tcPr>
            <w:tcW w:w="724" w:type="pct"/>
            <w:tcBorders>
              <w:top w:val="nil"/>
              <w:left w:val="nil"/>
              <w:bottom w:val="nil"/>
              <w:right w:val="single" w:sz="8" w:space="0" w:color="auto"/>
            </w:tcBorders>
            <w:shd w:val="clear" w:color="auto" w:fill="auto"/>
            <w:noWrap/>
            <w:vAlign w:val="center"/>
            <w:hideMark/>
          </w:tcPr>
          <w:p w14:paraId="6F96EFEB" w14:textId="77777777" w:rsidR="00B740EB" w:rsidRPr="00B740EB" w:rsidRDefault="00B740EB" w:rsidP="00B740EB">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Factura y destinatario</w:t>
            </w:r>
          </w:p>
        </w:tc>
        <w:tc>
          <w:tcPr>
            <w:tcW w:w="964" w:type="pct"/>
            <w:tcBorders>
              <w:top w:val="nil"/>
              <w:left w:val="nil"/>
              <w:bottom w:val="nil"/>
              <w:right w:val="single" w:sz="4" w:space="0" w:color="auto"/>
            </w:tcBorders>
            <w:shd w:val="clear" w:color="auto" w:fill="auto"/>
            <w:noWrap/>
            <w:vAlign w:val="center"/>
            <w:hideMark/>
          </w:tcPr>
          <w:p w14:paraId="0C7F0016" w14:textId="77777777" w:rsidR="00B740EB" w:rsidRPr="00B740EB" w:rsidRDefault="00B740EB" w:rsidP="00B740EB">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Reconocimiento del IVA</w:t>
            </w:r>
          </w:p>
        </w:tc>
        <w:tc>
          <w:tcPr>
            <w:tcW w:w="743" w:type="pct"/>
            <w:tcBorders>
              <w:top w:val="nil"/>
              <w:left w:val="nil"/>
              <w:bottom w:val="nil"/>
              <w:right w:val="single" w:sz="8" w:space="0" w:color="auto"/>
            </w:tcBorders>
            <w:shd w:val="clear" w:color="auto" w:fill="auto"/>
            <w:noWrap/>
            <w:vAlign w:val="center"/>
            <w:hideMark/>
          </w:tcPr>
          <w:p w14:paraId="7F330D40" w14:textId="77777777" w:rsidR="00B740EB" w:rsidRPr="00B740EB" w:rsidRDefault="00B740EB" w:rsidP="00B740EB">
            <w:pPr>
              <w:jc w:val="center"/>
              <w:rPr>
                <w:rFonts w:asciiTheme="minorHAnsi" w:hAnsiTheme="minorHAnsi"/>
                <w:b/>
                <w:bCs/>
                <w:i/>
                <w:iCs/>
                <w:color w:val="000000"/>
                <w:sz w:val="22"/>
                <w:szCs w:val="22"/>
                <w:lang w:val="es-CR" w:eastAsia="es-CR"/>
              </w:rPr>
            </w:pPr>
            <w:r w:rsidRPr="00B740EB">
              <w:rPr>
                <w:rFonts w:asciiTheme="minorHAnsi" w:hAnsiTheme="minorHAnsi"/>
                <w:b/>
                <w:bCs/>
                <w:i/>
                <w:iCs/>
                <w:color w:val="000000"/>
                <w:sz w:val="22"/>
                <w:szCs w:val="22"/>
                <w:lang w:val="es-CR" w:eastAsia="es-CR"/>
              </w:rPr>
              <w:t>Factura y destinatario</w:t>
            </w:r>
          </w:p>
        </w:tc>
      </w:tr>
      <w:tr w:rsidR="00B740EB" w:rsidRPr="00D55FBA" w14:paraId="7E05F9E9" w14:textId="77777777" w:rsidTr="00B740EB">
        <w:trPr>
          <w:trHeight w:val="315"/>
        </w:trPr>
        <w:tc>
          <w:tcPr>
            <w:tcW w:w="1606" w:type="pct"/>
            <w:tcBorders>
              <w:top w:val="single" w:sz="8" w:space="0" w:color="auto"/>
              <w:left w:val="single" w:sz="8" w:space="0" w:color="auto"/>
              <w:bottom w:val="nil"/>
              <w:right w:val="single" w:sz="8" w:space="0" w:color="auto"/>
            </w:tcBorders>
            <w:shd w:val="clear" w:color="auto" w:fill="auto"/>
            <w:noWrap/>
            <w:vAlign w:val="center"/>
            <w:hideMark/>
          </w:tcPr>
          <w:p w14:paraId="109ED621" w14:textId="77777777" w:rsidR="00B740EB" w:rsidRPr="00B740EB" w:rsidRDefault="00B740EB" w:rsidP="00AB42C5">
            <w:pPr>
              <w:jc w:val="both"/>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Compra de Vivienda Existente</w:t>
            </w:r>
          </w:p>
        </w:tc>
        <w:tc>
          <w:tcPr>
            <w:tcW w:w="963" w:type="pct"/>
            <w:tcBorders>
              <w:top w:val="single" w:sz="8" w:space="0" w:color="auto"/>
              <w:left w:val="single" w:sz="8" w:space="0" w:color="auto"/>
              <w:bottom w:val="nil"/>
              <w:right w:val="single" w:sz="4" w:space="0" w:color="auto"/>
            </w:tcBorders>
            <w:shd w:val="clear" w:color="auto" w:fill="auto"/>
            <w:noWrap/>
            <w:vAlign w:val="center"/>
            <w:hideMark/>
          </w:tcPr>
          <w:p w14:paraId="38895DFF"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24" w:type="pct"/>
            <w:tcBorders>
              <w:top w:val="single" w:sz="8" w:space="0" w:color="auto"/>
              <w:left w:val="nil"/>
              <w:bottom w:val="nil"/>
              <w:right w:val="single" w:sz="8" w:space="0" w:color="auto"/>
            </w:tcBorders>
            <w:shd w:val="clear" w:color="auto" w:fill="auto"/>
            <w:noWrap/>
            <w:vAlign w:val="center"/>
            <w:hideMark/>
          </w:tcPr>
          <w:p w14:paraId="08E7C759"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single" w:sz="8" w:space="0" w:color="auto"/>
              <w:left w:val="nil"/>
              <w:bottom w:val="nil"/>
              <w:right w:val="single" w:sz="4" w:space="0" w:color="auto"/>
            </w:tcBorders>
            <w:shd w:val="clear" w:color="auto" w:fill="auto"/>
            <w:noWrap/>
            <w:vAlign w:val="center"/>
            <w:hideMark/>
          </w:tcPr>
          <w:p w14:paraId="3ED74E4A"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43" w:type="pct"/>
            <w:tcBorders>
              <w:top w:val="single" w:sz="8" w:space="0" w:color="auto"/>
              <w:left w:val="nil"/>
              <w:bottom w:val="nil"/>
              <w:right w:val="single" w:sz="8" w:space="0" w:color="auto"/>
            </w:tcBorders>
            <w:shd w:val="clear" w:color="auto" w:fill="auto"/>
            <w:noWrap/>
            <w:vAlign w:val="center"/>
            <w:hideMark/>
          </w:tcPr>
          <w:p w14:paraId="64E3461F"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r>
      <w:tr w:rsidR="00B740EB" w:rsidRPr="00D55FBA" w14:paraId="6F0B8190" w14:textId="77777777" w:rsidTr="00B740EB">
        <w:trPr>
          <w:trHeight w:val="300"/>
        </w:trPr>
        <w:tc>
          <w:tcPr>
            <w:tcW w:w="1606"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6515A01" w14:textId="77777777" w:rsidR="00B740EB" w:rsidRPr="00B740EB" w:rsidRDefault="00B740EB" w:rsidP="00AB42C5">
            <w:pPr>
              <w:jc w:val="both"/>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Adquisición de bienes inmuebles y construcción</w:t>
            </w:r>
          </w:p>
        </w:tc>
        <w:tc>
          <w:tcPr>
            <w:tcW w:w="963" w:type="pct"/>
            <w:tcBorders>
              <w:top w:val="single" w:sz="8" w:space="0" w:color="auto"/>
              <w:left w:val="nil"/>
              <w:bottom w:val="single" w:sz="4" w:space="0" w:color="auto"/>
              <w:right w:val="single" w:sz="4" w:space="0" w:color="auto"/>
            </w:tcBorders>
            <w:shd w:val="clear" w:color="auto" w:fill="auto"/>
            <w:noWrap/>
            <w:vAlign w:val="center"/>
            <w:hideMark/>
          </w:tcPr>
          <w:p w14:paraId="39F6A3AB"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24" w:type="pct"/>
            <w:tcBorders>
              <w:top w:val="single" w:sz="8" w:space="0" w:color="auto"/>
              <w:left w:val="nil"/>
              <w:bottom w:val="single" w:sz="4" w:space="0" w:color="auto"/>
              <w:right w:val="single" w:sz="8" w:space="0" w:color="auto"/>
            </w:tcBorders>
            <w:shd w:val="clear" w:color="auto" w:fill="auto"/>
            <w:noWrap/>
            <w:vAlign w:val="center"/>
            <w:hideMark/>
          </w:tcPr>
          <w:p w14:paraId="45F19FA7"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964" w:type="pct"/>
            <w:tcBorders>
              <w:top w:val="single" w:sz="8" w:space="0" w:color="auto"/>
              <w:left w:val="nil"/>
              <w:bottom w:val="single" w:sz="4" w:space="0" w:color="auto"/>
              <w:right w:val="single" w:sz="4" w:space="0" w:color="auto"/>
            </w:tcBorders>
            <w:shd w:val="clear" w:color="auto" w:fill="auto"/>
            <w:noWrap/>
            <w:vAlign w:val="center"/>
            <w:hideMark/>
          </w:tcPr>
          <w:p w14:paraId="61869CE9"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single" w:sz="8" w:space="0" w:color="auto"/>
              <w:left w:val="nil"/>
              <w:bottom w:val="single" w:sz="4" w:space="0" w:color="auto"/>
              <w:right w:val="single" w:sz="8" w:space="0" w:color="auto"/>
            </w:tcBorders>
            <w:shd w:val="clear" w:color="auto" w:fill="auto"/>
            <w:noWrap/>
            <w:vAlign w:val="center"/>
            <w:hideMark/>
          </w:tcPr>
          <w:p w14:paraId="043E8F48"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r w:rsidR="00B740EB" w:rsidRPr="00D55FBA" w14:paraId="13F04AFA" w14:textId="77777777" w:rsidTr="00B740EB">
        <w:trPr>
          <w:trHeight w:val="300"/>
        </w:trPr>
        <w:tc>
          <w:tcPr>
            <w:tcW w:w="1606" w:type="pct"/>
            <w:tcBorders>
              <w:top w:val="nil"/>
              <w:left w:val="single" w:sz="8" w:space="0" w:color="auto"/>
              <w:bottom w:val="single" w:sz="4" w:space="0" w:color="auto"/>
              <w:right w:val="single" w:sz="8" w:space="0" w:color="auto"/>
            </w:tcBorders>
            <w:shd w:val="clear" w:color="auto" w:fill="auto"/>
            <w:vAlign w:val="center"/>
            <w:hideMark/>
          </w:tcPr>
          <w:p w14:paraId="27766B4C" w14:textId="77777777" w:rsidR="00B740EB" w:rsidRPr="00B740EB" w:rsidRDefault="00B740EB" w:rsidP="00AB42C5">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Bien inmueble</w:t>
            </w:r>
          </w:p>
        </w:tc>
        <w:tc>
          <w:tcPr>
            <w:tcW w:w="963" w:type="pct"/>
            <w:tcBorders>
              <w:top w:val="nil"/>
              <w:left w:val="nil"/>
              <w:bottom w:val="single" w:sz="4" w:space="0" w:color="auto"/>
              <w:right w:val="single" w:sz="4" w:space="0" w:color="auto"/>
            </w:tcBorders>
            <w:shd w:val="clear" w:color="auto" w:fill="auto"/>
            <w:noWrap/>
            <w:vAlign w:val="center"/>
            <w:hideMark/>
          </w:tcPr>
          <w:p w14:paraId="04FF115D"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24" w:type="pct"/>
            <w:tcBorders>
              <w:top w:val="nil"/>
              <w:left w:val="nil"/>
              <w:bottom w:val="single" w:sz="4" w:space="0" w:color="auto"/>
              <w:right w:val="single" w:sz="8" w:space="0" w:color="auto"/>
            </w:tcBorders>
            <w:shd w:val="clear" w:color="auto" w:fill="auto"/>
            <w:noWrap/>
            <w:vAlign w:val="center"/>
            <w:hideMark/>
          </w:tcPr>
          <w:p w14:paraId="4849CC97"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nil"/>
              <w:left w:val="nil"/>
              <w:bottom w:val="single" w:sz="4" w:space="0" w:color="auto"/>
              <w:right w:val="single" w:sz="4" w:space="0" w:color="auto"/>
            </w:tcBorders>
            <w:shd w:val="clear" w:color="auto" w:fill="auto"/>
            <w:noWrap/>
            <w:vAlign w:val="center"/>
            <w:hideMark/>
          </w:tcPr>
          <w:p w14:paraId="523A9259"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mercado</w:t>
            </w:r>
          </w:p>
        </w:tc>
        <w:tc>
          <w:tcPr>
            <w:tcW w:w="743" w:type="pct"/>
            <w:tcBorders>
              <w:top w:val="nil"/>
              <w:left w:val="nil"/>
              <w:bottom w:val="single" w:sz="4" w:space="0" w:color="auto"/>
              <w:right w:val="single" w:sz="8" w:space="0" w:color="auto"/>
            </w:tcBorders>
            <w:shd w:val="clear" w:color="auto" w:fill="auto"/>
            <w:noWrap/>
            <w:vAlign w:val="center"/>
            <w:hideMark/>
          </w:tcPr>
          <w:p w14:paraId="2C0D43D7"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r>
      <w:tr w:rsidR="00B740EB" w:rsidRPr="00D55FBA" w14:paraId="00DFAA1A" w14:textId="77777777" w:rsidTr="00B740EB">
        <w:trPr>
          <w:trHeight w:val="300"/>
        </w:trPr>
        <w:tc>
          <w:tcPr>
            <w:tcW w:w="1606" w:type="pct"/>
            <w:tcBorders>
              <w:top w:val="nil"/>
              <w:left w:val="single" w:sz="8" w:space="0" w:color="auto"/>
              <w:bottom w:val="single" w:sz="4" w:space="0" w:color="auto"/>
              <w:right w:val="single" w:sz="8" w:space="0" w:color="auto"/>
            </w:tcBorders>
            <w:shd w:val="clear" w:color="auto" w:fill="auto"/>
            <w:vAlign w:val="center"/>
            <w:hideMark/>
          </w:tcPr>
          <w:p w14:paraId="04791152" w14:textId="77777777" w:rsidR="00B740EB" w:rsidRPr="00B740EB" w:rsidRDefault="00B740EB" w:rsidP="00AB42C5">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 empresa</w:t>
            </w:r>
          </w:p>
        </w:tc>
        <w:tc>
          <w:tcPr>
            <w:tcW w:w="963" w:type="pct"/>
            <w:tcBorders>
              <w:top w:val="nil"/>
              <w:left w:val="nil"/>
              <w:bottom w:val="single" w:sz="4" w:space="0" w:color="auto"/>
              <w:right w:val="single" w:sz="4" w:space="0" w:color="auto"/>
            </w:tcBorders>
            <w:shd w:val="clear" w:color="auto" w:fill="auto"/>
            <w:noWrap/>
            <w:vAlign w:val="center"/>
            <w:hideMark/>
          </w:tcPr>
          <w:p w14:paraId="339A289E"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24" w:type="pct"/>
            <w:tcBorders>
              <w:top w:val="nil"/>
              <w:left w:val="nil"/>
              <w:bottom w:val="single" w:sz="4" w:space="0" w:color="auto"/>
              <w:right w:val="single" w:sz="8" w:space="0" w:color="auto"/>
            </w:tcBorders>
            <w:shd w:val="clear" w:color="auto" w:fill="auto"/>
            <w:noWrap/>
            <w:vAlign w:val="center"/>
            <w:hideMark/>
          </w:tcPr>
          <w:p w14:paraId="3C150738" w14:textId="28FF7B1E"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00F02053"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beneficiario</w:t>
            </w:r>
          </w:p>
        </w:tc>
        <w:tc>
          <w:tcPr>
            <w:tcW w:w="964" w:type="pct"/>
            <w:tcBorders>
              <w:top w:val="nil"/>
              <w:left w:val="nil"/>
              <w:bottom w:val="single" w:sz="4" w:space="0" w:color="auto"/>
              <w:right w:val="single" w:sz="4" w:space="0" w:color="auto"/>
            </w:tcBorders>
            <w:shd w:val="clear" w:color="auto" w:fill="auto"/>
            <w:noWrap/>
            <w:vAlign w:val="center"/>
            <w:hideMark/>
          </w:tcPr>
          <w:p w14:paraId="0DC2D6AC"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43" w:type="pct"/>
            <w:tcBorders>
              <w:top w:val="nil"/>
              <w:left w:val="nil"/>
              <w:bottom w:val="single" w:sz="4" w:space="0" w:color="auto"/>
              <w:right w:val="single" w:sz="8" w:space="0" w:color="auto"/>
            </w:tcBorders>
            <w:shd w:val="clear" w:color="auto" w:fill="auto"/>
            <w:noWrap/>
            <w:vAlign w:val="center"/>
            <w:hideMark/>
          </w:tcPr>
          <w:p w14:paraId="06B24A79" w14:textId="5E7F0C33"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00F02053"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BANHVI</w:t>
            </w:r>
          </w:p>
        </w:tc>
      </w:tr>
      <w:tr w:rsidR="00B740EB" w:rsidRPr="00D55FBA" w14:paraId="6D370DA6" w14:textId="77777777" w:rsidTr="00B740EB">
        <w:trPr>
          <w:trHeight w:val="315"/>
        </w:trPr>
        <w:tc>
          <w:tcPr>
            <w:tcW w:w="1606" w:type="pct"/>
            <w:tcBorders>
              <w:top w:val="nil"/>
              <w:left w:val="single" w:sz="8" w:space="0" w:color="auto"/>
              <w:bottom w:val="single" w:sz="8" w:space="0" w:color="auto"/>
              <w:right w:val="single" w:sz="8" w:space="0" w:color="auto"/>
            </w:tcBorders>
            <w:shd w:val="clear" w:color="auto" w:fill="auto"/>
            <w:vAlign w:val="center"/>
            <w:hideMark/>
          </w:tcPr>
          <w:p w14:paraId="62956FFC" w14:textId="77777777" w:rsidR="00C50A35" w:rsidRPr="00D55FBA" w:rsidRDefault="00B740EB" w:rsidP="00AB42C5">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w:t>
            </w:r>
          </w:p>
          <w:p w14:paraId="1F8D4605" w14:textId="0B5314CC" w:rsidR="00B740EB" w:rsidRPr="00B740EB" w:rsidRDefault="00C50A35" w:rsidP="00AB42C5">
            <w:pPr>
              <w:jc w:val="both"/>
              <w:rPr>
                <w:rFonts w:asciiTheme="minorHAnsi" w:hAnsiTheme="minorHAnsi"/>
                <w:i/>
                <w:iCs/>
                <w:color w:val="000000"/>
                <w:sz w:val="22"/>
                <w:szCs w:val="22"/>
                <w:lang w:val="es-CR" w:eastAsia="es-CR"/>
              </w:rPr>
            </w:pPr>
            <w:r w:rsidRPr="00D55FBA">
              <w:rPr>
                <w:rFonts w:asciiTheme="minorHAnsi" w:hAnsiTheme="minorHAnsi"/>
                <w:i/>
                <w:iCs/>
                <w:color w:val="000000"/>
                <w:sz w:val="22"/>
                <w:szCs w:val="22"/>
                <w:lang w:val="es-CR" w:eastAsia="es-CR"/>
              </w:rPr>
              <w:t xml:space="preserve">  </w:t>
            </w:r>
            <w:r w:rsidR="00B740EB" w:rsidRPr="00B740EB">
              <w:rPr>
                <w:rFonts w:asciiTheme="minorHAnsi" w:hAnsiTheme="minorHAnsi"/>
                <w:i/>
                <w:iCs/>
                <w:color w:val="000000"/>
                <w:sz w:val="22"/>
                <w:szCs w:val="22"/>
                <w:lang w:val="es-CR" w:eastAsia="es-CR"/>
              </w:rPr>
              <w:t xml:space="preserve"> administración por familia</w:t>
            </w:r>
          </w:p>
        </w:tc>
        <w:tc>
          <w:tcPr>
            <w:tcW w:w="963" w:type="pct"/>
            <w:tcBorders>
              <w:top w:val="nil"/>
              <w:left w:val="nil"/>
              <w:bottom w:val="single" w:sz="8" w:space="0" w:color="auto"/>
              <w:right w:val="single" w:sz="4" w:space="0" w:color="auto"/>
            </w:tcBorders>
            <w:shd w:val="clear" w:color="auto" w:fill="auto"/>
            <w:noWrap/>
            <w:vAlign w:val="center"/>
            <w:hideMark/>
          </w:tcPr>
          <w:p w14:paraId="09C3E57E"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2</w:t>
            </w:r>
          </w:p>
        </w:tc>
        <w:tc>
          <w:tcPr>
            <w:tcW w:w="724" w:type="pct"/>
            <w:tcBorders>
              <w:top w:val="nil"/>
              <w:left w:val="nil"/>
              <w:bottom w:val="single" w:sz="8" w:space="0" w:color="auto"/>
              <w:right w:val="single" w:sz="8" w:space="0" w:color="auto"/>
            </w:tcBorders>
            <w:shd w:val="clear" w:color="auto" w:fill="auto"/>
            <w:noWrap/>
            <w:vAlign w:val="center"/>
            <w:hideMark/>
          </w:tcPr>
          <w:p w14:paraId="3B47D02E"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nil"/>
              <w:left w:val="nil"/>
              <w:bottom w:val="single" w:sz="8" w:space="0" w:color="auto"/>
              <w:right w:val="single" w:sz="4" w:space="0" w:color="auto"/>
            </w:tcBorders>
            <w:shd w:val="clear" w:color="auto" w:fill="auto"/>
            <w:noWrap/>
            <w:vAlign w:val="center"/>
            <w:hideMark/>
          </w:tcPr>
          <w:p w14:paraId="4D0A35C9"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nil"/>
              <w:left w:val="nil"/>
              <w:bottom w:val="single" w:sz="8" w:space="0" w:color="auto"/>
              <w:right w:val="single" w:sz="8" w:space="0" w:color="auto"/>
            </w:tcBorders>
            <w:shd w:val="clear" w:color="auto" w:fill="auto"/>
            <w:noWrap/>
            <w:vAlign w:val="center"/>
            <w:hideMark/>
          </w:tcPr>
          <w:p w14:paraId="1BBE43AD"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r w:rsidR="00B740EB" w:rsidRPr="00D55FBA" w14:paraId="6ABD5D65" w14:textId="77777777" w:rsidTr="00B740EB">
        <w:trPr>
          <w:trHeight w:val="300"/>
        </w:trPr>
        <w:tc>
          <w:tcPr>
            <w:tcW w:w="1606" w:type="pct"/>
            <w:tcBorders>
              <w:top w:val="nil"/>
              <w:left w:val="single" w:sz="8" w:space="0" w:color="auto"/>
              <w:bottom w:val="single" w:sz="4" w:space="0" w:color="auto"/>
              <w:right w:val="single" w:sz="8" w:space="0" w:color="auto"/>
            </w:tcBorders>
            <w:shd w:val="clear" w:color="auto" w:fill="auto"/>
            <w:noWrap/>
            <w:vAlign w:val="center"/>
            <w:hideMark/>
          </w:tcPr>
          <w:p w14:paraId="74139648" w14:textId="77777777" w:rsidR="00B740EB" w:rsidRPr="00B740EB" w:rsidRDefault="00B740EB" w:rsidP="00AB42C5">
            <w:pPr>
              <w:jc w:val="both"/>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Sólo construcción</w:t>
            </w:r>
          </w:p>
        </w:tc>
        <w:tc>
          <w:tcPr>
            <w:tcW w:w="963" w:type="pct"/>
            <w:tcBorders>
              <w:top w:val="nil"/>
              <w:left w:val="nil"/>
              <w:bottom w:val="single" w:sz="4" w:space="0" w:color="auto"/>
              <w:right w:val="single" w:sz="4" w:space="0" w:color="auto"/>
            </w:tcBorders>
            <w:shd w:val="clear" w:color="auto" w:fill="auto"/>
            <w:noWrap/>
            <w:vAlign w:val="center"/>
            <w:hideMark/>
          </w:tcPr>
          <w:p w14:paraId="2E794776"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24" w:type="pct"/>
            <w:tcBorders>
              <w:top w:val="nil"/>
              <w:left w:val="nil"/>
              <w:bottom w:val="single" w:sz="4" w:space="0" w:color="auto"/>
              <w:right w:val="single" w:sz="8" w:space="0" w:color="auto"/>
            </w:tcBorders>
            <w:shd w:val="clear" w:color="auto" w:fill="auto"/>
            <w:noWrap/>
            <w:vAlign w:val="center"/>
            <w:hideMark/>
          </w:tcPr>
          <w:p w14:paraId="7DB744B8"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964" w:type="pct"/>
            <w:tcBorders>
              <w:top w:val="nil"/>
              <w:left w:val="nil"/>
              <w:bottom w:val="single" w:sz="4" w:space="0" w:color="auto"/>
              <w:right w:val="single" w:sz="4" w:space="0" w:color="auto"/>
            </w:tcBorders>
            <w:shd w:val="clear" w:color="auto" w:fill="auto"/>
            <w:noWrap/>
            <w:vAlign w:val="center"/>
            <w:hideMark/>
          </w:tcPr>
          <w:p w14:paraId="7AD4324A"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nil"/>
              <w:left w:val="nil"/>
              <w:bottom w:val="single" w:sz="4" w:space="0" w:color="auto"/>
              <w:right w:val="single" w:sz="8" w:space="0" w:color="auto"/>
            </w:tcBorders>
            <w:shd w:val="clear" w:color="auto" w:fill="auto"/>
            <w:noWrap/>
            <w:vAlign w:val="center"/>
            <w:hideMark/>
          </w:tcPr>
          <w:p w14:paraId="399A2D01"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r w:rsidR="00B740EB" w:rsidRPr="00D55FBA" w14:paraId="28A5572E" w14:textId="77777777" w:rsidTr="00B740EB">
        <w:trPr>
          <w:trHeight w:val="300"/>
        </w:trPr>
        <w:tc>
          <w:tcPr>
            <w:tcW w:w="1606" w:type="pct"/>
            <w:tcBorders>
              <w:top w:val="nil"/>
              <w:left w:val="single" w:sz="8" w:space="0" w:color="auto"/>
              <w:bottom w:val="single" w:sz="4" w:space="0" w:color="auto"/>
              <w:right w:val="single" w:sz="8" w:space="0" w:color="auto"/>
            </w:tcBorders>
            <w:shd w:val="clear" w:color="auto" w:fill="auto"/>
            <w:vAlign w:val="center"/>
            <w:hideMark/>
          </w:tcPr>
          <w:p w14:paraId="7DB4EA51" w14:textId="77777777" w:rsidR="00B740EB" w:rsidRPr="00B740EB" w:rsidRDefault="00B740EB" w:rsidP="00AB42C5">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 empresa</w:t>
            </w:r>
          </w:p>
        </w:tc>
        <w:tc>
          <w:tcPr>
            <w:tcW w:w="963" w:type="pct"/>
            <w:tcBorders>
              <w:top w:val="nil"/>
              <w:left w:val="nil"/>
              <w:bottom w:val="single" w:sz="4" w:space="0" w:color="auto"/>
              <w:right w:val="single" w:sz="4" w:space="0" w:color="auto"/>
            </w:tcBorders>
            <w:shd w:val="clear" w:color="auto" w:fill="auto"/>
            <w:noWrap/>
            <w:vAlign w:val="center"/>
            <w:hideMark/>
          </w:tcPr>
          <w:p w14:paraId="208E2495"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24" w:type="pct"/>
            <w:tcBorders>
              <w:top w:val="nil"/>
              <w:left w:val="nil"/>
              <w:bottom w:val="single" w:sz="4" w:space="0" w:color="auto"/>
              <w:right w:val="single" w:sz="8" w:space="0" w:color="auto"/>
            </w:tcBorders>
            <w:shd w:val="clear" w:color="auto" w:fill="auto"/>
            <w:noWrap/>
            <w:vAlign w:val="center"/>
            <w:hideMark/>
          </w:tcPr>
          <w:p w14:paraId="081E250D" w14:textId="1377572B"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00F02053"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beneficiario</w:t>
            </w:r>
          </w:p>
        </w:tc>
        <w:tc>
          <w:tcPr>
            <w:tcW w:w="964" w:type="pct"/>
            <w:tcBorders>
              <w:top w:val="nil"/>
              <w:left w:val="nil"/>
              <w:bottom w:val="single" w:sz="4" w:space="0" w:color="auto"/>
              <w:right w:val="single" w:sz="4" w:space="0" w:color="auto"/>
            </w:tcBorders>
            <w:shd w:val="clear" w:color="auto" w:fill="auto"/>
            <w:noWrap/>
            <w:vAlign w:val="center"/>
            <w:hideMark/>
          </w:tcPr>
          <w:p w14:paraId="07800AB0"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1</w:t>
            </w:r>
          </w:p>
        </w:tc>
        <w:tc>
          <w:tcPr>
            <w:tcW w:w="743" w:type="pct"/>
            <w:tcBorders>
              <w:top w:val="nil"/>
              <w:left w:val="nil"/>
              <w:bottom w:val="single" w:sz="4" w:space="0" w:color="auto"/>
              <w:right w:val="single" w:sz="8" w:space="0" w:color="auto"/>
            </w:tcBorders>
            <w:shd w:val="clear" w:color="auto" w:fill="auto"/>
            <w:noWrap/>
            <w:vAlign w:val="center"/>
            <w:hideMark/>
          </w:tcPr>
          <w:p w14:paraId="5626C6CC" w14:textId="15E44B95"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 xml:space="preserve">Sí </w:t>
            </w:r>
            <w:r w:rsidR="00F02053" w:rsidRPr="00D55FBA">
              <w:rPr>
                <w:rFonts w:asciiTheme="minorHAnsi" w:hAnsiTheme="minorHAnsi"/>
                <w:color w:val="000000"/>
                <w:sz w:val="22"/>
                <w:szCs w:val="22"/>
                <w:lang w:val="es-CR" w:eastAsia="es-CR"/>
              </w:rPr>
              <w:t>/</w:t>
            </w:r>
            <w:r w:rsidRPr="00B740EB">
              <w:rPr>
                <w:rFonts w:asciiTheme="minorHAnsi" w:hAnsiTheme="minorHAnsi"/>
                <w:color w:val="000000"/>
                <w:sz w:val="22"/>
                <w:szCs w:val="22"/>
                <w:lang w:val="es-CR" w:eastAsia="es-CR"/>
              </w:rPr>
              <w:t xml:space="preserve"> BANHVI</w:t>
            </w:r>
          </w:p>
        </w:tc>
      </w:tr>
      <w:tr w:rsidR="00B740EB" w:rsidRPr="00D55FBA" w14:paraId="124D7B44" w14:textId="77777777" w:rsidTr="00B740EB">
        <w:trPr>
          <w:trHeight w:val="315"/>
        </w:trPr>
        <w:tc>
          <w:tcPr>
            <w:tcW w:w="1606" w:type="pct"/>
            <w:tcBorders>
              <w:top w:val="nil"/>
              <w:left w:val="single" w:sz="8" w:space="0" w:color="auto"/>
              <w:bottom w:val="single" w:sz="8" w:space="0" w:color="auto"/>
              <w:right w:val="single" w:sz="8" w:space="0" w:color="auto"/>
            </w:tcBorders>
            <w:shd w:val="clear" w:color="auto" w:fill="auto"/>
            <w:vAlign w:val="center"/>
            <w:hideMark/>
          </w:tcPr>
          <w:p w14:paraId="09F02A00" w14:textId="77777777" w:rsidR="00C50A35" w:rsidRPr="00D55FBA" w:rsidRDefault="00B740EB" w:rsidP="00AB42C5">
            <w:pPr>
              <w:jc w:val="both"/>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 xml:space="preserve">   Construcción con</w:t>
            </w:r>
          </w:p>
          <w:p w14:paraId="6A0E35BB" w14:textId="41A7F499" w:rsidR="00B740EB" w:rsidRPr="00B740EB" w:rsidRDefault="00C50A35" w:rsidP="00AB42C5">
            <w:pPr>
              <w:jc w:val="both"/>
              <w:rPr>
                <w:rFonts w:asciiTheme="minorHAnsi" w:hAnsiTheme="minorHAnsi"/>
                <w:i/>
                <w:iCs/>
                <w:color w:val="000000"/>
                <w:sz w:val="22"/>
                <w:szCs w:val="22"/>
                <w:lang w:val="es-CR" w:eastAsia="es-CR"/>
              </w:rPr>
            </w:pPr>
            <w:r w:rsidRPr="00D55FBA">
              <w:rPr>
                <w:rFonts w:asciiTheme="minorHAnsi" w:hAnsiTheme="minorHAnsi"/>
                <w:i/>
                <w:iCs/>
                <w:color w:val="000000"/>
                <w:sz w:val="22"/>
                <w:szCs w:val="22"/>
                <w:lang w:val="es-CR" w:eastAsia="es-CR"/>
              </w:rPr>
              <w:t xml:space="preserve">  </w:t>
            </w:r>
            <w:r w:rsidR="00B740EB" w:rsidRPr="00B740EB">
              <w:rPr>
                <w:rFonts w:asciiTheme="minorHAnsi" w:hAnsiTheme="minorHAnsi"/>
                <w:i/>
                <w:iCs/>
                <w:color w:val="000000"/>
                <w:sz w:val="22"/>
                <w:szCs w:val="22"/>
                <w:lang w:val="es-CR" w:eastAsia="es-CR"/>
              </w:rPr>
              <w:t xml:space="preserve"> administración por familia</w:t>
            </w:r>
          </w:p>
        </w:tc>
        <w:tc>
          <w:tcPr>
            <w:tcW w:w="963" w:type="pct"/>
            <w:tcBorders>
              <w:top w:val="nil"/>
              <w:left w:val="nil"/>
              <w:bottom w:val="single" w:sz="8" w:space="0" w:color="auto"/>
              <w:right w:val="single" w:sz="4" w:space="0" w:color="auto"/>
            </w:tcBorders>
            <w:shd w:val="clear" w:color="auto" w:fill="auto"/>
            <w:noWrap/>
            <w:vAlign w:val="center"/>
            <w:hideMark/>
          </w:tcPr>
          <w:p w14:paraId="3E3045B6"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Vía presupuesto tipo 2</w:t>
            </w:r>
          </w:p>
        </w:tc>
        <w:tc>
          <w:tcPr>
            <w:tcW w:w="724" w:type="pct"/>
            <w:tcBorders>
              <w:top w:val="nil"/>
              <w:left w:val="nil"/>
              <w:bottom w:val="single" w:sz="8" w:space="0" w:color="auto"/>
              <w:right w:val="single" w:sz="8" w:space="0" w:color="auto"/>
            </w:tcBorders>
            <w:shd w:val="clear" w:color="auto" w:fill="auto"/>
            <w:noWrap/>
            <w:vAlign w:val="center"/>
            <w:hideMark/>
          </w:tcPr>
          <w:p w14:paraId="5CEF3DD8" w14:textId="77777777" w:rsidR="00B740EB" w:rsidRPr="00B740EB" w:rsidRDefault="00B740EB" w:rsidP="00B740EB">
            <w:pPr>
              <w:jc w:val="center"/>
              <w:rPr>
                <w:rFonts w:asciiTheme="minorHAnsi" w:hAnsiTheme="minorHAnsi"/>
                <w:color w:val="000000"/>
                <w:sz w:val="22"/>
                <w:szCs w:val="22"/>
                <w:lang w:val="es-CR" w:eastAsia="es-CR"/>
              </w:rPr>
            </w:pPr>
            <w:r w:rsidRPr="00B740EB">
              <w:rPr>
                <w:rFonts w:asciiTheme="minorHAnsi" w:hAnsiTheme="minorHAnsi"/>
                <w:color w:val="000000"/>
                <w:sz w:val="22"/>
                <w:szCs w:val="22"/>
                <w:lang w:val="es-CR" w:eastAsia="es-CR"/>
              </w:rPr>
              <w:t>No se debe emitir</w:t>
            </w:r>
          </w:p>
        </w:tc>
        <w:tc>
          <w:tcPr>
            <w:tcW w:w="964" w:type="pct"/>
            <w:tcBorders>
              <w:top w:val="nil"/>
              <w:left w:val="nil"/>
              <w:bottom w:val="single" w:sz="8" w:space="0" w:color="auto"/>
              <w:right w:val="single" w:sz="4" w:space="0" w:color="auto"/>
            </w:tcBorders>
            <w:shd w:val="clear" w:color="auto" w:fill="auto"/>
            <w:noWrap/>
            <w:vAlign w:val="center"/>
            <w:hideMark/>
          </w:tcPr>
          <w:p w14:paraId="6124626E"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c>
          <w:tcPr>
            <w:tcW w:w="743" w:type="pct"/>
            <w:tcBorders>
              <w:top w:val="nil"/>
              <w:left w:val="nil"/>
              <w:bottom w:val="single" w:sz="8" w:space="0" w:color="auto"/>
              <w:right w:val="single" w:sz="8" w:space="0" w:color="auto"/>
            </w:tcBorders>
            <w:shd w:val="clear" w:color="auto" w:fill="auto"/>
            <w:noWrap/>
            <w:vAlign w:val="center"/>
            <w:hideMark/>
          </w:tcPr>
          <w:p w14:paraId="4BE1036E" w14:textId="77777777" w:rsidR="00B740EB" w:rsidRPr="00B740EB" w:rsidRDefault="00B740EB" w:rsidP="00B740EB">
            <w:pPr>
              <w:jc w:val="center"/>
              <w:rPr>
                <w:rFonts w:asciiTheme="minorHAnsi" w:hAnsiTheme="minorHAnsi"/>
                <w:i/>
                <w:iCs/>
                <w:color w:val="000000"/>
                <w:sz w:val="22"/>
                <w:szCs w:val="22"/>
                <w:lang w:val="es-CR" w:eastAsia="es-CR"/>
              </w:rPr>
            </w:pPr>
            <w:r w:rsidRPr="00B740EB">
              <w:rPr>
                <w:rFonts w:asciiTheme="minorHAnsi" w:hAnsiTheme="minorHAnsi"/>
                <w:i/>
                <w:iCs/>
                <w:color w:val="000000"/>
                <w:sz w:val="22"/>
                <w:szCs w:val="22"/>
                <w:lang w:val="es-CR" w:eastAsia="es-CR"/>
              </w:rPr>
              <w:t>-</w:t>
            </w:r>
          </w:p>
        </w:tc>
      </w:tr>
    </w:tbl>
    <w:p w14:paraId="35EBE363" w14:textId="4A512D43" w:rsidR="00D81C30" w:rsidRPr="00D55FBA" w:rsidRDefault="00D81C30" w:rsidP="00A21636">
      <w:pPr>
        <w:jc w:val="both"/>
        <w:rPr>
          <w:rFonts w:asciiTheme="minorHAnsi" w:hAnsiTheme="minorHAnsi" w:cs="Arial"/>
        </w:rPr>
      </w:pPr>
    </w:p>
    <w:p w14:paraId="7917C2A3" w14:textId="6123088A" w:rsidR="008838CA" w:rsidRPr="00D55FBA" w:rsidRDefault="00B3715C" w:rsidP="00A21636">
      <w:pPr>
        <w:jc w:val="both"/>
        <w:rPr>
          <w:rFonts w:asciiTheme="minorHAnsi" w:hAnsiTheme="minorHAnsi" w:cs="Arial"/>
          <w:sz w:val="20"/>
          <w:szCs w:val="20"/>
        </w:rPr>
      </w:pPr>
      <w:r w:rsidRPr="00D55FBA">
        <w:rPr>
          <w:rFonts w:asciiTheme="minorHAnsi" w:hAnsiTheme="minorHAnsi" w:cs="Arial"/>
          <w:sz w:val="20"/>
          <w:szCs w:val="20"/>
        </w:rPr>
        <w:t>Presupuesto Tipo 1: estimación de IVA realizada por la empresa según su estructura</w:t>
      </w:r>
    </w:p>
    <w:p w14:paraId="180B6E07" w14:textId="5E5BCE31" w:rsidR="00B3715C" w:rsidRPr="00D55FBA" w:rsidRDefault="00B3715C" w:rsidP="00A21636">
      <w:pPr>
        <w:jc w:val="both"/>
        <w:rPr>
          <w:rFonts w:asciiTheme="minorHAnsi" w:hAnsiTheme="minorHAnsi" w:cs="Arial"/>
          <w:sz w:val="20"/>
          <w:szCs w:val="20"/>
        </w:rPr>
      </w:pPr>
      <w:r w:rsidRPr="00D55FBA">
        <w:rPr>
          <w:rFonts w:asciiTheme="minorHAnsi" w:hAnsiTheme="minorHAnsi" w:cs="Arial"/>
          <w:sz w:val="20"/>
          <w:szCs w:val="20"/>
        </w:rPr>
        <w:t>Presupuesto Tipo 2: estimación de BANHVI considerando servicios usuales con IVA</w:t>
      </w:r>
    </w:p>
    <w:p w14:paraId="607D145C" w14:textId="77777777" w:rsidR="008838CA" w:rsidRPr="00D55FBA" w:rsidRDefault="008838CA" w:rsidP="00B66904">
      <w:pPr>
        <w:spacing w:line="360" w:lineRule="auto"/>
        <w:jc w:val="both"/>
        <w:rPr>
          <w:rFonts w:asciiTheme="minorHAnsi" w:hAnsiTheme="minorHAnsi" w:cs="Arial"/>
        </w:rPr>
      </w:pPr>
    </w:p>
    <w:p w14:paraId="3D138A63" w14:textId="34B673A2" w:rsidR="00A21636" w:rsidRPr="00D55FBA" w:rsidRDefault="00911D18" w:rsidP="00911D18">
      <w:pPr>
        <w:pStyle w:val="Prrafodelista"/>
        <w:numPr>
          <w:ilvl w:val="0"/>
          <w:numId w:val="2"/>
        </w:numPr>
        <w:jc w:val="both"/>
        <w:rPr>
          <w:rFonts w:asciiTheme="minorHAnsi" w:hAnsiTheme="minorHAnsi" w:cs="Arial"/>
          <w:b/>
          <w:bCs/>
        </w:rPr>
      </w:pPr>
      <w:r w:rsidRPr="00D55FBA">
        <w:rPr>
          <w:rFonts w:asciiTheme="minorHAnsi" w:hAnsiTheme="minorHAnsi" w:cs="Arial"/>
          <w:b/>
          <w:bCs/>
        </w:rPr>
        <w:t xml:space="preserve">Generalidades </w:t>
      </w:r>
      <w:r w:rsidR="003153CF" w:rsidRPr="00D55FBA">
        <w:rPr>
          <w:rFonts w:asciiTheme="minorHAnsi" w:hAnsiTheme="minorHAnsi" w:cs="Arial"/>
          <w:b/>
          <w:bCs/>
        </w:rPr>
        <w:t>para la emisión de factura electrónica</w:t>
      </w:r>
    </w:p>
    <w:p w14:paraId="2D250C46" w14:textId="1F0045B1" w:rsidR="00911D18" w:rsidRPr="00D55FBA" w:rsidRDefault="00911D18" w:rsidP="00D36D58">
      <w:pPr>
        <w:jc w:val="both"/>
        <w:rPr>
          <w:rFonts w:asciiTheme="minorHAnsi" w:hAnsiTheme="minorHAnsi" w:cs="Arial"/>
        </w:rPr>
      </w:pPr>
    </w:p>
    <w:p w14:paraId="4CD820A8" w14:textId="70A19ED7" w:rsidR="00B66904" w:rsidRPr="0087230B" w:rsidRDefault="00B66904" w:rsidP="00F862EE">
      <w:pPr>
        <w:pStyle w:val="Prrafodelista"/>
        <w:numPr>
          <w:ilvl w:val="0"/>
          <w:numId w:val="3"/>
        </w:numPr>
        <w:jc w:val="both"/>
        <w:rPr>
          <w:rFonts w:asciiTheme="minorHAnsi" w:hAnsiTheme="minorHAnsi" w:cs="Arial"/>
        </w:rPr>
      </w:pPr>
      <w:r w:rsidRPr="00D55FBA">
        <w:rPr>
          <w:rFonts w:asciiTheme="minorHAnsi" w:hAnsiTheme="minorHAnsi" w:cs="Arial"/>
        </w:rPr>
        <w:t>Las operaciones de Bono Familiar de Vivienda, según su naturaleza, pueden estar compuesta</w:t>
      </w:r>
      <w:r w:rsidR="00D86D54" w:rsidRPr="00D55FBA">
        <w:rPr>
          <w:rFonts w:asciiTheme="minorHAnsi" w:hAnsiTheme="minorHAnsi" w:cs="Arial"/>
        </w:rPr>
        <w:t>s</w:t>
      </w:r>
      <w:r w:rsidRPr="00D55FBA">
        <w:rPr>
          <w:rFonts w:asciiTheme="minorHAnsi" w:hAnsiTheme="minorHAnsi" w:cs="Arial"/>
        </w:rPr>
        <w:t xml:space="preserve"> por la compra de un bien inmueble y/o por la construcción de una unidad habitacional.  El primer componente se encuentra gravado con el impuesto a la transferencia contenido en la Ley 6999 (no le aplica el IVA ni se requiere la emisión de factura electrónica), </w:t>
      </w:r>
      <w:r w:rsidR="0046071A" w:rsidRPr="00D55FBA">
        <w:rPr>
          <w:rFonts w:asciiTheme="minorHAnsi" w:hAnsiTheme="minorHAnsi" w:cs="Arial"/>
        </w:rPr>
        <w:t xml:space="preserve">mientras que el segundo componente (avalado </w:t>
      </w:r>
      <w:r w:rsidR="0046071A" w:rsidRPr="00D55FBA">
        <w:rPr>
          <w:rFonts w:asciiTheme="minorHAnsi" w:hAnsiTheme="minorHAnsi" w:cs="Arial"/>
        </w:rPr>
        <w:lastRenderedPageBreak/>
        <w:t xml:space="preserve">mediante un presupuesto de construcción de vivienda o de reparaciones) se </w:t>
      </w:r>
      <w:r w:rsidR="0046071A" w:rsidRPr="0087230B">
        <w:rPr>
          <w:rFonts w:asciiTheme="minorHAnsi" w:hAnsiTheme="minorHAnsi" w:cs="Arial"/>
        </w:rPr>
        <w:t>encuentra sujeto a la Ley 9635, específicamente en lo concerniente al IVA y a la emisión de factura electrónica.</w:t>
      </w:r>
    </w:p>
    <w:p w14:paraId="7EB406B0" w14:textId="73F92D12" w:rsidR="0046071A" w:rsidRPr="0087230B" w:rsidRDefault="0046071A" w:rsidP="0046071A">
      <w:pPr>
        <w:pStyle w:val="Prrafodelista"/>
        <w:jc w:val="both"/>
        <w:rPr>
          <w:rFonts w:asciiTheme="minorHAnsi" w:hAnsiTheme="minorHAnsi" w:cs="Arial"/>
        </w:rPr>
      </w:pPr>
    </w:p>
    <w:p w14:paraId="58189888" w14:textId="2132A0E5" w:rsidR="0087230B" w:rsidRPr="0087230B" w:rsidRDefault="0087230B" w:rsidP="0087230B">
      <w:pPr>
        <w:pStyle w:val="Prrafodelista"/>
        <w:numPr>
          <w:ilvl w:val="0"/>
          <w:numId w:val="3"/>
        </w:numPr>
        <w:jc w:val="both"/>
        <w:rPr>
          <w:rFonts w:asciiTheme="minorHAnsi" w:hAnsiTheme="minorHAnsi" w:cs="Arial"/>
        </w:rPr>
      </w:pPr>
      <w:r w:rsidRPr="0087230B">
        <w:rPr>
          <w:rFonts w:asciiTheme="minorHAnsi" w:hAnsiTheme="minorHAnsi" w:cs="Arial"/>
        </w:rPr>
        <w:t xml:space="preserve">El monto de las facturas electrónicas deberá corresponder con el monto de avance estimado por el fiscal de inversiones de la Entidad Autorizada, el cual suministrará el documento respectivo a la empresa constructora/desarrolladora. </w:t>
      </w:r>
    </w:p>
    <w:p w14:paraId="3942F0B1" w14:textId="77777777" w:rsidR="0087230B" w:rsidRPr="0087230B" w:rsidRDefault="0087230B" w:rsidP="0046071A">
      <w:pPr>
        <w:pStyle w:val="Prrafodelista"/>
        <w:jc w:val="both"/>
        <w:rPr>
          <w:rFonts w:asciiTheme="minorHAnsi" w:hAnsiTheme="minorHAnsi" w:cs="Arial"/>
        </w:rPr>
      </w:pPr>
    </w:p>
    <w:p w14:paraId="23AA9BBE" w14:textId="0AECDF1C" w:rsidR="0046071A" w:rsidRPr="0087230B" w:rsidRDefault="0046071A" w:rsidP="00F862EE">
      <w:pPr>
        <w:pStyle w:val="Prrafodelista"/>
        <w:numPr>
          <w:ilvl w:val="0"/>
          <w:numId w:val="3"/>
        </w:numPr>
        <w:jc w:val="both"/>
        <w:rPr>
          <w:rFonts w:asciiTheme="minorHAnsi" w:hAnsiTheme="minorHAnsi" w:cs="Arial"/>
        </w:rPr>
      </w:pPr>
      <w:r w:rsidRPr="0087230B">
        <w:rPr>
          <w:rFonts w:asciiTheme="minorHAnsi" w:hAnsiTheme="minorHAnsi" w:cs="Arial"/>
        </w:rPr>
        <w:t xml:space="preserve">Se requerirá la emisión de factura electrónica </w:t>
      </w:r>
      <w:r w:rsidR="00C67A6E" w:rsidRPr="0087230B">
        <w:rPr>
          <w:rFonts w:asciiTheme="minorHAnsi" w:hAnsiTheme="minorHAnsi" w:cs="Arial"/>
        </w:rPr>
        <w:t>a nombre de las familias beneficiarias</w:t>
      </w:r>
      <w:r w:rsidR="0087230B" w:rsidRPr="0087230B">
        <w:rPr>
          <w:rFonts w:asciiTheme="minorHAnsi" w:hAnsiTheme="minorHAnsi" w:cs="Arial"/>
        </w:rPr>
        <w:t xml:space="preserve"> (en casos individuales)</w:t>
      </w:r>
      <w:r w:rsidR="00C67A6E" w:rsidRPr="0087230B">
        <w:rPr>
          <w:rFonts w:asciiTheme="minorHAnsi" w:hAnsiTheme="minorHAnsi" w:cs="Arial"/>
        </w:rPr>
        <w:t xml:space="preserve"> o BANHVI (</w:t>
      </w:r>
      <w:r w:rsidR="0087230B" w:rsidRPr="0087230B">
        <w:rPr>
          <w:rFonts w:asciiTheme="minorHAnsi" w:hAnsiTheme="minorHAnsi" w:cs="Arial"/>
        </w:rPr>
        <w:t>en proyectos</w:t>
      </w:r>
      <w:r w:rsidR="00C67A6E" w:rsidRPr="0087230B">
        <w:rPr>
          <w:rFonts w:asciiTheme="minorHAnsi" w:hAnsiTheme="minorHAnsi" w:cs="Arial"/>
        </w:rPr>
        <w:t xml:space="preserve">), </w:t>
      </w:r>
      <w:r w:rsidRPr="0087230B">
        <w:rPr>
          <w:rFonts w:asciiTheme="minorHAnsi" w:hAnsiTheme="minorHAnsi" w:cs="Arial"/>
        </w:rPr>
        <w:t>en los casos de BFV administradas por empresas constructoras/desarrolladoras</w:t>
      </w:r>
      <w:r w:rsidR="00C67A6E" w:rsidRPr="0087230B">
        <w:rPr>
          <w:rFonts w:asciiTheme="minorHAnsi" w:hAnsiTheme="minorHAnsi" w:cs="Arial"/>
        </w:rPr>
        <w:t>, y se suministrará copia electrónica a la Entidad Autorizada para la custodia en los expedientes respectivos</w:t>
      </w:r>
      <w:r w:rsidR="00C86623">
        <w:rPr>
          <w:rFonts w:asciiTheme="minorHAnsi" w:hAnsiTheme="minorHAnsi" w:cs="Arial"/>
        </w:rPr>
        <w:t>; dicha entidad v</w:t>
      </w:r>
      <w:r w:rsidR="00C67A6E" w:rsidRPr="0087230B">
        <w:rPr>
          <w:rFonts w:asciiTheme="minorHAnsi" w:hAnsiTheme="minorHAnsi" w:cs="Arial"/>
        </w:rPr>
        <w:t>erificará la congruencia entre los montos consignados en</w:t>
      </w:r>
      <w:r w:rsidR="00C86623">
        <w:rPr>
          <w:rFonts w:asciiTheme="minorHAnsi" w:hAnsiTheme="minorHAnsi" w:cs="Arial"/>
        </w:rPr>
        <w:t xml:space="preserve"> la</w:t>
      </w:r>
      <w:r w:rsidR="00C67A6E" w:rsidRPr="0087230B">
        <w:rPr>
          <w:rFonts w:asciiTheme="minorHAnsi" w:hAnsiTheme="minorHAnsi" w:cs="Arial"/>
        </w:rPr>
        <w:t xml:space="preserve"> factura y en </w:t>
      </w:r>
      <w:r w:rsidR="00C86623">
        <w:rPr>
          <w:rFonts w:asciiTheme="minorHAnsi" w:hAnsiTheme="minorHAnsi" w:cs="Arial"/>
        </w:rPr>
        <w:t>e</w:t>
      </w:r>
      <w:r w:rsidR="00C67A6E" w:rsidRPr="0087230B">
        <w:rPr>
          <w:rFonts w:asciiTheme="minorHAnsi" w:hAnsiTheme="minorHAnsi" w:cs="Arial"/>
        </w:rPr>
        <w:t>l informe de avance del fiscal de inversiones</w:t>
      </w:r>
      <w:r w:rsidR="00C86623">
        <w:rPr>
          <w:rFonts w:asciiTheme="minorHAnsi" w:hAnsiTheme="minorHAnsi" w:cs="Arial"/>
        </w:rPr>
        <w:t xml:space="preserve"> designado</w:t>
      </w:r>
      <w:r w:rsidR="00C67A6E" w:rsidRPr="0087230B">
        <w:rPr>
          <w:rFonts w:asciiTheme="minorHAnsi" w:hAnsiTheme="minorHAnsi" w:cs="Arial"/>
        </w:rPr>
        <w:t>.</w:t>
      </w:r>
    </w:p>
    <w:p w14:paraId="632585FD" w14:textId="653DE687" w:rsidR="0046071A" w:rsidRDefault="0046071A" w:rsidP="0046071A">
      <w:pPr>
        <w:pStyle w:val="Prrafodelista"/>
        <w:rPr>
          <w:rFonts w:asciiTheme="minorHAnsi" w:hAnsiTheme="minorHAnsi" w:cs="Arial"/>
        </w:rPr>
      </w:pPr>
    </w:p>
    <w:p w14:paraId="36335D9D" w14:textId="3F3CDC6E" w:rsidR="00C86623" w:rsidRPr="0087230B" w:rsidRDefault="00C86623" w:rsidP="00C86623">
      <w:pPr>
        <w:pStyle w:val="Prrafodelista"/>
        <w:jc w:val="both"/>
        <w:rPr>
          <w:rFonts w:asciiTheme="minorHAnsi" w:hAnsiTheme="minorHAnsi" w:cs="Arial"/>
        </w:rPr>
      </w:pPr>
      <w:r>
        <w:rPr>
          <w:rFonts w:asciiTheme="minorHAnsi" w:hAnsiTheme="minorHAnsi" w:cs="Arial"/>
        </w:rPr>
        <w:t xml:space="preserve">En el caso de proyectos, las </w:t>
      </w:r>
      <w:r w:rsidRPr="0087230B">
        <w:rPr>
          <w:rFonts w:asciiTheme="minorHAnsi" w:hAnsiTheme="minorHAnsi" w:cs="Arial"/>
        </w:rPr>
        <w:t xml:space="preserve">facturas deberán remitirse a la dirección electrónica </w:t>
      </w:r>
      <w:hyperlink r:id="rId10" w:history="1">
        <w:r w:rsidRPr="008214F6">
          <w:rPr>
            <w:rStyle w:val="Hipervnculo"/>
            <w:rFonts w:asciiTheme="minorHAnsi" w:hAnsiTheme="minorHAnsi" w:cs="Arial"/>
          </w:rPr>
          <w:t>Desembolsos@banhvi.fi.cr</w:t>
        </w:r>
      </w:hyperlink>
      <w:r>
        <w:rPr>
          <w:rFonts w:asciiTheme="minorHAnsi" w:hAnsiTheme="minorHAnsi" w:cs="Arial"/>
        </w:rPr>
        <w:t>, y e</w:t>
      </w:r>
      <w:r w:rsidRPr="0087230B">
        <w:rPr>
          <w:rFonts w:asciiTheme="minorHAnsi" w:hAnsiTheme="minorHAnsi" w:cs="Arial"/>
        </w:rPr>
        <w:t xml:space="preserve">l administrador designado del BANHVI realizará la validación </w:t>
      </w:r>
      <w:r>
        <w:rPr>
          <w:rFonts w:asciiTheme="minorHAnsi" w:hAnsiTheme="minorHAnsi" w:cs="Arial"/>
        </w:rPr>
        <w:t>y aceptación de estas cuando sean remitidos los documentos asociados a la solicitud de desembolsos</w:t>
      </w:r>
      <w:r w:rsidRPr="0087230B">
        <w:rPr>
          <w:rFonts w:asciiTheme="minorHAnsi" w:hAnsiTheme="minorHAnsi" w:cs="Arial"/>
        </w:rPr>
        <w:t>.</w:t>
      </w:r>
    </w:p>
    <w:p w14:paraId="70EC3966" w14:textId="77777777" w:rsidR="00C86623" w:rsidRPr="0087230B" w:rsidRDefault="00C86623" w:rsidP="0046071A">
      <w:pPr>
        <w:pStyle w:val="Prrafodelista"/>
        <w:rPr>
          <w:rFonts w:asciiTheme="minorHAnsi" w:hAnsiTheme="minorHAnsi" w:cs="Arial"/>
        </w:rPr>
      </w:pPr>
    </w:p>
    <w:p w14:paraId="59B81FE1" w14:textId="25103E3A" w:rsidR="0046071A" w:rsidRPr="00D55FBA" w:rsidRDefault="0046071A" w:rsidP="00F862EE">
      <w:pPr>
        <w:pStyle w:val="Prrafodelista"/>
        <w:numPr>
          <w:ilvl w:val="0"/>
          <w:numId w:val="3"/>
        </w:numPr>
        <w:jc w:val="both"/>
        <w:rPr>
          <w:rFonts w:asciiTheme="minorHAnsi" w:hAnsiTheme="minorHAnsi" w:cs="Arial"/>
        </w:rPr>
      </w:pPr>
      <w:bookmarkStart w:id="0" w:name="_Hlk21613084"/>
      <w:r w:rsidRPr="0087230B">
        <w:rPr>
          <w:rFonts w:asciiTheme="minorHAnsi" w:hAnsiTheme="minorHAnsi" w:cs="Arial"/>
        </w:rPr>
        <w:t>Las operaciones de BFV administradas por las familias beneficiarias no requerirán la emisión de factura</w:t>
      </w:r>
      <w:r w:rsidRPr="00D55FBA">
        <w:rPr>
          <w:rFonts w:asciiTheme="minorHAnsi" w:hAnsiTheme="minorHAnsi" w:cs="Arial"/>
        </w:rPr>
        <w:t xml:space="preserve"> electrónica, pues estos no cumplen con los </w:t>
      </w:r>
      <w:r w:rsidR="001E2DD4" w:rsidRPr="00D55FBA">
        <w:rPr>
          <w:rFonts w:asciiTheme="minorHAnsi" w:hAnsiTheme="minorHAnsi" w:cs="Arial"/>
        </w:rPr>
        <w:t>supuestos del hecho generador previstos en el artículo 2 de la Ley 9635</w:t>
      </w:r>
      <w:r w:rsidR="00D86D54" w:rsidRPr="00D55FBA">
        <w:rPr>
          <w:rFonts w:asciiTheme="minorHAnsi" w:hAnsiTheme="minorHAnsi" w:cs="Arial"/>
        </w:rPr>
        <w:t>, de aquí que no se constituyen en contribuyentes de este impuesto.</w:t>
      </w:r>
    </w:p>
    <w:bookmarkEnd w:id="0"/>
    <w:p w14:paraId="129BABED" w14:textId="77777777" w:rsidR="001E2DD4" w:rsidRPr="00D55FBA" w:rsidRDefault="001E2DD4" w:rsidP="001E2DD4">
      <w:pPr>
        <w:pStyle w:val="Prrafodelista"/>
        <w:rPr>
          <w:rFonts w:asciiTheme="minorHAnsi" w:hAnsiTheme="minorHAnsi" w:cs="Arial"/>
        </w:rPr>
      </w:pPr>
    </w:p>
    <w:p w14:paraId="766EC580" w14:textId="08FBB426" w:rsidR="001E2DD4" w:rsidRPr="00D55FBA" w:rsidRDefault="001E2DD4" w:rsidP="00F862EE">
      <w:pPr>
        <w:pStyle w:val="Prrafodelista"/>
        <w:numPr>
          <w:ilvl w:val="0"/>
          <w:numId w:val="3"/>
        </w:numPr>
        <w:jc w:val="both"/>
        <w:rPr>
          <w:rFonts w:asciiTheme="minorHAnsi" w:hAnsiTheme="minorHAnsi" w:cs="Arial"/>
        </w:rPr>
      </w:pPr>
      <w:r w:rsidRPr="00D55FBA">
        <w:rPr>
          <w:rFonts w:asciiTheme="minorHAnsi" w:hAnsiTheme="minorHAnsi" w:cs="Arial"/>
        </w:rPr>
        <w:t xml:space="preserve">Las facturas electrónicas deberán cumplir con la versión vigente del </w:t>
      </w:r>
      <w:r w:rsidRPr="00D55FBA">
        <w:rPr>
          <w:rFonts w:asciiTheme="minorHAnsi" w:hAnsiTheme="minorHAnsi" w:cs="Arial"/>
          <w:i/>
          <w:iCs/>
        </w:rPr>
        <w:t xml:space="preserve">“Reglamento de comprobantes electrónicos para efectos tributarios </w:t>
      </w:r>
      <w:proofErr w:type="spellStart"/>
      <w:r w:rsidRPr="00D55FBA">
        <w:rPr>
          <w:rFonts w:asciiTheme="minorHAnsi" w:hAnsiTheme="minorHAnsi" w:cs="Arial"/>
          <w:i/>
          <w:iCs/>
        </w:rPr>
        <w:t>N°</w:t>
      </w:r>
      <w:proofErr w:type="spellEnd"/>
      <w:r w:rsidRPr="00D55FBA">
        <w:rPr>
          <w:rFonts w:asciiTheme="minorHAnsi" w:hAnsiTheme="minorHAnsi" w:cs="Arial"/>
          <w:i/>
          <w:iCs/>
        </w:rPr>
        <w:t xml:space="preserve"> 41820-H” </w:t>
      </w:r>
      <w:r w:rsidRPr="00D55FBA">
        <w:rPr>
          <w:rFonts w:asciiTheme="minorHAnsi" w:hAnsiTheme="minorHAnsi" w:cs="Arial"/>
        </w:rPr>
        <w:t>o del documento que lo sustituya, así como las pautas complementarias que sean definidas por la Dirección FOSUVI.</w:t>
      </w:r>
    </w:p>
    <w:p w14:paraId="31B0BD6D" w14:textId="24F9E7CA" w:rsidR="00A21636" w:rsidRPr="00D55FBA" w:rsidRDefault="00A21636" w:rsidP="00837BD5">
      <w:pPr>
        <w:spacing w:line="360" w:lineRule="auto"/>
        <w:rPr>
          <w:rFonts w:asciiTheme="minorHAnsi" w:hAnsiTheme="minorHAnsi"/>
        </w:rPr>
      </w:pPr>
    </w:p>
    <w:p w14:paraId="6A303C6F" w14:textId="07282921" w:rsidR="00932AC0" w:rsidRPr="00D55FBA" w:rsidRDefault="00932AC0" w:rsidP="00824FEF">
      <w:pPr>
        <w:pStyle w:val="Prrafodelista"/>
        <w:numPr>
          <w:ilvl w:val="0"/>
          <w:numId w:val="2"/>
        </w:numPr>
        <w:jc w:val="both"/>
        <w:rPr>
          <w:rFonts w:asciiTheme="minorHAnsi" w:hAnsiTheme="minorHAnsi" w:cs="Arial"/>
          <w:b/>
          <w:bCs/>
        </w:rPr>
      </w:pPr>
      <w:r w:rsidRPr="00D55FBA">
        <w:rPr>
          <w:rFonts w:asciiTheme="minorHAnsi" w:hAnsiTheme="minorHAnsi" w:cs="Arial"/>
          <w:b/>
          <w:bCs/>
        </w:rPr>
        <w:t xml:space="preserve">Casos </w:t>
      </w:r>
      <w:r w:rsidR="0087230B">
        <w:rPr>
          <w:rFonts w:asciiTheme="minorHAnsi" w:hAnsiTheme="minorHAnsi" w:cs="Arial"/>
          <w:b/>
          <w:bCs/>
        </w:rPr>
        <w:t xml:space="preserve">formalizados, </w:t>
      </w:r>
      <w:r w:rsidRPr="00D55FBA">
        <w:rPr>
          <w:rFonts w:asciiTheme="minorHAnsi" w:hAnsiTheme="minorHAnsi" w:cs="Arial"/>
          <w:b/>
          <w:bCs/>
        </w:rPr>
        <w:t xml:space="preserve">en proceso constructivo </w:t>
      </w:r>
      <w:r w:rsidR="0087230B">
        <w:rPr>
          <w:rFonts w:asciiTheme="minorHAnsi" w:hAnsiTheme="minorHAnsi" w:cs="Arial"/>
          <w:b/>
          <w:bCs/>
        </w:rPr>
        <w:t xml:space="preserve">o con código de exoneración </w:t>
      </w:r>
      <w:r w:rsidRPr="00D55FBA">
        <w:rPr>
          <w:rFonts w:asciiTheme="minorHAnsi" w:hAnsiTheme="minorHAnsi" w:cs="Arial"/>
          <w:b/>
          <w:bCs/>
        </w:rPr>
        <w:t>anterior al 1 de octubre</w:t>
      </w:r>
    </w:p>
    <w:p w14:paraId="79487425" w14:textId="6752083B" w:rsidR="00932AC0" w:rsidRPr="00D55FBA" w:rsidRDefault="00932AC0" w:rsidP="00932AC0">
      <w:pPr>
        <w:jc w:val="both"/>
        <w:rPr>
          <w:rFonts w:asciiTheme="minorHAnsi" w:hAnsiTheme="minorHAnsi" w:cs="Arial"/>
          <w:b/>
          <w:bCs/>
        </w:rPr>
      </w:pPr>
    </w:p>
    <w:p w14:paraId="756BA3F4" w14:textId="11AC2D1D" w:rsidR="006A030B" w:rsidRDefault="00932AC0" w:rsidP="00932AC0">
      <w:pPr>
        <w:jc w:val="both"/>
        <w:rPr>
          <w:rFonts w:asciiTheme="minorHAnsi" w:hAnsiTheme="minorHAnsi" w:cs="Arial"/>
        </w:rPr>
      </w:pPr>
      <w:r w:rsidRPr="00D55FBA">
        <w:rPr>
          <w:rFonts w:asciiTheme="minorHAnsi" w:hAnsiTheme="minorHAnsi" w:cs="Arial"/>
        </w:rPr>
        <w:t xml:space="preserve">Los casos individuales ordinarios y de artículo 59 que se hayan </w:t>
      </w:r>
      <w:r w:rsidR="0087230B">
        <w:rPr>
          <w:rFonts w:asciiTheme="minorHAnsi" w:hAnsiTheme="minorHAnsi" w:cs="Arial"/>
        </w:rPr>
        <w:t>formalizado</w:t>
      </w:r>
      <w:r w:rsidRPr="00D55FBA">
        <w:rPr>
          <w:rFonts w:asciiTheme="minorHAnsi" w:hAnsiTheme="minorHAnsi" w:cs="Arial"/>
        </w:rPr>
        <w:t xml:space="preserve"> antes del 1 de octubre</w:t>
      </w:r>
      <w:r w:rsidR="006A030B" w:rsidRPr="00D55FBA">
        <w:rPr>
          <w:rFonts w:asciiTheme="minorHAnsi" w:hAnsiTheme="minorHAnsi" w:cs="Arial"/>
        </w:rPr>
        <w:t xml:space="preserve"> de 2019, así como </w:t>
      </w:r>
      <w:r w:rsidR="0087230B">
        <w:rPr>
          <w:rFonts w:asciiTheme="minorHAnsi" w:hAnsiTheme="minorHAnsi" w:cs="Arial"/>
        </w:rPr>
        <w:t>los casos individuales o de proyectos que dispongan de código de exoneración</w:t>
      </w:r>
      <w:r w:rsidR="006A030B" w:rsidRPr="00D55FBA">
        <w:rPr>
          <w:rFonts w:asciiTheme="minorHAnsi" w:hAnsiTheme="minorHAnsi" w:cs="Arial"/>
        </w:rPr>
        <w:t>, según su naturaleza y contra avance de obra, deberán</w:t>
      </w:r>
      <w:r w:rsidR="009E5009" w:rsidRPr="00D55FBA">
        <w:rPr>
          <w:rFonts w:asciiTheme="minorHAnsi" w:hAnsiTheme="minorHAnsi" w:cs="Arial"/>
        </w:rPr>
        <w:t xml:space="preserve"> cumplir con lo siguiente</w:t>
      </w:r>
      <w:r w:rsidR="006A030B" w:rsidRPr="00D55FBA">
        <w:rPr>
          <w:rFonts w:asciiTheme="minorHAnsi" w:hAnsiTheme="minorHAnsi" w:cs="Arial"/>
        </w:rPr>
        <w:t>:</w:t>
      </w:r>
    </w:p>
    <w:p w14:paraId="154B701A" w14:textId="0A1862A0" w:rsidR="00CB238A" w:rsidRDefault="00CB238A" w:rsidP="00932AC0">
      <w:pPr>
        <w:jc w:val="both"/>
        <w:rPr>
          <w:rFonts w:asciiTheme="minorHAnsi" w:hAnsiTheme="minorHAnsi" w:cs="Arial"/>
        </w:rPr>
      </w:pPr>
    </w:p>
    <w:p w14:paraId="648C4B0C" w14:textId="7527EAAA" w:rsidR="00CB238A" w:rsidRDefault="00CB238A" w:rsidP="00932AC0">
      <w:pPr>
        <w:jc w:val="both"/>
        <w:rPr>
          <w:rFonts w:asciiTheme="minorHAnsi" w:hAnsiTheme="minorHAnsi" w:cs="Arial"/>
        </w:rPr>
      </w:pPr>
    </w:p>
    <w:p w14:paraId="17627DC3" w14:textId="387F5B03" w:rsidR="00CB238A" w:rsidRDefault="00CB238A" w:rsidP="00932AC0">
      <w:pPr>
        <w:jc w:val="both"/>
        <w:rPr>
          <w:rFonts w:asciiTheme="minorHAnsi" w:hAnsiTheme="minorHAnsi" w:cs="Arial"/>
        </w:rPr>
      </w:pPr>
    </w:p>
    <w:p w14:paraId="08D34C46" w14:textId="77777777" w:rsidR="00CB238A" w:rsidRPr="00D55FBA" w:rsidRDefault="00CB238A" w:rsidP="00932AC0">
      <w:pPr>
        <w:jc w:val="both"/>
        <w:rPr>
          <w:rFonts w:asciiTheme="minorHAnsi" w:hAnsiTheme="minorHAnsi" w:cs="Arial"/>
        </w:rPr>
      </w:pPr>
    </w:p>
    <w:p w14:paraId="19A58678" w14:textId="77777777" w:rsidR="006A030B" w:rsidRPr="00D55FBA" w:rsidRDefault="006A030B" w:rsidP="00932AC0">
      <w:pPr>
        <w:jc w:val="both"/>
        <w:rPr>
          <w:rFonts w:asciiTheme="minorHAnsi" w:hAnsiTheme="minorHAnsi" w:cs="Arial"/>
        </w:rPr>
      </w:pPr>
    </w:p>
    <w:p w14:paraId="5112B3B9" w14:textId="26947368" w:rsidR="00932AC0" w:rsidRPr="00D55FBA" w:rsidRDefault="006A030B" w:rsidP="006A030B">
      <w:pPr>
        <w:pStyle w:val="Prrafodelista"/>
        <w:numPr>
          <w:ilvl w:val="0"/>
          <w:numId w:val="4"/>
        </w:numPr>
        <w:jc w:val="both"/>
        <w:rPr>
          <w:rFonts w:asciiTheme="minorHAnsi" w:hAnsiTheme="minorHAnsi" w:cs="Arial"/>
        </w:rPr>
      </w:pPr>
      <w:r w:rsidRPr="00D55FBA">
        <w:rPr>
          <w:rFonts w:asciiTheme="minorHAnsi" w:hAnsiTheme="minorHAnsi" w:cs="Arial"/>
          <w:i/>
          <w:iCs/>
        </w:rPr>
        <w:lastRenderedPageBreak/>
        <w:t>Casos individuales ordinarios o de artículo 59 con administración de recursos por parte de los beneficiarios:</w:t>
      </w:r>
      <w:r w:rsidRPr="00D55FBA">
        <w:rPr>
          <w:rFonts w:asciiTheme="minorHAnsi" w:hAnsiTheme="minorHAnsi" w:cs="Arial"/>
        </w:rPr>
        <w:t xml:space="preserve"> no se requerirá la emisión de facturas </w:t>
      </w:r>
      <w:r w:rsidR="00CB238A">
        <w:rPr>
          <w:rFonts w:asciiTheme="minorHAnsi" w:hAnsiTheme="minorHAnsi" w:cs="Arial"/>
        </w:rPr>
        <w:t>electrónicas.</w:t>
      </w:r>
    </w:p>
    <w:p w14:paraId="48221639" w14:textId="5EBB55BB" w:rsidR="0031088D" w:rsidRPr="00D55FBA" w:rsidRDefault="0031088D" w:rsidP="0031088D">
      <w:pPr>
        <w:pStyle w:val="Prrafodelista"/>
        <w:jc w:val="both"/>
        <w:rPr>
          <w:rFonts w:asciiTheme="minorHAnsi" w:hAnsiTheme="minorHAnsi" w:cs="Arial"/>
          <w:i/>
          <w:iCs/>
        </w:rPr>
      </w:pPr>
    </w:p>
    <w:p w14:paraId="28218D7E" w14:textId="2BCBFA07" w:rsidR="0031088D" w:rsidRPr="00D55FBA" w:rsidRDefault="0031088D" w:rsidP="0031088D">
      <w:pPr>
        <w:pStyle w:val="Prrafodelista"/>
        <w:jc w:val="both"/>
        <w:rPr>
          <w:rFonts w:asciiTheme="minorHAnsi" w:hAnsiTheme="minorHAnsi" w:cs="Arial"/>
        </w:rPr>
      </w:pPr>
      <w:r w:rsidRPr="00D55FBA">
        <w:rPr>
          <w:rFonts w:asciiTheme="minorHAnsi" w:hAnsiTheme="minorHAnsi" w:cs="Arial"/>
        </w:rPr>
        <w:t xml:space="preserve">Al disponerse de código de exoneración de estos casos individuales, no </w:t>
      </w:r>
      <w:r w:rsidR="006D2E32" w:rsidRPr="00D55FBA">
        <w:rPr>
          <w:rFonts w:asciiTheme="minorHAnsi" w:hAnsiTheme="minorHAnsi" w:cs="Arial"/>
        </w:rPr>
        <w:t>se</w:t>
      </w:r>
      <w:r w:rsidR="0087230B">
        <w:rPr>
          <w:rFonts w:asciiTheme="minorHAnsi" w:hAnsiTheme="minorHAnsi" w:cs="Arial"/>
        </w:rPr>
        <w:t xml:space="preserve"> realizarán</w:t>
      </w:r>
      <w:r w:rsidRPr="00D55FBA">
        <w:rPr>
          <w:rFonts w:asciiTheme="minorHAnsi" w:hAnsiTheme="minorHAnsi" w:cs="Arial"/>
        </w:rPr>
        <w:t xml:space="preserve"> incrementos </w:t>
      </w:r>
      <w:r w:rsidR="0087230B">
        <w:rPr>
          <w:rFonts w:asciiTheme="minorHAnsi" w:hAnsiTheme="minorHAnsi" w:cs="Arial"/>
        </w:rPr>
        <w:t>en el</w:t>
      </w:r>
      <w:r w:rsidRPr="00D55FBA">
        <w:rPr>
          <w:rFonts w:asciiTheme="minorHAnsi" w:hAnsiTheme="minorHAnsi" w:cs="Arial"/>
        </w:rPr>
        <w:t xml:space="preserve"> monto de financiamiento por variación del IVA </w:t>
      </w:r>
      <w:r w:rsidR="006F25B1" w:rsidRPr="00D55FBA">
        <w:rPr>
          <w:rFonts w:asciiTheme="minorHAnsi" w:hAnsiTheme="minorHAnsi" w:cs="Arial"/>
        </w:rPr>
        <w:t xml:space="preserve">debido a </w:t>
      </w:r>
      <w:r w:rsidRPr="00D55FBA">
        <w:rPr>
          <w:rFonts w:asciiTheme="minorHAnsi" w:hAnsiTheme="minorHAnsi" w:cs="Arial"/>
        </w:rPr>
        <w:t>los servicios.</w:t>
      </w:r>
    </w:p>
    <w:p w14:paraId="27FA61C7" w14:textId="77777777" w:rsidR="006A030B" w:rsidRPr="00D55FBA" w:rsidRDefault="006A030B" w:rsidP="006A030B">
      <w:pPr>
        <w:pStyle w:val="Prrafodelista"/>
        <w:jc w:val="both"/>
        <w:rPr>
          <w:rFonts w:asciiTheme="minorHAnsi" w:hAnsiTheme="minorHAnsi" w:cs="Arial"/>
        </w:rPr>
      </w:pPr>
    </w:p>
    <w:p w14:paraId="79F841ED" w14:textId="3170BC77" w:rsidR="0087230B" w:rsidRDefault="006A030B" w:rsidP="0087230B">
      <w:pPr>
        <w:pStyle w:val="Prrafodelista"/>
        <w:numPr>
          <w:ilvl w:val="0"/>
          <w:numId w:val="4"/>
        </w:numPr>
        <w:jc w:val="both"/>
        <w:rPr>
          <w:rFonts w:asciiTheme="minorHAnsi" w:hAnsiTheme="minorHAnsi" w:cs="Arial"/>
        </w:rPr>
      </w:pPr>
      <w:r w:rsidRPr="00D55FBA">
        <w:rPr>
          <w:rFonts w:asciiTheme="minorHAnsi" w:hAnsiTheme="minorHAnsi" w:cs="Arial"/>
          <w:i/>
          <w:iCs/>
        </w:rPr>
        <w:t>Casos individuales ordinarios o de artículo 59 con administración de recursos por parte de empresas constructoras/desarrolladoras:</w:t>
      </w:r>
      <w:r w:rsidRPr="00D55FBA">
        <w:rPr>
          <w:rFonts w:asciiTheme="minorHAnsi" w:hAnsiTheme="minorHAnsi" w:cs="Arial"/>
        </w:rPr>
        <w:t xml:space="preserve"> se requerirá la emisión de facturas </w:t>
      </w:r>
      <w:r w:rsidR="00CB238A">
        <w:rPr>
          <w:rFonts w:asciiTheme="minorHAnsi" w:hAnsiTheme="minorHAnsi" w:cs="Arial"/>
        </w:rPr>
        <w:t>electrónicas</w:t>
      </w:r>
      <w:r w:rsidRPr="00D55FBA">
        <w:rPr>
          <w:rFonts w:asciiTheme="minorHAnsi" w:hAnsiTheme="minorHAnsi" w:cs="Arial"/>
        </w:rPr>
        <w:t xml:space="preserve"> </w:t>
      </w:r>
      <w:r w:rsidR="0087230B">
        <w:rPr>
          <w:rFonts w:asciiTheme="minorHAnsi" w:hAnsiTheme="minorHAnsi" w:cs="Arial"/>
        </w:rPr>
        <w:t>a nombre de las familias beneficiarias, y se suministrará copia a las Entidades Autorizadas para la custodia en el expediente respectivo.</w:t>
      </w:r>
    </w:p>
    <w:p w14:paraId="5718F848" w14:textId="73F9D877" w:rsidR="0087230B" w:rsidRDefault="0087230B" w:rsidP="00A638E5">
      <w:pPr>
        <w:pStyle w:val="Prrafodelista"/>
        <w:rPr>
          <w:rFonts w:asciiTheme="minorHAnsi" w:hAnsiTheme="minorHAnsi" w:cs="Arial"/>
        </w:rPr>
      </w:pPr>
    </w:p>
    <w:p w14:paraId="6486E6E1" w14:textId="77777777" w:rsidR="0087230B" w:rsidRPr="00CB238A" w:rsidRDefault="0087230B" w:rsidP="0087230B">
      <w:pPr>
        <w:pStyle w:val="Prrafodelista"/>
        <w:jc w:val="both"/>
        <w:rPr>
          <w:rFonts w:asciiTheme="minorHAnsi" w:hAnsiTheme="minorHAnsi" w:cs="Arial"/>
          <w:u w:val="single"/>
        </w:rPr>
      </w:pPr>
      <w:r w:rsidRPr="00D55FBA">
        <w:rPr>
          <w:rFonts w:asciiTheme="minorHAnsi" w:hAnsiTheme="minorHAnsi" w:cs="Arial"/>
        </w:rPr>
        <w:t>Al disponerse de código de exoneración de estos casos individuales, no se</w:t>
      </w:r>
      <w:r>
        <w:rPr>
          <w:rFonts w:asciiTheme="minorHAnsi" w:hAnsiTheme="minorHAnsi" w:cs="Arial"/>
        </w:rPr>
        <w:t xml:space="preserve"> realizarán</w:t>
      </w:r>
      <w:r w:rsidRPr="00D55FBA">
        <w:rPr>
          <w:rFonts w:asciiTheme="minorHAnsi" w:hAnsiTheme="minorHAnsi" w:cs="Arial"/>
        </w:rPr>
        <w:t xml:space="preserve"> incrementos </w:t>
      </w:r>
      <w:r>
        <w:rPr>
          <w:rFonts w:asciiTheme="minorHAnsi" w:hAnsiTheme="minorHAnsi" w:cs="Arial"/>
        </w:rPr>
        <w:t>en el</w:t>
      </w:r>
      <w:r w:rsidRPr="00D55FBA">
        <w:rPr>
          <w:rFonts w:asciiTheme="minorHAnsi" w:hAnsiTheme="minorHAnsi" w:cs="Arial"/>
        </w:rPr>
        <w:t xml:space="preserve"> monto de financiamiento por variación del IVA debido a los servicios.</w:t>
      </w:r>
    </w:p>
    <w:p w14:paraId="42B94B21" w14:textId="77777777" w:rsidR="0087230B" w:rsidRDefault="0087230B" w:rsidP="00A638E5">
      <w:pPr>
        <w:pStyle w:val="Prrafodelista"/>
        <w:jc w:val="both"/>
        <w:rPr>
          <w:rFonts w:asciiTheme="minorHAnsi" w:hAnsiTheme="minorHAnsi" w:cs="Arial"/>
        </w:rPr>
      </w:pPr>
    </w:p>
    <w:p w14:paraId="51F20F03" w14:textId="077F890C" w:rsidR="006A030B" w:rsidRPr="00D55FBA" w:rsidRDefault="006D2E32" w:rsidP="00A638E5">
      <w:pPr>
        <w:pStyle w:val="Prrafodelista"/>
        <w:jc w:val="both"/>
        <w:rPr>
          <w:rFonts w:asciiTheme="minorHAnsi" w:hAnsiTheme="minorHAnsi" w:cs="Arial"/>
        </w:rPr>
      </w:pPr>
      <w:r w:rsidRPr="00D55FBA">
        <w:rPr>
          <w:rFonts w:asciiTheme="minorHAnsi" w:hAnsiTheme="minorHAnsi" w:cs="Arial"/>
        </w:rPr>
        <w:t>Deberá mostrarse en la descripción de la factura, el código de exoneración específico de la operación individual</w:t>
      </w:r>
      <w:r w:rsidR="008D5FB0" w:rsidRPr="00D55FBA">
        <w:rPr>
          <w:rFonts w:asciiTheme="minorHAnsi" w:hAnsiTheme="minorHAnsi" w:cs="Arial"/>
        </w:rPr>
        <w:t xml:space="preserve">; </w:t>
      </w:r>
      <w:r w:rsidR="000F4D81" w:rsidRPr="00D55FBA">
        <w:rPr>
          <w:rFonts w:asciiTheme="minorHAnsi" w:hAnsiTheme="minorHAnsi" w:cs="Arial"/>
        </w:rPr>
        <w:t xml:space="preserve">el IVA a incluirse en </w:t>
      </w:r>
      <w:r w:rsidR="008D5FB0" w:rsidRPr="00D55FBA">
        <w:rPr>
          <w:rFonts w:asciiTheme="minorHAnsi" w:hAnsiTheme="minorHAnsi" w:cs="Arial"/>
        </w:rPr>
        <w:t>estas facturas corresponderá únicamente con el asociado a los materiales (antes conocido como impuesto de ventas).</w:t>
      </w:r>
    </w:p>
    <w:p w14:paraId="013FF50B" w14:textId="77777777" w:rsidR="0031088D" w:rsidRPr="00D55FBA" w:rsidRDefault="0031088D" w:rsidP="0031088D">
      <w:pPr>
        <w:pStyle w:val="Prrafodelista"/>
        <w:jc w:val="both"/>
        <w:rPr>
          <w:rFonts w:asciiTheme="minorHAnsi" w:hAnsiTheme="minorHAnsi" w:cs="Arial"/>
        </w:rPr>
      </w:pPr>
    </w:p>
    <w:p w14:paraId="4C9A8D62" w14:textId="76E27564" w:rsidR="0031088D" w:rsidRPr="0087230B" w:rsidRDefault="0031088D" w:rsidP="001A7EAC">
      <w:pPr>
        <w:pStyle w:val="Prrafodelista"/>
        <w:numPr>
          <w:ilvl w:val="0"/>
          <w:numId w:val="4"/>
        </w:numPr>
        <w:jc w:val="both"/>
        <w:rPr>
          <w:rFonts w:asciiTheme="minorHAnsi" w:hAnsiTheme="minorHAnsi" w:cs="Arial"/>
        </w:rPr>
      </w:pPr>
      <w:r w:rsidRPr="0087230B">
        <w:rPr>
          <w:rFonts w:asciiTheme="minorHAnsi" w:hAnsiTheme="minorHAnsi" w:cs="Arial"/>
          <w:i/>
          <w:iCs/>
        </w:rPr>
        <w:t>Proyectos de artículo 59:</w:t>
      </w:r>
      <w:r w:rsidRPr="0087230B">
        <w:rPr>
          <w:rFonts w:asciiTheme="minorHAnsi" w:hAnsiTheme="minorHAnsi" w:cs="Arial"/>
        </w:rPr>
        <w:t xml:space="preserve"> </w:t>
      </w:r>
      <w:r w:rsidR="0087230B" w:rsidRPr="0087230B">
        <w:rPr>
          <w:rFonts w:asciiTheme="minorHAnsi" w:hAnsiTheme="minorHAnsi" w:cs="Arial"/>
        </w:rPr>
        <w:t xml:space="preserve">se requerirá la emisión de facturas </w:t>
      </w:r>
      <w:r w:rsidR="00CB238A">
        <w:rPr>
          <w:rFonts w:asciiTheme="minorHAnsi" w:hAnsiTheme="minorHAnsi" w:cs="Arial"/>
        </w:rPr>
        <w:t>electrónicas</w:t>
      </w:r>
      <w:r w:rsidR="0087230B" w:rsidRPr="0087230B">
        <w:rPr>
          <w:rFonts w:asciiTheme="minorHAnsi" w:hAnsiTheme="minorHAnsi" w:cs="Arial"/>
        </w:rPr>
        <w:t xml:space="preserve"> a nombre del BANHVI, y se suministrará copia a las Entidades Autorizadas para la custodia en el expediente respectivo.</w:t>
      </w:r>
      <w:r w:rsidR="0087230B">
        <w:rPr>
          <w:rFonts w:asciiTheme="minorHAnsi" w:hAnsiTheme="minorHAnsi" w:cs="Arial"/>
        </w:rPr>
        <w:t xml:space="preserve">  D</w:t>
      </w:r>
      <w:r w:rsidR="006D2E32" w:rsidRPr="0087230B">
        <w:rPr>
          <w:rFonts w:asciiTheme="minorHAnsi" w:hAnsiTheme="minorHAnsi" w:cs="Arial"/>
        </w:rPr>
        <w:t xml:space="preserve">ichas facturas deberán remitirse a la dirección electrónica </w:t>
      </w:r>
      <w:hyperlink r:id="rId11" w:history="1">
        <w:r w:rsidR="006D2E32" w:rsidRPr="0087230B">
          <w:rPr>
            <w:rStyle w:val="Hipervnculo"/>
            <w:rFonts w:asciiTheme="minorHAnsi" w:hAnsiTheme="minorHAnsi" w:cs="Arial"/>
          </w:rPr>
          <w:t>Desembolsos@banhvi.fi.cr</w:t>
        </w:r>
      </w:hyperlink>
      <w:r w:rsidR="0087230B">
        <w:rPr>
          <w:rFonts w:asciiTheme="minorHAnsi" w:hAnsiTheme="minorHAnsi" w:cs="Arial"/>
        </w:rPr>
        <w:t xml:space="preserve">, </w:t>
      </w:r>
      <w:r w:rsidR="0070015C">
        <w:rPr>
          <w:rFonts w:asciiTheme="minorHAnsi" w:hAnsiTheme="minorHAnsi" w:cs="Arial"/>
        </w:rPr>
        <w:t>y e</w:t>
      </w:r>
      <w:r w:rsidR="0070015C" w:rsidRPr="0087230B">
        <w:rPr>
          <w:rFonts w:asciiTheme="minorHAnsi" w:hAnsiTheme="minorHAnsi" w:cs="Arial"/>
        </w:rPr>
        <w:t xml:space="preserve">l administrador designado del BANHVI realizará la validación </w:t>
      </w:r>
      <w:r w:rsidR="0070015C">
        <w:rPr>
          <w:rFonts w:asciiTheme="minorHAnsi" w:hAnsiTheme="minorHAnsi" w:cs="Arial"/>
        </w:rPr>
        <w:t>y aceptación de estas cuando sean remitidos los documentos asociados a la solicitud de desembolsos</w:t>
      </w:r>
      <w:r w:rsidR="0070015C" w:rsidRPr="0087230B">
        <w:rPr>
          <w:rFonts w:asciiTheme="minorHAnsi" w:hAnsiTheme="minorHAnsi" w:cs="Arial"/>
        </w:rPr>
        <w:t>.</w:t>
      </w:r>
    </w:p>
    <w:p w14:paraId="14681537" w14:textId="6FF053FD" w:rsidR="006D2E32" w:rsidRDefault="006D2E32" w:rsidP="006D2E32">
      <w:pPr>
        <w:pStyle w:val="Prrafodelista"/>
        <w:jc w:val="both"/>
        <w:rPr>
          <w:rFonts w:asciiTheme="minorHAnsi" w:hAnsiTheme="minorHAnsi" w:cs="Arial"/>
        </w:rPr>
      </w:pPr>
    </w:p>
    <w:p w14:paraId="4810C50B" w14:textId="77777777" w:rsidR="0087230B" w:rsidRPr="00D55FBA" w:rsidRDefault="0087230B" w:rsidP="0087230B">
      <w:pPr>
        <w:pStyle w:val="Prrafodelista"/>
        <w:jc w:val="both"/>
        <w:rPr>
          <w:rFonts w:asciiTheme="minorHAnsi" w:hAnsiTheme="minorHAnsi" w:cs="Arial"/>
        </w:rPr>
      </w:pPr>
      <w:r w:rsidRPr="00D55FBA">
        <w:rPr>
          <w:rFonts w:asciiTheme="minorHAnsi" w:hAnsiTheme="minorHAnsi" w:cs="Arial"/>
        </w:rPr>
        <w:t>Deberá mostrarse en la descripción de la factura, el código de exoneración específico de la operación individual; el IVA a incluirse en estas facturas corresponderá únicamente con el asociado a los materiales (antes conocido como impuesto de ventas).</w:t>
      </w:r>
    </w:p>
    <w:p w14:paraId="3DD890E2" w14:textId="77EA5C42" w:rsidR="008D5FB0" w:rsidRDefault="008D5FB0" w:rsidP="006F4CB2">
      <w:pPr>
        <w:pStyle w:val="Prrafodelista"/>
        <w:spacing w:line="360" w:lineRule="auto"/>
        <w:ind w:left="360"/>
        <w:jc w:val="both"/>
        <w:rPr>
          <w:rFonts w:asciiTheme="minorHAnsi" w:hAnsiTheme="minorHAnsi" w:cs="Arial"/>
          <w:b/>
          <w:bCs/>
        </w:rPr>
      </w:pPr>
    </w:p>
    <w:p w14:paraId="18E6E10D" w14:textId="4664236B" w:rsidR="00C264F1" w:rsidRPr="00D55FBA" w:rsidRDefault="0039565D" w:rsidP="0039565D">
      <w:pPr>
        <w:jc w:val="both"/>
        <w:rPr>
          <w:rFonts w:asciiTheme="minorHAnsi" w:hAnsiTheme="minorHAnsi" w:cs="Arial"/>
          <w:b/>
          <w:bCs/>
        </w:rPr>
      </w:pPr>
      <w:r w:rsidRPr="00D55FBA">
        <w:rPr>
          <w:rFonts w:asciiTheme="minorHAnsi" w:hAnsiTheme="minorHAnsi" w:cs="Arial"/>
          <w:b/>
          <w:bCs/>
        </w:rPr>
        <w:t>TRANSITORIOS</w:t>
      </w:r>
    </w:p>
    <w:p w14:paraId="0C09F8AB" w14:textId="5435237D" w:rsidR="00C264F1" w:rsidRPr="00D55FBA" w:rsidRDefault="00C264F1" w:rsidP="00C264F1">
      <w:pPr>
        <w:jc w:val="both"/>
        <w:rPr>
          <w:rFonts w:asciiTheme="minorHAnsi" w:hAnsiTheme="minorHAnsi" w:cs="Arial"/>
          <w:b/>
          <w:bCs/>
        </w:rPr>
      </w:pPr>
    </w:p>
    <w:p w14:paraId="78A55665" w14:textId="77777777" w:rsidR="00AE67D8" w:rsidRDefault="00C86623" w:rsidP="001F1BE6">
      <w:pPr>
        <w:pStyle w:val="Prrafodelista"/>
        <w:numPr>
          <w:ilvl w:val="0"/>
          <w:numId w:val="8"/>
        </w:numPr>
        <w:jc w:val="both"/>
        <w:rPr>
          <w:rFonts w:asciiTheme="minorHAnsi" w:hAnsiTheme="minorHAnsi" w:cs="Arial"/>
        </w:rPr>
      </w:pPr>
      <w:r>
        <w:rPr>
          <w:rFonts w:asciiTheme="minorHAnsi" w:hAnsiTheme="minorHAnsi" w:cs="Arial"/>
        </w:rPr>
        <w:t xml:space="preserve">Las Entidades Autorizadas deberán identificar los casos individuales ordinarios </w:t>
      </w:r>
      <w:r w:rsidRPr="00D55FBA">
        <w:rPr>
          <w:rFonts w:asciiTheme="minorHAnsi" w:hAnsiTheme="minorHAnsi" w:cs="Arial"/>
        </w:rPr>
        <w:t xml:space="preserve">que se hayan emitido o aprobado </w:t>
      </w:r>
      <w:r w:rsidR="0070015C">
        <w:rPr>
          <w:rFonts w:asciiTheme="minorHAnsi" w:hAnsiTheme="minorHAnsi" w:cs="Arial"/>
        </w:rPr>
        <w:t xml:space="preserve">(sin formalizar) </w:t>
      </w:r>
      <w:r w:rsidRPr="00D55FBA">
        <w:rPr>
          <w:rFonts w:asciiTheme="minorHAnsi" w:hAnsiTheme="minorHAnsi" w:cs="Arial"/>
        </w:rPr>
        <w:t>después del 30 de setiembre de 2019</w:t>
      </w:r>
      <w:r>
        <w:rPr>
          <w:rFonts w:asciiTheme="minorHAnsi" w:hAnsiTheme="minorHAnsi" w:cs="Arial"/>
        </w:rPr>
        <w:t xml:space="preserve"> y en los que no se disponga de código de exoneración, con el fin de solicitar la asignación del nuevo monto de subsidio, identificando para tal fin si los recursos son administrados por una empresa constructora/desarrolladora o por las familias, pues de esto dependerá el monto </w:t>
      </w:r>
      <w:r w:rsidR="0070015C">
        <w:rPr>
          <w:rFonts w:asciiTheme="minorHAnsi" w:hAnsiTheme="minorHAnsi" w:cs="Arial"/>
        </w:rPr>
        <w:t>de BFV</w:t>
      </w:r>
      <w:r>
        <w:rPr>
          <w:rFonts w:asciiTheme="minorHAnsi" w:hAnsiTheme="minorHAnsi" w:cs="Arial"/>
        </w:rPr>
        <w:t>.</w:t>
      </w:r>
      <w:r w:rsidR="0070015C">
        <w:rPr>
          <w:rFonts w:asciiTheme="minorHAnsi" w:hAnsiTheme="minorHAnsi" w:cs="Arial"/>
        </w:rPr>
        <w:t xml:space="preserve"> </w:t>
      </w:r>
    </w:p>
    <w:p w14:paraId="1779CF14" w14:textId="77777777" w:rsidR="00AE67D8" w:rsidRDefault="00AE67D8" w:rsidP="00AE67D8">
      <w:pPr>
        <w:pStyle w:val="Prrafodelista"/>
        <w:ind w:left="397"/>
        <w:jc w:val="both"/>
        <w:rPr>
          <w:rFonts w:asciiTheme="minorHAnsi" w:hAnsiTheme="minorHAnsi" w:cs="Arial"/>
        </w:rPr>
      </w:pPr>
    </w:p>
    <w:p w14:paraId="26AF1988" w14:textId="15917275" w:rsidR="00C86623" w:rsidRDefault="0070015C" w:rsidP="00AE67D8">
      <w:pPr>
        <w:pStyle w:val="Prrafodelista"/>
        <w:ind w:left="397"/>
        <w:jc w:val="both"/>
        <w:rPr>
          <w:rFonts w:asciiTheme="minorHAnsi" w:hAnsiTheme="minorHAnsi" w:cs="Arial"/>
        </w:rPr>
      </w:pPr>
      <w:r>
        <w:rPr>
          <w:rFonts w:asciiTheme="minorHAnsi" w:hAnsiTheme="minorHAnsi" w:cs="Arial"/>
        </w:rPr>
        <w:lastRenderedPageBreak/>
        <w:t xml:space="preserve">Las </w:t>
      </w:r>
      <w:r w:rsidR="00B231F9">
        <w:rPr>
          <w:rFonts w:asciiTheme="minorHAnsi" w:hAnsiTheme="minorHAnsi" w:cs="Arial"/>
        </w:rPr>
        <w:t>E</w:t>
      </w:r>
      <w:r>
        <w:rPr>
          <w:rFonts w:asciiTheme="minorHAnsi" w:hAnsiTheme="minorHAnsi" w:cs="Arial"/>
        </w:rPr>
        <w:t xml:space="preserve">ntidades </w:t>
      </w:r>
      <w:r w:rsidR="00B231F9">
        <w:rPr>
          <w:rFonts w:asciiTheme="minorHAnsi" w:hAnsiTheme="minorHAnsi" w:cs="Arial"/>
        </w:rPr>
        <w:t xml:space="preserve">Autorizadas </w:t>
      </w:r>
      <w:r>
        <w:rPr>
          <w:rFonts w:asciiTheme="minorHAnsi" w:hAnsiTheme="minorHAnsi" w:cs="Arial"/>
        </w:rPr>
        <w:t>deben solicitar al BANHVI la anulación de los casos y repostulación con los nuevos montos de bono que incluya el IVA</w:t>
      </w:r>
      <w:r w:rsidR="00173E5B">
        <w:rPr>
          <w:rFonts w:asciiTheme="minorHAnsi" w:hAnsiTheme="minorHAnsi" w:cs="Arial"/>
        </w:rPr>
        <w:t>, separando los casos que tienen empresas Constructoras de aquellos que son administrados por las familias.</w:t>
      </w:r>
      <w:r>
        <w:rPr>
          <w:rFonts w:asciiTheme="minorHAnsi" w:hAnsiTheme="minorHAnsi" w:cs="Arial"/>
        </w:rPr>
        <w:t xml:space="preserve"> </w:t>
      </w:r>
      <w:r w:rsidR="00173E5B">
        <w:rPr>
          <w:rFonts w:asciiTheme="minorHAnsi" w:hAnsiTheme="minorHAnsi" w:cs="Arial"/>
        </w:rPr>
        <w:t>L</w:t>
      </w:r>
      <w:r>
        <w:rPr>
          <w:rFonts w:asciiTheme="minorHAnsi" w:hAnsiTheme="minorHAnsi" w:cs="Arial"/>
        </w:rPr>
        <w:t>a asignación</w:t>
      </w:r>
      <w:r w:rsidR="00173E5B">
        <w:rPr>
          <w:rFonts w:asciiTheme="minorHAnsi" w:hAnsiTheme="minorHAnsi" w:cs="Arial"/>
        </w:rPr>
        <w:t xml:space="preserve"> del monto</w:t>
      </w:r>
      <w:r>
        <w:rPr>
          <w:rFonts w:asciiTheme="minorHAnsi" w:hAnsiTheme="minorHAnsi" w:cs="Arial"/>
        </w:rPr>
        <w:t xml:space="preserve"> será de forma automática y no deberán modificar los presupuestos ya existentes, sin </w:t>
      </w:r>
      <w:r w:rsidR="00173E5B">
        <w:rPr>
          <w:rFonts w:asciiTheme="minorHAnsi" w:hAnsiTheme="minorHAnsi" w:cs="Arial"/>
        </w:rPr>
        <w:t>embargo,</w:t>
      </w:r>
      <w:r>
        <w:rPr>
          <w:rFonts w:asciiTheme="minorHAnsi" w:hAnsiTheme="minorHAnsi" w:cs="Arial"/>
        </w:rPr>
        <w:t xml:space="preserve"> la entidad deberá verificar que en el proceso de Desembolsos se cumpla con las emisiones de las facturas </w:t>
      </w:r>
      <w:r w:rsidR="00AE67D8">
        <w:rPr>
          <w:rFonts w:asciiTheme="minorHAnsi" w:hAnsiTheme="minorHAnsi" w:cs="Arial"/>
        </w:rPr>
        <w:t xml:space="preserve">a la familia </w:t>
      </w:r>
      <w:r>
        <w:rPr>
          <w:rFonts w:asciiTheme="minorHAnsi" w:hAnsiTheme="minorHAnsi" w:cs="Arial"/>
        </w:rPr>
        <w:t>(para los casos con empresas)</w:t>
      </w:r>
      <w:r w:rsidR="00173E5B">
        <w:rPr>
          <w:rFonts w:asciiTheme="minorHAnsi" w:hAnsiTheme="minorHAnsi" w:cs="Arial"/>
        </w:rPr>
        <w:t xml:space="preserve">, según lo indicado en la sección 1.c de este documento. </w:t>
      </w:r>
    </w:p>
    <w:p w14:paraId="68939B67" w14:textId="2F42F80F" w:rsidR="00C86623" w:rsidRDefault="00C86623" w:rsidP="00C86623">
      <w:pPr>
        <w:jc w:val="both"/>
        <w:rPr>
          <w:rFonts w:asciiTheme="minorHAnsi" w:hAnsiTheme="minorHAnsi" w:cs="Arial"/>
        </w:rPr>
      </w:pPr>
    </w:p>
    <w:p w14:paraId="6EEBA364" w14:textId="01F5971B" w:rsidR="008241CE" w:rsidRDefault="008241CE" w:rsidP="008241CE">
      <w:pPr>
        <w:pStyle w:val="Prrafodelista"/>
        <w:numPr>
          <w:ilvl w:val="0"/>
          <w:numId w:val="8"/>
        </w:numPr>
        <w:jc w:val="both"/>
        <w:rPr>
          <w:rFonts w:asciiTheme="minorHAnsi" w:hAnsiTheme="minorHAnsi" w:cs="Arial"/>
        </w:rPr>
      </w:pPr>
      <w:r>
        <w:rPr>
          <w:rFonts w:asciiTheme="minorHAnsi" w:hAnsiTheme="minorHAnsi" w:cs="Arial"/>
        </w:rPr>
        <w:t xml:space="preserve">En los casos individuales de artículo 59 </w:t>
      </w:r>
      <w:r w:rsidRPr="00D55FBA">
        <w:rPr>
          <w:rFonts w:asciiTheme="minorHAnsi" w:hAnsiTheme="minorHAnsi" w:cs="Arial"/>
        </w:rPr>
        <w:t>que se hayan emitido o aprobado</w:t>
      </w:r>
      <w:r>
        <w:rPr>
          <w:rFonts w:asciiTheme="minorHAnsi" w:hAnsiTheme="minorHAnsi" w:cs="Arial"/>
        </w:rPr>
        <w:t xml:space="preserve"> </w:t>
      </w:r>
      <w:r w:rsidRPr="00D55FBA">
        <w:rPr>
          <w:rFonts w:asciiTheme="minorHAnsi" w:hAnsiTheme="minorHAnsi" w:cs="Arial"/>
        </w:rPr>
        <w:t>después del 30 de setiembre de 2019</w:t>
      </w:r>
      <w:r>
        <w:rPr>
          <w:rFonts w:asciiTheme="minorHAnsi" w:hAnsiTheme="minorHAnsi" w:cs="Arial"/>
        </w:rPr>
        <w:t xml:space="preserve"> (</w:t>
      </w:r>
      <w:r w:rsidR="0070015C">
        <w:rPr>
          <w:rFonts w:asciiTheme="minorHAnsi" w:hAnsiTheme="minorHAnsi" w:cs="Arial"/>
        </w:rPr>
        <w:t>sin formalizar</w:t>
      </w:r>
      <w:r>
        <w:rPr>
          <w:rFonts w:asciiTheme="minorHAnsi" w:hAnsiTheme="minorHAnsi" w:cs="Arial"/>
        </w:rPr>
        <w:t>)</w:t>
      </w:r>
      <w:r w:rsidRPr="00D55FBA">
        <w:rPr>
          <w:rFonts w:asciiTheme="minorHAnsi" w:hAnsiTheme="minorHAnsi" w:cs="Arial"/>
        </w:rPr>
        <w:t xml:space="preserve"> </w:t>
      </w:r>
      <w:r>
        <w:rPr>
          <w:rFonts w:asciiTheme="minorHAnsi" w:hAnsiTheme="minorHAnsi" w:cs="Arial"/>
        </w:rPr>
        <w:t xml:space="preserve">y en los que no se disponga de código de exoneración, la Entidad Autorizada deberá solicitar que se suministren los presupuestos que cumplan los nuevos formatos, con el fin de </w:t>
      </w:r>
      <w:r w:rsidR="002A633D">
        <w:rPr>
          <w:rFonts w:asciiTheme="minorHAnsi" w:hAnsiTheme="minorHAnsi" w:cs="Arial"/>
        </w:rPr>
        <w:t>requerir</w:t>
      </w:r>
      <w:r>
        <w:rPr>
          <w:rFonts w:asciiTheme="minorHAnsi" w:hAnsiTheme="minorHAnsi" w:cs="Arial"/>
        </w:rPr>
        <w:t xml:space="preserve"> la asignación del nuevo monto de subsidio, identificando para tal fin si los recursos son administrados por una empresa constructora/desarrolladora o por las familias, pues de esto dependerá el monto de subsidio.</w:t>
      </w:r>
    </w:p>
    <w:p w14:paraId="618535CC" w14:textId="4E6DC2AD" w:rsidR="002A633D" w:rsidRDefault="002A633D" w:rsidP="002A633D">
      <w:pPr>
        <w:pStyle w:val="Prrafodelista"/>
        <w:ind w:left="397"/>
        <w:jc w:val="both"/>
        <w:rPr>
          <w:rFonts w:asciiTheme="minorHAnsi" w:hAnsiTheme="minorHAnsi" w:cs="Arial"/>
        </w:rPr>
      </w:pPr>
    </w:p>
    <w:p w14:paraId="63D25271" w14:textId="24CC4695" w:rsidR="002A633D" w:rsidRDefault="002A633D" w:rsidP="002A633D">
      <w:pPr>
        <w:pStyle w:val="Prrafodelista"/>
        <w:ind w:left="397"/>
        <w:jc w:val="both"/>
        <w:rPr>
          <w:rFonts w:asciiTheme="minorHAnsi" w:hAnsiTheme="minorHAnsi" w:cs="Arial"/>
        </w:rPr>
      </w:pPr>
      <w:r>
        <w:rPr>
          <w:rFonts w:asciiTheme="minorHAnsi" w:hAnsiTheme="minorHAnsi" w:cs="Arial"/>
        </w:rPr>
        <w:t xml:space="preserve">El BANHVI no revisará nuevamente los expedientes, únicamente la Entidad Autorizada debe presentar al BANHVI el nuevo presupuesto, con el fin de ajustar el monto de bonos por incremento de IVA, dicho ajuste </w:t>
      </w:r>
      <w:r w:rsidR="00032DF7">
        <w:rPr>
          <w:rFonts w:asciiTheme="minorHAnsi" w:hAnsiTheme="minorHAnsi" w:cs="Arial"/>
        </w:rPr>
        <w:t xml:space="preserve">se realizará </w:t>
      </w:r>
      <w:r w:rsidR="00835FC2">
        <w:rPr>
          <w:rFonts w:asciiTheme="minorHAnsi" w:hAnsiTheme="minorHAnsi" w:cs="Arial"/>
        </w:rPr>
        <w:t>en la Dirección FOSUVI</w:t>
      </w:r>
      <w:r w:rsidR="00032DF7">
        <w:rPr>
          <w:rFonts w:asciiTheme="minorHAnsi" w:hAnsiTheme="minorHAnsi" w:cs="Arial"/>
        </w:rPr>
        <w:t xml:space="preserve"> </w:t>
      </w:r>
      <w:r w:rsidR="00B03612">
        <w:rPr>
          <w:rFonts w:asciiTheme="minorHAnsi" w:hAnsiTheme="minorHAnsi" w:cs="Arial"/>
        </w:rPr>
        <w:t xml:space="preserve">sin que sea presentado nuevamente a Junta Directiva, esta autorización es exclusiva para el ajuste de casos ya aprobados por </w:t>
      </w:r>
      <w:r w:rsidR="00835FC2">
        <w:rPr>
          <w:rFonts w:asciiTheme="minorHAnsi" w:hAnsiTheme="minorHAnsi" w:cs="Arial"/>
        </w:rPr>
        <w:t xml:space="preserve">esa </w:t>
      </w:r>
      <w:r w:rsidR="00B03612">
        <w:rPr>
          <w:rFonts w:asciiTheme="minorHAnsi" w:hAnsiTheme="minorHAnsi" w:cs="Arial"/>
        </w:rPr>
        <w:t>Junt</w:t>
      </w:r>
      <w:r w:rsidR="00835FC2">
        <w:rPr>
          <w:rFonts w:asciiTheme="minorHAnsi" w:hAnsiTheme="minorHAnsi" w:cs="Arial"/>
        </w:rPr>
        <w:t>a, para evitar el exceso de trámites a las familias</w:t>
      </w:r>
      <w:r w:rsidR="00B03612">
        <w:rPr>
          <w:rFonts w:asciiTheme="minorHAnsi" w:hAnsiTheme="minorHAnsi" w:cs="Arial"/>
        </w:rPr>
        <w:t xml:space="preserve">. </w:t>
      </w:r>
    </w:p>
    <w:p w14:paraId="4BBC8125" w14:textId="19B33911" w:rsidR="00B2196E" w:rsidRDefault="00B2196E" w:rsidP="002A633D">
      <w:pPr>
        <w:pStyle w:val="Prrafodelista"/>
        <w:ind w:left="397"/>
        <w:jc w:val="both"/>
        <w:rPr>
          <w:rFonts w:asciiTheme="minorHAnsi" w:hAnsiTheme="minorHAnsi" w:cs="Arial"/>
        </w:rPr>
      </w:pPr>
    </w:p>
    <w:p w14:paraId="0BA105BD" w14:textId="1F6E6A94" w:rsidR="00B2196E" w:rsidRDefault="00B2196E" w:rsidP="002A633D">
      <w:pPr>
        <w:pStyle w:val="Prrafodelista"/>
        <w:ind w:left="397"/>
        <w:jc w:val="both"/>
        <w:rPr>
          <w:rFonts w:asciiTheme="minorHAnsi" w:hAnsiTheme="minorHAnsi" w:cs="Arial"/>
        </w:rPr>
      </w:pPr>
      <w:r>
        <w:rPr>
          <w:rFonts w:asciiTheme="minorHAnsi" w:hAnsiTheme="minorHAnsi" w:cs="Arial"/>
        </w:rPr>
        <w:t xml:space="preserve">La </w:t>
      </w:r>
      <w:r w:rsidR="00B231F9">
        <w:rPr>
          <w:rFonts w:asciiTheme="minorHAnsi" w:hAnsiTheme="minorHAnsi" w:cs="Arial"/>
        </w:rPr>
        <w:t>E</w:t>
      </w:r>
      <w:r>
        <w:rPr>
          <w:rFonts w:asciiTheme="minorHAnsi" w:hAnsiTheme="minorHAnsi" w:cs="Arial"/>
        </w:rPr>
        <w:t xml:space="preserve">ntidad </w:t>
      </w:r>
      <w:r w:rsidR="00B231F9">
        <w:rPr>
          <w:rFonts w:asciiTheme="minorHAnsi" w:hAnsiTheme="minorHAnsi" w:cs="Arial"/>
        </w:rPr>
        <w:t xml:space="preserve">Autorizada </w:t>
      </w:r>
      <w:r>
        <w:rPr>
          <w:rFonts w:asciiTheme="minorHAnsi" w:hAnsiTheme="minorHAnsi" w:cs="Arial"/>
        </w:rPr>
        <w:t>deberá verificar que en el proceso de Desembolsos se cumpla con las emisiones de las facturas a la familia (para los casos con empresas), según lo indicado en la sección 1.c de este documento.</w:t>
      </w:r>
    </w:p>
    <w:p w14:paraId="31B4B732" w14:textId="77777777" w:rsidR="008241CE" w:rsidRPr="008241CE" w:rsidRDefault="008241CE" w:rsidP="008241CE">
      <w:pPr>
        <w:pStyle w:val="Prrafodelista"/>
        <w:rPr>
          <w:rFonts w:asciiTheme="minorHAnsi" w:hAnsiTheme="minorHAnsi" w:cs="Arial"/>
        </w:rPr>
      </w:pPr>
    </w:p>
    <w:p w14:paraId="472D58CE" w14:textId="19DD684F" w:rsidR="008241CE" w:rsidRDefault="00A3698E" w:rsidP="008241CE">
      <w:pPr>
        <w:pStyle w:val="Prrafodelista"/>
        <w:numPr>
          <w:ilvl w:val="0"/>
          <w:numId w:val="8"/>
        </w:numPr>
        <w:jc w:val="both"/>
        <w:rPr>
          <w:rFonts w:asciiTheme="minorHAnsi" w:hAnsiTheme="minorHAnsi" w:cs="Arial"/>
        </w:rPr>
      </w:pPr>
      <w:r>
        <w:rPr>
          <w:rFonts w:asciiTheme="minorHAnsi" w:hAnsiTheme="minorHAnsi" w:cs="Arial"/>
        </w:rPr>
        <w:t>En los casos individuales de bono ordinario y artículo 59, así como l</w:t>
      </w:r>
      <w:r w:rsidR="008241CE">
        <w:rPr>
          <w:rFonts w:asciiTheme="minorHAnsi" w:hAnsiTheme="minorHAnsi" w:cs="Arial"/>
        </w:rPr>
        <w:t>os proyectos de artículo 59</w:t>
      </w:r>
      <w:r>
        <w:rPr>
          <w:rFonts w:asciiTheme="minorHAnsi" w:hAnsiTheme="minorHAnsi" w:cs="Arial"/>
        </w:rPr>
        <w:t>,</w:t>
      </w:r>
      <w:r w:rsidR="008241CE">
        <w:rPr>
          <w:rFonts w:asciiTheme="minorHAnsi" w:hAnsiTheme="minorHAnsi" w:cs="Arial"/>
        </w:rPr>
        <w:t xml:space="preserve"> </w:t>
      </w:r>
      <w:r w:rsidR="00032DF7">
        <w:rPr>
          <w:rFonts w:asciiTheme="minorHAnsi" w:hAnsiTheme="minorHAnsi" w:cs="Arial"/>
        </w:rPr>
        <w:t>que</w:t>
      </w:r>
      <w:r w:rsidR="008241CE">
        <w:rPr>
          <w:rFonts w:asciiTheme="minorHAnsi" w:hAnsiTheme="minorHAnsi" w:cs="Arial"/>
        </w:rPr>
        <w:t xml:space="preserve"> a la fecha de comunicación de este documento se encuentren en trámite en las Entidades Autorizadas o en el BANHVI, deberán </w:t>
      </w:r>
      <w:r>
        <w:rPr>
          <w:rFonts w:asciiTheme="minorHAnsi" w:hAnsiTheme="minorHAnsi" w:cs="Arial"/>
        </w:rPr>
        <w:t>aportar los presupuestos respectivos cumpliendo con el nuevo formato.</w:t>
      </w:r>
    </w:p>
    <w:p w14:paraId="7D32FAF1" w14:textId="77777777" w:rsidR="00032DF7" w:rsidRPr="00032DF7" w:rsidRDefault="00032DF7" w:rsidP="00032DF7">
      <w:pPr>
        <w:jc w:val="both"/>
        <w:rPr>
          <w:rFonts w:asciiTheme="minorHAnsi" w:hAnsiTheme="minorHAnsi" w:cs="Arial"/>
        </w:rPr>
      </w:pPr>
      <w:bookmarkStart w:id="1" w:name="_GoBack"/>
      <w:bookmarkEnd w:id="1"/>
    </w:p>
    <w:sectPr w:rsidR="00032DF7" w:rsidRPr="00032DF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83F83" w14:textId="77777777" w:rsidR="00E11222" w:rsidRDefault="00E11222" w:rsidP="00A60977">
      <w:r>
        <w:separator/>
      </w:r>
    </w:p>
  </w:endnote>
  <w:endnote w:type="continuationSeparator" w:id="0">
    <w:p w14:paraId="53BB9E38" w14:textId="77777777" w:rsidR="00E11222" w:rsidRDefault="00E11222" w:rsidP="00A6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3A6C1" w14:textId="77777777" w:rsidR="00E11222" w:rsidRDefault="00E11222" w:rsidP="00A60977">
      <w:r>
        <w:separator/>
      </w:r>
    </w:p>
  </w:footnote>
  <w:footnote w:type="continuationSeparator" w:id="0">
    <w:p w14:paraId="7453A071" w14:textId="77777777" w:rsidR="00E11222" w:rsidRDefault="00E11222" w:rsidP="00A6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EA2"/>
    <w:multiLevelType w:val="hybridMultilevel"/>
    <w:tmpl w:val="4A9CB9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B601EB"/>
    <w:multiLevelType w:val="hybridMultilevel"/>
    <w:tmpl w:val="4A9CB9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F5120FB"/>
    <w:multiLevelType w:val="hybridMultilevel"/>
    <w:tmpl w:val="4A9CB9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1D3439D"/>
    <w:multiLevelType w:val="multilevel"/>
    <w:tmpl w:val="DE70F01C"/>
    <w:lvl w:ilvl="0">
      <w:start w:val="1"/>
      <w:numFmt w:val="decimal"/>
      <w:lvlText w:val="%1."/>
      <w:lvlJc w:val="left"/>
      <w:pPr>
        <w:ind w:left="360" w:hanging="360"/>
      </w:pPr>
      <w:rPr>
        <w:rFonts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35618D3"/>
    <w:multiLevelType w:val="hybridMultilevel"/>
    <w:tmpl w:val="4A9CB9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F6379B9"/>
    <w:multiLevelType w:val="hybridMultilevel"/>
    <w:tmpl w:val="480454D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43CA5D77"/>
    <w:multiLevelType w:val="hybridMultilevel"/>
    <w:tmpl w:val="926E0F5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3D0524D"/>
    <w:multiLevelType w:val="hybridMultilevel"/>
    <w:tmpl w:val="670A54BA"/>
    <w:lvl w:ilvl="0" w:tplc="F8D47086">
      <w:start w:val="1"/>
      <w:numFmt w:val="lowerLetter"/>
      <w:lvlText w:val="%1."/>
      <w:lvlJc w:val="left"/>
      <w:pPr>
        <w:ind w:left="720" w:hanging="360"/>
      </w:pPr>
      <w:rPr>
        <w:rFonts w:asciiTheme="minorHAnsi" w:hAnsiTheme="minorHAnsi"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A457D69"/>
    <w:multiLevelType w:val="hybridMultilevel"/>
    <w:tmpl w:val="8A0C6016"/>
    <w:lvl w:ilvl="0" w:tplc="59266EF0">
      <w:start w:val="1"/>
      <w:numFmt w:val="upperRoman"/>
      <w:lvlText w:val="%1."/>
      <w:lvlJc w:val="left"/>
      <w:pPr>
        <w:ind w:left="397" w:hanging="397"/>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36"/>
    <w:rsid w:val="00032DF7"/>
    <w:rsid w:val="00040CEF"/>
    <w:rsid w:val="00041BBB"/>
    <w:rsid w:val="000430C7"/>
    <w:rsid w:val="000735C5"/>
    <w:rsid w:val="0008779A"/>
    <w:rsid w:val="000C45D2"/>
    <w:rsid w:val="000F2B40"/>
    <w:rsid w:val="000F4D81"/>
    <w:rsid w:val="00173E5B"/>
    <w:rsid w:val="001961AC"/>
    <w:rsid w:val="001E2DD4"/>
    <w:rsid w:val="001F1BE6"/>
    <w:rsid w:val="0026091E"/>
    <w:rsid w:val="002A633D"/>
    <w:rsid w:val="002B1856"/>
    <w:rsid w:val="0031088D"/>
    <w:rsid w:val="003153CF"/>
    <w:rsid w:val="00321EC0"/>
    <w:rsid w:val="0033126A"/>
    <w:rsid w:val="00390118"/>
    <w:rsid w:val="00392ECA"/>
    <w:rsid w:val="0039565D"/>
    <w:rsid w:val="003A1AA7"/>
    <w:rsid w:val="003F7B6B"/>
    <w:rsid w:val="0046071A"/>
    <w:rsid w:val="0046291A"/>
    <w:rsid w:val="00492F07"/>
    <w:rsid w:val="004B6FC0"/>
    <w:rsid w:val="004C4756"/>
    <w:rsid w:val="005204FC"/>
    <w:rsid w:val="00615200"/>
    <w:rsid w:val="006325FC"/>
    <w:rsid w:val="00632A74"/>
    <w:rsid w:val="00652E26"/>
    <w:rsid w:val="006A030B"/>
    <w:rsid w:val="006A5402"/>
    <w:rsid w:val="006C6F4E"/>
    <w:rsid w:val="006D2E32"/>
    <w:rsid w:val="006F25B1"/>
    <w:rsid w:val="006F4CB2"/>
    <w:rsid w:val="0070015C"/>
    <w:rsid w:val="00710EB1"/>
    <w:rsid w:val="007547BA"/>
    <w:rsid w:val="00771D35"/>
    <w:rsid w:val="00783E77"/>
    <w:rsid w:val="00794B5D"/>
    <w:rsid w:val="007E56C8"/>
    <w:rsid w:val="007F1D6B"/>
    <w:rsid w:val="00813FA2"/>
    <w:rsid w:val="008241CE"/>
    <w:rsid w:val="00824FEF"/>
    <w:rsid w:val="00833211"/>
    <w:rsid w:val="00835FC2"/>
    <w:rsid w:val="00837BD5"/>
    <w:rsid w:val="008545EA"/>
    <w:rsid w:val="0087230B"/>
    <w:rsid w:val="008838CA"/>
    <w:rsid w:val="008A1B88"/>
    <w:rsid w:val="008D5CCA"/>
    <w:rsid w:val="008D5FB0"/>
    <w:rsid w:val="00900463"/>
    <w:rsid w:val="00911D18"/>
    <w:rsid w:val="00932AC0"/>
    <w:rsid w:val="00956410"/>
    <w:rsid w:val="00973E54"/>
    <w:rsid w:val="009D3485"/>
    <w:rsid w:val="009E5009"/>
    <w:rsid w:val="009F76B4"/>
    <w:rsid w:val="00A21636"/>
    <w:rsid w:val="00A3698E"/>
    <w:rsid w:val="00A60977"/>
    <w:rsid w:val="00A638E5"/>
    <w:rsid w:val="00A84CFB"/>
    <w:rsid w:val="00AB42C5"/>
    <w:rsid w:val="00AC0184"/>
    <w:rsid w:val="00AC7998"/>
    <w:rsid w:val="00AE67D8"/>
    <w:rsid w:val="00AF0C54"/>
    <w:rsid w:val="00B03612"/>
    <w:rsid w:val="00B2196E"/>
    <w:rsid w:val="00B231F9"/>
    <w:rsid w:val="00B3715C"/>
    <w:rsid w:val="00B40630"/>
    <w:rsid w:val="00B65FC7"/>
    <w:rsid w:val="00B66904"/>
    <w:rsid w:val="00B740EB"/>
    <w:rsid w:val="00B8794E"/>
    <w:rsid w:val="00BE4186"/>
    <w:rsid w:val="00BF61D0"/>
    <w:rsid w:val="00C05735"/>
    <w:rsid w:val="00C264F1"/>
    <w:rsid w:val="00C50A35"/>
    <w:rsid w:val="00C60502"/>
    <w:rsid w:val="00C67A6E"/>
    <w:rsid w:val="00C86623"/>
    <w:rsid w:val="00C91744"/>
    <w:rsid w:val="00CB238A"/>
    <w:rsid w:val="00CB7D5D"/>
    <w:rsid w:val="00CF6E97"/>
    <w:rsid w:val="00D1756C"/>
    <w:rsid w:val="00D23A7C"/>
    <w:rsid w:val="00D36D58"/>
    <w:rsid w:val="00D461C2"/>
    <w:rsid w:val="00D55FBA"/>
    <w:rsid w:val="00D81C30"/>
    <w:rsid w:val="00D86D54"/>
    <w:rsid w:val="00E073DA"/>
    <w:rsid w:val="00E11222"/>
    <w:rsid w:val="00E15C86"/>
    <w:rsid w:val="00E511EC"/>
    <w:rsid w:val="00E776EF"/>
    <w:rsid w:val="00E86487"/>
    <w:rsid w:val="00EB16BF"/>
    <w:rsid w:val="00EB391F"/>
    <w:rsid w:val="00ED2DE5"/>
    <w:rsid w:val="00F02053"/>
    <w:rsid w:val="00F024F8"/>
    <w:rsid w:val="00F65150"/>
    <w:rsid w:val="00F862EE"/>
    <w:rsid w:val="00FB4606"/>
    <w:rsid w:val="00FB64CD"/>
    <w:rsid w:val="00FC21A5"/>
    <w:rsid w:val="00FC5481"/>
    <w:rsid w:val="00FD79AD"/>
    <w:rsid w:val="00FE0C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68E2"/>
  <w15:chartTrackingRefBased/>
  <w15:docId w15:val="{88BC79BB-D729-42BC-8514-BFDD68D1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6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636"/>
    <w:pPr>
      <w:ind w:left="720"/>
      <w:contextualSpacing/>
    </w:pPr>
  </w:style>
  <w:style w:type="paragraph" w:styleId="Encabezado">
    <w:name w:val="header"/>
    <w:basedOn w:val="Normal"/>
    <w:link w:val="EncabezadoCar"/>
    <w:uiPriority w:val="99"/>
    <w:unhideWhenUsed/>
    <w:rsid w:val="00A60977"/>
    <w:pPr>
      <w:tabs>
        <w:tab w:val="center" w:pos="4419"/>
        <w:tab w:val="right" w:pos="8838"/>
      </w:tabs>
    </w:pPr>
  </w:style>
  <w:style w:type="character" w:customStyle="1" w:styleId="EncabezadoCar">
    <w:name w:val="Encabezado Car"/>
    <w:basedOn w:val="Fuentedeprrafopredeter"/>
    <w:link w:val="Encabezado"/>
    <w:uiPriority w:val="99"/>
    <w:rsid w:val="00A609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60977"/>
    <w:pPr>
      <w:tabs>
        <w:tab w:val="center" w:pos="4419"/>
        <w:tab w:val="right" w:pos="8838"/>
      </w:tabs>
    </w:pPr>
  </w:style>
  <w:style w:type="character" w:customStyle="1" w:styleId="PiedepginaCar">
    <w:name w:val="Pie de página Car"/>
    <w:basedOn w:val="Fuentedeprrafopredeter"/>
    <w:link w:val="Piedepgina"/>
    <w:uiPriority w:val="99"/>
    <w:rsid w:val="00A6097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D2E32"/>
    <w:rPr>
      <w:color w:val="0563C1" w:themeColor="hyperlink"/>
      <w:u w:val="single"/>
    </w:rPr>
  </w:style>
  <w:style w:type="character" w:styleId="Mencinsinresolver">
    <w:name w:val="Unresolved Mention"/>
    <w:basedOn w:val="Fuentedeprrafopredeter"/>
    <w:uiPriority w:val="99"/>
    <w:semiHidden/>
    <w:unhideWhenUsed/>
    <w:rsid w:val="006D2E32"/>
    <w:rPr>
      <w:color w:val="605E5C"/>
      <w:shd w:val="clear" w:color="auto" w:fill="E1DFDD"/>
    </w:rPr>
  </w:style>
  <w:style w:type="paragraph" w:styleId="Textodeglobo">
    <w:name w:val="Balloon Text"/>
    <w:basedOn w:val="Normal"/>
    <w:link w:val="TextodegloboCar"/>
    <w:uiPriority w:val="99"/>
    <w:semiHidden/>
    <w:unhideWhenUsed/>
    <w:rsid w:val="00C67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A6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embolsos@banhvi.fi.cr" TargetMode="External"/><Relationship Id="rId5" Type="http://schemas.openxmlformats.org/officeDocument/2006/relationships/styles" Target="styles.xml"/><Relationship Id="rId10" Type="http://schemas.openxmlformats.org/officeDocument/2006/relationships/hyperlink" Target="mailto:Desembolsos@banhvi.fi.c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6B46DD0043A4E8C6CC9AD83347AEA" ma:contentTypeVersion="10" ma:contentTypeDescription="Create a new document." ma:contentTypeScope="" ma:versionID="37c44c80fefb5d1794ebdd47e73efbb8">
  <xsd:schema xmlns:xsd="http://www.w3.org/2001/XMLSchema" xmlns:xs="http://www.w3.org/2001/XMLSchema" xmlns:p="http://schemas.microsoft.com/office/2006/metadata/properties" xmlns:ns3="66baf860-eae1-4b7a-a896-1d8bcd0d1e5e" xmlns:ns4="b15e0368-39ee-428c-b419-35b8f96de974" targetNamespace="http://schemas.microsoft.com/office/2006/metadata/properties" ma:root="true" ma:fieldsID="6f88acd592209ca3da64b43c715c4b1c" ns3:_="" ns4:_="">
    <xsd:import namespace="66baf860-eae1-4b7a-a896-1d8bcd0d1e5e"/>
    <xsd:import namespace="b15e0368-39ee-428c-b419-35b8f96de9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af860-eae1-4b7a-a896-1d8bcd0d1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e0368-39ee-428c-b419-35b8f96de9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77C7E-61ED-442C-9C3C-FB99669E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af860-eae1-4b7a-a896-1d8bcd0d1e5e"/>
    <ds:schemaRef ds:uri="b15e0368-39ee-428c-b419-35b8f96de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7F0D8-C69E-49A9-8C77-C6095E0D97E6}">
  <ds:schemaRefs>
    <ds:schemaRef ds:uri="http://schemas.microsoft.com/sharepoint/v3/contenttype/forms"/>
  </ds:schemaRefs>
</ds:datastoreItem>
</file>

<file path=customXml/itemProps3.xml><?xml version="1.0" encoding="utf-8"?>
<ds:datastoreItem xmlns:ds="http://schemas.openxmlformats.org/officeDocument/2006/customXml" ds:itemID="{15C03A85-FCCD-4C3C-87DD-B6C3720E8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1306</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D´Oleo Ochoa Israel</dc:creator>
  <cp:keywords/>
  <dc:description/>
  <cp:lastModifiedBy>D´Oleo Ochoa Israel</cp:lastModifiedBy>
  <cp:revision>13</cp:revision>
  <cp:lastPrinted>2019-10-10T21:31:00Z</cp:lastPrinted>
  <dcterms:created xsi:type="dcterms:W3CDTF">2019-10-10T23:01:00Z</dcterms:created>
  <dcterms:modified xsi:type="dcterms:W3CDTF">2019-10-11T14:27:00Z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0x0101005266B46DD0043A4E8C6CC9AD83347AEA</vt:lpwstr>
  </property>
</Properties>
</file>